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2.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A81F602006EA4C16A9F3206BB0D96450"/>
        </w:placeholder>
        <w:group/>
      </w:sdtPr>
      <w:sdtContent>
        <w:p w14:paraId="046621A7" w14:textId="77777777" w:rsidR="00A50007" w:rsidRPr="0008176F" w:rsidRDefault="0008176F" w:rsidP="0008176F">
          <w:pPr>
            <w:pStyle w:val="NoSpacing"/>
            <w:jc w:val="center"/>
            <w:rPr>
              <w:caps/>
            </w:rPr>
          </w:pPr>
          <w:r w:rsidRPr="0008176F">
            <w:rPr>
              <w:caps/>
            </w:rPr>
            <w:t>University of Oklahoma</w:t>
          </w:r>
        </w:p>
        <w:p w14:paraId="5D25B02D" w14:textId="77777777" w:rsidR="0008176F" w:rsidRPr="0008176F" w:rsidRDefault="0008176F" w:rsidP="0008176F">
          <w:pPr>
            <w:pStyle w:val="NoSpacing"/>
            <w:jc w:val="center"/>
            <w:rPr>
              <w:caps/>
            </w:rPr>
          </w:pPr>
        </w:p>
        <w:p w14:paraId="09E48425" w14:textId="77777777" w:rsidR="0008176F" w:rsidRPr="0008176F" w:rsidRDefault="0008176F" w:rsidP="0008176F">
          <w:pPr>
            <w:pStyle w:val="NoSpacing"/>
            <w:jc w:val="center"/>
            <w:rPr>
              <w:caps/>
            </w:rPr>
          </w:pPr>
          <w:r w:rsidRPr="0008176F">
            <w:rPr>
              <w:caps/>
            </w:rPr>
            <w:t>Graduate College</w:t>
          </w:r>
        </w:p>
      </w:sdtContent>
    </w:sdt>
    <w:p w14:paraId="1EAE3218" w14:textId="77777777" w:rsidR="0008176F" w:rsidRPr="0008176F" w:rsidRDefault="0008176F" w:rsidP="0008176F">
      <w:pPr>
        <w:pStyle w:val="NoSpacing"/>
        <w:jc w:val="center"/>
        <w:rPr>
          <w:caps/>
        </w:rPr>
      </w:pPr>
    </w:p>
    <w:p w14:paraId="78509462" w14:textId="77777777" w:rsidR="00191CCB" w:rsidRPr="0008176F" w:rsidRDefault="00191CCB" w:rsidP="0008176F">
      <w:pPr>
        <w:pStyle w:val="NoSpacing"/>
        <w:jc w:val="center"/>
        <w:rPr>
          <w:caps/>
        </w:rPr>
      </w:pPr>
    </w:p>
    <w:p w14:paraId="5F807996" w14:textId="77777777" w:rsidR="0008176F" w:rsidRDefault="0008176F" w:rsidP="0008176F">
      <w:pPr>
        <w:pStyle w:val="NoSpacing"/>
        <w:jc w:val="center"/>
        <w:rPr>
          <w:caps/>
        </w:rPr>
      </w:pPr>
    </w:p>
    <w:p w14:paraId="44AFAFA2" w14:textId="77777777" w:rsidR="00191CCB" w:rsidRDefault="00191CCB" w:rsidP="0008176F">
      <w:pPr>
        <w:pStyle w:val="NoSpacing"/>
        <w:jc w:val="center"/>
        <w:rPr>
          <w:caps/>
        </w:rPr>
      </w:pPr>
    </w:p>
    <w:p w14:paraId="7D69516D" w14:textId="77777777" w:rsidR="00191CCB" w:rsidRDefault="00191CCB" w:rsidP="0008176F">
      <w:pPr>
        <w:pStyle w:val="NoSpacing"/>
        <w:jc w:val="center"/>
        <w:rPr>
          <w:caps/>
        </w:rPr>
      </w:pPr>
    </w:p>
    <w:p w14:paraId="64752716" w14:textId="77777777" w:rsidR="00191CCB" w:rsidRPr="0008176F" w:rsidRDefault="00191CCB" w:rsidP="0008176F">
      <w:pPr>
        <w:pStyle w:val="NoSpacing"/>
        <w:jc w:val="center"/>
        <w:rPr>
          <w:caps/>
        </w:rPr>
      </w:pPr>
    </w:p>
    <w:p w14:paraId="5EC55FF5" w14:textId="77777777" w:rsidR="0008176F" w:rsidRPr="0008176F" w:rsidRDefault="0008176F" w:rsidP="00EB795B">
      <w:pPr>
        <w:pStyle w:val="NoSpacing"/>
        <w:jc w:val="center"/>
        <w:rPr>
          <w:caps/>
        </w:rPr>
      </w:pPr>
    </w:p>
    <w:p w14:paraId="54FF2C7E"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14:paraId="49319853" w14:textId="77777777" w:rsidR="00191CCB" w:rsidRDefault="00B64294" w:rsidP="00B64294">
          <w:pPr>
            <w:pStyle w:val="NoSpacing"/>
            <w:spacing w:line="480" w:lineRule="auto"/>
            <w:jc w:val="center"/>
            <w:rPr>
              <w:caps/>
            </w:rPr>
          </w:pPr>
          <w:r>
            <w:rPr>
              <w:caps/>
            </w:rPr>
            <w:t>oxo-rhenium</w:t>
          </w:r>
          <w:r w:rsidR="00191CCB">
            <w:rPr>
              <w:caps/>
            </w:rPr>
            <w:t xml:space="preserve"> catalyzed Transformations of alcohols:</w:t>
          </w:r>
        </w:p>
        <w:p w14:paraId="2267AF7F" w14:textId="2F58765B" w:rsidR="0008176F" w:rsidRPr="0008176F" w:rsidRDefault="00191CCB" w:rsidP="00B64294">
          <w:pPr>
            <w:pStyle w:val="NoSpacing"/>
            <w:spacing w:line="480" w:lineRule="auto"/>
            <w:jc w:val="center"/>
            <w:rPr>
              <w:caps/>
            </w:rPr>
          </w:pPr>
          <w:r>
            <w:rPr>
              <w:caps/>
            </w:rPr>
            <w:t>deoxydehydration and reductive coupling</w:t>
          </w:r>
        </w:p>
      </w:sdtContent>
    </w:sdt>
    <w:p w14:paraId="7EC47187" w14:textId="77777777" w:rsidR="0008176F" w:rsidRPr="0008176F" w:rsidRDefault="0008176F" w:rsidP="0008176F">
      <w:pPr>
        <w:pStyle w:val="NoSpacing"/>
        <w:jc w:val="center"/>
        <w:rPr>
          <w:caps/>
        </w:rPr>
      </w:pPr>
    </w:p>
    <w:p w14:paraId="51443271" w14:textId="77777777" w:rsidR="0008176F" w:rsidRPr="0008176F" w:rsidRDefault="0008176F" w:rsidP="0008176F">
      <w:pPr>
        <w:pStyle w:val="NoSpacing"/>
        <w:jc w:val="center"/>
        <w:rPr>
          <w:caps/>
        </w:rPr>
      </w:pPr>
    </w:p>
    <w:p w14:paraId="404FF031" w14:textId="77777777" w:rsidR="0008176F" w:rsidRDefault="0008176F" w:rsidP="0008176F">
      <w:pPr>
        <w:pStyle w:val="NoSpacing"/>
        <w:jc w:val="center"/>
        <w:rPr>
          <w:caps/>
        </w:rPr>
      </w:pPr>
    </w:p>
    <w:p w14:paraId="4C65CC04" w14:textId="77777777" w:rsidR="00191CCB" w:rsidRDefault="00191CCB" w:rsidP="0008176F">
      <w:pPr>
        <w:pStyle w:val="NoSpacing"/>
        <w:jc w:val="center"/>
        <w:rPr>
          <w:caps/>
        </w:rPr>
      </w:pPr>
    </w:p>
    <w:p w14:paraId="22F1BDCF" w14:textId="77777777" w:rsidR="00191CCB" w:rsidRDefault="00191CCB" w:rsidP="0008176F">
      <w:pPr>
        <w:pStyle w:val="NoSpacing"/>
        <w:jc w:val="center"/>
        <w:rPr>
          <w:caps/>
        </w:rPr>
      </w:pPr>
    </w:p>
    <w:p w14:paraId="2F0B6D84" w14:textId="77777777" w:rsidR="00191CCB" w:rsidRPr="0008176F" w:rsidRDefault="00191CCB" w:rsidP="0008176F">
      <w:pPr>
        <w:pStyle w:val="NoSpacing"/>
        <w:jc w:val="center"/>
        <w:rPr>
          <w:caps/>
        </w:rPr>
      </w:pPr>
    </w:p>
    <w:p w14:paraId="55BE6B28" w14:textId="77777777" w:rsidR="0008176F" w:rsidRPr="0008176F" w:rsidRDefault="0008176F" w:rsidP="0008176F">
      <w:pPr>
        <w:pStyle w:val="NoSpacing"/>
        <w:jc w:val="center"/>
        <w:rPr>
          <w:caps/>
        </w:rPr>
      </w:pPr>
    </w:p>
    <w:p w14:paraId="0521B1D4" w14:textId="77777777" w:rsidR="0008176F" w:rsidRPr="0008176F" w:rsidRDefault="0008176F" w:rsidP="0008176F">
      <w:pPr>
        <w:pStyle w:val="NoSpacing"/>
        <w:jc w:val="center"/>
        <w:rPr>
          <w:caps/>
        </w:rPr>
      </w:pPr>
    </w:p>
    <w:p w14:paraId="78AFD2C0" w14:textId="77777777" w:rsidR="0008176F" w:rsidRPr="0008176F" w:rsidRDefault="00443010"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D42927">
            <w:rPr>
              <w:caps/>
            </w:rPr>
            <w:t>Dissertation</w:t>
          </w:r>
        </w:sdtContent>
      </w:sdt>
    </w:p>
    <w:p w14:paraId="0C350D8F"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6A55D986" w14:textId="77777777" w:rsidR="0008176F" w:rsidRPr="0008176F" w:rsidRDefault="0008176F" w:rsidP="0008176F">
          <w:pPr>
            <w:pStyle w:val="NoSpacing"/>
            <w:jc w:val="center"/>
            <w:rPr>
              <w:caps/>
            </w:rPr>
          </w:pPr>
          <w:r w:rsidRPr="0008176F">
            <w:rPr>
              <w:caps/>
            </w:rPr>
            <w:t>submitted to the Graduate Faculty</w:t>
          </w:r>
        </w:p>
        <w:p w14:paraId="7A86DAD1" w14:textId="77777777" w:rsidR="0008176F" w:rsidRDefault="0008176F" w:rsidP="0008176F">
          <w:pPr>
            <w:pStyle w:val="NoSpacing"/>
            <w:jc w:val="center"/>
          </w:pPr>
        </w:p>
        <w:p w14:paraId="22858EC5" w14:textId="77777777" w:rsidR="0008176F" w:rsidRDefault="0008176F" w:rsidP="0008176F">
          <w:pPr>
            <w:pStyle w:val="NoSpacing"/>
            <w:jc w:val="center"/>
          </w:pPr>
          <w:r>
            <w:t>in partial fulfillment of the requirements for the</w:t>
          </w:r>
        </w:p>
        <w:p w14:paraId="78C2E55E" w14:textId="77777777" w:rsidR="0008176F" w:rsidRDefault="0008176F" w:rsidP="0008176F">
          <w:pPr>
            <w:pStyle w:val="NoSpacing"/>
            <w:jc w:val="center"/>
          </w:pPr>
        </w:p>
        <w:p w14:paraId="67E64420" w14:textId="77777777" w:rsidR="0008176F" w:rsidRDefault="0008176F" w:rsidP="0008176F">
          <w:pPr>
            <w:pStyle w:val="NoSpacing"/>
            <w:jc w:val="center"/>
          </w:pPr>
          <w:r>
            <w:t>Degree of</w:t>
          </w:r>
        </w:p>
      </w:sdtContent>
    </w:sdt>
    <w:p w14:paraId="07D07EEF"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64A23B3D" w14:textId="77777777" w:rsidR="00746E16" w:rsidRDefault="00D42927" w:rsidP="00746E16">
          <w:pPr>
            <w:pStyle w:val="NoSpacing"/>
            <w:spacing w:line="480" w:lineRule="auto"/>
            <w:jc w:val="center"/>
            <w:rPr>
              <w:caps/>
            </w:rPr>
          </w:pPr>
          <w:r>
            <w:rPr>
              <w:caps/>
            </w:rPr>
            <w:t>Doctor of Philosophy</w:t>
          </w:r>
        </w:p>
      </w:sdtContent>
    </w:sdt>
    <w:p w14:paraId="3EC777A4" w14:textId="77777777" w:rsidR="00730F0A" w:rsidRDefault="00730F0A" w:rsidP="0008176F">
      <w:pPr>
        <w:pStyle w:val="NoSpacing"/>
        <w:jc w:val="center"/>
      </w:pPr>
    </w:p>
    <w:p w14:paraId="05459850" w14:textId="77777777" w:rsidR="00730F0A" w:rsidRDefault="00730F0A" w:rsidP="0008176F">
      <w:pPr>
        <w:pStyle w:val="NoSpacing"/>
        <w:jc w:val="center"/>
      </w:pPr>
    </w:p>
    <w:p w14:paraId="59F0DE59" w14:textId="77777777" w:rsidR="00730F0A" w:rsidRDefault="00730F0A" w:rsidP="0008176F">
      <w:pPr>
        <w:pStyle w:val="NoSpacing"/>
        <w:jc w:val="center"/>
      </w:pPr>
    </w:p>
    <w:p w14:paraId="088ED966" w14:textId="77777777" w:rsidR="00730F0A" w:rsidRDefault="00730F0A" w:rsidP="0008176F">
      <w:pPr>
        <w:pStyle w:val="NoSpacing"/>
        <w:jc w:val="center"/>
      </w:pPr>
    </w:p>
    <w:p w14:paraId="6B36C218" w14:textId="77777777" w:rsidR="00730F0A" w:rsidRDefault="00730F0A" w:rsidP="0008176F">
      <w:pPr>
        <w:pStyle w:val="NoSpacing"/>
        <w:jc w:val="center"/>
      </w:pPr>
    </w:p>
    <w:p w14:paraId="2EC0FAB8" w14:textId="77777777" w:rsidR="00730F0A" w:rsidRDefault="00730F0A" w:rsidP="0008176F">
      <w:pPr>
        <w:pStyle w:val="NoSpacing"/>
        <w:jc w:val="center"/>
      </w:pPr>
    </w:p>
    <w:p w14:paraId="3C5F432E" w14:textId="77777777" w:rsidR="00730F0A" w:rsidRDefault="00730F0A" w:rsidP="0008176F">
      <w:pPr>
        <w:pStyle w:val="NoSpacing"/>
        <w:jc w:val="center"/>
      </w:pPr>
    </w:p>
    <w:p w14:paraId="2DA1097D" w14:textId="77777777" w:rsidR="00730F0A" w:rsidRDefault="00730F0A" w:rsidP="0008176F">
      <w:pPr>
        <w:pStyle w:val="NoSpacing"/>
        <w:jc w:val="center"/>
      </w:pPr>
    </w:p>
    <w:p w14:paraId="15F5C8B8" w14:textId="77777777" w:rsidR="00730F0A" w:rsidRDefault="00730F0A" w:rsidP="0008176F">
      <w:pPr>
        <w:pStyle w:val="NoSpacing"/>
        <w:jc w:val="center"/>
      </w:pPr>
      <w:r>
        <w:t>By</w:t>
      </w:r>
    </w:p>
    <w:p w14:paraId="1121F930"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5F615EB5" w14:textId="77777777" w:rsidR="00746E16" w:rsidRDefault="00ED6DBD" w:rsidP="00746E16">
          <w:pPr>
            <w:pStyle w:val="NoSpacing"/>
            <w:jc w:val="center"/>
            <w:rPr>
              <w:caps/>
            </w:rPr>
          </w:pPr>
          <w:r>
            <w:rPr>
              <w:caps/>
            </w:rPr>
            <w:t xml:space="preserve">camille Bernadine Carine boucher </w:t>
          </w:r>
          <w:r w:rsidR="003122BA">
            <w:rPr>
              <w:caps/>
            </w:rPr>
            <w:t>jacobs</w:t>
          </w:r>
        </w:p>
      </w:sdtContent>
    </w:sdt>
    <w:sdt>
      <w:sdtPr>
        <w:id w:val="30091838"/>
        <w:lock w:val="contentLocked"/>
        <w:placeholder>
          <w:docPart w:val="A81F602006EA4C16A9F3206BB0D96450"/>
        </w:placeholder>
        <w:group/>
      </w:sdtPr>
      <w:sdtContent>
        <w:p w14:paraId="357B2F67" w14:textId="77777777" w:rsidR="00730F0A" w:rsidRDefault="00746E16" w:rsidP="00746E16">
          <w:pPr>
            <w:pStyle w:val="NoSpacing"/>
            <w:jc w:val="center"/>
          </w:pPr>
          <w:r>
            <w:t xml:space="preserve"> </w:t>
          </w:r>
          <w:r w:rsidR="00730F0A">
            <w:t>Norman, Oklahoma</w:t>
          </w:r>
        </w:p>
      </w:sdtContent>
    </w:sdt>
    <w:p w14:paraId="51D6609A" w14:textId="77777777" w:rsidR="00730F0A" w:rsidRDefault="00443010" w:rsidP="00EB795B">
      <w:pPr>
        <w:pStyle w:val="NoSpacing"/>
        <w:jc w:val="center"/>
      </w:pPr>
      <w:sdt>
        <w:sdtPr>
          <w:alias w:val="Click to enter the year you are depositing the thesis"/>
          <w:tag w:val="Click to enter the year you are depositing the thesis"/>
          <w:id w:val="30091842"/>
          <w:placeholder>
            <w:docPart w:val="A81F602006EA4C16A9F3206BB0D96450"/>
          </w:placeholder>
        </w:sdtPr>
        <w:sdtContent>
          <w:r w:rsidR="003122BA">
            <w:t>2016</w:t>
          </w:r>
        </w:sdtContent>
      </w:sdt>
      <w:r w:rsidR="00730F0A">
        <w:br w:type="page"/>
      </w:r>
    </w:p>
    <w:p w14:paraId="2844DA26" w14:textId="77777777" w:rsidR="00730F0A" w:rsidRDefault="00730F0A" w:rsidP="00730F0A">
      <w:pPr>
        <w:pStyle w:val="NoSpacing"/>
        <w:jc w:val="center"/>
      </w:pPr>
    </w:p>
    <w:p w14:paraId="7471B45A" w14:textId="77777777" w:rsidR="00F93475" w:rsidRDefault="00F93475" w:rsidP="00730F0A">
      <w:pPr>
        <w:pStyle w:val="NoSpacing"/>
        <w:jc w:val="center"/>
      </w:pPr>
    </w:p>
    <w:p w14:paraId="1AEDD73A" w14:textId="77777777" w:rsidR="00191CCB" w:rsidRDefault="00191CCB" w:rsidP="00730F0A">
      <w:pPr>
        <w:pStyle w:val="NoSpacing"/>
        <w:jc w:val="center"/>
      </w:pPr>
    </w:p>
    <w:p w14:paraId="0924FA23" w14:textId="77777777" w:rsidR="00730F0A" w:rsidRDefault="00730F0A" w:rsidP="00730F0A">
      <w:pPr>
        <w:pStyle w:val="NoSpacing"/>
        <w:jc w:val="center"/>
      </w:pPr>
    </w:p>
    <w:p w14:paraId="6A9CBE6B"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14:paraId="18C88810" w14:textId="77777777" w:rsidR="00191CCB" w:rsidRDefault="00191CCB" w:rsidP="00191CCB">
          <w:pPr>
            <w:pStyle w:val="NoSpacing"/>
            <w:jc w:val="center"/>
            <w:rPr>
              <w:caps/>
            </w:rPr>
          </w:pPr>
          <w:r>
            <w:rPr>
              <w:caps/>
            </w:rPr>
            <w:t>oxo-rhenium catalyzed transformations of alcohols:</w:t>
          </w:r>
        </w:p>
        <w:p w14:paraId="7223EAC3" w14:textId="46597920" w:rsidR="00730F0A" w:rsidRPr="00730F0A" w:rsidRDefault="00191CCB" w:rsidP="00191CCB">
          <w:pPr>
            <w:pStyle w:val="NoSpacing"/>
            <w:jc w:val="center"/>
            <w:rPr>
              <w:caps/>
            </w:rPr>
          </w:pPr>
          <w:r>
            <w:rPr>
              <w:caps/>
            </w:rPr>
            <w:t>deoxydehydration and reductive coupling</w:t>
          </w:r>
        </w:p>
      </w:sdtContent>
    </w:sdt>
    <w:p w14:paraId="66F238F1" w14:textId="77777777" w:rsidR="00730F0A" w:rsidRDefault="00730F0A" w:rsidP="00730F0A">
      <w:pPr>
        <w:pStyle w:val="NoSpacing"/>
        <w:jc w:val="center"/>
        <w:rPr>
          <w:caps/>
        </w:rPr>
      </w:pPr>
    </w:p>
    <w:p w14:paraId="71888E79" w14:textId="77777777" w:rsidR="00191CCB" w:rsidRDefault="00191CCB" w:rsidP="00730F0A">
      <w:pPr>
        <w:pStyle w:val="NoSpacing"/>
        <w:jc w:val="center"/>
        <w:rPr>
          <w:caps/>
        </w:rPr>
      </w:pPr>
    </w:p>
    <w:p w14:paraId="1ECEAD99" w14:textId="77777777" w:rsidR="00191CCB" w:rsidRPr="00730F0A" w:rsidRDefault="00191CCB" w:rsidP="00730F0A">
      <w:pPr>
        <w:pStyle w:val="NoSpacing"/>
        <w:jc w:val="center"/>
        <w:rPr>
          <w:caps/>
        </w:rPr>
      </w:pPr>
    </w:p>
    <w:p w14:paraId="757F6A5C" w14:textId="77777777" w:rsidR="00730F0A" w:rsidRPr="00730F0A" w:rsidRDefault="00730F0A" w:rsidP="00730F0A">
      <w:pPr>
        <w:pStyle w:val="NoSpacing"/>
        <w:jc w:val="center"/>
        <w:rPr>
          <w:caps/>
        </w:rPr>
      </w:pPr>
    </w:p>
    <w:p w14:paraId="34205272" w14:textId="77777777" w:rsidR="00730F0A" w:rsidRPr="00730F0A" w:rsidRDefault="00443010"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D42927">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14:paraId="57079F2D" w14:textId="77777777" w:rsidR="00746E16" w:rsidRDefault="00D42927" w:rsidP="00746E16">
          <w:pPr>
            <w:pStyle w:val="NoSpacing"/>
            <w:jc w:val="center"/>
            <w:rPr>
              <w:caps/>
            </w:rPr>
          </w:pPr>
          <w:r>
            <w:rPr>
              <w:caps/>
            </w:rPr>
            <w:t>Department of Chemistry and Biochemistry</w:t>
          </w:r>
        </w:p>
      </w:sdtContent>
    </w:sdt>
    <w:p w14:paraId="5A72714A" w14:textId="77777777" w:rsidR="00730F0A" w:rsidRPr="00730F0A" w:rsidRDefault="00730F0A" w:rsidP="00730F0A">
      <w:pPr>
        <w:pStyle w:val="NoSpacing"/>
        <w:jc w:val="center"/>
        <w:rPr>
          <w:caps/>
        </w:rPr>
      </w:pPr>
    </w:p>
    <w:p w14:paraId="73710BF5" w14:textId="77777777" w:rsidR="00730F0A" w:rsidRPr="00730F0A" w:rsidRDefault="00730F0A" w:rsidP="00730F0A">
      <w:pPr>
        <w:pStyle w:val="NoSpacing"/>
        <w:jc w:val="center"/>
        <w:rPr>
          <w:caps/>
        </w:rPr>
      </w:pPr>
    </w:p>
    <w:p w14:paraId="52E49B4E" w14:textId="77777777" w:rsidR="00730F0A" w:rsidRPr="00730F0A" w:rsidRDefault="00730F0A" w:rsidP="00730F0A">
      <w:pPr>
        <w:pStyle w:val="NoSpacing"/>
        <w:jc w:val="center"/>
        <w:rPr>
          <w:caps/>
        </w:rPr>
      </w:pPr>
    </w:p>
    <w:p w14:paraId="2726EF5B" w14:textId="77777777" w:rsidR="00730F0A" w:rsidRDefault="00730F0A" w:rsidP="00730F0A">
      <w:pPr>
        <w:pStyle w:val="NoSpacing"/>
        <w:jc w:val="center"/>
        <w:rPr>
          <w:caps/>
        </w:rPr>
      </w:pPr>
    </w:p>
    <w:p w14:paraId="1BB93EBE" w14:textId="77777777" w:rsidR="00730F0A" w:rsidRPr="00730F0A" w:rsidRDefault="00730F0A" w:rsidP="00730F0A">
      <w:pPr>
        <w:pStyle w:val="NoSpacing"/>
        <w:jc w:val="center"/>
        <w:rPr>
          <w:caps/>
        </w:rPr>
      </w:pPr>
    </w:p>
    <w:p w14:paraId="2CA8B9D8" w14:textId="77777777" w:rsidR="00730F0A" w:rsidRPr="00730F0A" w:rsidRDefault="00730F0A" w:rsidP="00730F0A">
      <w:pPr>
        <w:pStyle w:val="NoSpacing"/>
        <w:jc w:val="center"/>
        <w:rPr>
          <w:caps/>
        </w:rPr>
      </w:pPr>
    </w:p>
    <w:p w14:paraId="5FEE5D7F" w14:textId="77777777" w:rsidR="00730F0A" w:rsidRPr="00730F0A" w:rsidRDefault="00730F0A" w:rsidP="00730F0A">
      <w:pPr>
        <w:pStyle w:val="NoSpacing"/>
        <w:jc w:val="center"/>
        <w:rPr>
          <w:caps/>
        </w:rPr>
      </w:pPr>
    </w:p>
    <w:p w14:paraId="5685BCA8"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14:paraId="63A36BF8" w14:textId="77777777" w:rsidR="00730F0A" w:rsidRPr="00730F0A" w:rsidRDefault="00730F0A" w:rsidP="00730F0A">
          <w:pPr>
            <w:pStyle w:val="NoSpacing"/>
            <w:jc w:val="center"/>
            <w:rPr>
              <w:caps/>
            </w:rPr>
          </w:pPr>
          <w:r w:rsidRPr="00730F0A">
            <w:rPr>
              <w:caps/>
            </w:rPr>
            <w:t>By</w:t>
          </w:r>
        </w:p>
      </w:sdtContent>
    </w:sdt>
    <w:p w14:paraId="0F71FB5D" w14:textId="77777777" w:rsidR="00730F0A" w:rsidRDefault="00730F0A" w:rsidP="00730F0A">
      <w:pPr>
        <w:pStyle w:val="NoSpacing"/>
        <w:jc w:val="center"/>
      </w:pPr>
    </w:p>
    <w:p w14:paraId="22C4D257" w14:textId="77777777" w:rsidR="00730F0A" w:rsidRDefault="00730F0A" w:rsidP="00730F0A">
      <w:pPr>
        <w:pStyle w:val="NoSpacing"/>
        <w:jc w:val="center"/>
      </w:pPr>
    </w:p>
    <w:p w14:paraId="73C605E1" w14:textId="77777777" w:rsidR="00730F0A" w:rsidRDefault="00730F0A" w:rsidP="00730F0A">
      <w:pPr>
        <w:pStyle w:val="NoSpacing"/>
        <w:jc w:val="center"/>
      </w:pPr>
    </w:p>
    <w:p w14:paraId="0EDC8460" w14:textId="77777777" w:rsidR="00730F0A" w:rsidRPr="006B4721" w:rsidRDefault="00730F0A" w:rsidP="00730F0A">
      <w:pPr>
        <w:pStyle w:val="NoSpacing"/>
        <w:jc w:val="right"/>
      </w:pPr>
      <w:r>
        <w:tab/>
      </w:r>
      <w:r>
        <w:tab/>
      </w:r>
      <w:r>
        <w:tab/>
      </w:r>
      <w:r>
        <w:tab/>
      </w:r>
      <w:r w:rsidR="006B4721">
        <w:t>______________________________</w:t>
      </w:r>
    </w:p>
    <w:p w14:paraId="3CCEFF43" w14:textId="77777777" w:rsidR="00730F0A" w:rsidRDefault="00443010"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3122BA">
            <w:t>Kenneth M. Nicholas</w:t>
          </w:r>
        </w:sdtContent>
      </w:sdt>
      <w:r w:rsidR="00730F0A">
        <w:t>, Chair</w:t>
      </w:r>
    </w:p>
    <w:p w14:paraId="6C238381" w14:textId="77777777" w:rsidR="00730F0A" w:rsidRDefault="00730F0A" w:rsidP="00730F0A">
      <w:pPr>
        <w:pStyle w:val="NoSpacing"/>
        <w:jc w:val="right"/>
      </w:pPr>
    </w:p>
    <w:p w14:paraId="2978E7B9" w14:textId="77777777" w:rsidR="00730F0A" w:rsidRDefault="00730F0A" w:rsidP="00730F0A">
      <w:pPr>
        <w:pStyle w:val="NoSpacing"/>
        <w:jc w:val="right"/>
      </w:pPr>
    </w:p>
    <w:p w14:paraId="1E5E616D" w14:textId="77777777" w:rsidR="00730F0A" w:rsidRPr="006B4721" w:rsidRDefault="006B4721" w:rsidP="00730F0A">
      <w:pPr>
        <w:pStyle w:val="NoSpacing"/>
        <w:jc w:val="right"/>
      </w:pPr>
      <w:r>
        <w:t>______________________________</w:t>
      </w:r>
    </w:p>
    <w:p w14:paraId="25CC5570" w14:textId="77777777" w:rsidR="00730F0A" w:rsidRDefault="00443010"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D42927">
            <w:t>Dr.</w:t>
          </w:r>
        </w:sdtContent>
      </w:sdt>
      <w:r w:rsidR="00730F0A">
        <w:t xml:space="preserve"> </w:t>
      </w:r>
      <w:r w:rsidR="003122BA">
        <w:t xml:space="preserve">Daniel T. </w:t>
      </w:r>
      <w:sdt>
        <w:sdtPr>
          <w:alias w:val="Click to enter 2nd member name"/>
          <w:tag w:val="2nd member"/>
          <w:id w:val="30091850"/>
          <w:lock w:val="sdtLocked"/>
          <w:placeholder>
            <w:docPart w:val="4E747200787E4E0C91EFDA8465C0B418"/>
          </w:placeholder>
        </w:sdtPr>
        <w:sdtContent>
          <w:r w:rsidR="003122BA">
            <w:t>Glatzhofer</w:t>
          </w:r>
        </w:sdtContent>
      </w:sdt>
    </w:p>
    <w:p w14:paraId="2AF65E10" w14:textId="77777777" w:rsidR="00730F0A" w:rsidRDefault="00730F0A" w:rsidP="00730F0A">
      <w:pPr>
        <w:pStyle w:val="NoSpacing"/>
        <w:jc w:val="right"/>
      </w:pPr>
    </w:p>
    <w:p w14:paraId="48836461" w14:textId="77777777" w:rsidR="00730F0A" w:rsidRDefault="00730F0A" w:rsidP="00730F0A">
      <w:pPr>
        <w:pStyle w:val="NoSpacing"/>
        <w:jc w:val="right"/>
      </w:pPr>
    </w:p>
    <w:p w14:paraId="73AEAB89" w14:textId="77777777" w:rsidR="00730F0A" w:rsidRPr="006B4721" w:rsidRDefault="006B4721" w:rsidP="00730F0A">
      <w:pPr>
        <w:pStyle w:val="NoSpacing"/>
        <w:jc w:val="right"/>
      </w:pPr>
      <w:r>
        <w:t>______________________________</w:t>
      </w:r>
    </w:p>
    <w:p w14:paraId="0EF79FDB" w14:textId="77777777" w:rsidR="00730F0A" w:rsidRDefault="00443010"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D42927">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3122BA">
            <w:t>Ronald L. Halterman</w:t>
          </w:r>
        </w:sdtContent>
      </w:sdt>
    </w:p>
    <w:p w14:paraId="4CBC5C6A" w14:textId="77777777" w:rsidR="00730F0A" w:rsidRDefault="00730F0A" w:rsidP="00730F0A">
      <w:pPr>
        <w:pStyle w:val="NoSpacing"/>
        <w:jc w:val="right"/>
      </w:pPr>
    </w:p>
    <w:p w14:paraId="71322FC3" w14:textId="77777777" w:rsidR="00730F0A" w:rsidRDefault="00730F0A" w:rsidP="00730F0A">
      <w:pPr>
        <w:pStyle w:val="NoSpacing"/>
        <w:jc w:val="right"/>
      </w:pPr>
    </w:p>
    <w:p w14:paraId="2D5F4334" w14:textId="77777777" w:rsidR="00730F0A" w:rsidRPr="006B4721" w:rsidRDefault="006B4721" w:rsidP="00730F0A">
      <w:pPr>
        <w:pStyle w:val="NoSpacing"/>
        <w:jc w:val="right"/>
      </w:pPr>
      <w:r>
        <w:t>______________________________</w:t>
      </w:r>
    </w:p>
    <w:p w14:paraId="3AA1E301" w14:textId="77777777" w:rsidR="00FF0F0F" w:rsidRDefault="00443010"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D42927">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3122BA">
            <w:t>Robert K. Thomson</w:t>
          </w:r>
        </w:sdtContent>
      </w:sdt>
    </w:p>
    <w:p w14:paraId="6F8E7148" w14:textId="77777777" w:rsidR="00FF0F0F" w:rsidRDefault="00FF0F0F" w:rsidP="00FF0F0F">
      <w:pPr>
        <w:pStyle w:val="NoSpacing"/>
        <w:jc w:val="right"/>
      </w:pPr>
    </w:p>
    <w:p w14:paraId="469CC1C7" w14:textId="77777777" w:rsidR="00FF0F0F" w:rsidRDefault="00FF0F0F" w:rsidP="00FF0F0F">
      <w:pPr>
        <w:pStyle w:val="NoSpacing"/>
        <w:jc w:val="right"/>
      </w:pPr>
    </w:p>
    <w:p w14:paraId="06C2DB6B" w14:textId="77777777" w:rsidR="00FF0F0F" w:rsidRPr="006B4721" w:rsidRDefault="006B4721" w:rsidP="00FF0F0F">
      <w:pPr>
        <w:pStyle w:val="NoSpacing"/>
        <w:jc w:val="right"/>
      </w:pPr>
      <w:r>
        <w:t>______________________________</w:t>
      </w:r>
    </w:p>
    <w:p w14:paraId="7C684F77" w14:textId="77777777" w:rsidR="00FF0F0F" w:rsidRDefault="00443010"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D42927">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3122BA">
            <w:t xml:space="preserve">Steven </w:t>
          </w:r>
          <w:r w:rsidR="00C362E8">
            <w:t xml:space="preserve">P. </w:t>
          </w:r>
          <w:r w:rsidR="003122BA">
            <w:t>Crossley</w:t>
          </w:r>
        </w:sdtContent>
      </w:sdt>
    </w:p>
    <w:p w14:paraId="48BD7FE4" w14:textId="77777777" w:rsidR="00730F0A" w:rsidRDefault="00730F0A" w:rsidP="00730F0A">
      <w:pPr>
        <w:pStyle w:val="NoSpacing"/>
        <w:jc w:val="right"/>
      </w:pPr>
    </w:p>
    <w:p w14:paraId="28E02AD1" w14:textId="77777777" w:rsidR="00730F0A" w:rsidRDefault="00730F0A" w:rsidP="00730F0A">
      <w:pPr>
        <w:pStyle w:val="NoSpacing"/>
        <w:jc w:val="right"/>
      </w:pPr>
    </w:p>
    <w:p w14:paraId="3AD7575D" w14:textId="77777777" w:rsidR="00730F0A" w:rsidRDefault="00730F0A" w:rsidP="00B72DED">
      <w:pPr>
        <w:pStyle w:val="NoSpacing"/>
      </w:pPr>
      <w:r>
        <w:br w:type="page"/>
      </w:r>
    </w:p>
    <w:p w14:paraId="723F508A" w14:textId="77777777" w:rsidR="00730F0A" w:rsidRDefault="00730F0A" w:rsidP="00730F0A">
      <w:pPr>
        <w:pStyle w:val="NoSpacing"/>
        <w:jc w:val="center"/>
      </w:pPr>
    </w:p>
    <w:p w14:paraId="0201C276" w14:textId="77777777" w:rsidR="00730F0A" w:rsidRDefault="00730F0A" w:rsidP="00730F0A">
      <w:pPr>
        <w:pStyle w:val="NoSpacing"/>
        <w:jc w:val="center"/>
      </w:pPr>
    </w:p>
    <w:p w14:paraId="188DD3F4" w14:textId="77777777" w:rsidR="00730F0A" w:rsidRDefault="00730F0A" w:rsidP="00730F0A">
      <w:pPr>
        <w:pStyle w:val="NoSpacing"/>
        <w:jc w:val="center"/>
      </w:pPr>
    </w:p>
    <w:p w14:paraId="1408FC21" w14:textId="77777777" w:rsidR="00730F0A" w:rsidRDefault="00730F0A" w:rsidP="00730F0A">
      <w:pPr>
        <w:pStyle w:val="NoSpacing"/>
        <w:jc w:val="center"/>
      </w:pPr>
    </w:p>
    <w:p w14:paraId="37BD4938" w14:textId="77777777" w:rsidR="00730F0A" w:rsidRDefault="00730F0A" w:rsidP="00730F0A">
      <w:pPr>
        <w:pStyle w:val="NoSpacing"/>
        <w:jc w:val="center"/>
      </w:pPr>
    </w:p>
    <w:p w14:paraId="73AEAAE7" w14:textId="77777777" w:rsidR="00730F0A" w:rsidRDefault="00730F0A" w:rsidP="00730F0A">
      <w:pPr>
        <w:pStyle w:val="NoSpacing"/>
        <w:jc w:val="center"/>
      </w:pPr>
    </w:p>
    <w:p w14:paraId="0EDF5DA7" w14:textId="77777777" w:rsidR="00730F0A" w:rsidRDefault="00730F0A" w:rsidP="00730F0A">
      <w:pPr>
        <w:pStyle w:val="NoSpacing"/>
        <w:jc w:val="center"/>
      </w:pPr>
    </w:p>
    <w:p w14:paraId="2A187B5A" w14:textId="77777777" w:rsidR="00730F0A" w:rsidRDefault="00730F0A" w:rsidP="00730F0A">
      <w:pPr>
        <w:pStyle w:val="NoSpacing"/>
        <w:jc w:val="center"/>
      </w:pPr>
    </w:p>
    <w:p w14:paraId="08410191" w14:textId="77777777" w:rsidR="00730F0A" w:rsidRDefault="00730F0A" w:rsidP="00730F0A">
      <w:pPr>
        <w:pStyle w:val="NoSpacing"/>
        <w:jc w:val="center"/>
      </w:pPr>
    </w:p>
    <w:p w14:paraId="40E5D14C" w14:textId="77777777" w:rsidR="00730F0A" w:rsidRDefault="00730F0A" w:rsidP="00730F0A">
      <w:pPr>
        <w:pStyle w:val="NoSpacing"/>
        <w:jc w:val="center"/>
      </w:pPr>
    </w:p>
    <w:p w14:paraId="4B9B1E3C" w14:textId="77777777" w:rsidR="00730F0A" w:rsidRDefault="00730F0A" w:rsidP="00730F0A">
      <w:pPr>
        <w:pStyle w:val="NoSpacing"/>
        <w:jc w:val="center"/>
      </w:pPr>
    </w:p>
    <w:p w14:paraId="18E3C488" w14:textId="77777777" w:rsidR="00730F0A" w:rsidRDefault="00730F0A" w:rsidP="00730F0A">
      <w:pPr>
        <w:pStyle w:val="NoSpacing"/>
        <w:jc w:val="center"/>
      </w:pPr>
    </w:p>
    <w:p w14:paraId="74F75BFC" w14:textId="77777777" w:rsidR="00730F0A" w:rsidRDefault="00730F0A" w:rsidP="00730F0A">
      <w:pPr>
        <w:pStyle w:val="NoSpacing"/>
        <w:jc w:val="center"/>
      </w:pPr>
    </w:p>
    <w:p w14:paraId="5090D6CB" w14:textId="77777777" w:rsidR="00730F0A" w:rsidRDefault="00730F0A" w:rsidP="00730F0A">
      <w:pPr>
        <w:pStyle w:val="NoSpacing"/>
        <w:jc w:val="center"/>
      </w:pPr>
    </w:p>
    <w:p w14:paraId="5F8D1A83" w14:textId="77777777" w:rsidR="00730F0A" w:rsidRDefault="00730F0A" w:rsidP="00730F0A">
      <w:pPr>
        <w:pStyle w:val="NoSpacing"/>
        <w:jc w:val="center"/>
      </w:pPr>
    </w:p>
    <w:p w14:paraId="433EFB97" w14:textId="77777777" w:rsidR="00730F0A" w:rsidRDefault="00730F0A" w:rsidP="00730F0A">
      <w:pPr>
        <w:pStyle w:val="NoSpacing"/>
        <w:jc w:val="center"/>
      </w:pPr>
    </w:p>
    <w:p w14:paraId="6246AE30" w14:textId="77777777" w:rsidR="00730F0A" w:rsidRDefault="00730F0A" w:rsidP="00730F0A">
      <w:pPr>
        <w:pStyle w:val="NoSpacing"/>
        <w:jc w:val="center"/>
      </w:pPr>
    </w:p>
    <w:p w14:paraId="4C955B93" w14:textId="77777777" w:rsidR="00730F0A" w:rsidRDefault="00730F0A" w:rsidP="00730F0A">
      <w:pPr>
        <w:pStyle w:val="NoSpacing"/>
        <w:jc w:val="center"/>
      </w:pPr>
    </w:p>
    <w:p w14:paraId="18E70513" w14:textId="77777777" w:rsidR="00730F0A" w:rsidRDefault="00730F0A" w:rsidP="00730F0A">
      <w:pPr>
        <w:pStyle w:val="NoSpacing"/>
        <w:jc w:val="center"/>
      </w:pPr>
    </w:p>
    <w:p w14:paraId="71BA683D" w14:textId="77777777" w:rsidR="00730F0A" w:rsidRDefault="00730F0A" w:rsidP="00730F0A">
      <w:pPr>
        <w:pStyle w:val="NoSpacing"/>
        <w:jc w:val="center"/>
      </w:pPr>
    </w:p>
    <w:p w14:paraId="173DF129" w14:textId="77777777" w:rsidR="00730F0A" w:rsidRDefault="00730F0A" w:rsidP="00730F0A">
      <w:pPr>
        <w:pStyle w:val="NoSpacing"/>
        <w:jc w:val="center"/>
      </w:pPr>
    </w:p>
    <w:p w14:paraId="3E597541" w14:textId="77777777" w:rsidR="00730F0A" w:rsidRDefault="00730F0A" w:rsidP="00730F0A">
      <w:pPr>
        <w:pStyle w:val="NoSpacing"/>
        <w:jc w:val="center"/>
      </w:pPr>
    </w:p>
    <w:p w14:paraId="08F423C5" w14:textId="77777777" w:rsidR="00730F0A" w:rsidRDefault="00730F0A" w:rsidP="00730F0A">
      <w:pPr>
        <w:pStyle w:val="NoSpacing"/>
        <w:jc w:val="center"/>
      </w:pPr>
    </w:p>
    <w:p w14:paraId="190CF849" w14:textId="77777777" w:rsidR="00730F0A" w:rsidRDefault="00730F0A" w:rsidP="00730F0A">
      <w:pPr>
        <w:pStyle w:val="NoSpacing"/>
        <w:jc w:val="center"/>
      </w:pPr>
    </w:p>
    <w:p w14:paraId="219DD972" w14:textId="77777777" w:rsidR="00730F0A" w:rsidRDefault="00730F0A" w:rsidP="00730F0A">
      <w:pPr>
        <w:pStyle w:val="NoSpacing"/>
        <w:jc w:val="center"/>
      </w:pPr>
    </w:p>
    <w:p w14:paraId="3FABA47C" w14:textId="77777777" w:rsidR="00730F0A" w:rsidRDefault="00730F0A" w:rsidP="00730F0A">
      <w:pPr>
        <w:pStyle w:val="NoSpacing"/>
        <w:jc w:val="center"/>
      </w:pPr>
    </w:p>
    <w:p w14:paraId="36D1FA1F" w14:textId="77777777" w:rsidR="00730F0A" w:rsidRDefault="00730F0A" w:rsidP="00730F0A">
      <w:pPr>
        <w:pStyle w:val="NoSpacing"/>
        <w:jc w:val="center"/>
      </w:pPr>
    </w:p>
    <w:p w14:paraId="30753F45" w14:textId="77777777" w:rsidR="00730F0A" w:rsidRDefault="00730F0A" w:rsidP="00730F0A">
      <w:pPr>
        <w:pStyle w:val="NoSpacing"/>
        <w:jc w:val="center"/>
      </w:pPr>
    </w:p>
    <w:p w14:paraId="1D0902E6" w14:textId="77777777" w:rsidR="00730F0A" w:rsidRDefault="00730F0A" w:rsidP="00730F0A">
      <w:pPr>
        <w:pStyle w:val="NoSpacing"/>
        <w:jc w:val="center"/>
      </w:pPr>
    </w:p>
    <w:p w14:paraId="7DC0FA4E" w14:textId="77777777" w:rsidR="00730F0A" w:rsidRDefault="00730F0A" w:rsidP="00730F0A">
      <w:pPr>
        <w:pStyle w:val="NoSpacing"/>
        <w:jc w:val="center"/>
      </w:pPr>
    </w:p>
    <w:p w14:paraId="6F4F90D9" w14:textId="77777777" w:rsidR="00730F0A" w:rsidRDefault="00730F0A" w:rsidP="00730F0A">
      <w:pPr>
        <w:pStyle w:val="NoSpacing"/>
        <w:jc w:val="center"/>
      </w:pPr>
    </w:p>
    <w:p w14:paraId="5A74C141" w14:textId="77777777" w:rsidR="00730F0A" w:rsidRDefault="00730F0A" w:rsidP="00730F0A">
      <w:pPr>
        <w:pStyle w:val="NoSpacing"/>
        <w:jc w:val="center"/>
      </w:pPr>
    </w:p>
    <w:p w14:paraId="4C26AE28" w14:textId="77777777" w:rsidR="00730F0A" w:rsidRDefault="00730F0A" w:rsidP="00730F0A">
      <w:pPr>
        <w:pStyle w:val="NoSpacing"/>
        <w:jc w:val="center"/>
      </w:pPr>
    </w:p>
    <w:p w14:paraId="02F422AE" w14:textId="77777777" w:rsidR="00730F0A" w:rsidRDefault="00730F0A" w:rsidP="00730F0A">
      <w:pPr>
        <w:pStyle w:val="NoSpacing"/>
        <w:jc w:val="center"/>
      </w:pPr>
    </w:p>
    <w:p w14:paraId="6AE32122" w14:textId="77777777" w:rsidR="00730F0A" w:rsidRDefault="00730F0A" w:rsidP="00730F0A">
      <w:pPr>
        <w:pStyle w:val="NoSpacing"/>
        <w:jc w:val="center"/>
      </w:pPr>
    </w:p>
    <w:p w14:paraId="267B10D6" w14:textId="77777777" w:rsidR="00730F0A" w:rsidRDefault="00730F0A" w:rsidP="00730F0A">
      <w:pPr>
        <w:pStyle w:val="NoSpacing"/>
        <w:jc w:val="center"/>
      </w:pPr>
    </w:p>
    <w:p w14:paraId="5A41B97B" w14:textId="77777777" w:rsidR="00730F0A" w:rsidRDefault="00730F0A" w:rsidP="00730F0A">
      <w:pPr>
        <w:pStyle w:val="NoSpacing"/>
        <w:jc w:val="center"/>
      </w:pPr>
    </w:p>
    <w:p w14:paraId="2675986C" w14:textId="77777777" w:rsidR="00730F0A" w:rsidRDefault="00730F0A" w:rsidP="00730F0A">
      <w:pPr>
        <w:pStyle w:val="NoSpacing"/>
        <w:jc w:val="center"/>
      </w:pPr>
    </w:p>
    <w:p w14:paraId="086540ED" w14:textId="77777777" w:rsidR="00730F0A" w:rsidRDefault="00730F0A" w:rsidP="00730F0A">
      <w:pPr>
        <w:pStyle w:val="NoSpacing"/>
        <w:jc w:val="center"/>
      </w:pPr>
    </w:p>
    <w:p w14:paraId="2F7887D6" w14:textId="77777777" w:rsidR="00730F0A" w:rsidRDefault="00730F0A" w:rsidP="00730F0A">
      <w:pPr>
        <w:pStyle w:val="NoSpacing"/>
        <w:jc w:val="center"/>
      </w:pPr>
    </w:p>
    <w:p w14:paraId="3DFFD803" w14:textId="77777777" w:rsidR="00730F0A" w:rsidRDefault="00730F0A" w:rsidP="00730F0A">
      <w:pPr>
        <w:pStyle w:val="NoSpacing"/>
        <w:jc w:val="center"/>
      </w:pPr>
    </w:p>
    <w:p w14:paraId="1B0EB891" w14:textId="77777777" w:rsidR="00730F0A" w:rsidRDefault="00730F0A" w:rsidP="00730F0A">
      <w:pPr>
        <w:pStyle w:val="NoSpacing"/>
        <w:jc w:val="center"/>
      </w:pPr>
    </w:p>
    <w:p w14:paraId="1ECB6579" w14:textId="77777777" w:rsidR="00730F0A" w:rsidRDefault="00443010"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C362E8">
            <w:rPr>
              <w:caps/>
            </w:rPr>
            <w:t>camille</w:t>
          </w:r>
          <w:r w:rsidR="00ED6DBD">
            <w:rPr>
              <w:caps/>
            </w:rPr>
            <w:t xml:space="preserve"> Bernadine Carine boucher </w:t>
          </w:r>
          <w:r w:rsidR="00C362E8">
            <w:rPr>
              <w:caps/>
            </w:rPr>
            <w:t>jacobs</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C362E8">
            <w:t>2016</w:t>
          </w:r>
        </w:sdtContent>
      </w:sdt>
    </w:p>
    <w:p w14:paraId="7C00A1C7" w14:textId="77777777" w:rsidR="00730F0A" w:rsidRDefault="00730F0A" w:rsidP="00730F0A">
      <w:pPr>
        <w:pStyle w:val="NoSpacing"/>
        <w:jc w:val="center"/>
      </w:pPr>
      <w:r>
        <w:t>All Rights Reserved.</w:t>
      </w:r>
    </w:p>
    <w:p w14:paraId="3F4B52CB" w14:textId="77777777" w:rsidR="00994155" w:rsidRDefault="006F10CE" w:rsidP="008E1C26">
      <w:r>
        <w:br w:type="page"/>
      </w:r>
    </w:p>
    <w:p w14:paraId="47B40731" w14:textId="77777777" w:rsidR="002F0A26" w:rsidRDefault="002F0A26" w:rsidP="008E1C26"/>
    <w:p w14:paraId="6084CDA6" w14:textId="77777777" w:rsidR="002F0A26" w:rsidRDefault="002F0A26" w:rsidP="008E1C26"/>
    <w:p w14:paraId="61D233E4" w14:textId="77777777" w:rsidR="002F0A26" w:rsidRDefault="002F0A26" w:rsidP="008E1C26"/>
    <w:p w14:paraId="581DA2D2" w14:textId="77777777" w:rsidR="002F0A26" w:rsidRDefault="002F0A26" w:rsidP="008E1C26"/>
    <w:p w14:paraId="03FC28D6" w14:textId="77777777" w:rsidR="002F0A26" w:rsidRDefault="002F0A26" w:rsidP="008E1C26"/>
    <w:p w14:paraId="7BB74559" w14:textId="77777777" w:rsidR="002F0A26" w:rsidRDefault="002F0A26" w:rsidP="008E1C26"/>
    <w:p w14:paraId="40EC5C98" w14:textId="77777777" w:rsidR="002F0A26" w:rsidRDefault="002F0A26" w:rsidP="008E1C26"/>
    <w:p w14:paraId="46A91766" w14:textId="77777777" w:rsidR="002F0A26" w:rsidRDefault="002F0A26" w:rsidP="008E1C26"/>
    <w:p w14:paraId="5FF37846" w14:textId="77777777" w:rsidR="002F0A26" w:rsidRDefault="002F0A26" w:rsidP="008E1C26"/>
    <w:p w14:paraId="1A59F591" w14:textId="77777777" w:rsidR="002F0A26" w:rsidRDefault="002F0A26" w:rsidP="008E1C26"/>
    <w:p w14:paraId="082E70E1" w14:textId="77777777" w:rsidR="002F0A26" w:rsidRDefault="002F0A26" w:rsidP="008E1C26"/>
    <w:p w14:paraId="78AD19DD" w14:textId="77777777" w:rsidR="00994155" w:rsidRPr="002F0A26" w:rsidRDefault="005B6220" w:rsidP="002F0A26">
      <w:pPr>
        <w:jc w:val="right"/>
        <w:rPr>
          <w:i/>
        </w:rPr>
        <w:sectPr w:rsidR="00994155" w:rsidRPr="002F0A26" w:rsidSect="003A060D">
          <w:pgSz w:w="12240" w:h="15840" w:code="1"/>
          <w:pgMar w:top="1440" w:right="1440" w:bottom="1440" w:left="2304" w:header="720" w:footer="720" w:gutter="0"/>
          <w:cols w:space="720"/>
          <w:docGrid w:linePitch="360"/>
        </w:sectPr>
      </w:pPr>
      <w:r>
        <w:rPr>
          <w:i/>
        </w:rPr>
        <w:t>To my parents,</w:t>
      </w:r>
    </w:p>
    <w:p w14:paraId="23C620FB" w14:textId="77777777" w:rsidR="008E1C26" w:rsidRDefault="00775701" w:rsidP="00594070">
      <w:pPr>
        <w:pStyle w:val="Style1"/>
        <w:ind w:left="0"/>
      </w:pPr>
      <w:bookmarkStart w:id="0" w:name="_Toc310579464"/>
      <w:r>
        <w:t>Acknowledgements</w:t>
      </w:r>
      <w:bookmarkEnd w:id="0"/>
    </w:p>
    <w:p w14:paraId="02EC1408" w14:textId="77777777" w:rsidR="008B11B7" w:rsidRDefault="004318DE" w:rsidP="008B11B7">
      <w:pPr>
        <w:ind w:firstLine="360"/>
        <w:jc w:val="both"/>
      </w:pPr>
      <w:r>
        <w:t>In 2011, Dr. Nicholas welcomed me in his laboratory for a master exchange program</w:t>
      </w:r>
      <w:r w:rsidR="005F30A9">
        <w:t>.</w:t>
      </w:r>
      <w:r>
        <w:t xml:space="preserve"> </w:t>
      </w:r>
      <w:r w:rsidR="005F30A9">
        <w:t>F</w:t>
      </w:r>
      <w:r>
        <w:t>ive years later I am completing my Ph.D. with him. I would like to thank him for the opportunity he gave me</w:t>
      </w:r>
      <w:r w:rsidR="00581530">
        <w:t xml:space="preserve"> to work for him and also</w:t>
      </w:r>
      <w:r>
        <w:t xml:space="preserve"> for his mentorship </w:t>
      </w:r>
      <w:r w:rsidR="00581530">
        <w:t xml:space="preserve">and </w:t>
      </w:r>
      <w:r>
        <w:t xml:space="preserve">guidance over the years. I also would like to acknowledge my committee members for their </w:t>
      </w:r>
      <w:r w:rsidR="00476239">
        <w:t>support and their time, Dr. Glatzhofer, Dr. Halterman, Dr. Thomson and Dr. Crossley.</w:t>
      </w:r>
    </w:p>
    <w:p w14:paraId="35C91807" w14:textId="77777777" w:rsidR="00476239" w:rsidRDefault="00476239" w:rsidP="008B11B7">
      <w:pPr>
        <w:ind w:firstLine="360"/>
        <w:jc w:val="both"/>
      </w:pPr>
      <w:r>
        <w:t>I would like to thank all members of Dr. Nicholas’s laboratory that I have seen coming and leaving over the years. I have a special thank though to Mike, Alex, Garry and Dan who had a large input in my work and life of the lab. They were always ready to help and to share knowledge.</w:t>
      </w:r>
    </w:p>
    <w:p w14:paraId="7EAB82F5" w14:textId="77777777" w:rsidR="00030233" w:rsidRDefault="00030233" w:rsidP="00030233">
      <w:pPr>
        <w:ind w:firstLine="360"/>
        <w:jc w:val="both"/>
      </w:pPr>
      <w:r>
        <w:t xml:space="preserve">Leaving my family, my friends and my country to study in the United States was not easy but I found a home in Oklahoma not only in the department of Chemistry but also </w:t>
      </w:r>
      <w:r w:rsidR="00780B05">
        <w:t>in</w:t>
      </w:r>
      <w:r>
        <w:t xml:space="preserve"> my host family. Breck and Theresa thank you so much for your friendship and your time. </w:t>
      </w:r>
    </w:p>
    <w:p w14:paraId="14CBED9D" w14:textId="77777777" w:rsidR="00030233" w:rsidRDefault="00581530" w:rsidP="00030233">
      <w:pPr>
        <w:ind w:firstLine="360"/>
        <w:jc w:val="both"/>
      </w:pPr>
      <w:r>
        <w:t xml:space="preserve">Five year ago I did </w:t>
      </w:r>
      <w:r w:rsidR="005F30A9">
        <w:t>not arrive</w:t>
      </w:r>
      <w:r>
        <w:t xml:space="preserve"> in Norman alone. Julien came along with me and I would like to thank him for his presence, his support and his help.</w:t>
      </w:r>
    </w:p>
    <w:p w14:paraId="6E675635" w14:textId="77777777" w:rsidR="00581530" w:rsidRDefault="00581530" w:rsidP="00030233">
      <w:pPr>
        <w:ind w:firstLine="360"/>
        <w:jc w:val="both"/>
      </w:pPr>
      <w:r>
        <w:t>F</w:t>
      </w:r>
      <w:r w:rsidR="005F30A9">
        <w:t>inally I would like to thank</w:t>
      </w:r>
      <w:r>
        <w:t xml:space="preserve"> my parents for </w:t>
      </w:r>
      <w:r w:rsidR="00780B05">
        <w:t>giving me the freedom to study what I liked and still like the most, chemistry and for supporting my choices to their accomplishment.</w:t>
      </w:r>
    </w:p>
    <w:p w14:paraId="0D63159C" w14:textId="77777777" w:rsidR="00775701" w:rsidRDefault="00775701" w:rsidP="004318DE">
      <w:pPr>
        <w:pStyle w:val="Style1"/>
        <w:ind w:left="0"/>
      </w:pPr>
      <w:r>
        <w:br w:type="page"/>
        <w:t xml:space="preserve">Table of </w:t>
      </w:r>
      <w:r w:rsidRPr="00775701">
        <w:t>Contents</w:t>
      </w:r>
    </w:p>
    <w:p w14:paraId="2D40B9F2" w14:textId="77777777" w:rsidR="004A7222" w:rsidRPr="0078679A" w:rsidRDefault="004A7222" w:rsidP="004A7222">
      <w:pPr>
        <w:pStyle w:val="NoSpacing"/>
      </w:pPr>
    </w:p>
    <w:p w14:paraId="7F5944BD" w14:textId="77777777" w:rsidR="001539C6" w:rsidRDefault="00ED6DBD">
      <w:pPr>
        <w:pStyle w:val="TOC1"/>
        <w:rPr>
          <w:rFonts w:eastAsiaTheme="minorEastAsia" w:cstheme="minorBidi"/>
          <w:noProof/>
          <w:sz w:val="22"/>
          <w:szCs w:val="22"/>
          <w:lang w:bidi="ar-SA"/>
        </w:rPr>
      </w:pPr>
      <w:r>
        <w:fldChar w:fldCharType="begin"/>
      </w:r>
      <w:r>
        <w:instrText xml:space="preserve"> TOC \o "3-3" \h \z \t "Heading 1,1,Heading 2,2,Chapter,1" </w:instrText>
      </w:r>
      <w:r>
        <w:fldChar w:fldCharType="separate"/>
      </w:r>
      <w:hyperlink w:anchor="_Toc458938270" w:history="1">
        <w:r w:rsidR="001539C6" w:rsidRPr="00404E93">
          <w:rPr>
            <w:rStyle w:val="Hyperlink"/>
            <w:rFonts w:cstheme="minorHAnsi"/>
            <w:noProof/>
          </w:rPr>
          <w:t>Chapter I.</w:t>
        </w:r>
        <w:r w:rsidR="001539C6">
          <w:rPr>
            <w:rFonts w:eastAsiaTheme="minorEastAsia" w:cstheme="minorBidi"/>
            <w:noProof/>
            <w:sz w:val="22"/>
            <w:szCs w:val="22"/>
            <w:lang w:bidi="ar-SA"/>
          </w:rPr>
          <w:tab/>
        </w:r>
        <w:r w:rsidR="001539C6" w:rsidRPr="00404E93">
          <w:rPr>
            <w:rStyle w:val="Hyperlink"/>
            <w:rFonts w:cstheme="minorHAnsi"/>
            <w:noProof/>
          </w:rPr>
          <w:t>Introduction to and Background of the Deoxydehydration Reaction</w:t>
        </w:r>
        <w:r w:rsidR="001539C6">
          <w:rPr>
            <w:noProof/>
            <w:webHidden/>
          </w:rPr>
          <w:tab/>
        </w:r>
        <w:r w:rsidR="001539C6">
          <w:rPr>
            <w:noProof/>
            <w:webHidden/>
          </w:rPr>
          <w:fldChar w:fldCharType="begin"/>
        </w:r>
        <w:r w:rsidR="001539C6">
          <w:rPr>
            <w:noProof/>
            <w:webHidden/>
          </w:rPr>
          <w:instrText xml:space="preserve"> PAGEREF _Toc458938270 \h </w:instrText>
        </w:r>
        <w:r w:rsidR="001539C6">
          <w:rPr>
            <w:noProof/>
            <w:webHidden/>
          </w:rPr>
        </w:r>
        <w:r w:rsidR="001539C6">
          <w:rPr>
            <w:noProof/>
            <w:webHidden/>
          </w:rPr>
          <w:fldChar w:fldCharType="separate"/>
        </w:r>
        <w:r w:rsidR="000A0E3D">
          <w:rPr>
            <w:noProof/>
            <w:webHidden/>
          </w:rPr>
          <w:t>1</w:t>
        </w:r>
        <w:r w:rsidR="001539C6">
          <w:rPr>
            <w:noProof/>
            <w:webHidden/>
          </w:rPr>
          <w:fldChar w:fldCharType="end"/>
        </w:r>
      </w:hyperlink>
    </w:p>
    <w:p w14:paraId="1EAEF961" w14:textId="77777777" w:rsidR="001539C6" w:rsidRDefault="001539C6">
      <w:pPr>
        <w:pStyle w:val="TOC2"/>
        <w:tabs>
          <w:tab w:val="right" w:leader="dot" w:pos="8486"/>
        </w:tabs>
        <w:rPr>
          <w:rFonts w:eastAsiaTheme="minorEastAsia" w:cstheme="minorBidi"/>
          <w:noProof/>
          <w:sz w:val="22"/>
          <w:szCs w:val="22"/>
          <w:lang w:bidi="ar-SA"/>
        </w:rPr>
      </w:pPr>
      <w:hyperlink w:anchor="_Toc458938271" w:history="1">
        <w:r w:rsidRPr="00404E93">
          <w:rPr>
            <w:rStyle w:val="Hyperlink"/>
            <w:noProof/>
          </w:rPr>
          <w:t>1.</w:t>
        </w:r>
        <w:r>
          <w:rPr>
            <w:rFonts w:eastAsiaTheme="minorEastAsia" w:cstheme="minorBidi"/>
            <w:noProof/>
            <w:sz w:val="22"/>
            <w:szCs w:val="22"/>
            <w:lang w:bidi="ar-SA"/>
          </w:rPr>
          <w:tab/>
        </w:r>
        <w:r w:rsidRPr="00404E93">
          <w:rPr>
            <w:rStyle w:val="Hyperlink"/>
            <w:noProof/>
          </w:rPr>
          <w:t>Introduction</w:t>
        </w:r>
        <w:r>
          <w:rPr>
            <w:noProof/>
            <w:webHidden/>
          </w:rPr>
          <w:tab/>
        </w:r>
        <w:r>
          <w:rPr>
            <w:noProof/>
            <w:webHidden/>
          </w:rPr>
          <w:fldChar w:fldCharType="begin"/>
        </w:r>
        <w:r>
          <w:rPr>
            <w:noProof/>
            <w:webHidden/>
          </w:rPr>
          <w:instrText xml:space="preserve"> PAGEREF _Toc458938271 \h </w:instrText>
        </w:r>
        <w:r>
          <w:rPr>
            <w:noProof/>
            <w:webHidden/>
          </w:rPr>
        </w:r>
        <w:r>
          <w:rPr>
            <w:noProof/>
            <w:webHidden/>
          </w:rPr>
          <w:fldChar w:fldCharType="separate"/>
        </w:r>
        <w:r w:rsidR="000A0E3D">
          <w:rPr>
            <w:noProof/>
            <w:webHidden/>
          </w:rPr>
          <w:t>1</w:t>
        </w:r>
        <w:r>
          <w:rPr>
            <w:noProof/>
            <w:webHidden/>
          </w:rPr>
          <w:fldChar w:fldCharType="end"/>
        </w:r>
      </w:hyperlink>
    </w:p>
    <w:p w14:paraId="39A1B550" w14:textId="77777777" w:rsidR="001539C6" w:rsidRDefault="001539C6">
      <w:pPr>
        <w:pStyle w:val="TOC2"/>
        <w:tabs>
          <w:tab w:val="right" w:leader="dot" w:pos="8486"/>
        </w:tabs>
        <w:rPr>
          <w:rFonts w:eastAsiaTheme="minorEastAsia" w:cstheme="minorBidi"/>
          <w:noProof/>
          <w:sz w:val="22"/>
          <w:szCs w:val="22"/>
          <w:lang w:bidi="ar-SA"/>
        </w:rPr>
      </w:pPr>
      <w:hyperlink w:anchor="_Toc458938272" w:history="1">
        <w:r w:rsidRPr="00404E93">
          <w:rPr>
            <w:rStyle w:val="Hyperlink"/>
            <w:noProof/>
          </w:rPr>
          <w:t>2.</w:t>
        </w:r>
        <w:r>
          <w:rPr>
            <w:rFonts w:eastAsiaTheme="minorEastAsia" w:cstheme="minorBidi"/>
            <w:noProof/>
            <w:sz w:val="22"/>
            <w:szCs w:val="22"/>
            <w:lang w:bidi="ar-SA"/>
          </w:rPr>
          <w:tab/>
        </w:r>
        <w:r w:rsidRPr="00404E93">
          <w:rPr>
            <w:rStyle w:val="Hyperlink"/>
            <w:noProof/>
          </w:rPr>
          <w:t>Uncatalyzed Didehydroxylation of Glycols</w:t>
        </w:r>
        <w:r>
          <w:rPr>
            <w:noProof/>
            <w:webHidden/>
          </w:rPr>
          <w:tab/>
        </w:r>
        <w:r>
          <w:rPr>
            <w:noProof/>
            <w:webHidden/>
          </w:rPr>
          <w:fldChar w:fldCharType="begin"/>
        </w:r>
        <w:r>
          <w:rPr>
            <w:noProof/>
            <w:webHidden/>
          </w:rPr>
          <w:instrText xml:space="preserve"> PAGEREF _Toc458938272 \h </w:instrText>
        </w:r>
        <w:r>
          <w:rPr>
            <w:noProof/>
            <w:webHidden/>
          </w:rPr>
        </w:r>
        <w:r>
          <w:rPr>
            <w:noProof/>
            <w:webHidden/>
          </w:rPr>
          <w:fldChar w:fldCharType="separate"/>
        </w:r>
        <w:r w:rsidR="000A0E3D">
          <w:rPr>
            <w:noProof/>
            <w:webHidden/>
          </w:rPr>
          <w:t>2</w:t>
        </w:r>
        <w:r>
          <w:rPr>
            <w:noProof/>
            <w:webHidden/>
          </w:rPr>
          <w:fldChar w:fldCharType="end"/>
        </w:r>
      </w:hyperlink>
    </w:p>
    <w:p w14:paraId="0BB584F3" w14:textId="77777777" w:rsidR="001539C6" w:rsidRDefault="001539C6">
      <w:pPr>
        <w:pStyle w:val="TOC2"/>
        <w:tabs>
          <w:tab w:val="right" w:leader="dot" w:pos="8486"/>
        </w:tabs>
        <w:rPr>
          <w:rFonts w:eastAsiaTheme="minorEastAsia" w:cstheme="minorBidi"/>
          <w:noProof/>
          <w:sz w:val="22"/>
          <w:szCs w:val="22"/>
          <w:lang w:bidi="ar-SA"/>
        </w:rPr>
      </w:pPr>
      <w:hyperlink w:anchor="_Toc458938273" w:history="1">
        <w:r w:rsidRPr="00404E93">
          <w:rPr>
            <w:rStyle w:val="Hyperlink"/>
            <w:noProof/>
          </w:rPr>
          <w:t>3.</w:t>
        </w:r>
        <w:r>
          <w:rPr>
            <w:rFonts w:eastAsiaTheme="minorEastAsia" w:cstheme="minorBidi"/>
            <w:noProof/>
            <w:sz w:val="22"/>
            <w:szCs w:val="22"/>
            <w:lang w:bidi="ar-SA"/>
          </w:rPr>
          <w:tab/>
        </w:r>
        <w:r w:rsidRPr="00404E93">
          <w:rPr>
            <w:rStyle w:val="Hyperlink"/>
            <w:noProof/>
          </w:rPr>
          <w:t>Oxo-Metal Promoted and Catalyzed Deoxydehydration</w:t>
        </w:r>
        <w:r>
          <w:rPr>
            <w:noProof/>
            <w:webHidden/>
          </w:rPr>
          <w:tab/>
        </w:r>
        <w:r>
          <w:rPr>
            <w:noProof/>
            <w:webHidden/>
          </w:rPr>
          <w:fldChar w:fldCharType="begin"/>
        </w:r>
        <w:r>
          <w:rPr>
            <w:noProof/>
            <w:webHidden/>
          </w:rPr>
          <w:instrText xml:space="preserve"> PAGEREF _Toc458938273 \h </w:instrText>
        </w:r>
        <w:r>
          <w:rPr>
            <w:noProof/>
            <w:webHidden/>
          </w:rPr>
        </w:r>
        <w:r>
          <w:rPr>
            <w:noProof/>
            <w:webHidden/>
          </w:rPr>
          <w:fldChar w:fldCharType="separate"/>
        </w:r>
        <w:r w:rsidR="000A0E3D">
          <w:rPr>
            <w:noProof/>
            <w:webHidden/>
          </w:rPr>
          <w:t>4</w:t>
        </w:r>
        <w:r>
          <w:rPr>
            <w:noProof/>
            <w:webHidden/>
          </w:rPr>
          <w:fldChar w:fldCharType="end"/>
        </w:r>
      </w:hyperlink>
    </w:p>
    <w:p w14:paraId="4DBA0B4F"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274" w:history="1">
        <w:r w:rsidRPr="00404E93">
          <w:rPr>
            <w:rStyle w:val="Hyperlink"/>
            <w:noProof/>
          </w:rPr>
          <w:t>a.</w:t>
        </w:r>
        <w:r>
          <w:rPr>
            <w:rFonts w:eastAsiaTheme="minorEastAsia" w:cstheme="minorBidi"/>
            <w:noProof/>
            <w:sz w:val="22"/>
            <w:szCs w:val="22"/>
            <w:lang w:bidi="ar-SA"/>
          </w:rPr>
          <w:tab/>
        </w:r>
        <w:r w:rsidRPr="00404E93">
          <w:rPr>
            <w:rStyle w:val="Hyperlink"/>
            <w:noProof/>
          </w:rPr>
          <w:t>ReOx-based catalysts</w:t>
        </w:r>
        <w:r>
          <w:rPr>
            <w:noProof/>
            <w:webHidden/>
          </w:rPr>
          <w:tab/>
        </w:r>
        <w:r>
          <w:rPr>
            <w:noProof/>
            <w:webHidden/>
          </w:rPr>
          <w:fldChar w:fldCharType="begin"/>
        </w:r>
        <w:r>
          <w:rPr>
            <w:noProof/>
            <w:webHidden/>
          </w:rPr>
          <w:instrText xml:space="preserve"> PAGEREF _Toc458938274 \h </w:instrText>
        </w:r>
        <w:r>
          <w:rPr>
            <w:noProof/>
            <w:webHidden/>
          </w:rPr>
        </w:r>
        <w:r>
          <w:rPr>
            <w:noProof/>
            <w:webHidden/>
          </w:rPr>
          <w:fldChar w:fldCharType="separate"/>
        </w:r>
        <w:r w:rsidR="000A0E3D">
          <w:rPr>
            <w:noProof/>
            <w:webHidden/>
          </w:rPr>
          <w:t>4</w:t>
        </w:r>
        <w:r>
          <w:rPr>
            <w:noProof/>
            <w:webHidden/>
          </w:rPr>
          <w:fldChar w:fldCharType="end"/>
        </w:r>
      </w:hyperlink>
    </w:p>
    <w:p w14:paraId="7550B5E7"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275" w:history="1">
        <w:r w:rsidRPr="00404E93">
          <w:rPr>
            <w:rStyle w:val="Hyperlink"/>
            <w:noProof/>
          </w:rPr>
          <w:t>b.</w:t>
        </w:r>
        <w:r>
          <w:rPr>
            <w:rFonts w:eastAsiaTheme="minorEastAsia" w:cstheme="minorBidi"/>
            <w:noProof/>
            <w:sz w:val="22"/>
            <w:szCs w:val="22"/>
            <w:lang w:bidi="ar-SA"/>
          </w:rPr>
          <w:tab/>
        </w:r>
        <w:r w:rsidRPr="00404E93">
          <w:rPr>
            <w:rStyle w:val="Hyperlink"/>
            <w:noProof/>
          </w:rPr>
          <w:t>Non-precious metal catalyzed DODH</w:t>
        </w:r>
        <w:r>
          <w:rPr>
            <w:noProof/>
            <w:webHidden/>
          </w:rPr>
          <w:tab/>
        </w:r>
        <w:r>
          <w:rPr>
            <w:noProof/>
            <w:webHidden/>
          </w:rPr>
          <w:fldChar w:fldCharType="begin"/>
        </w:r>
        <w:r>
          <w:rPr>
            <w:noProof/>
            <w:webHidden/>
          </w:rPr>
          <w:instrText xml:space="preserve"> PAGEREF _Toc458938275 \h </w:instrText>
        </w:r>
        <w:r>
          <w:rPr>
            <w:noProof/>
            <w:webHidden/>
          </w:rPr>
        </w:r>
        <w:r>
          <w:rPr>
            <w:noProof/>
            <w:webHidden/>
          </w:rPr>
          <w:fldChar w:fldCharType="separate"/>
        </w:r>
        <w:r w:rsidR="000A0E3D">
          <w:rPr>
            <w:noProof/>
            <w:webHidden/>
          </w:rPr>
          <w:t>26</w:t>
        </w:r>
        <w:r>
          <w:rPr>
            <w:noProof/>
            <w:webHidden/>
          </w:rPr>
          <w:fldChar w:fldCharType="end"/>
        </w:r>
      </w:hyperlink>
    </w:p>
    <w:p w14:paraId="345F67D0" w14:textId="77777777" w:rsidR="001539C6" w:rsidRDefault="001539C6">
      <w:pPr>
        <w:pStyle w:val="TOC2"/>
        <w:tabs>
          <w:tab w:val="right" w:leader="dot" w:pos="8486"/>
        </w:tabs>
        <w:rPr>
          <w:rFonts w:eastAsiaTheme="minorEastAsia" w:cstheme="minorBidi"/>
          <w:noProof/>
          <w:sz w:val="22"/>
          <w:szCs w:val="22"/>
          <w:lang w:bidi="ar-SA"/>
        </w:rPr>
      </w:pPr>
      <w:hyperlink w:anchor="_Toc458938276" w:history="1">
        <w:r w:rsidRPr="00404E93">
          <w:rPr>
            <w:rStyle w:val="Hyperlink"/>
            <w:noProof/>
          </w:rPr>
          <w:t>4.</w:t>
        </w:r>
        <w:r>
          <w:rPr>
            <w:rFonts w:eastAsiaTheme="minorEastAsia" w:cstheme="minorBidi"/>
            <w:noProof/>
            <w:sz w:val="22"/>
            <w:szCs w:val="22"/>
            <w:lang w:bidi="ar-SA"/>
          </w:rPr>
          <w:tab/>
        </w:r>
        <w:r w:rsidRPr="00404E93">
          <w:rPr>
            <w:rStyle w:val="Hyperlink"/>
            <w:noProof/>
          </w:rPr>
          <w:t>Applications of DODH Systems</w:t>
        </w:r>
        <w:r>
          <w:rPr>
            <w:noProof/>
            <w:webHidden/>
          </w:rPr>
          <w:tab/>
        </w:r>
        <w:r>
          <w:rPr>
            <w:noProof/>
            <w:webHidden/>
          </w:rPr>
          <w:fldChar w:fldCharType="begin"/>
        </w:r>
        <w:r>
          <w:rPr>
            <w:noProof/>
            <w:webHidden/>
          </w:rPr>
          <w:instrText xml:space="preserve"> PAGEREF _Toc458938276 \h </w:instrText>
        </w:r>
        <w:r>
          <w:rPr>
            <w:noProof/>
            <w:webHidden/>
          </w:rPr>
        </w:r>
        <w:r>
          <w:rPr>
            <w:noProof/>
            <w:webHidden/>
          </w:rPr>
          <w:fldChar w:fldCharType="separate"/>
        </w:r>
        <w:r w:rsidR="000A0E3D">
          <w:rPr>
            <w:noProof/>
            <w:webHidden/>
          </w:rPr>
          <w:t>30</w:t>
        </w:r>
        <w:r>
          <w:rPr>
            <w:noProof/>
            <w:webHidden/>
          </w:rPr>
          <w:fldChar w:fldCharType="end"/>
        </w:r>
      </w:hyperlink>
    </w:p>
    <w:p w14:paraId="4B1E6B02" w14:textId="77777777" w:rsidR="001539C6" w:rsidRDefault="001539C6">
      <w:pPr>
        <w:pStyle w:val="TOC2"/>
        <w:tabs>
          <w:tab w:val="right" w:leader="dot" w:pos="8486"/>
        </w:tabs>
        <w:rPr>
          <w:rFonts w:eastAsiaTheme="minorEastAsia" w:cstheme="minorBidi"/>
          <w:noProof/>
          <w:sz w:val="22"/>
          <w:szCs w:val="22"/>
          <w:lang w:bidi="ar-SA"/>
        </w:rPr>
      </w:pPr>
      <w:hyperlink w:anchor="_Toc458938277" w:history="1">
        <w:r w:rsidRPr="00404E93">
          <w:rPr>
            <w:rStyle w:val="Hyperlink"/>
            <w:noProof/>
          </w:rPr>
          <w:t>5.</w:t>
        </w:r>
        <w:r>
          <w:rPr>
            <w:rFonts w:eastAsiaTheme="minorEastAsia" w:cstheme="minorBidi"/>
            <w:noProof/>
            <w:sz w:val="22"/>
            <w:szCs w:val="22"/>
            <w:lang w:bidi="ar-SA"/>
          </w:rPr>
          <w:tab/>
        </w:r>
        <w:r w:rsidRPr="00404E93">
          <w:rPr>
            <w:rStyle w:val="Hyperlink"/>
            <w:noProof/>
          </w:rPr>
          <w:t>Conclusions and Future Prospects</w:t>
        </w:r>
        <w:r>
          <w:rPr>
            <w:noProof/>
            <w:webHidden/>
          </w:rPr>
          <w:tab/>
        </w:r>
        <w:r>
          <w:rPr>
            <w:noProof/>
            <w:webHidden/>
          </w:rPr>
          <w:fldChar w:fldCharType="begin"/>
        </w:r>
        <w:r>
          <w:rPr>
            <w:noProof/>
            <w:webHidden/>
          </w:rPr>
          <w:instrText xml:space="preserve"> PAGEREF _Toc458938277 \h </w:instrText>
        </w:r>
        <w:r>
          <w:rPr>
            <w:noProof/>
            <w:webHidden/>
          </w:rPr>
        </w:r>
        <w:r>
          <w:rPr>
            <w:noProof/>
            <w:webHidden/>
          </w:rPr>
          <w:fldChar w:fldCharType="separate"/>
        </w:r>
        <w:r w:rsidR="000A0E3D">
          <w:rPr>
            <w:noProof/>
            <w:webHidden/>
          </w:rPr>
          <w:t>32</w:t>
        </w:r>
        <w:r>
          <w:rPr>
            <w:noProof/>
            <w:webHidden/>
          </w:rPr>
          <w:fldChar w:fldCharType="end"/>
        </w:r>
      </w:hyperlink>
    </w:p>
    <w:p w14:paraId="68FBFA66" w14:textId="77777777" w:rsidR="001539C6" w:rsidRDefault="001539C6">
      <w:pPr>
        <w:pStyle w:val="TOC1"/>
        <w:rPr>
          <w:rFonts w:eastAsiaTheme="minorEastAsia" w:cstheme="minorBidi"/>
          <w:noProof/>
          <w:sz w:val="22"/>
          <w:szCs w:val="22"/>
          <w:lang w:bidi="ar-SA"/>
        </w:rPr>
      </w:pPr>
      <w:hyperlink w:anchor="_Toc458938278" w:history="1">
        <w:r w:rsidRPr="00404E93">
          <w:rPr>
            <w:rStyle w:val="Hyperlink"/>
            <w:rFonts w:cstheme="minorHAnsi"/>
            <w:noProof/>
          </w:rPr>
          <w:t>Chapter II.</w:t>
        </w:r>
        <w:r>
          <w:rPr>
            <w:rFonts w:eastAsiaTheme="minorEastAsia" w:cstheme="minorBidi"/>
            <w:noProof/>
            <w:sz w:val="22"/>
            <w:szCs w:val="22"/>
            <w:lang w:bidi="ar-SA"/>
          </w:rPr>
          <w:tab/>
        </w:r>
        <w:r w:rsidRPr="00404E93">
          <w:rPr>
            <w:rStyle w:val="Hyperlink"/>
            <w:rFonts w:cstheme="minorHAnsi"/>
            <w:noProof/>
          </w:rPr>
          <w:t>Hydroaromatics as DODH Reducing Agents</w:t>
        </w:r>
        <w:r>
          <w:rPr>
            <w:noProof/>
            <w:webHidden/>
          </w:rPr>
          <w:tab/>
        </w:r>
        <w:r>
          <w:rPr>
            <w:noProof/>
            <w:webHidden/>
          </w:rPr>
          <w:fldChar w:fldCharType="begin"/>
        </w:r>
        <w:r>
          <w:rPr>
            <w:noProof/>
            <w:webHidden/>
          </w:rPr>
          <w:instrText xml:space="preserve"> PAGEREF _Toc458938278 \h </w:instrText>
        </w:r>
        <w:r>
          <w:rPr>
            <w:noProof/>
            <w:webHidden/>
          </w:rPr>
        </w:r>
        <w:r>
          <w:rPr>
            <w:noProof/>
            <w:webHidden/>
          </w:rPr>
          <w:fldChar w:fldCharType="separate"/>
        </w:r>
        <w:r w:rsidR="000A0E3D">
          <w:rPr>
            <w:noProof/>
            <w:webHidden/>
          </w:rPr>
          <w:t>35</w:t>
        </w:r>
        <w:r>
          <w:rPr>
            <w:noProof/>
            <w:webHidden/>
          </w:rPr>
          <w:fldChar w:fldCharType="end"/>
        </w:r>
      </w:hyperlink>
    </w:p>
    <w:p w14:paraId="25C2109E" w14:textId="77777777" w:rsidR="001539C6" w:rsidRDefault="001539C6">
      <w:pPr>
        <w:pStyle w:val="TOC2"/>
        <w:tabs>
          <w:tab w:val="right" w:leader="dot" w:pos="8486"/>
        </w:tabs>
        <w:rPr>
          <w:rFonts w:eastAsiaTheme="minorEastAsia" w:cstheme="minorBidi"/>
          <w:noProof/>
          <w:sz w:val="22"/>
          <w:szCs w:val="22"/>
          <w:lang w:bidi="ar-SA"/>
        </w:rPr>
      </w:pPr>
      <w:hyperlink w:anchor="_Toc458938279" w:history="1">
        <w:r w:rsidRPr="00404E93">
          <w:rPr>
            <w:rStyle w:val="Hyperlink"/>
            <w:noProof/>
          </w:rPr>
          <w:t>1.</w:t>
        </w:r>
        <w:r>
          <w:rPr>
            <w:rFonts w:eastAsiaTheme="minorEastAsia" w:cstheme="minorBidi"/>
            <w:noProof/>
            <w:sz w:val="22"/>
            <w:szCs w:val="22"/>
            <w:lang w:bidi="ar-SA"/>
          </w:rPr>
          <w:tab/>
        </w:r>
        <w:r w:rsidRPr="00404E93">
          <w:rPr>
            <w:rStyle w:val="Hyperlink"/>
            <w:noProof/>
          </w:rPr>
          <w:t>Introduction</w:t>
        </w:r>
        <w:r>
          <w:rPr>
            <w:noProof/>
            <w:webHidden/>
          </w:rPr>
          <w:tab/>
        </w:r>
        <w:r>
          <w:rPr>
            <w:noProof/>
            <w:webHidden/>
          </w:rPr>
          <w:fldChar w:fldCharType="begin"/>
        </w:r>
        <w:r>
          <w:rPr>
            <w:noProof/>
            <w:webHidden/>
          </w:rPr>
          <w:instrText xml:space="preserve"> PAGEREF _Toc458938279 \h </w:instrText>
        </w:r>
        <w:r>
          <w:rPr>
            <w:noProof/>
            <w:webHidden/>
          </w:rPr>
        </w:r>
        <w:r>
          <w:rPr>
            <w:noProof/>
            <w:webHidden/>
          </w:rPr>
          <w:fldChar w:fldCharType="separate"/>
        </w:r>
        <w:r w:rsidR="000A0E3D">
          <w:rPr>
            <w:noProof/>
            <w:webHidden/>
          </w:rPr>
          <w:t>35</w:t>
        </w:r>
        <w:r>
          <w:rPr>
            <w:noProof/>
            <w:webHidden/>
          </w:rPr>
          <w:fldChar w:fldCharType="end"/>
        </w:r>
      </w:hyperlink>
    </w:p>
    <w:p w14:paraId="21045704" w14:textId="77777777" w:rsidR="001539C6" w:rsidRDefault="001539C6">
      <w:pPr>
        <w:pStyle w:val="TOC2"/>
        <w:tabs>
          <w:tab w:val="right" w:leader="dot" w:pos="8486"/>
        </w:tabs>
        <w:rPr>
          <w:rFonts w:eastAsiaTheme="minorEastAsia" w:cstheme="minorBidi"/>
          <w:noProof/>
          <w:sz w:val="22"/>
          <w:szCs w:val="22"/>
          <w:lang w:bidi="ar-SA"/>
        </w:rPr>
      </w:pPr>
      <w:hyperlink w:anchor="_Toc458938280" w:history="1">
        <w:r w:rsidRPr="00404E93">
          <w:rPr>
            <w:rStyle w:val="Hyperlink"/>
            <w:noProof/>
          </w:rPr>
          <w:t>2.</w:t>
        </w:r>
        <w:r>
          <w:rPr>
            <w:rFonts w:eastAsiaTheme="minorEastAsia" w:cstheme="minorBidi"/>
            <w:noProof/>
            <w:sz w:val="22"/>
            <w:szCs w:val="22"/>
            <w:lang w:bidi="ar-SA"/>
          </w:rPr>
          <w:tab/>
        </w:r>
        <w:r w:rsidRPr="00404E93">
          <w:rPr>
            <w:rStyle w:val="Hyperlink"/>
            <w:noProof/>
          </w:rPr>
          <w:t>Hydroaromatics as Reductants for DODH and Tandem DODH/Diels Alder Reactions</w:t>
        </w:r>
        <w:r>
          <w:rPr>
            <w:noProof/>
            <w:webHidden/>
          </w:rPr>
          <w:tab/>
        </w:r>
        <w:r>
          <w:rPr>
            <w:noProof/>
            <w:webHidden/>
          </w:rPr>
          <w:fldChar w:fldCharType="begin"/>
        </w:r>
        <w:r>
          <w:rPr>
            <w:noProof/>
            <w:webHidden/>
          </w:rPr>
          <w:instrText xml:space="preserve"> PAGEREF _Toc458938280 \h </w:instrText>
        </w:r>
        <w:r>
          <w:rPr>
            <w:noProof/>
            <w:webHidden/>
          </w:rPr>
        </w:r>
        <w:r>
          <w:rPr>
            <w:noProof/>
            <w:webHidden/>
          </w:rPr>
          <w:fldChar w:fldCharType="separate"/>
        </w:r>
        <w:r w:rsidR="000A0E3D">
          <w:rPr>
            <w:noProof/>
            <w:webHidden/>
          </w:rPr>
          <w:t>36</w:t>
        </w:r>
        <w:r>
          <w:rPr>
            <w:noProof/>
            <w:webHidden/>
          </w:rPr>
          <w:fldChar w:fldCharType="end"/>
        </w:r>
      </w:hyperlink>
    </w:p>
    <w:p w14:paraId="3E8AF138" w14:textId="77777777" w:rsidR="001539C6" w:rsidRDefault="001539C6">
      <w:pPr>
        <w:pStyle w:val="TOC2"/>
        <w:tabs>
          <w:tab w:val="right" w:leader="dot" w:pos="8486"/>
        </w:tabs>
        <w:rPr>
          <w:rFonts w:eastAsiaTheme="minorEastAsia" w:cstheme="minorBidi"/>
          <w:noProof/>
          <w:sz w:val="22"/>
          <w:szCs w:val="22"/>
          <w:lang w:bidi="ar-SA"/>
        </w:rPr>
      </w:pPr>
      <w:hyperlink w:anchor="_Toc458938281" w:history="1">
        <w:r w:rsidRPr="00404E93">
          <w:rPr>
            <w:rStyle w:val="Hyperlink"/>
            <w:noProof/>
          </w:rPr>
          <w:t>3.</w:t>
        </w:r>
        <w:r>
          <w:rPr>
            <w:rFonts w:eastAsiaTheme="minorEastAsia" w:cstheme="minorBidi"/>
            <w:noProof/>
            <w:sz w:val="22"/>
            <w:szCs w:val="22"/>
            <w:lang w:bidi="ar-SA"/>
          </w:rPr>
          <w:tab/>
        </w:r>
        <w:r w:rsidRPr="00404E93">
          <w:rPr>
            <w:rStyle w:val="Hyperlink"/>
            <w:noProof/>
          </w:rPr>
          <w:t>Indoline as Reducing Agent</w:t>
        </w:r>
        <w:r>
          <w:rPr>
            <w:noProof/>
            <w:webHidden/>
          </w:rPr>
          <w:tab/>
        </w:r>
        <w:r>
          <w:rPr>
            <w:noProof/>
            <w:webHidden/>
          </w:rPr>
          <w:fldChar w:fldCharType="begin"/>
        </w:r>
        <w:r>
          <w:rPr>
            <w:noProof/>
            <w:webHidden/>
          </w:rPr>
          <w:instrText xml:space="preserve"> PAGEREF _Toc458938281 \h </w:instrText>
        </w:r>
        <w:r>
          <w:rPr>
            <w:noProof/>
            <w:webHidden/>
          </w:rPr>
        </w:r>
        <w:r>
          <w:rPr>
            <w:noProof/>
            <w:webHidden/>
          </w:rPr>
          <w:fldChar w:fldCharType="separate"/>
        </w:r>
        <w:r w:rsidR="000A0E3D">
          <w:rPr>
            <w:noProof/>
            <w:webHidden/>
          </w:rPr>
          <w:t>39</w:t>
        </w:r>
        <w:r>
          <w:rPr>
            <w:noProof/>
            <w:webHidden/>
          </w:rPr>
          <w:fldChar w:fldCharType="end"/>
        </w:r>
      </w:hyperlink>
    </w:p>
    <w:p w14:paraId="7354D718" w14:textId="77777777" w:rsidR="001539C6" w:rsidRDefault="001539C6">
      <w:pPr>
        <w:pStyle w:val="TOC2"/>
        <w:tabs>
          <w:tab w:val="right" w:leader="dot" w:pos="8486"/>
        </w:tabs>
        <w:rPr>
          <w:rFonts w:eastAsiaTheme="minorEastAsia" w:cstheme="minorBidi"/>
          <w:noProof/>
          <w:sz w:val="22"/>
          <w:szCs w:val="22"/>
          <w:lang w:bidi="ar-SA"/>
        </w:rPr>
      </w:pPr>
      <w:hyperlink w:anchor="_Toc458938282" w:history="1">
        <w:r w:rsidRPr="00404E93">
          <w:rPr>
            <w:rStyle w:val="Hyperlink"/>
            <w:noProof/>
          </w:rPr>
          <w:t>4.</w:t>
        </w:r>
        <w:r>
          <w:rPr>
            <w:rFonts w:eastAsiaTheme="minorEastAsia" w:cstheme="minorBidi"/>
            <w:noProof/>
            <w:sz w:val="22"/>
            <w:szCs w:val="22"/>
            <w:lang w:bidi="ar-SA"/>
          </w:rPr>
          <w:tab/>
        </w:r>
        <w:r w:rsidRPr="00404E93">
          <w:rPr>
            <w:rStyle w:val="Hyperlink"/>
            <w:noProof/>
          </w:rPr>
          <w:t>Mechanistic Study of Indoline-</w:t>
        </w:r>
        <w:r w:rsidRPr="00404E93">
          <w:rPr>
            <w:rStyle w:val="Hyperlink"/>
            <w:rFonts w:cstheme="minorHAnsi"/>
            <w:noProof/>
          </w:rPr>
          <w:t xml:space="preserve"> MeReO</w:t>
        </w:r>
        <w:r w:rsidRPr="00404E93">
          <w:rPr>
            <w:rStyle w:val="Hyperlink"/>
            <w:rFonts w:cstheme="minorHAnsi"/>
            <w:noProof/>
            <w:vertAlign w:val="subscript"/>
          </w:rPr>
          <w:t>3</w:t>
        </w:r>
        <w:r w:rsidRPr="00404E93">
          <w:rPr>
            <w:rStyle w:val="Hyperlink"/>
            <w:noProof/>
          </w:rPr>
          <w:t xml:space="preserve"> Interactions</w:t>
        </w:r>
        <w:r>
          <w:rPr>
            <w:noProof/>
            <w:webHidden/>
          </w:rPr>
          <w:tab/>
        </w:r>
        <w:r>
          <w:rPr>
            <w:noProof/>
            <w:webHidden/>
          </w:rPr>
          <w:fldChar w:fldCharType="begin"/>
        </w:r>
        <w:r>
          <w:rPr>
            <w:noProof/>
            <w:webHidden/>
          </w:rPr>
          <w:instrText xml:space="preserve"> PAGEREF _Toc458938282 \h </w:instrText>
        </w:r>
        <w:r>
          <w:rPr>
            <w:noProof/>
            <w:webHidden/>
          </w:rPr>
        </w:r>
        <w:r>
          <w:rPr>
            <w:noProof/>
            <w:webHidden/>
          </w:rPr>
          <w:fldChar w:fldCharType="separate"/>
        </w:r>
        <w:r w:rsidR="000A0E3D">
          <w:rPr>
            <w:noProof/>
            <w:webHidden/>
          </w:rPr>
          <w:t>43</w:t>
        </w:r>
        <w:r>
          <w:rPr>
            <w:noProof/>
            <w:webHidden/>
          </w:rPr>
          <w:fldChar w:fldCharType="end"/>
        </w:r>
      </w:hyperlink>
    </w:p>
    <w:p w14:paraId="18CCA730" w14:textId="77777777" w:rsidR="001539C6" w:rsidRDefault="001539C6">
      <w:pPr>
        <w:pStyle w:val="TOC2"/>
        <w:tabs>
          <w:tab w:val="right" w:leader="dot" w:pos="8486"/>
        </w:tabs>
        <w:rPr>
          <w:rFonts w:eastAsiaTheme="minorEastAsia" w:cstheme="minorBidi"/>
          <w:noProof/>
          <w:sz w:val="22"/>
          <w:szCs w:val="22"/>
          <w:lang w:bidi="ar-SA"/>
        </w:rPr>
      </w:pPr>
      <w:hyperlink w:anchor="_Toc458938283" w:history="1">
        <w:r w:rsidRPr="00404E93">
          <w:rPr>
            <w:rStyle w:val="Hyperlink"/>
            <w:noProof/>
          </w:rPr>
          <w:t>5.</w:t>
        </w:r>
        <w:r>
          <w:rPr>
            <w:rFonts w:eastAsiaTheme="minorEastAsia" w:cstheme="minorBidi"/>
            <w:noProof/>
            <w:sz w:val="22"/>
            <w:szCs w:val="22"/>
            <w:lang w:bidi="ar-SA"/>
          </w:rPr>
          <w:tab/>
        </w:r>
        <w:r w:rsidRPr="00404E93">
          <w:rPr>
            <w:rStyle w:val="Hyperlink"/>
            <w:noProof/>
          </w:rPr>
          <w:t>Conclusions</w:t>
        </w:r>
        <w:r>
          <w:rPr>
            <w:noProof/>
            <w:webHidden/>
          </w:rPr>
          <w:tab/>
        </w:r>
        <w:r>
          <w:rPr>
            <w:noProof/>
            <w:webHidden/>
          </w:rPr>
          <w:fldChar w:fldCharType="begin"/>
        </w:r>
        <w:r>
          <w:rPr>
            <w:noProof/>
            <w:webHidden/>
          </w:rPr>
          <w:instrText xml:space="preserve"> PAGEREF _Toc458938283 \h </w:instrText>
        </w:r>
        <w:r>
          <w:rPr>
            <w:noProof/>
            <w:webHidden/>
          </w:rPr>
        </w:r>
        <w:r>
          <w:rPr>
            <w:noProof/>
            <w:webHidden/>
          </w:rPr>
          <w:fldChar w:fldCharType="separate"/>
        </w:r>
        <w:r w:rsidR="000A0E3D">
          <w:rPr>
            <w:noProof/>
            <w:webHidden/>
          </w:rPr>
          <w:t>48</w:t>
        </w:r>
        <w:r>
          <w:rPr>
            <w:noProof/>
            <w:webHidden/>
          </w:rPr>
          <w:fldChar w:fldCharType="end"/>
        </w:r>
      </w:hyperlink>
    </w:p>
    <w:p w14:paraId="7E368C77" w14:textId="77777777" w:rsidR="001539C6" w:rsidRDefault="001539C6">
      <w:pPr>
        <w:pStyle w:val="TOC2"/>
        <w:tabs>
          <w:tab w:val="right" w:leader="dot" w:pos="8486"/>
        </w:tabs>
        <w:rPr>
          <w:rFonts w:eastAsiaTheme="minorEastAsia" w:cstheme="minorBidi"/>
          <w:noProof/>
          <w:sz w:val="22"/>
          <w:szCs w:val="22"/>
          <w:lang w:bidi="ar-SA"/>
        </w:rPr>
      </w:pPr>
      <w:hyperlink w:anchor="_Toc458938284" w:history="1">
        <w:r w:rsidRPr="00404E93">
          <w:rPr>
            <w:rStyle w:val="Hyperlink"/>
            <w:noProof/>
          </w:rPr>
          <w:t>6.</w:t>
        </w:r>
        <w:r>
          <w:rPr>
            <w:rFonts w:eastAsiaTheme="minorEastAsia" w:cstheme="minorBidi"/>
            <w:noProof/>
            <w:sz w:val="22"/>
            <w:szCs w:val="22"/>
            <w:lang w:bidi="ar-SA"/>
          </w:rPr>
          <w:tab/>
        </w:r>
        <w:r w:rsidRPr="00404E93">
          <w:rPr>
            <w:rStyle w:val="Hyperlink"/>
            <w:noProof/>
          </w:rPr>
          <w:t>Experimental</w:t>
        </w:r>
        <w:r>
          <w:rPr>
            <w:noProof/>
            <w:webHidden/>
          </w:rPr>
          <w:tab/>
        </w:r>
        <w:r>
          <w:rPr>
            <w:noProof/>
            <w:webHidden/>
          </w:rPr>
          <w:fldChar w:fldCharType="begin"/>
        </w:r>
        <w:r>
          <w:rPr>
            <w:noProof/>
            <w:webHidden/>
          </w:rPr>
          <w:instrText xml:space="preserve"> PAGEREF _Toc458938284 \h </w:instrText>
        </w:r>
        <w:r>
          <w:rPr>
            <w:noProof/>
            <w:webHidden/>
          </w:rPr>
        </w:r>
        <w:r>
          <w:rPr>
            <w:noProof/>
            <w:webHidden/>
          </w:rPr>
          <w:fldChar w:fldCharType="separate"/>
        </w:r>
        <w:r w:rsidR="000A0E3D">
          <w:rPr>
            <w:noProof/>
            <w:webHidden/>
          </w:rPr>
          <w:t>49</w:t>
        </w:r>
        <w:r>
          <w:rPr>
            <w:noProof/>
            <w:webHidden/>
          </w:rPr>
          <w:fldChar w:fldCharType="end"/>
        </w:r>
      </w:hyperlink>
    </w:p>
    <w:p w14:paraId="0DB79BA2"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285" w:history="1">
        <w:r w:rsidRPr="00404E93">
          <w:rPr>
            <w:rStyle w:val="Hyperlink"/>
            <w:noProof/>
          </w:rPr>
          <w:t>a.</w:t>
        </w:r>
        <w:r>
          <w:rPr>
            <w:rFonts w:eastAsiaTheme="minorEastAsia" w:cstheme="minorBidi"/>
            <w:noProof/>
            <w:sz w:val="22"/>
            <w:szCs w:val="22"/>
            <w:lang w:bidi="ar-SA"/>
          </w:rPr>
          <w:tab/>
        </w:r>
        <w:r w:rsidRPr="00404E93">
          <w:rPr>
            <w:rStyle w:val="Hyperlink"/>
            <w:noProof/>
          </w:rPr>
          <w:t>General information: reagents and instruments.</w:t>
        </w:r>
        <w:r>
          <w:rPr>
            <w:noProof/>
            <w:webHidden/>
          </w:rPr>
          <w:tab/>
        </w:r>
        <w:r>
          <w:rPr>
            <w:noProof/>
            <w:webHidden/>
          </w:rPr>
          <w:fldChar w:fldCharType="begin"/>
        </w:r>
        <w:r>
          <w:rPr>
            <w:noProof/>
            <w:webHidden/>
          </w:rPr>
          <w:instrText xml:space="preserve"> PAGEREF _Toc458938285 \h </w:instrText>
        </w:r>
        <w:r>
          <w:rPr>
            <w:noProof/>
            <w:webHidden/>
          </w:rPr>
        </w:r>
        <w:r>
          <w:rPr>
            <w:noProof/>
            <w:webHidden/>
          </w:rPr>
          <w:fldChar w:fldCharType="separate"/>
        </w:r>
        <w:r w:rsidR="000A0E3D">
          <w:rPr>
            <w:noProof/>
            <w:webHidden/>
          </w:rPr>
          <w:t>49</w:t>
        </w:r>
        <w:r>
          <w:rPr>
            <w:noProof/>
            <w:webHidden/>
          </w:rPr>
          <w:fldChar w:fldCharType="end"/>
        </w:r>
      </w:hyperlink>
    </w:p>
    <w:p w14:paraId="57DA46A1"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286" w:history="1">
        <w:r w:rsidRPr="00404E93">
          <w:rPr>
            <w:rStyle w:val="Hyperlink"/>
            <w:noProof/>
          </w:rPr>
          <w:t>b.</w:t>
        </w:r>
        <w:r>
          <w:rPr>
            <w:rFonts w:eastAsiaTheme="minorEastAsia" w:cstheme="minorBidi"/>
            <w:noProof/>
            <w:sz w:val="22"/>
            <w:szCs w:val="22"/>
            <w:lang w:bidi="ar-SA"/>
          </w:rPr>
          <w:tab/>
        </w:r>
        <w:r w:rsidRPr="00404E93">
          <w:rPr>
            <w:rStyle w:val="Hyperlink"/>
            <w:rFonts w:cstheme="minorHAnsi"/>
            <w:noProof/>
          </w:rPr>
          <w:t>Representative procedure for DODH reactions</w:t>
        </w:r>
        <w:r w:rsidRPr="00404E93">
          <w:rPr>
            <w:rStyle w:val="Hyperlink"/>
            <w:noProof/>
          </w:rPr>
          <w:t>.</w:t>
        </w:r>
        <w:r>
          <w:rPr>
            <w:noProof/>
            <w:webHidden/>
          </w:rPr>
          <w:tab/>
        </w:r>
        <w:r>
          <w:rPr>
            <w:noProof/>
            <w:webHidden/>
          </w:rPr>
          <w:fldChar w:fldCharType="begin"/>
        </w:r>
        <w:r>
          <w:rPr>
            <w:noProof/>
            <w:webHidden/>
          </w:rPr>
          <w:instrText xml:space="preserve"> PAGEREF _Toc458938286 \h </w:instrText>
        </w:r>
        <w:r>
          <w:rPr>
            <w:noProof/>
            <w:webHidden/>
          </w:rPr>
        </w:r>
        <w:r>
          <w:rPr>
            <w:noProof/>
            <w:webHidden/>
          </w:rPr>
          <w:fldChar w:fldCharType="separate"/>
        </w:r>
        <w:r w:rsidR="000A0E3D">
          <w:rPr>
            <w:noProof/>
            <w:webHidden/>
          </w:rPr>
          <w:t>50</w:t>
        </w:r>
        <w:r>
          <w:rPr>
            <w:noProof/>
            <w:webHidden/>
          </w:rPr>
          <w:fldChar w:fldCharType="end"/>
        </w:r>
      </w:hyperlink>
    </w:p>
    <w:p w14:paraId="6BD471D7"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287" w:history="1">
        <w:r w:rsidRPr="00404E93">
          <w:rPr>
            <w:rStyle w:val="Hyperlink"/>
            <w:noProof/>
          </w:rPr>
          <w:t>c.</w:t>
        </w:r>
        <w:r>
          <w:rPr>
            <w:rFonts w:eastAsiaTheme="minorEastAsia" w:cstheme="minorBidi"/>
            <w:noProof/>
            <w:sz w:val="22"/>
            <w:szCs w:val="22"/>
            <w:lang w:bidi="ar-SA"/>
          </w:rPr>
          <w:tab/>
        </w:r>
        <w:r w:rsidRPr="00404E93">
          <w:rPr>
            <w:rStyle w:val="Hyperlink"/>
            <w:noProof/>
          </w:rPr>
          <w:t>DODH/Diels Alder tandem reaction with diethyl tartrate and 1,3-cyclohexadiene.</w:t>
        </w:r>
        <w:r>
          <w:rPr>
            <w:noProof/>
            <w:webHidden/>
          </w:rPr>
          <w:tab/>
        </w:r>
        <w:r>
          <w:rPr>
            <w:noProof/>
            <w:webHidden/>
          </w:rPr>
          <w:fldChar w:fldCharType="begin"/>
        </w:r>
        <w:r>
          <w:rPr>
            <w:noProof/>
            <w:webHidden/>
          </w:rPr>
          <w:instrText xml:space="preserve"> PAGEREF _Toc458938287 \h </w:instrText>
        </w:r>
        <w:r>
          <w:rPr>
            <w:noProof/>
            <w:webHidden/>
          </w:rPr>
        </w:r>
        <w:r>
          <w:rPr>
            <w:noProof/>
            <w:webHidden/>
          </w:rPr>
          <w:fldChar w:fldCharType="separate"/>
        </w:r>
        <w:r w:rsidR="000A0E3D">
          <w:rPr>
            <w:noProof/>
            <w:webHidden/>
          </w:rPr>
          <w:t>50</w:t>
        </w:r>
        <w:r>
          <w:rPr>
            <w:noProof/>
            <w:webHidden/>
          </w:rPr>
          <w:fldChar w:fldCharType="end"/>
        </w:r>
      </w:hyperlink>
    </w:p>
    <w:p w14:paraId="50203FC3"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288" w:history="1">
        <w:r w:rsidRPr="00404E93">
          <w:rPr>
            <w:rStyle w:val="Hyperlink"/>
            <w:noProof/>
          </w:rPr>
          <w:t>d.</w:t>
        </w:r>
        <w:r>
          <w:rPr>
            <w:rFonts w:eastAsiaTheme="minorEastAsia" w:cstheme="minorBidi"/>
            <w:noProof/>
            <w:sz w:val="22"/>
            <w:szCs w:val="22"/>
            <w:lang w:bidi="ar-SA"/>
          </w:rPr>
          <w:tab/>
        </w:r>
        <w:r w:rsidRPr="00404E93">
          <w:rPr>
            <w:rStyle w:val="Hyperlink"/>
            <w:noProof/>
          </w:rPr>
          <w:t>DODH reaction of glyceric acid with indoline.</w:t>
        </w:r>
        <w:r>
          <w:rPr>
            <w:noProof/>
            <w:webHidden/>
          </w:rPr>
          <w:tab/>
        </w:r>
        <w:r>
          <w:rPr>
            <w:noProof/>
            <w:webHidden/>
          </w:rPr>
          <w:fldChar w:fldCharType="begin"/>
        </w:r>
        <w:r>
          <w:rPr>
            <w:noProof/>
            <w:webHidden/>
          </w:rPr>
          <w:instrText xml:space="preserve"> PAGEREF _Toc458938288 \h </w:instrText>
        </w:r>
        <w:r>
          <w:rPr>
            <w:noProof/>
            <w:webHidden/>
          </w:rPr>
        </w:r>
        <w:r>
          <w:rPr>
            <w:noProof/>
            <w:webHidden/>
          </w:rPr>
          <w:fldChar w:fldCharType="separate"/>
        </w:r>
        <w:r w:rsidR="000A0E3D">
          <w:rPr>
            <w:noProof/>
            <w:webHidden/>
          </w:rPr>
          <w:t>51</w:t>
        </w:r>
        <w:r>
          <w:rPr>
            <w:noProof/>
            <w:webHidden/>
          </w:rPr>
          <w:fldChar w:fldCharType="end"/>
        </w:r>
      </w:hyperlink>
    </w:p>
    <w:p w14:paraId="003B0305"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289" w:history="1">
        <w:r w:rsidRPr="00404E93">
          <w:rPr>
            <w:rStyle w:val="Hyperlink"/>
            <w:noProof/>
          </w:rPr>
          <w:t>e.</w:t>
        </w:r>
        <w:r>
          <w:rPr>
            <w:rFonts w:eastAsiaTheme="minorEastAsia" w:cstheme="minorBidi"/>
            <w:noProof/>
            <w:sz w:val="22"/>
            <w:szCs w:val="22"/>
            <w:lang w:bidi="ar-SA"/>
          </w:rPr>
          <w:tab/>
        </w:r>
        <w:r w:rsidRPr="00404E93">
          <w:rPr>
            <w:rStyle w:val="Hyperlink"/>
            <w:noProof/>
          </w:rPr>
          <w:t>Reducing agent competition between 3-pentanol vs indoline.</w:t>
        </w:r>
        <w:r>
          <w:rPr>
            <w:noProof/>
            <w:webHidden/>
          </w:rPr>
          <w:tab/>
        </w:r>
        <w:r>
          <w:rPr>
            <w:noProof/>
            <w:webHidden/>
          </w:rPr>
          <w:fldChar w:fldCharType="begin"/>
        </w:r>
        <w:r>
          <w:rPr>
            <w:noProof/>
            <w:webHidden/>
          </w:rPr>
          <w:instrText xml:space="preserve"> PAGEREF _Toc458938289 \h </w:instrText>
        </w:r>
        <w:r>
          <w:rPr>
            <w:noProof/>
            <w:webHidden/>
          </w:rPr>
        </w:r>
        <w:r>
          <w:rPr>
            <w:noProof/>
            <w:webHidden/>
          </w:rPr>
          <w:fldChar w:fldCharType="separate"/>
        </w:r>
        <w:r w:rsidR="000A0E3D">
          <w:rPr>
            <w:noProof/>
            <w:webHidden/>
          </w:rPr>
          <w:t>51</w:t>
        </w:r>
        <w:r>
          <w:rPr>
            <w:noProof/>
            <w:webHidden/>
          </w:rPr>
          <w:fldChar w:fldCharType="end"/>
        </w:r>
      </w:hyperlink>
    </w:p>
    <w:p w14:paraId="72EF8EDC" w14:textId="77777777" w:rsidR="001539C6" w:rsidRDefault="001539C6">
      <w:pPr>
        <w:pStyle w:val="TOC3"/>
        <w:tabs>
          <w:tab w:val="left" w:pos="1080"/>
          <w:tab w:val="right" w:leader="dot" w:pos="8486"/>
        </w:tabs>
        <w:rPr>
          <w:rFonts w:eastAsiaTheme="minorEastAsia" w:cstheme="minorBidi"/>
          <w:noProof/>
          <w:sz w:val="22"/>
          <w:szCs w:val="22"/>
          <w:lang w:bidi="ar-SA"/>
        </w:rPr>
      </w:pPr>
      <w:hyperlink w:anchor="_Toc458938290" w:history="1">
        <w:r w:rsidRPr="00404E93">
          <w:rPr>
            <w:rStyle w:val="Hyperlink"/>
            <w:noProof/>
          </w:rPr>
          <w:t>f.</w:t>
        </w:r>
        <w:r>
          <w:rPr>
            <w:rFonts w:eastAsiaTheme="minorEastAsia" w:cstheme="minorBidi"/>
            <w:noProof/>
            <w:sz w:val="22"/>
            <w:szCs w:val="22"/>
            <w:lang w:bidi="ar-SA"/>
          </w:rPr>
          <w:tab/>
        </w:r>
        <w:r w:rsidRPr="00404E93">
          <w:rPr>
            <w:rStyle w:val="Hyperlink"/>
            <w:noProof/>
          </w:rPr>
          <w:t>Preparation of the MeReO</w:t>
        </w:r>
        <w:r w:rsidRPr="00404E93">
          <w:rPr>
            <w:rStyle w:val="Hyperlink"/>
            <w:noProof/>
            <w:vertAlign w:val="subscript"/>
          </w:rPr>
          <w:t>3</w:t>
        </w:r>
        <w:r w:rsidRPr="00404E93">
          <w:rPr>
            <w:rStyle w:val="Hyperlink"/>
            <w:noProof/>
          </w:rPr>
          <w:t>(ŋ</w:t>
        </w:r>
        <w:r w:rsidRPr="00404E93">
          <w:rPr>
            <w:rStyle w:val="Hyperlink"/>
            <w:noProof/>
            <w:vertAlign w:val="superscript"/>
          </w:rPr>
          <w:t>1</w:t>
        </w:r>
        <w:r w:rsidRPr="00404E93">
          <w:rPr>
            <w:rStyle w:val="Hyperlink"/>
            <w:noProof/>
          </w:rPr>
          <w:t>-indoline) (</w:t>
        </w:r>
        <w:r w:rsidRPr="00404E93">
          <w:rPr>
            <w:rStyle w:val="Hyperlink"/>
            <w:b/>
            <w:noProof/>
          </w:rPr>
          <w:t>4</w:t>
        </w:r>
        <w:r w:rsidRPr="00404E93">
          <w:rPr>
            <w:rStyle w:val="Hyperlink"/>
            <w:noProof/>
          </w:rPr>
          <w:t>).</w:t>
        </w:r>
        <w:r>
          <w:rPr>
            <w:noProof/>
            <w:webHidden/>
          </w:rPr>
          <w:tab/>
        </w:r>
        <w:r>
          <w:rPr>
            <w:noProof/>
            <w:webHidden/>
          </w:rPr>
          <w:fldChar w:fldCharType="begin"/>
        </w:r>
        <w:r>
          <w:rPr>
            <w:noProof/>
            <w:webHidden/>
          </w:rPr>
          <w:instrText xml:space="preserve"> PAGEREF _Toc458938290 \h </w:instrText>
        </w:r>
        <w:r>
          <w:rPr>
            <w:noProof/>
            <w:webHidden/>
          </w:rPr>
        </w:r>
        <w:r>
          <w:rPr>
            <w:noProof/>
            <w:webHidden/>
          </w:rPr>
          <w:fldChar w:fldCharType="separate"/>
        </w:r>
        <w:r w:rsidR="000A0E3D">
          <w:rPr>
            <w:noProof/>
            <w:webHidden/>
          </w:rPr>
          <w:t>52</w:t>
        </w:r>
        <w:r>
          <w:rPr>
            <w:noProof/>
            <w:webHidden/>
          </w:rPr>
          <w:fldChar w:fldCharType="end"/>
        </w:r>
      </w:hyperlink>
    </w:p>
    <w:p w14:paraId="6B488907"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291" w:history="1">
        <w:r w:rsidRPr="00404E93">
          <w:rPr>
            <w:rStyle w:val="Hyperlink"/>
            <w:noProof/>
          </w:rPr>
          <w:t>g.</w:t>
        </w:r>
        <w:r>
          <w:rPr>
            <w:rFonts w:eastAsiaTheme="minorEastAsia" w:cstheme="minorBidi"/>
            <w:noProof/>
            <w:sz w:val="22"/>
            <w:szCs w:val="22"/>
            <w:lang w:bidi="ar-SA"/>
          </w:rPr>
          <w:tab/>
        </w:r>
        <w:r w:rsidRPr="00404E93">
          <w:rPr>
            <w:rStyle w:val="Hyperlink"/>
            <w:noProof/>
          </w:rPr>
          <w:t xml:space="preserve">X-ray crystal structure determination of </w:t>
        </w:r>
        <w:r w:rsidRPr="00404E93">
          <w:rPr>
            <w:rStyle w:val="Hyperlink"/>
            <w:b/>
            <w:noProof/>
          </w:rPr>
          <w:t>4</w:t>
        </w:r>
        <w:r>
          <w:rPr>
            <w:noProof/>
            <w:webHidden/>
          </w:rPr>
          <w:tab/>
        </w:r>
        <w:r>
          <w:rPr>
            <w:noProof/>
            <w:webHidden/>
          </w:rPr>
          <w:fldChar w:fldCharType="begin"/>
        </w:r>
        <w:r>
          <w:rPr>
            <w:noProof/>
            <w:webHidden/>
          </w:rPr>
          <w:instrText xml:space="preserve"> PAGEREF _Toc458938291 \h </w:instrText>
        </w:r>
        <w:r>
          <w:rPr>
            <w:noProof/>
            <w:webHidden/>
          </w:rPr>
        </w:r>
        <w:r>
          <w:rPr>
            <w:noProof/>
            <w:webHidden/>
          </w:rPr>
          <w:fldChar w:fldCharType="separate"/>
        </w:r>
        <w:r w:rsidR="000A0E3D">
          <w:rPr>
            <w:noProof/>
            <w:webHidden/>
          </w:rPr>
          <w:t>53</w:t>
        </w:r>
        <w:r>
          <w:rPr>
            <w:noProof/>
            <w:webHidden/>
          </w:rPr>
          <w:fldChar w:fldCharType="end"/>
        </w:r>
      </w:hyperlink>
    </w:p>
    <w:p w14:paraId="58BDCA8D"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292" w:history="1">
        <w:r w:rsidRPr="00404E93">
          <w:rPr>
            <w:rStyle w:val="Hyperlink"/>
            <w:noProof/>
          </w:rPr>
          <w:t>h.</w:t>
        </w:r>
        <w:r>
          <w:rPr>
            <w:rFonts w:eastAsiaTheme="minorEastAsia" w:cstheme="minorBidi"/>
            <w:noProof/>
            <w:sz w:val="22"/>
            <w:szCs w:val="22"/>
            <w:lang w:bidi="ar-SA"/>
          </w:rPr>
          <w:tab/>
        </w:r>
        <w:r w:rsidRPr="00404E93">
          <w:rPr>
            <w:rStyle w:val="Hyperlink"/>
            <w:rFonts w:cstheme="minorHAnsi"/>
            <w:noProof/>
          </w:rPr>
          <w:t>MeReO</w:t>
        </w:r>
        <w:r w:rsidRPr="00404E93">
          <w:rPr>
            <w:rStyle w:val="Hyperlink"/>
            <w:rFonts w:cstheme="minorHAnsi"/>
            <w:noProof/>
            <w:vertAlign w:val="subscript"/>
          </w:rPr>
          <w:t>3</w:t>
        </w:r>
        <w:r w:rsidRPr="00404E93">
          <w:rPr>
            <w:rStyle w:val="Hyperlink"/>
            <w:noProof/>
          </w:rPr>
          <w:t>:indoline reactivity study.</w:t>
        </w:r>
        <w:r>
          <w:rPr>
            <w:noProof/>
            <w:webHidden/>
          </w:rPr>
          <w:tab/>
        </w:r>
        <w:r>
          <w:rPr>
            <w:noProof/>
            <w:webHidden/>
          </w:rPr>
          <w:fldChar w:fldCharType="begin"/>
        </w:r>
        <w:r>
          <w:rPr>
            <w:noProof/>
            <w:webHidden/>
          </w:rPr>
          <w:instrText xml:space="preserve"> PAGEREF _Toc458938292 \h </w:instrText>
        </w:r>
        <w:r>
          <w:rPr>
            <w:noProof/>
            <w:webHidden/>
          </w:rPr>
        </w:r>
        <w:r>
          <w:rPr>
            <w:noProof/>
            <w:webHidden/>
          </w:rPr>
          <w:fldChar w:fldCharType="separate"/>
        </w:r>
        <w:r w:rsidR="000A0E3D">
          <w:rPr>
            <w:noProof/>
            <w:webHidden/>
          </w:rPr>
          <w:t>56</w:t>
        </w:r>
        <w:r>
          <w:rPr>
            <w:noProof/>
            <w:webHidden/>
          </w:rPr>
          <w:fldChar w:fldCharType="end"/>
        </w:r>
      </w:hyperlink>
    </w:p>
    <w:p w14:paraId="04106A8E" w14:textId="77777777" w:rsidR="001539C6" w:rsidRDefault="001539C6">
      <w:pPr>
        <w:pStyle w:val="TOC3"/>
        <w:tabs>
          <w:tab w:val="left" w:pos="1080"/>
          <w:tab w:val="right" w:leader="dot" w:pos="8486"/>
        </w:tabs>
        <w:rPr>
          <w:rFonts w:eastAsiaTheme="minorEastAsia" w:cstheme="minorBidi"/>
          <w:noProof/>
          <w:sz w:val="22"/>
          <w:szCs w:val="22"/>
          <w:lang w:bidi="ar-SA"/>
        </w:rPr>
      </w:pPr>
      <w:hyperlink w:anchor="_Toc458938293" w:history="1">
        <w:r w:rsidRPr="00404E93">
          <w:rPr>
            <w:rStyle w:val="Hyperlink"/>
            <w:noProof/>
          </w:rPr>
          <w:t>i.</w:t>
        </w:r>
        <w:r>
          <w:rPr>
            <w:rFonts w:eastAsiaTheme="minorEastAsia" w:cstheme="minorBidi"/>
            <w:noProof/>
            <w:sz w:val="22"/>
            <w:szCs w:val="22"/>
            <w:lang w:bidi="ar-SA"/>
          </w:rPr>
          <w:tab/>
        </w:r>
        <w:r w:rsidRPr="00404E93">
          <w:rPr>
            <w:rStyle w:val="Hyperlink"/>
            <w:noProof/>
          </w:rPr>
          <w:t>MDO trapping.</w:t>
        </w:r>
        <w:r>
          <w:rPr>
            <w:noProof/>
            <w:webHidden/>
          </w:rPr>
          <w:tab/>
        </w:r>
        <w:r>
          <w:rPr>
            <w:noProof/>
            <w:webHidden/>
          </w:rPr>
          <w:fldChar w:fldCharType="begin"/>
        </w:r>
        <w:r>
          <w:rPr>
            <w:noProof/>
            <w:webHidden/>
          </w:rPr>
          <w:instrText xml:space="preserve"> PAGEREF _Toc458938293 \h </w:instrText>
        </w:r>
        <w:r>
          <w:rPr>
            <w:noProof/>
            <w:webHidden/>
          </w:rPr>
        </w:r>
        <w:r>
          <w:rPr>
            <w:noProof/>
            <w:webHidden/>
          </w:rPr>
          <w:fldChar w:fldCharType="separate"/>
        </w:r>
        <w:r w:rsidR="000A0E3D">
          <w:rPr>
            <w:noProof/>
            <w:webHidden/>
          </w:rPr>
          <w:t>57</w:t>
        </w:r>
        <w:r>
          <w:rPr>
            <w:noProof/>
            <w:webHidden/>
          </w:rPr>
          <w:fldChar w:fldCharType="end"/>
        </w:r>
      </w:hyperlink>
    </w:p>
    <w:p w14:paraId="04D46936" w14:textId="77777777" w:rsidR="001539C6" w:rsidRDefault="001539C6">
      <w:pPr>
        <w:pStyle w:val="TOC3"/>
        <w:tabs>
          <w:tab w:val="left" w:pos="1080"/>
          <w:tab w:val="right" w:leader="dot" w:pos="8486"/>
        </w:tabs>
        <w:rPr>
          <w:rFonts w:eastAsiaTheme="minorEastAsia" w:cstheme="minorBidi"/>
          <w:noProof/>
          <w:sz w:val="22"/>
          <w:szCs w:val="22"/>
          <w:lang w:bidi="ar-SA"/>
        </w:rPr>
      </w:pPr>
      <w:hyperlink w:anchor="_Toc458938294" w:history="1">
        <w:r w:rsidRPr="00404E93">
          <w:rPr>
            <w:rStyle w:val="Hyperlink"/>
            <w:noProof/>
          </w:rPr>
          <w:t>j.</w:t>
        </w:r>
        <w:r>
          <w:rPr>
            <w:rFonts w:eastAsiaTheme="minorEastAsia" w:cstheme="minorBidi"/>
            <w:noProof/>
            <w:sz w:val="22"/>
            <w:szCs w:val="22"/>
            <w:lang w:bidi="ar-SA"/>
          </w:rPr>
          <w:tab/>
        </w:r>
        <w:r w:rsidRPr="00404E93">
          <w:rPr>
            <w:rStyle w:val="Hyperlink"/>
            <w:noProof/>
          </w:rPr>
          <w:t xml:space="preserve">Competition between indoline and ethylene glycol for </w:t>
        </w:r>
        <w:r w:rsidRPr="00404E93">
          <w:rPr>
            <w:rStyle w:val="Hyperlink"/>
            <w:rFonts w:cstheme="minorHAnsi"/>
            <w:noProof/>
          </w:rPr>
          <w:t>MeReO</w:t>
        </w:r>
        <w:r w:rsidRPr="00404E93">
          <w:rPr>
            <w:rStyle w:val="Hyperlink"/>
            <w:rFonts w:cstheme="minorHAnsi"/>
            <w:noProof/>
            <w:vertAlign w:val="subscript"/>
          </w:rPr>
          <w:t>3</w:t>
        </w:r>
        <w:r w:rsidRPr="00404E93">
          <w:rPr>
            <w:rStyle w:val="Hyperlink"/>
            <w:noProof/>
          </w:rPr>
          <w:t>.</w:t>
        </w:r>
        <w:r>
          <w:rPr>
            <w:noProof/>
            <w:webHidden/>
          </w:rPr>
          <w:tab/>
        </w:r>
        <w:r>
          <w:rPr>
            <w:noProof/>
            <w:webHidden/>
          </w:rPr>
          <w:fldChar w:fldCharType="begin"/>
        </w:r>
        <w:r>
          <w:rPr>
            <w:noProof/>
            <w:webHidden/>
          </w:rPr>
          <w:instrText xml:space="preserve"> PAGEREF _Toc458938294 \h </w:instrText>
        </w:r>
        <w:r>
          <w:rPr>
            <w:noProof/>
            <w:webHidden/>
          </w:rPr>
        </w:r>
        <w:r>
          <w:rPr>
            <w:noProof/>
            <w:webHidden/>
          </w:rPr>
          <w:fldChar w:fldCharType="separate"/>
        </w:r>
        <w:r w:rsidR="000A0E3D">
          <w:rPr>
            <w:noProof/>
            <w:webHidden/>
          </w:rPr>
          <w:t>57</w:t>
        </w:r>
        <w:r>
          <w:rPr>
            <w:noProof/>
            <w:webHidden/>
          </w:rPr>
          <w:fldChar w:fldCharType="end"/>
        </w:r>
      </w:hyperlink>
    </w:p>
    <w:p w14:paraId="63D4E2C1" w14:textId="77777777" w:rsidR="001539C6" w:rsidRDefault="001539C6">
      <w:pPr>
        <w:pStyle w:val="TOC2"/>
        <w:tabs>
          <w:tab w:val="right" w:leader="dot" w:pos="8486"/>
        </w:tabs>
        <w:rPr>
          <w:rFonts w:eastAsiaTheme="minorEastAsia" w:cstheme="minorBidi"/>
          <w:noProof/>
          <w:sz w:val="22"/>
          <w:szCs w:val="22"/>
          <w:lang w:bidi="ar-SA"/>
        </w:rPr>
      </w:pPr>
      <w:hyperlink w:anchor="_Toc458938295" w:history="1">
        <w:r w:rsidRPr="00404E93">
          <w:rPr>
            <w:rStyle w:val="Hyperlink"/>
            <w:noProof/>
          </w:rPr>
          <w:t>7.</w:t>
        </w:r>
        <w:r>
          <w:rPr>
            <w:rFonts w:eastAsiaTheme="minorEastAsia" w:cstheme="minorBidi"/>
            <w:noProof/>
            <w:sz w:val="22"/>
            <w:szCs w:val="22"/>
            <w:lang w:bidi="ar-SA"/>
          </w:rPr>
          <w:tab/>
        </w:r>
        <w:r w:rsidRPr="00404E93">
          <w:rPr>
            <w:rStyle w:val="Hyperlink"/>
            <w:noProof/>
          </w:rPr>
          <w:t>Acknowledgment</w:t>
        </w:r>
        <w:r>
          <w:rPr>
            <w:noProof/>
            <w:webHidden/>
          </w:rPr>
          <w:tab/>
        </w:r>
        <w:r>
          <w:rPr>
            <w:noProof/>
            <w:webHidden/>
          </w:rPr>
          <w:fldChar w:fldCharType="begin"/>
        </w:r>
        <w:r>
          <w:rPr>
            <w:noProof/>
            <w:webHidden/>
          </w:rPr>
          <w:instrText xml:space="preserve"> PAGEREF _Toc458938295 \h </w:instrText>
        </w:r>
        <w:r>
          <w:rPr>
            <w:noProof/>
            <w:webHidden/>
          </w:rPr>
        </w:r>
        <w:r>
          <w:rPr>
            <w:noProof/>
            <w:webHidden/>
          </w:rPr>
          <w:fldChar w:fldCharType="separate"/>
        </w:r>
        <w:r w:rsidR="000A0E3D">
          <w:rPr>
            <w:noProof/>
            <w:webHidden/>
          </w:rPr>
          <w:t>57</w:t>
        </w:r>
        <w:r>
          <w:rPr>
            <w:noProof/>
            <w:webHidden/>
          </w:rPr>
          <w:fldChar w:fldCharType="end"/>
        </w:r>
      </w:hyperlink>
    </w:p>
    <w:p w14:paraId="790BF168" w14:textId="77777777" w:rsidR="001539C6" w:rsidRDefault="001539C6">
      <w:pPr>
        <w:pStyle w:val="TOC1"/>
        <w:rPr>
          <w:rFonts w:eastAsiaTheme="minorEastAsia" w:cstheme="minorBidi"/>
          <w:noProof/>
          <w:sz w:val="22"/>
          <w:szCs w:val="22"/>
          <w:lang w:bidi="ar-SA"/>
        </w:rPr>
      </w:pPr>
      <w:hyperlink w:anchor="_Toc458938296" w:history="1">
        <w:r w:rsidRPr="00404E93">
          <w:rPr>
            <w:rStyle w:val="Hyperlink"/>
            <w:rFonts w:cstheme="minorHAnsi"/>
            <w:noProof/>
          </w:rPr>
          <w:t>Chapter III.</w:t>
        </w:r>
        <w:r>
          <w:rPr>
            <w:rFonts w:eastAsiaTheme="minorEastAsia" w:cstheme="minorBidi"/>
            <w:noProof/>
            <w:sz w:val="22"/>
            <w:szCs w:val="22"/>
            <w:lang w:bidi="ar-SA"/>
          </w:rPr>
          <w:tab/>
        </w:r>
        <w:r w:rsidRPr="00404E93">
          <w:rPr>
            <w:rStyle w:val="Hyperlink"/>
            <w:rFonts w:cstheme="minorHAnsi"/>
            <w:noProof/>
          </w:rPr>
          <w:t>DODH/C-C Bond Forming Tandem Reactions</w:t>
        </w:r>
        <w:r>
          <w:rPr>
            <w:noProof/>
            <w:webHidden/>
          </w:rPr>
          <w:tab/>
        </w:r>
        <w:r>
          <w:rPr>
            <w:noProof/>
            <w:webHidden/>
          </w:rPr>
          <w:fldChar w:fldCharType="begin"/>
        </w:r>
        <w:r>
          <w:rPr>
            <w:noProof/>
            <w:webHidden/>
          </w:rPr>
          <w:instrText xml:space="preserve"> PAGEREF _Toc458938296 \h </w:instrText>
        </w:r>
        <w:r>
          <w:rPr>
            <w:noProof/>
            <w:webHidden/>
          </w:rPr>
        </w:r>
        <w:r>
          <w:rPr>
            <w:noProof/>
            <w:webHidden/>
          </w:rPr>
          <w:fldChar w:fldCharType="separate"/>
        </w:r>
        <w:r w:rsidR="000A0E3D">
          <w:rPr>
            <w:noProof/>
            <w:webHidden/>
          </w:rPr>
          <w:t>58</w:t>
        </w:r>
        <w:r>
          <w:rPr>
            <w:noProof/>
            <w:webHidden/>
          </w:rPr>
          <w:fldChar w:fldCharType="end"/>
        </w:r>
      </w:hyperlink>
    </w:p>
    <w:p w14:paraId="5A39272E" w14:textId="77777777" w:rsidR="001539C6" w:rsidRDefault="001539C6">
      <w:pPr>
        <w:pStyle w:val="TOC2"/>
        <w:tabs>
          <w:tab w:val="right" w:leader="dot" w:pos="8486"/>
        </w:tabs>
        <w:rPr>
          <w:rFonts w:eastAsiaTheme="minorEastAsia" w:cstheme="minorBidi"/>
          <w:noProof/>
          <w:sz w:val="22"/>
          <w:szCs w:val="22"/>
          <w:lang w:bidi="ar-SA"/>
        </w:rPr>
      </w:pPr>
      <w:hyperlink w:anchor="_Toc458938297" w:history="1">
        <w:r w:rsidRPr="00404E93">
          <w:rPr>
            <w:rStyle w:val="Hyperlink"/>
            <w:noProof/>
          </w:rPr>
          <w:t>1.</w:t>
        </w:r>
        <w:r>
          <w:rPr>
            <w:rFonts w:eastAsiaTheme="minorEastAsia" w:cstheme="minorBidi"/>
            <w:noProof/>
            <w:sz w:val="22"/>
            <w:szCs w:val="22"/>
            <w:lang w:bidi="ar-SA"/>
          </w:rPr>
          <w:tab/>
        </w:r>
        <w:r w:rsidRPr="00404E93">
          <w:rPr>
            <w:rStyle w:val="Hyperlink"/>
            <w:noProof/>
          </w:rPr>
          <w:t>DODH / Hetero Diels Alder Coupling</w:t>
        </w:r>
        <w:r>
          <w:rPr>
            <w:noProof/>
            <w:webHidden/>
          </w:rPr>
          <w:tab/>
        </w:r>
        <w:r>
          <w:rPr>
            <w:noProof/>
            <w:webHidden/>
          </w:rPr>
          <w:fldChar w:fldCharType="begin"/>
        </w:r>
        <w:r>
          <w:rPr>
            <w:noProof/>
            <w:webHidden/>
          </w:rPr>
          <w:instrText xml:space="preserve"> PAGEREF _Toc458938297 \h </w:instrText>
        </w:r>
        <w:r>
          <w:rPr>
            <w:noProof/>
            <w:webHidden/>
          </w:rPr>
        </w:r>
        <w:r>
          <w:rPr>
            <w:noProof/>
            <w:webHidden/>
          </w:rPr>
          <w:fldChar w:fldCharType="separate"/>
        </w:r>
        <w:r w:rsidR="000A0E3D">
          <w:rPr>
            <w:noProof/>
            <w:webHidden/>
          </w:rPr>
          <w:t>58</w:t>
        </w:r>
        <w:r>
          <w:rPr>
            <w:noProof/>
            <w:webHidden/>
          </w:rPr>
          <w:fldChar w:fldCharType="end"/>
        </w:r>
      </w:hyperlink>
    </w:p>
    <w:p w14:paraId="5DA0E80D"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298" w:history="1">
        <w:r w:rsidRPr="00404E93">
          <w:rPr>
            <w:rStyle w:val="Hyperlink"/>
            <w:noProof/>
          </w:rPr>
          <w:t>a.</w:t>
        </w:r>
        <w:r>
          <w:rPr>
            <w:rFonts w:eastAsiaTheme="minorEastAsia" w:cstheme="minorBidi"/>
            <w:noProof/>
            <w:sz w:val="22"/>
            <w:szCs w:val="22"/>
            <w:lang w:bidi="ar-SA"/>
          </w:rPr>
          <w:tab/>
        </w:r>
        <w:r w:rsidRPr="00404E93">
          <w:rPr>
            <w:rStyle w:val="Hyperlink"/>
            <w:noProof/>
          </w:rPr>
          <w:t>Introduction</w:t>
        </w:r>
        <w:r>
          <w:rPr>
            <w:noProof/>
            <w:webHidden/>
          </w:rPr>
          <w:tab/>
        </w:r>
        <w:r>
          <w:rPr>
            <w:noProof/>
            <w:webHidden/>
          </w:rPr>
          <w:fldChar w:fldCharType="begin"/>
        </w:r>
        <w:r>
          <w:rPr>
            <w:noProof/>
            <w:webHidden/>
          </w:rPr>
          <w:instrText xml:space="preserve"> PAGEREF _Toc458938298 \h </w:instrText>
        </w:r>
        <w:r>
          <w:rPr>
            <w:noProof/>
            <w:webHidden/>
          </w:rPr>
        </w:r>
        <w:r>
          <w:rPr>
            <w:noProof/>
            <w:webHidden/>
          </w:rPr>
          <w:fldChar w:fldCharType="separate"/>
        </w:r>
        <w:r w:rsidR="000A0E3D">
          <w:rPr>
            <w:noProof/>
            <w:webHidden/>
          </w:rPr>
          <w:t>58</w:t>
        </w:r>
        <w:r>
          <w:rPr>
            <w:noProof/>
            <w:webHidden/>
          </w:rPr>
          <w:fldChar w:fldCharType="end"/>
        </w:r>
      </w:hyperlink>
    </w:p>
    <w:p w14:paraId="00F31A7C"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299" w:history="1">
        <w:r w:rsidRPr="00404E93">
          <w:rPr>
            <w:rStyle w:val="Hyperlink"/>
            <w:noProof/>
          </w:rPr>
          <w:t>b.</w:t>
        </w:r>
        <w:r>
          <w:rPr>
            <w:rFonts w:eastAsiaTheme="minorEastAsia" w:cstheme="minorBidi"/>
            <w:noProof/>
            <w:sz w:val="22"/>
            <w:szCs w:val="22"/>
            <w:lang w:bidi="ar-SA"/>
          </w:rPr>
          <w:tab/>
        </w:r>
        <w:r w:rsidRPr="00404E93">
          <w:rPr>
            <w:rStyle w:val="Hyperlink"/>
            <w:noProof/>
          </w:rPr>
          <w:t xml:space="preserve">DODH using </w:t>
        </w:r>
        <w:r w:rsidRPr="00404E93">
          <w:rPr>
            <w:rStyle w:val="Hyperlink"/>
            <w:rFonts w:cstheme="majorHAnsi"/>
            <w:noProof/>
          </w:rPr>
          <w:t>α</w:t>
        </w:r>
        <w:r w:rsidRPr="00404E93">
          <w:rPr>
            <w:rStyle w:val="Hyperlink"/>
            <w:noProof/>
          </w:rPr>
          <w:t>-hydroxy carbonyls as reducing agent</w:t>
        </w:r>
        <w:r>
          <w:rPr>
            <w:noProof/>
            <w:webHidden/>
          </w:rPr>
          <w:tab/>
        </w:r>
        <w:r>
          <w:rPr>
            <w:noProof/>
            <w:webHidden/>
          </w:rPr>
          <w:fldChar w:fldCharType="begin"/>
        </w:r>
        <w:r>
          <w:rPr>
            <w:noProof/>
            <w:webHidden/>
          </w:rPr>
          <w:instrText xml:space="preserve"> PAGEREF _Toc458938299 \h </w:instrText>
        </w:r>
        <w:r>
          <w:rPr>
            <w:noProof/>
            <w:webHidden/>
          </w:rPr>
        </w:r>
        <w:r>
          <w:rPr>
            <w:noProof/>
            <w:webHidden/>
          </w:rPr>
          <w:fldChar w:fldCharType="separate"/>
        </w:r>
        <w:r w:rsidR="000A0E3D">
          <w:rPr>
            <w:noProof/>
            <w:webHidden/>
          </w:rPr>
          <w:t>60</w:t>
        </w:r>
        <w:r>
          <w:rPr>
            <w:noProof/>
            <w:webHidden/>
          </w:rPr>
          <w:fldChar w:fldCharType="end"/>
        </w:r>
      </w:hyperlink>
    </w:p>
    <w:p w14:paraId="094BBFC5"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00" w:history="1">
        <w:r w:rsidRPr="00404E93">
          <w:rPr>
            <w:rStyle w:val="Hyperlink"/>
            <w:noProof/>
          </w:rPr>
          <w:t>c.</w:t>
        </w:r>
        <w:r>
          <w:rPr>
            <w:rFonts w:eastAsiaTheme="minorEastAsia" w:cstheme="minorBidi"/>
            <w:noProof/>
            <w:sz w:val="22"/>
            <w:szCs w:val="22"/>
            <w:lang w:bidi="ar-SA"/>
          </w:rPr>
          <w:tab/>
        </w:r>
        <w:r w:rsidRPr="00404E93">
          <w:rPr>
            <w:rStyle w:val="Hyperlink"/>
            <w:noProof/>
          </w:rPr>
          <w:t>Study of the Hetero Diels Alder step</w:t>
        </w:r>
        <w:r>
          <w:rPr>
            <w:noProof/>
            <w:webHidden/>
          </w:rPr>
          <w:tab/>
        </w:r>
        <w:r>
          <w:rPr>
            <w:noProof/>
            <w:webHidden/>
          </w:rPr>
          <w:fldChar w:fldCharType="begin"/>
        </w:r>
        <w:r>
          <w:rPr>
            <w:noProof/>
            <w:webHidden/>
          </w:rPr>
          <w:instrText xml:space="preserve"> PAGEREF _Toc458938300 \h </w:instrText>
        </w:r>
        <w:r>
          <w:rPr>
            <w:noProof/>
            <w:webHidden/>
          </w:rPr>
        </w:r>
        <w:r>
          <w:rPr>
            <w:noProof/>
            <w:webHidden/>
          </w:rPr>
          <w:fldChar w:fldCharType="separate"/>
        </w:r>
        <w:r w:rsidR="000A0E3D">
          <w:rPr>
            <w:noProof/>
            <w:webHidden/>
          </w:rPr>
          <w:t>66</w:t>
        </w:r>
        <w:r>
          <w:rPr>
            <w:noProof/>
            <w:webHidden/>
          </w:rPr>
          <w:fldChar w:fldCharType="end"/>
        </w:r>
      </w:hyperlink>
    </w:p>
    <w:p w14:paraId="3A08AF4D"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01" w:history="1">
        <w:r w:rsidRPr="00404E93">
          <w:rPr>
            <w:rStyle w:val="Hyperlink"/>
            <w:noProof/>
          </w:rPr>
          <w:t>d.</w:t>
        </w:r>
        <w:r>
          <w:rPr>
            <w:rFonts w:eastAsiaTheme="minorEastAsia" w:cstheme="minorBidi"/>
            <w:noProof/>
            <w:sz w:val="22"/>
            <w:szCs w:val="22"/>
            <w:lang w:bidi="ar-SA"/>
          </w:rPr>
          <w:tab/>
        </w:r>
        <w:r w:rsidRPr="00404E93">
          <w:rPr>
            <w:rStyle w:val="Hyperlink"/>
            <w:noProof/>
          </w:rPr>
          <w:t>Conclusions</w:t>
        </w:r>
        <w:r>
          <w:rPr>
            <w:noProof/>
            <w:webHidden/>
          </w:rPr>
          <w:tab/>
        </w:r>
        <w:r>
          <w:rPr>
            <w:noProof/>
            <w:webHidden/>
          </w:rPr>
          <w:fldChar w:fldCharType="begin"/>
        </w:r>
        <w:r>
          <w:rPr>
            <w:noProof/>
            <w:webHidden/>
          </w:rPr>
          <w:instrText xml:space="preserve"> PAGEREF _Toc458938301 \h </w:instrText>
        </w:r>
        <w:r>
          <w:rPr>
            <w:noProof/>
            <w:webHidden/>
          </w:rPr>
        </w:r>
        <w:r>
          <w:rPr>
            <w:noProof/>
            <w:webHidden/>
          </w:rPr>
          <w:fldChar w:fldCharType="separate"/>
        </w:r>
        <w:r w:rsidR="000A0E3D">
          <w:rPr>
            <w:noProof/>
            <w:webHidden/>
          </w:rPr>
          <w:t>69</w:t>
        </w:r>
        <w:r>
          <w:rPr>
            <w:noProof/>
            <w:webHidden/>
          </w:rPr>
          <w:fldChar w:fldCharType="end"/>
        </w:r>
      </w:hyperlink>
    </w:p>
    <w:p w14:paraId="7A39EDEE"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02" w:history="1">
        <w:r w:rsidRPr="00404E93">
          <w:rPr>
            <w:rStyle w:val="Hyperlink"/>
            <w:noProof/>
          </w:rPr>
          <w:t>e.</w:t>
        </w:r>
        <w:r>
          <w:rPr>
            <w:rFonts w:eastAsiaTheme="minorEastAsia" w:cstheme="minorBidi"/>
            <w:noProof/>
            <w:sz w:val="22"/>
            <w:szCs w:val="22"/>
            <w:lang w:bidi="ar-SA"/>
          </w:rPr>
          <w:tab/>
        </w:r>
        <w:r w:rsidRPr="00404E93">
          <w:rPr>
            <w:rStyle w:val="Hyperlink"/>
            <w:noProof/>
          </w:rPr>
          <w:t>Experimental</w:t>
        </w:r>
        <w:r>
          <w:rPr>
            <w:noProof/>
            <w:webHidden/>
          </w:rPr>
          <w:tab/>
        </w:r>
        <w:r>
          <w:rPr>
            <w:noProof/>
            <w:webHidden/>
          </w:rPr>
          <w:fldChar w:fldCharType="begin"/>
        </w:r>
        <w:r>
          <w:rPr>
            <w:noProof/>
            <w:webHidden/>
          </w:rPr>
          <w:instrText xml:space="preserve"> PAGEREF _Toc458938302 \h </w:instrText>
        </w:r>
        <w:r>
          <w:rPr>
            <w:noProof/>
            <w:webHidden/>
          </w:rPr>
        </w:r>
        <w:r>
          <w:rPr>
            <w:noProof/>
            <w:webHidden/>
          </w:rPr>
          <w:fldChar w:fldCharType="separate"/>
        </w:r>
        <w:r w:rsidR="000A0E3D">
          <w:rPr>
            <w:noProof/>
            <w:webHidden/>
          </w:rPr>
          <w:t>69</w:t>
        </w:r>
        <w:r>
          <w:rPr>
            <w:noProof/>
            <w:webHidden/>
          </w:rPr>
          <w:fldChar w:fldCharType="end"/>
        </w:r>
      </w:hyperlink>
    </w:p>
    <w:p w14:paraId="1B69BA99" w14:textId="77777777" w:rsidR="001539C6" w:rsidRDefault="001539C6">
      <w:pPr>
        <w:pStyle w:val="TOC2"/>
        <w:tabs>
          <w:tab w:val="right" w:leader="dot" w:pos="8486"/>
        </w:tabs>
        <w:rPr>
          <w:rFonts w:eastAsiaTheme="minorEastAsia" w:cstheme="minorBidi"/>
          <w:noProof/>
          <w:sz w:val="22"/>
          <w:szCs w:val="22"/>
          <w:lang w:bidi="ar-SA"/>
        </w:rPr>
      </w:pPr>
      <w:hyperlink w:anchor="_Toc458938303" w:history="1">
        <w:r w:rsidRPr="00404E93">
          <w:rPr>
            <w:rStyle w:val="Hyperlink"/>
            <w:noProof/>
          </w:rPr>
          <w:t>2.</w:t>
        </w:r>
        <w:r>
          <w:rPr>
            <w:rFonts w:eastAsiaTheme="minorEastAsia" w:cstheme="minorBidi"/>
            <w:noProof/>
            <w:sz w:val="22"/>
            <w:szCs w:val="22"/>
            <w:lang w:bidi="ar-SA"/>
          </w:rPr>
          <w:tab/>
        </w:r>
        <w:r w:rsidRPr="00404E93">
          <w:rPr>
            <w:rStyle w:val="Hyperlink"/>
            <w:noProof/>
          </w:rPr>
          <w:t>DODH / Metathesis Tandem Reaction</w:t>
        </w:r>
        <w:r>
          <w:rPr>
            <w:noProof/>
            <w:webHidden/>
          </w:rPr>
          <w:tab/>
        </w:r>
        <w:r>
          <w:rPr>
            <w:noProof/>
            <w:webHidden/>
          </w:rPr>
          <w:fldChar w:fldCharType="begin"/>
        </w:r>
        <w:r>
          <w:rPr>
            <w:noProof/>
            <w:webHidden/>
          </w:rPr>
          <w:instrText xml:space="preserve"> PAGEREF _Toc458938303 \h </w:instrText>
        </w:r>
        <w:r>
          <w:rPr>
            <w:noProof/>
            <w:webHidden/>
          </w:rPr>
        </w:r>
        <w:r>
          <w:rPr>
            <w:noProof/>
            <w:webHidden/>
          </w:rPr>
          <w:fldChar w:fldCharType="separate"/>
        </w:r>
        <w:r w:rsidR="000A0E3D">
          <w:rPr>
            <w:noProof/>
            <w:webHidden/>
          </w:rPr>
          <w:t>75</w:t>
        </w:r>
        <w:r>
          <w:rPr>
            <w:noProof/>
            <w:webHidden/>
          </w:rPr>
          <w:fldChar w:fldCharType="end"/>
        </w:r>
      </w:hyperlink>
    </w:p>
    <w:p w14:paraId="4228523A"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04" w:history="1">
        <w:r w:rsidRPr="00404E93">
          <w:rPr>
            <w:rStyle w:val="Hyperlink"/>
            <w:noProof/>
          </w:rPr>
          <w:t>a.</w:t>
        </w:r>
        <w:r>
          <w:rPr>
            <w:rFonts w:eastAsiaTheme="minorEastAsia" w:cstheme="minorBidi"/>
            <w:noProof/>
            <w:sz w:val="22"/>
            <w:szCs w:val="22"/>
            <w:lang w:bidi="ar-SA"/>
          </w:rPr>
          <w:tab/>
        </w:r>
        <w:r w:rsidRPr="00404E93">
          <w:rPr>
            <w:rStyle w:val="Hyperlink"/>
            <w:noProof/>
          </w:rPr>
          <w:t>Introduction and Background</w:t>
        </w:r>
        <w:r>
          <w:rPr>
            <w:noProof/>
            <w:webHidden/>
          </w:rPr>
          <w:tab/>
        </w:r>
        <w:r>
          <w:rPr>
            <w:noProof/>
            <w:webHidden/>
          </w:rPr>
          <w:fldChar w:fldCharType="begin"/>
        </w:r>
        <w:r>
          <w:rPr>
            <w:noProof/>
            <w:webHidden/>
          </w:rPr>
          <w:instrText xml:space="preserve"> PAGEREF _Toc458938304 \h </w:instrText>
        </w:r>
        <w:r>
          <w:rPr>
            <w:noProof/>
            <w:webHidden/>
          </w:rPr>
        </w:r>
        <w:r>
          <w:rPr>
            <w:noProof/>
            <w:webHidden/>
          </w:rPr>
          <w:fldChar w:fldCharType="separate"/>
        </w:r>
        <w:r w:rsidR="000A0E3D">
          <w:rPr>
            <w:noProof/>
            <w:webHidden/>
          </w:rPr>
          <w:t>75</w:t>
        </w:r>
        <w:r>
          <w:rPr>
            <w:noProof/>
            <w:webHidden/>
          </w:rPr>
          <w:fldChar w:fldCharType="end"/>
        </w:r>
      </w:hyperlink>
    </w:p>
    <w:p w14:paraId="1FE76253"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05" w:history="1">
        <w:r w:rsidRPr="00404E93">
          <w:rPr>
            <w:rStyle w:val="Hyperlink"/>
            <w:noProof/>
          </w:rPr>
          <w:t>b.</w:t>
        </w:r>
        <w:r>
          <w:rPr>
            <w:rFonts w:eastAsiaTheme="minorEastAsia" w:cstheme="minorBidi"/>
            <w:noProof/>
            <w:sz w:val="22"/>
            <w:szCs w:val="22"/>
            <w:lang w:bidi="ar-SA"/>
          </w:rPr>
          <w:tab/>
        </w:r>
        <w:r w:rsidRPr="00404E93">
          <w:rPr>
            <w:rStyle w:val="Hyperlink"/>
            <w:noProof/>
          </w:rPr>
          <w:t>Study of metathesis reaction under DODH reaction conditions using CoOMoO</w:t>
        </w:r>
        <w:r w:rsidRPr="00404E93">
          <w:rPr>
            <w:rStyle w:val="Hyperlink"/>
            <w:noProof/>
            <w:vertAlign w:val="subscript"/>
          </w:rPr>
          <w:t>3</w:t>
        </w:r>
        <w:r w:rsidRPr="00404E93">
          <w:rPr>
            <w:rStyle w:val="Hyperlink"/>
            <w:noProof/>
          </w:rPr>
          <w:t>Al</w:t>
        </w:r>
        <w:r w:rsidRPr="00404E93">
          <w:rPr>
            <w:rStyle w:val="Hyperlink"/>
            <w:noProof/>
            <w:vertAlign w:val="subscript"/>
          </w:rPr>
          <w:t>2</w:t>
        </w:r>
        <w:r w:rsidRPr="00404E93">
          <w:rPr>
            <w:rStyle w:val="Hyperlink"/>
            <w:noProof/>
          </w:rPr>
          <w:t>O</w:t>
        </w:r>
        <w:r w:rsidRPr="00404E93">
          <w:rPr>
            <w:rStyle w:val="Hyperlink"/>
            <w:noProof/>
            <w:vertAlign w:val="subscript"/>
          </w:rPr>
          <w:t>3</w:t>
        </w:r>
        <w:r w:rsidRPr="00404E93">
          <w:rPr>
            <w:rStyle w:val="Hyperlink"/>
            <w:noProof/>
          </w:rPr>
          <w:t xml:space="preserve"> as catalyst</w:t>
        </w:r>
        <w:r>
          <w:rPr>
            <w:noProof/>
            <w:webHidden/>
          </w:rPr>
          <w:tab/>
        </w:r>
        <w:r>
          <w:rPr>
            <w:noProof/>
            <w:webHidden/>
          </w:rPr>
          <w:fldChar w:fldCharType="begin"/>
        </w:r>
        <w:r>
          <w:rPr>
            <w:noProof/>
            <w:webHidden/>
          </w:rPr>
          <w:instrText xml:space="preserve"> PAGEREF _Toc458938305 \h </w:instrText>
        </w:r>
        <w:r>
          <w:rPr>
            <w:noProof/>
            <w:webHidden/>
          </w:rPr>
        </w:r>
        <w:r>
          <w:rPr>
            <w:noProof/>
            <w:webHidden/>
          </w:rPr>
          <w:fldChar w:fldCharType="separate"/>
        </w:r>
        <w:r w:rsidR="000A0E3D">
          <w:rPr>
            <w:noProof/>
            <w:webHidden/>
          </w:rPr>
          <w:t>77</w:t>
        </w:r>
        <w:r>
          <w:rPr>
            <w:noProof/>
            <w:webHidden/>
          </w:rPr>
          <w:fldChar w:fldCharType="end"/>
        </w:r>
      </w:hyperlink>
    </w:p>
    <w:p w14:paraId="0AB3C92C"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06" w:history="1">
        <w:r w:rsidRPr="00404E93">
          <w:rPr>
            <w:rStyle w:val="Hyperlink"/>
            <w:noProof/>
          </w:rPr>
          <w:t>c.</w:t>
        </w:r>
        <w:r>
          <w:rPr>
            <w:rFonts w:eastAsiaTheme="minorEastAsia" w:cstheme="minorBidi"/>
            <w:noProof/>
            <w:sz w:val="22"/>
            <w:szCs w:val="22"/>
            <w:lang w:bidi="ar-SA"/>
          </w:rPr>
          <w:tab/>
        </w:r>
        <w:r w:rsidRPr="00404E93">
          <w:rPr>
            <w:rStyle w:val="Hyperlink"/>
            <w:noProof/>
          </w:rPr>
          <w:t>Deoxygenation/Metathesis tandem reaction of styrene oxide</w:t>
        </w:r>
        <w:r>
          <w:rPr>
            <w:noProof/>
            <w:webHidden/>
          </w:rPr>
          <w:tab/>
        </w:r>
        <w:r>
          <w:rPr>
            <w:noProof/>
            <w:webHidden/>
          </w:rPr>
          <w:fldChar w:fldCharType="begin"/>
        </w:r>
        <w:r>
          <w:rPr>
            <w:noProof/>
            <w:webHidden/>
          </w:rPr>
          <w:instrText xml:space="preserve"> PAGEREF _Toc458938306 \h </w:instrText>
        </w:r>
        <w:r>
          <w:rPr>
            <w:noProof/>
            <w:webHidden/>
          </w:rPr>
        </w:r>
        <w:r>
          <w:rPr>
            <w:noProof/>
            <w:webHidden/>
          </w:rPr>
          <w:fldChar w:fldCharType="separate"/>
        </w:r>
        <w:r w:rsidR="000A0E3D">
          <w:rPr>
            <w:noProof/>
            <w:webHidden/>
          </w:rPr>
          <w:t>81</w:t>
        </w:r>
        <w:r>
          <w:rPr>
            <w:noProof/>
            <w:webHidden/>
          </w:rPr>
          <w:fldChar w:fldCharType="end"/>
        </w:r>
      </w:hyperlink>
    </w:p>
    <w:p w14:paraId="2E39473F"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07" w:history="1">
        <w:r w:rsidRPr="00404E93">
          <w:rPr>
            <w:rStyle w:val="Hyperlink"/>
            <w:noProof/>
          </w:rPr>
          <w:t>d.</w:t>
        </w:r>
        <w:r>
          <w:rPr>
            <w:rFonts w:eastAsiaTheme="minorEastAsia" w:cstheme="minorBidi"/>
            <w:noProof/>
            <w:sz w:val="22"/>
            <w:szCs w:val="22"/>
            <w:lang w:bidi="ar-SA"/>
          </w:rPr>
          <w:tab/>
        </w:r>
        <w:r w:rsidRPr="00404E93">
          <w:rPr>
            <w:rStyle w:val="Hyperlink"/>
            <w:noProof/>
          </w:rPr>
          <w:t>Conclusion</w:t>
        </w:r>
        <w:r>
          <w:rPr>
            <w:noProof/>
            <w:webHidden/>
          </w:rPr>
          <w:tab/>
        </w:r>
        <w:r>
          <w:rPr>
            <w:noProof/>
            <w:webHidden/>
          </w:rPr>
          <w:fldChar w:fldCharType="begin"/>
        </w:r>
        <w:r>
          <w:rPr>
            <w:noProof/>
            <w:webHidden/>
          </w:rPr>
          <w:instrText xml:space="preserve"> PAGEREF _Toc458938307 \h </w:instrText>
        </w:r>
        <w:r>
          <w:rPr>
            <w:noProof/>
            <w:webHidden/>
          </w:rPr>
        </w:r>
        <w:r>
          <w:rPr>
            <w:noProof/>
            <w:webHidden/>
          </w:rPr>
          <w:fldChar w:fldCharType="separate"/>
        </w:r>
        <w:r w:rsidR="000A0E3D">
          <w:rPr>
            <w:noProof/>
            <w:webHidden/>
          </w:rPr>
          <w:t>82</w:t>
        </w:r>
        <w:r>
          <w:rPr>
            <w:noProof/>
            <w:webHidden/>
          </w:rPr>
          <w:fldChar w:fldCharType="end"/>
        </w:r>
      </w:hyperlink>
    </w:p>
    <w:p w14:paraId="666F0072"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08" w:history="1">
        <w:r w:rsidRPr="00404E93">
          <w:rPr>
            <w:rStyle w:val="Hyperlink"/>
            <w:noProof/>
          </w:rPr>
          <w:t>e.</w:t>
        </w:r>
        <w:r>
          <w:rPr>
            <w:rFonts w:eastAsiaTheme="minorEastAsia" w:cstheme="minorBidi"/>
            <w:noProof/>
            <w:sz w:val="22"/>
            <w:szCs w:val="22"/>
            <w:lang w:bidi="ar-SA"/>
          </w:rPr>
          <w:tab/>
        </w:r>
        <w:r w:rsidRPr="00404E93">
          <w:rPr>
            <w:rStyle w:val="Hyperlink"/>
            <w:noProof/>
          </w:rPr>
          <w:t>Experimental</w:t>
        </w:r>
        <w:r>
          <w:rPr>
            <w:noProof/>
            <w:webHidden/>
          </w:rPr>
          <w:tab/>
        </w:r>
        <w:r>
          <w:rPr>
            <w:noProof/>
            <w:webHidden/>
          </w:rPr>
          <w:fldChar w:fldCharType="begin"/>
        </w:r>
        <w:r>
          <w:rPr>
            <w:noProof/>
            <w:webHidden/>
          </w:rPr>
          <w:instrText xml:space="preserve"> PAGEREF _Toc458938308 \h </w:instrText>
        </w:r>
        <w:r>
          <w:rPr>
            <w:noProof/>
            <w:webHidden/>
          </w:rPr>
        </w:r>
        <w:r>
          <w:rPr>
            <w:noProof/>
            <w:webHidden/>
          </w:rPr>
          <w:fldChar w:fldCharType="separate"/>
        </w:r>
        <w:r w:rsidR="000A0E3D">
          <w:rPr>
            <w:noProof/>
            <w:webHidden/>
          </w:rPr>
          <w:t>83</w:t>
        </w:r>
        <w:r>
          <w:rPr>
            <w:noProof/>
            <w:webHidden/>
          </w:rPr>
          <w:fldChar w:fldCharType="end"/>
        </w:r>
      </w:hyperlink>
    </w:p>
    <w:p w14:paraId="4B70F6F8" w14:textId="77777777" w:rsidR="001539C6" w:rsidRDefault="001539C6">
      <w:pPr>
        <w:pStyle w:val="TOC2"/>
        <w:tabs>
          <w:tab w:val="right" w:leader="dot" w:pos="8486"/>
        </w:tabs>
        <w:rPr>
          <w:rFonts w:eastAsiaTheme="minorEastAsia" w:cstheme="minorBidi"/>
          <w:noProof/>
          <w:sz w:val="22"/>
          <w:szCs w:val="22"/>
          <w:lang w:bidi="ar-SA"/>
        </w:rPr>
      </w:pPr>
      <w:hyperlink w:anchor="_Toc458938309" w:history="1">
        <w:r w:rsidRPr="00404E93">
          <w:rPr>
            <w:rStyle w:val="Hyperlink"/>
            <w:noProof/>
          </w:rPr>
          <w:t>3.</w:t>
        </w:r>
        <w:r>
          <w:rPr>
            <w:rFonts w:eastAsiaTheme="minorEastAsia" w:cstheme="minorBidi"/>
            <w:noProof/>
            <w:sz w:val="22"/>
            <w:szCs w:val="22"/>
            <w:lang w:bidi="ar-SA"/>
          </w:rPr>
          <w:tab/>
        </w:r>
        <w:r w:rsidRPr="00404E93">
          <w:rPr>
            <w:rStyle w:val="Hyperlink"/>
            <w:noProof/>
          </w:rPr>
          <w:t>DODH / Allylation tandem reaction</w:t>
        </w:r>
        <w:r>
          <w:rPr>
            <w:noProof/>
            <w:webHidden/>
          </w:rPr>
          <w:tab/>
        </w:r>
        <w:r>
          <w:rPr>
            <w:noProof/>
            <w:webHidden/>
          </w:rPr>
          <w:fldChar w:fldCharType="begin"/>
        </w:r>
        <w:r>
          <w:rPr>
            <w:noProof/>
            <w:webHidden/>
          </w:rPr>
          <w:instrText xml:space="preserve"> PAGEREF _Toc458938309 \h </w:instrText>
        </w:r>
        <w:r>
          <w:rPr>
            <w:noProof/>
            <w:webHidden/>
          </w:rPr>
        </w:r>
        <w:r>
          <w:rPr>
            <w:noProof/>
            <w:webHidden/>
          </w:rPr>
          <w:fldChar w:fldCharType="separate"/>
        </w:r>
        <w:r w:rsidR="000A0E3D">
          <w:rPr>
            <w:noProof/>
            <w:webHidden/>
          </w:rPr>
          <w:t>90</w:t>
        </w:r>
        <w:r>
          <w:rPr>
            <w:noProof/>
            <w:webHidden/>
          </w:rPr>
          <w:fldChar w:fldCharType="end"/>
        </w:r>
      </w:hyperlink>
    </w:p>
    <w:p w14:paraId="47BF74F7"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10" w:history="1">
        <w:r w:rsidRPr="00404E93">
          <w:rPr>
            <w:rStyle w:val="Hyperlink"/>
            <w:noProof/>
          </w:rPr>
          <w:t>a.</w:t>
        </w:r>
        <w:r>
          <w:rPr>
            <w:rFonts w:eastAsiaTheme="minorEastAsia" w:cstheme="minorBidi"/>
            <w:noProof/>
            <w:sz w:val="22"/>
            <w:szCs w:val="22"/>
            <w:lang w:bidi="ar-SA"/>
          </w:rPr>
          <w:tab/>
        </w:r>
        <w:r w:rsidRPr="00404E93">
          <w:rPr>
            <w:rStyle w:val="Hyperlink"/>
            <w:noProof/>
          </w:rPr>
          <w:t>Introduction</w:t>
        </w:r>
        <w:r>
          <w:rPr>
            <w:noProof/>
            <w:webHidden/>
          </w:rPr>
          <w:tab/>
        </w:r>
        <w:r>
          <w:rPr>
            <w:noProof/>
            <w:webHidden/>
          </w:rPr>
          <w:fldChar w:fldCharType="begin"/>
        </w:r>
        <w:r>
          <w:rPr>
            <w:noProof/>
            <w:webHidden/>
          </w:rPr>
          <w:instrText xml:space="preserve"> PAGEREF _Toc458938310 \h </w:instrText>
        </w:r>
        <w:r>
          <w:rPr>
            <w:noProof/>
            <w:webHidden/>
          </w:rPr>
        </w:r>
        <w:r>
          <w:rPr>
            <w:noProof/>
            <w:webHidden/>
          </w:rPr>
          <w:fldChar w:fldCharType="separate"/>
        </w:r>
        <w:r w:rsidR="000A0E3D">
          <w:rPr>
            <w:noProof/>
            <w:webHidden/>
          </w:rPr>
          <w:t>90</w:t>
        </w:r>
        <w:r>
          <w:rPr>
            <w:noProof/>
            <w:webHidden/>
          </w:rPr>
          <w:fldChar w:fldCharType="end"/>
        </w:r>
      </w:hyperlink>
    </w:p>
    <w:p w14:paraId="16F6FEA6"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11" w:history="1">
        <w:r w:rsidRPr="00404E93">
          <w:rPr>
            <w:rStyle w:val="Hyperlink"/>
            <w:noProof/>
          </w:rPr>
          <w:t>b.</w:t>
        </w:r>
        <w:r>
          <w:rPr>
            <w:rFonts w:eastAsiaTheme="minorEastAsia" w:cstheme="minorBidi"/>
            <w:noProof/>
            <w:sz w:val="22"/>
            <w:szCs w:val="22"/>
            <w:lang w:bidi="ar-SA"/>
          </w:rPr>
          <w:tab/>
        </w:r>
        <w:r w:rsidRPr="00404E93">
          <w:rPr>
            <w:rStyle w:val="Hyperlink"/>
            <w:noProof/>
          </w:rPr>
          <w:t>DODH/Krische’s Allylation</w:t>
        </w:r>
        <w:r>
          <w:rPr>
            <w:noProof/>
            <w:webHidden/>
          </w:rPr>
          <w:tab/>
        </w:r>
        <w:r>
          <w:rPr>
            <w:noProof/>
            <w:webHidden/>
          </w:rPr>
          <w:fldChar w:fldCharType="begin"/>
        </w:r>
        <w:r>
          <w:rPr>
            <w:noProof/>
            <w:webHidden/>
          </w:rPr>
          <w:instrText xml:space="preserve"> PAGEREF _Toc458938311 \h </w:instrText>
        </w:r>
        <w:r>
          <w:rPr>
            <w:noProof/>
            <w:webHidden/>
          </w:rPr>
        </w:r>
        <w:r>
          <w:rPr>
            <w:noProof/>
            <w:webHidden/>
          </w:rPr>
          <w:fldChar w:fldCharType="separate"/>
        </w:r>
        <w:r w:rsidR="000A0E3D">
          <w:rPr>
            <w:noProof/>
            <w:webHidden/>
          </w:rPr>
          <w:t>94</w:t>
        </w:r>
        <w:r>
          <w:rPr>
            <w:noProof/>
            <w:webHidden/>
          </w:rPr>
          <w:fldChar w:fldCharType="end"/>
        </w:r>
      </w:hyperlink>
    </w:p>
    <w:p w14:paraId="1C93F4C2"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12" w:history="1">
        <w:r w:rsidRPr="00404E93">
          <w:rPr>
            <w:rStyle w:val="Hyperlink"/>
            <w:noProof/>
          </w:rPr>
          <w:t>c.</w:t>
        </w:r>
        <w:r>
          <w:rPr>
            <w:rFonts w:eastAsiaTheme="minorEastAsia" w:cstheme="minorBidi"/>
            <w:noProof/>
            <w:sz w:val="22"/>
            <w:szCs w:val="22"/>
            <w:lang w:bidi="ar-SA"/>
          </w:rPr>
          <w:tab/>
        </w:r>
        <w:r w:rsidRPr="00404E93">
          <w:rPr>
            <w:rStyle w:val="Hyperlink"/>
            <w:noProof/>
          </w:rPr>
          <w:t>DODH/Masuyama’s Allylation</w:t>
        </w:r>
        <w:r>
          <w:rPr>
            <w:noProof/>
            <w:webHidden/>
          </w:rPr>
          <w:tab/>
        </w:r>
        <w:r>
          <w:rPr>
            <w:noProof/>
            <w:webHidden/>
          </w:rPr>
          <w:fldChar w:fldCharType="begin"/>
        </w:r>
        <w:r>
          <w:rPr>
            <w:noProof/>
            <w:webHidden/>
          </w:rPr>
          <w:instrText xml:space="preserve"> PAGEREF _Toc458938312 \h </w:instrText>
        </w:r>
        <w:r>
          <w:rPr>
            <w:noProof/>
            <w:webHidden/>
          </w:rPr>
        </w:r>
        <w:r>
          <w:rPr>
            <w:noProof/>
            <w:webHidden/>
          </w:rPr>
          <w:fldChar w:fldCharType="separate"/>
        </w:r>
        <w:r w:rsidR="000A0E3D">
          <w:rPr>
            <w:noProof/>
            <w:webHidden/>
          </w:rPr>
          <w:t>101</w:t>
        </w:r>
        <w:r>
          <w:rPr>
            <w:noProof/>
            <w:webHidden/>
          </w:rPr>
          <w:fldChar w:fldCharType="end"/>
        </w:r>
      </w:hyperlink>
    </w:p>
    <w:p w14:paraId="732170C5"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13" w:history="1">
        <w:r w:rsidRPr="00404E93">
          <w:rPr>
            <w:rStyle w:val="Hyperlink"/>
            <w:noProof/>
          </w:rPr>
          <w:t>d.</w:t>
        </w:r>
        <w:r>
          <w:rPr>
            <w:rFonts w:eastAsiaTheme="minorEastAsia" w:cstheme="minorBidi"/>
            <w:noProof/>
            <w:sz w:val="22"/>
            <w:szCs w:val="22"/>
            <w:lang w:bidi="ar-SA"/>
          </w:rPr>
          <w:tab/>
        </w:r>
        <w:r w:rsidRPr="00404E93">
          <w:rPr>
            <w:rStyle w:val="Hyperlink"/>
            <w:noProof/>
          </w:rPr>
          <w:t>Conclusions</w:t>
        </w:r>
        <w:r>
          <w:rPr>
            <w:noProof/>
            <w:webHidden/>
          </w:rPr>
          <w:tab/>
        </w:r>
        <w:r>
          <w:rPr>
            <w:noProof/>
            <w:webHidden/>
          </w:rPr>
          <w:fldChar w:fldCharType="begin"/>
        </w:r>
        <w:r>
          <w:rPr>
            <w:noProof/>
            <w:webHidden/>
          </w:rPr>
          <w:instrText xml:space="preserve"> PAGEREF _Toc458938313 \h </w:instrText>
        </w:r>
        <w:r>
          <w:rPr>
            <w:noProof/>
            <w:webHidden/>
          </w:rPr>
        </w:r>
        <w:r>
          <w:rPr>
            <w:noProof/>
            <w:webHidden/>
          </w:rPr>
          <w:fldChar w:fldCharType="separate"/>
        </w:r>
        <w:r w:rsidR="000A0E3D">
          <w:rPr>
            <w:noProof/>
            <w:webHidden/>
          </w:rPr>
          <w:t>108</w:t>
        </w:r>
        <w:r>
          <w:rPr>
            <w:noProof/>
            <w:webHidden/>
          </w:rPr>
          <w:fldChar w:fldCharType="end"/>
        </w:r>
      </w:hyperlink>
    </w:p>
    <w:p w14:paraId="64F01B8B"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14" w:history="1">
        <w:r w:rsidRPr="00404E93">
          <w:rPr>
            <w:rStyle w:val="Hyperlink"/>
            <w:noProof/>
          </w:rPr>
          <w:t>e.</w:t>
        </w:r>
        <w:r>
          <w:rPr>
            <w:rFonts w:eastAsiaTheme="minorEastAsia" w:cstheme="minorBidi"/>
            <w:noProof/>
            <w:sz w:val="22"/>
            <w:szCs w:val="22"/>
            <w:lang w:bidi="ar-SA"/>
          </w:rPr>
          <w:tab/>
        </w:r>
        <w:r w:rsidRPr="00404E93">
          <w:rPr>
            <w:rStyle w:val="Hyperlink"/>
            <w:noProof/>
          </w:rPr>
          <w:t>Experimental</w:t>
        </w:r>
        <w:r>
          <w:rPr>
            <w:noProof/>
            <w:webHidden/>
          </w:rPr>
          <w:tab/>
        </w:r>
        <w:r>
          <w:rPr>
            <w:noProof/>
            <w:webHidden/>
          </w:rPr>
          <w:fldChar w:fldCharType="begin"/>
        </w:r>
        <w:r>
          <w:rPr>
            <w:noProof/>
            <w:webHidden/>
          </w:rPr>
          <w:instrText xml:space="preserve"> PAGEREF _Toc458938314 \h </w:instrText>
        </w:r>
        <w:r>
          <w:rPr>
            <w:noProof/>
            <w:webHidden/>
          </w:rPr>
        </w:r>
        <w:r>
          <w:rPr>
            <w:noProof/>
            <w:webHidden/>
          </w:rPr>
          <w:fldChar w:fldCharType="separate"/>
        </w:r>
        <w:r w:rsidR="000A0E3D">
          <w:rPr>
            <w:noProof/>
            <w:webHidden/>
          </w:rPr>
          <w:t>109</w:t>
        </w:r>
        <w:r>
          <w:rPr>
            <w:noProof/>
            <w:webHidden/>
          </w:rPr>
          <w:fldChar w:fldCharType="end"/>
        </w:r>
      </w:hyperlink>
    </w:p>
    <w:p w14:paraId="6A5D8593" w14:textId="77777777" w:rsidR="001539C6" w:rsidRDefault="001539C6">
      <w:pPr>
        <w:pStyle w:val="TOC2"/>
        <w:tabs>
          <w:tab w:val="right" w:leader="dot" w:pos="8486"/>
        </w:tabs>
        <w:rPr>
          <w:rFonts w:eastAsiaTheme="minorEastAsia" w:cstheme="minorBidi"/>
          <w:noProof/>
          <w:sz w:val="22"/>
          <w:szCs w:val="22"/>
          <w:lang w:bidi="ar-SA"/>
        </w:rPr>
      </w:pPr>
      <w:hyperlink w:anchor="_Toc458938315" w:history="1">
        <w:r w:rsidRPr="00404E93">
          <w:rPr>
            <w:rStyle w:val="Hyperlink"/>
            <w:noProof/>
          </w:rPr>
          <w:t>4.</w:t>
        </w:r>
        <w:r>
          <w:rPr>
            <w:rFonts w:eastAsiaTheme="minorEastAsia" w:cstheme="minorBidi"/>
            <w:noProof/>
            <w:sz w:val="22"/>
            <w:szCs w:val="22"/>
            <w:lang w:bidi="ar-SA"/>
          </w:rPr>
          <w:tab/>
        </w:r>
        <w:r w:rsidRPr="00404E93">
          <w:rPr>
            <w:rStyle w:val="Hyperlink"/>
            <w:noProof/>
          </w:rPr>
          <w:t>DODH / “Base-free catalytic” Wittig Tandem Reaction</w:t>
        </w:r>
        <w:r>
          <w:rPr>
            <w:noProof/>
            <w:webHidden/>
          </w:rPr>
          <w:tab/>
        </w:r>
        <w:r>
          <w:rPr>
            <w:noProof/>
            <w:webHidden/>
          </w:rPr>
          <w:fldChar w:fldCharType="begin"/>
        </w:r>
        <w:r>
          <w:rPr>
            <w:noProof/>
            <w:webHidden/>
          </w:rPr>
          <w:instrText xml:space="preserve"> PAGEREF _Toc458938315 \h </w:instrText>
        </w:r>
        <w:r>
          <w:rPr>
            <w:noProof/>
            <w:webHidden/>
          </w:rPr>
        </w:r>
        <w:r>
          <w:rPr>
            <w:noProof/>
            <w:webHidden/>
          </w:rPr>
          <w:fldChar w:fldCharType="separate"/>
        </w:r>
        <w:r w:rsidR="000A0E3D">
          <w:rPr>
            <w:noProof/>
            <w:webHidden/>
          </w:rPr>
          <w:t>122</w:t>
        </w:r>
        <w:r>
          <w:rPr>
            <w:noProof/>
            <w:webHidden/>
          </w:rPr>
          <w:fldChar w:fldCharType="end"/>
        </w:r>
      </w:hyperlink>
    </w:p>
    <w:p w14:paraId="20DA4FB1"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16" w:history="1">
        <w:r w:rsidRPr="00404E93">
          <w:rPr>
            <w:rStyle w:val="Hyperlink"/>
            <w:noProof/>
          </w:rPr>
          <w:t>a.</w:t>
        </w:r>
        <w:r>
          <w:rPr>
            <w:rFonts w:eastAsiaTheme="minorEastAsia" w:cstheme="minorBidi"/>
            <w:noProof/>
            <w:sz w:val="22"/>
            <w:szCs w:val="22"/>
            <w:lang w:bidi="ar-SA"/>
          </w:rPr>
          <w:tab/>
        </w:r>
        <w:r w:rsidRPr="00404E93">
          <w:rPr>
            <w:rStyle w:val="Hyperlink"/>
            <w:noProof/>
          </w:rPr>
          <w:t>Introduction</w:t>
        </w:r>
        <w:r>
          <w:rPr>
            <w:noProof/>
            <w:webHidden/>
          </w:rPr>
          <w:tab/>
        </w:r>
        <w:r>
          <w:rPr>
            <w:noProof/>
            <w:webHidden/>
          </w:rPr>
          <w:fldChar w:fldCharType="begin"/>
        </w:r>
        <w:r>
          <w:rPr>
            <w:noProof/>
            <w:webHidden/>
          </w:rPr>
          <w:instrText xml:space="preserve"> PAGEREF _Toc458938316 \h </w:instrText>
        </w:r>
        <w:r>
          <w:rPr>
            <w:noProof/>
            <w:webHidden/>
          </w:rPr>
        </w:r>
        <w:r>
          <w:rPr>
            <w:noProof/>
            <w:webHidden/>
          </w:rPr>
          <w:fldChar w:fldCharType="separate"/>
        </w:r>
        <w:r w:rsidR="000A0E3D">
          <w:rPr>
            <w:noProof/>
            <w:webHidden/>
          </w:rPr>
          <w:t>122</w:t>
        </w:r>
        <w:r>
          <w:rPr>
            <w:noProof/>
            <w:webHidden/>
          </w:rPr>
          <w:fldChar w:fldCharType="end"/>
        </w:r>
      </w:hyperlink>
    </w:p>
    <w:p w14:paraId="722FF35E"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17" w:history="1">
        <w:r w:rsidRPr="00404E93">
          <w:rPr>
            <w:rStyle w:val="Hyperlink"/>
            <w:noProof/>
          </w:rPr>
          <w:t>b.</w:t>
        </w:r>
        <w:r>
          <w:rPr>
            <w:rFonts w:eastAsiaTheme="minorEastAsia" w:cstheme="minorBidi"/>
            <w:noProof/>
            <w:sz w:val="22"/>
            <w:szCs w:val="22"/>
            <w:lang w:bidi="ar-SA"/>
          </w:rPr>
          <w:tab/>
        </w:r>
        <w:r w:rsidRPr="00404E93">
          <w:rPr>
            <w:rStyle w:val="Hyperlink"/>
            <w:noProof/>
          </w:rPr>
          <w:t>Study of the tandem system</w:t>
        </w:r>
        <w:r>
          <w:rPr>
            <w:noProof/>
            <w:webHidden/>
          </w:rPr>
          <w:tab/>
        </w:r>
        <w:r>
          <w:rPr>
            <w:noProof/>
            <w:webHidden/>
          </w:rPr>
          <w:fldChar w:fldCharType="begin"/>
        </w:r>
        <w:r>
          <w:rPr>
            <w:noProof/>
            <w:webHidden/>
          </w:rPr>
          <w:instrText xml:space="preserve"> PAGEREF _Toc458938317 \h </w:instrText>
        </w:r>
        <w:r>
          <w:rPr>
            <w:noProof/>
            <w:webHidden/>
          </w:rPr>
        </w:r>
        <w:r>
          <w:rPr>
            <w:noProof/>
            <w:webHidden/>
          </w:rPr>
          <w:fldChar w:fldCharType="separate"/>
        </w:r>
        <w:r w:rsidR="000A0E3D">
          <w:rPr>
            <w:noProof/>
            <w:webHidden/>
          </w:rPr>
          <w:t>124</w:t>
        </w:r>
        <w:r>
          <w:rPr>
            <w:noProof/>
            <w:webHidden/>
          </w:rPr>
          <w:fldChar w:fldCharType="end"/>
        </w:r>
      </w:hyperlink>
    </w:p>
    <w:p w14:paraId="34985496"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18" w:history="1">
        <w:r w:rsidRPr="00404E93">
          <w:rPr>
            <w:rStyle w:val="Hyperlink"/>
            <w:noProof/>
          </w:rPr>
          <w:t>c.</w:t>
        </w:r>
        <w:r>
          <w:rPr>
            <w:rFonts w:eastAsiaTheme="minorEastAsia" w:cstheme="minorBidi"/>
            <w:noProof/>
            <w:sz w:val="22"/>
            <w:szCs w:val="22"/>
            <w:lang w:bidi="ar-SA"/>
          </w:rPr>
          <w:tab/>
        </w:r>
        <w:r w:rsidRPr="00404E93">
          <w:rPr>
            <w:rStyle w:val="Hyperlink"/>
            <w:noProof/>
          </w:rPr>
          <w:t>Conclusions</w:t>
        </w:r>
        <w:r>
          <w:rPr>
            <w:noProof/>
            <w:webHidden/>
          </w:rPr>
          <w:tab/>
        </w:r>
        <w:r>
          <w:rPr>
            <w:noProof/>
            <w:webHidden/>
          </w:rPr>
          <w:fldChar w:fldCharType="begin"/>
        </w:r>
        <w:r>
          <w:rPr>
            <w:noProof/>
            <w:webHidden/>
          </w:rPr>
          <w:instrText xml:space="preserve"> PAGEREF _Toc458938318 \h </w:instrText>
        </w:r>
        <w:r>
          <w:rPr>
            <w:noProof/>
            <w:webHidden/>
          </w:rPr>
        </w:r>
        <w:r>
          <w:rPr>
            <w:noProof/>
            <w:webHidden/>
          </w:rPr>
          <w:fldChar w:fldCharType="separate"/>
        </w:r>
        <w:r w:rsidR="000A0E3D">
          <w:rPr>
            <w:noProof/>
            <w:webHidden/>
          </w:rPr>
          <w:t>127</w:t>
        </w:r>
        <w:r>
          <w:rPr>
            <w:noProof/>
            <w:webHidden/>
          </w:rPr>
          <w:fldChar w:fldCharType="end"/>
        </w:r>
      </w:hyperlink>
    </w:p>
    <w:p w14:paraId="52F1C6A6"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19" w:history="1">
        <w:r w:rsidRPr="00404E93">
          <w:rPr>
            <w:rStyle w:val="Hyperlink"/>
            <w:noProof/>
          </w:rPr>
          <w:t>d.</w:t>
        </w:r>
        <w:r>
          <w:rPr>
            <w:rFonts w:eastAsiaTheme="minorEastAsia" w:cstheme="minorBidi"/>
            <w:noProof/>
            <w:sz w:val="22"/>
            <w:szCs w:val="22"/>
            <w:lang w:bidi="ar-SA"/>
          </w:rPr>
          <w:tab/>
        </w:r>
        <w:r w:rsidRPr="00404E93">
          <w:rPr>
            <w:rStyle w:val="Hyperlink"/>
            <w:noProof/>
          </w:rPr>
          <w:t>Experimental</w:t>
        </w:r>
        <w:r>
          <w:rPr>
            <w:noProof/>
            <w:webHidden/>
          </w:rPr>
          <w:tab/>
        </w:r>
        <w:r>
          <w:rPr>
            <w:noProof/>
            <w:webHidden/>
          </w:rPr>
          <w:fldChar w:fldCharType="begin"/>
        </w:r>
        <w:r>
          <w:rPr>
            <w:noProof/>
            <w:webHidden/>
          </w:rPr>
          <w:instrText xml:space="preserve"> PAGEREF _Toc458938319 \h </w:instrText>
        </w:r>
        <w:r>
          <w:rPr>
            <w:noProof/>
            <w:webHidden/>
          </w:rPr>
        </w:r>
        <w:r>
          <w:rPr>
            <w:noProof/>
            <w:webHidden/>
          </w:rPr>
          <w:fldChar w:fldCharType="separate"/>
        </w:r>
        <w:r w:rsidR="000A0E3D">
          <w:rPr>
            <w:noProof/>
            <w:webHidden/>
          </w:rPr>
          <w:t>129</w:t>
        </w:r>
        <w:r>
          <w:rPr>
            <w:noProof/>
            <w:webHidden/>
          </w:rPr>
          <w:fldChar w:fldCharType="end"/>
        </w:r>
      </w:hyperlink>
    </w:p>
    <w:p w14:paraId="205EA513" w14:textId="77777777" w:rsidR="001539C6" w:rsidRDefault="001539C6">
      <w:pPr>
        <w:pStyle w:val="TOC2"/>
        <w:tabs>
          <w:tab w:val="right" w:leader="dot" w:pos="8486"/>
        </w:tabs>
        <w:rPr>
          <w:rFonts w:eastAsiaTheme="minorEastAsia" w:cstheme="minorBidi"/>
          <w:noProof/>
          <w:sz w:val="22"/>
          <w:szCs w:val="22"/>
          <w:lang w:bidi="ar-SA"/>
        </w:rPr>
      </w:pPr>
      <w:hyperlink w:anchor="_Toc458938320" w:history="1">
        <w:r w:rsidRPr="00404E93">
          <w:rPr>
            <w:rStyle w:val="Hyperlink"/>
            <w:noProof/>
          </w:rPr>
          <w:t>5.</w:t>
        </w:r>
        <w:r>
          <w:rPr>
            <w:rFonts w:eastAsiaTheme="minorEastAsia" w:cstheme="minorBidi"/>
            <w:noProof/>
            <w:sz w:val="22"/>
            <w:szCs w:val="22"/>
            <w:lang w:bidi="ar-SA"/>
          </w:rPr>
          <w:tab/>
        </w:r>
        <w:r w:rsidRPr="00404E93">
          <w:rPr>
            <w:rStyle w:val="Hyperlink"/>
            <w:noProof/>
          </w:rPr>
          <w:t>DODH/Heck Tandem Reactions</w:t>
        </w:r>
        <w:r>
          <w:rPr>
            <w:noProof/>
            <w:webHidden/>
          </w:rPr>
          <w:tab/>
        </w:r>
        <w:r>
          <w:rPr>
            <w:noProof/>
            <w:webHidden/>
          </w:rPr>
          <w:fldChar w:fldCharType="begin"/>
        </w:r>
        <w:r>
          <w:rPr>
            <w:noProof/>
            <w:webHidden/>
          </w:rPr>
          <w:instrText xml:space="preserve"> PAGEREF _Toc458938320 \h </w:instrText>
        </w:r>
        <w:r>
          <w:rPr>
            <w:noProof/>
            <w:webHidden/>
          </w:rPr>
        </w:r>
        <w:r>
          <w:rPr>
            <w:noProof/>
            <w:webHidden/>
          </w:rPr>
          <w:fldChar w:fldCharType="separate"/>
        </w:r>
        <w:r w:rsidR="000A0E3D">
          <w:rPr>
            <w:noProof/>
            <w:webHidden/>
          </w:rPr>
          <w:t>132</w:t>
        </w:r>
        <w:r>
          <w:rPr>
            <w:noProof/>
            <w:webHidden/>
          </w:rPr>
          <w:fldChar w:fldCharType="end"/>
        </w:r>
      </w:hyperlink>
    </w:p>
    <w:p w14:paraId="69EF8A6A"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21" w:history="1">
        <w:r w:rsidRPr="00404E93">
          <w:rPr>
            <w:rStyle w:val="Hyperlink"/>
            <w:noProof/>
          </w:rPr>
          <w:t>a.</w:t>
        </w:r>
        <w:r>
          <w:rPr>
            <w:rFonts w:eastAsiaTheme="minorEastAsia" w:cstheme="minorBidi"/>
            <w:noProof/>
            <w:sz w:val="22"/>
            <w:szCs w:val="22"/>
            <w:lang w:bidi="ar-SA"/>
          </w:rPr>
          <w:tab/>
        </w:r>
        <w:r w:rsidRPr="00404E93">
          <w:rPr>
            <w:rStyle w:val="Hyperlink"/>
            <w:noProof/>
          </w:rPr>
          <w:t>Introduction and Background</w:t>
        </w:r>
        <w:r>
          <w:rPr>
            <w:noProof/>
            <w:webHidden/>
          </w:rPr>
          <w:tab/>
        </w:r>
        <w:r>
          <w:rPr>
            <w:noProof/>
            <w:webHidden/>
          </w:rPr>
          <w:fldChar w:fldCharType="begin"/>
        </w:r>
        <w:r>
          <w:rPr>
            <w:noProof/>
            <w:webHidden/>
          </w:rPr>
          <w:instrText xml:space="preserve"> PAGEREF _Toc458938321 \h </w:instrText>
        </w:r>
        <w:r>
          <w:rPr>
            <w:noProof/>
            <w:webHidden/>
          </w:rPr>
        </w:r>
        <w:r>
          <w:rPr>
            <w:noProof/>
            <w:webHidden/>
          </w:rPr>
          <w:fldChar w:fldCharType="separate"/>
        </w:r>
        <w:r w:rsidR="000A0E3D">
          <w:rPr>
            <w:noProof/>
            <w:webHidden/>
          </w:rPr>
          <w:t>132</w:t>
        </w:r>
        <w:r>
          <w:rPr>
            <w:noProof/>
            <w:webHidden/>
          </w:rPr>
          <w:fldChar w:fldCharType="end"/>
        </w:r>
      </w:hyperlink>
    </w:p>
    <w:p w14:paraId="259DED69"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22" w:history="1">
        <w:r w:rsidRPr="00404E93">
          <w:rPr>
            <w:rStyle w:val="Hyperlink"/>
            <w:noProof/>
          </w:rPr>
          <w:t>b.</w:t>
        </w:r>
        <w:r>
          <w:rPr>
            <w:rFonts w:eastAsiaTheme="minorEastAsia" w:cstheme="minorBidi"/>
            <w:noProof/>
            <w:sz w:val="22"/>
            <w:szCs w:val="22"/>
            <w:lang w:bidi="ar-SA"/>
          </w:rPr>
          <w:tab/>
        </w:r>
        <w:r w:rsidRPr="00404E93">
          <w:rPr>
            <w:rStyle w:val="Hyperlink"/>
            <w:noProof/>
          </w:rPr>
          <w:t>Study of the DODH step</w:t>
        </w:r>
        <w:r>
          <w:rPr>
            <w:noProof/>
            <w:webHidden/>
          </w:rPr>
          <w:tab/>
        </w:r>
        <w:r>
          <w:rPr>
            <w:noProof/>
            <w:webHidden/>
          </w:rPr>
          <w:fldChar w:fldCharType="begin"/>
        </w:r>
        <w:r>
          <w:rPr>
            <w:noProof/>
            <w:webHidden/>
          </w:rPr>
          <w:instrText xml:space="preserve"> PAGEREF _Toc458938322 \h </w:instrText>
        </w:r>
        <w:r>
          <w:rPr>
            <w:noProof/>
            <w:webHidden/>
          </w:rPr>
        </w:r>
        <w:r>
          <w:rPr>
            <w:noProof/>
            <w:webHidden/>
          </w:rPr>
          <w:fldChar w:fldCharType="separate"/>
        </w:r>
        <w:r w:rsidR="000A0E3D">
          <w:rPr>
            <w:noProof/>
            <w:webHidden/>
          </w:rPr>
          <w:t>134</w:t>
        </w:r>
        <w:r>
          <w:rPr>
            <w:noProof/>
            <w:webHidden/>
          </w:rPr>
          <w:fldChar w:fldCharType="end"/>
        </w:r>
      </w:hyperlink>
    </w:p>
    <w:p w14:paraId="36A99403"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23" w:history="1">
        <w:r w:rsidRPr="00404E93">
          <w:rPr>
            <w:rStyle w:val="Hyperlink"/>
            <w:noProof/>
          </w:rPr>
          <w:t>c.</w:t>
        </w:r>
        <w:r>
          <w:rPr>
            <w:rFonts w:eastAsiaTheme="minorEastAsia" w:cstheme="minorBidi"/>
            <w:noProof/>
            <w:sz w:val="22"/>
            <w:szCs w:val="22"/>
            <w:lang w:bidi="ar-SA"/>
          </w:rPr>
          <w:tab/>
        </w:r>
        <w:r w:rsidRPr="00404E93">
          <w:rPr>
            <w:rStyle w:val="Hyperlink"/>
            <w:noProof/>
          </w:rPr>
          <w:t>Study of the Heck step</w:t>
        </w:r>
        <w:r>
          <w:rPr>
            <w:noProof/>
            <w:webHidden/>
          </w:rPr>
          <w:tab/>
        </w:r>
        <w:r>
          <w:rPr>
            <w:noProof/>
            <w:webHidden/>
          </w:rPr>
          <w:fldChar w:fldCharType="begin"/>
        </w:r>
        <w:r>
          <w:rPr>
            <w:noProof/>
            <w:webHidden/>
          </w:rPr>
          <w:instrText xml:space="preserve"> PAGEREF _Toc458938323 \h </w:instrText>
        </w:r>
        <w:r>
          <w:rPr>
            <w:noProof/>
            <w:webHidden/>
          </w:rPr>
        </w:r>
        <w:r>
          <w:rPr>
            <w:noProof/>
            <w:webHidden/>
          </w:rPr>
          <w:fldChar w:fldCharType="separate"/>
        </w:r>
        <w:r w:rsidR="000A0E3D">
          <w:rPr>
            <w:noProof/>
            <w:webHidden/>
          </w:rPr>
          <w:t>136</w:t>
        </w:r>
        <w:r>
          <w:rPr>
            <w:noProof/>
            <w:webHidden/>
          </w:rPr>
          <w:fldChar w:fldCharType="end"/>
        </w:r>
      </w:hyperlink>
    </w:p>
    <w:p w14:paraId="229FF9C7"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24" w:history="1">
        <w:r w:rsidRPr="00404E93">
          <w:rPr>
            <w:rStyle w:val="Hyperlink"/>
            <w:noProof/>
          </w:rPr>
          <w:t>d.</w:t>
        </w:r>
        <w:r>
          <w:rPr>
            <w:rFonts w:eastAsiaTheme="minorEastAsia" w:cstheme="minorBidi"/>
            <w:noProof/>
            <w:sz w:val="22"/>
            <w:szCs w:val="22"/>
            <w:lang w:bidi="ar-SA"/>
          </w:rPr>
          <w:tab/>
        </w:r>
        <w:r w:rsidRPr="00404E93">
          <w:rPr>
            <w:rStyle w:val="Hyperlink"/>
            <w:noProof/>
          </w:rPr>
          <w:t>Conclusion</w:t>
        </w:r>
        <w:r>
          <w:rPr>
            <w:noProof/>
            <w:webHidden/>
          </w:rPr>
          <w:tab/>
        </w:r>
        <w:r>
          <w:rPr>
            <w:noProof/>
            <w:webHidden/>
          </w:rPr>
          <w:fldChar w:fldCharType="begin"/>
        </w:r>
        <w:r>
          <w:rPr>
            <w:noProof/>
            <w:webHidden/>
          </w:rPr>
          <w:instrText xml:space="preserve"> PAGEREF _Toc458938324 \h </w:instrText>
        </w:r>
        <w:r>
          <w:rPr>
            <w:noProof/>
            <w:webHidden/>
          </w:rPr>
        </w:r>
        <w:r>
          <w:rPr>
            <w:noProof/>
            <w:webHidden/>
          </w:rPr>
          <w:fldChar w:fldCharType="separate"/>
        </w:r>
        <w:r w:rsidR="000A0E3D">
          <w:rPr>
            <w:noProof/>
            <w:webHidden/>
          </w:rPr>
          <w:t>138</w:t>
        </w:r>
        <w:r>
          <w:rPr>
            <w:noProof/>
            <w:webHidden/>
          </w:rPr>
          <w:fldChar w:fldCharType="end"/>
        </w:r>
      </w:hyperlink>
    </w:p>
    <w:p w14:paraId="6E3E1418"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25" w:history="1">
        <w:r w:rsidRPr="00404E93">
          <w:rPr>
            <w:rStyle w:val="Hyperlink"/>
            <w:noProof/>
          </w:rPr>
          <w:t>e.</w:t>
        </w:r>
        <w:r>
          <w:rPr>
            <w:rFonts w:eastAsiaTheme="minorEastAsia" w:cstheme="minorBidi"/>
            <w:noProof/>
            <w:sz w:val="22"/>
            <w:szCs w:val="22"/>
            <w:lang w:bidi="ar-SA"/>
          </w:rPr>
          <w:tab/>
        </w:r>
        <w:r w:rsidRPr="00404E93">
          <w:rPr>
            <w:rStyle w:val="Hyperlink"/>
            <w:noProof/>
          </w:rPr>
          <w:t>Experimental</w:t>
        </w:r>
        <w:r>
          <w:rPr>
            <w:noProof/>
            <w:webHidden/>
          </w:rPr>
          <w:tab/>
        </w:r>
        <w:r>
          <w:rPr>
            <w:noProof/>
            <w:webHidden/>
          </w:rPr>
          <w:fldChar w:fldCharType="begin"/>
        </w:r>
        <w:r>
          <w:rPr>
            <w:noProof/>
            <w:webHidden/>
          </w:rPr>
          <w:instrText xml:space="preserve"> PAGEREF _Toc458938325 \h </w:instrText>
        </w:r>
        <w:r>
          <w:rPr>
            <w:noProof/>
            <w:webHidden/>
          </w:rPr>
        </w:r>
        <w:r>
          <w:rPr>
            <w:noProof/>
            <w:webHidden/>
          </w:rPr>
          <w:fldChar w:fldCharType="separate"/>
        </w:r>
        <w:r w:rsidR="000A0E3D">
          <w:rPr>
            <w:noProof/>
            <w:webHidden/>
          </w:rPr>
          <w:t>138</w:t>
        </w:r>
        <w:r>
          <w:rPr>
            <w:noProof/>
            <w:webHidden/>
          </w:rPr>
          <w:fldChar w:fldCharType="end"/>
        </w:r>
      </w:hyperlink>
    </w:p>
    <w:p w14:paraId="5E95BD86" w14:textId="77777777" w:rsidR="001539C6" w:rsidRDefault="001539C6">
      <w:pPr>
        <w:pStyle w:val="TOC2"/>
        <w:tabs>
          <w:tab w:val="right" w:leader="dot" w:pos="8486"/>
        </w:tabs>
        <w:rPr>
          <w:rFonts w:eastAsiaTheme="minorEastAsia" w:cstheme="minorBidi"/>
          <w:noProof/>
          <w:sz w:val="22"/>
          <w:szCs w:val="22"/>
          <w:lang w:bidi="ar-SA"/>
        </w:rPr>
      </w:pPr>
      <w:hyperlink w:anchor="_Toc458938326" w:history="1">
        <w:r w:rsidRPr="00404E93">
          <w:rPr>
            <w:rStyle w:val="Hyperlink"/>
            <w:noProof/>
          </w:rPr>
          <w:t>6.</w:t>
        </w:r>
        <w:r>
          <w:rPr>
            <w:rFonts w:eastAsiaTheme="minorEastAsia" w:cstheme="minorBidi"/>
            <w:noProof/>
            <w:sz w:val="22"/>
            <w:szCs w:val="22"/>
            <w:lang w:bidi="ar-SA"/>
          </w:rPr>
          <w:tab/>
        </w:r>
        <w:r w:rsidRPr="00404E93">
          <w:rPr>
            <w:rStyle w:val="Hyperlink"/>
            <w:noProof/>
          </w:rPr>
          <w:t>DODH/Hydroacylation Tandem Reaction</w:t>
        </w:r>
        <w:r>
          <w:rPr>
            <w:noProof/>
            <w:webHidden/>
          </w:rPr>
          <w:tab/>
        </w:r>
        <w:r>
          <w:rPr>
            <w:noProof/>
            <w:webHidden/>
          </w:rPr>
          <w:fldChar w:fldCharType="begin"/>
        </w:r>
        <w:r>
          <w:rPr>
            <w:noProof/>
            <w:webHidden/>
          </w:rPr>
          <w:instrText xml:space="preserve"> PAGEREF _Toc458938326 \h </w:instrText>
        </w:r>
        <w:r>
          <w:rPr>
            <w:noProof/>
            <w:webHidden/>
          </w:rPr>
        </w:r>
        <w:r>
          <w:rPr>
            <w:noProof/>
            <w:webHidden/>
          </w:rPr>
          <w:fldChar w:fldCharType="separate"/>
        </w:r>
        <w:r w:rsidR="000A0E3D">
          <w:rPr>
            <w:noProof/>
            <w:webHidden/>
          </w:rPr>
          <w:t>142</w:t>
        </w:r>
        <w:r>
          <w:rPr>
            <w:noProof/>
            <w:webHidden/>
          </w:rPr>
          <w:fldChar w:fldCharType="end"/>
        </w:r>
      </w:hyperlink>
    </w:p>
    <w:p w14:paraId="3194B198"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27" w:history="1">
        <w:r w:rsidRPr="00404E93">
          <w:rPr>
            <w:rStyle w:val="Hyperlink"/>
            <w:noProof/>
          </w:rPr>
          <w:t>a.</w:t>
        </w:r>
        <w:r>
          <w:rPr>
            <w:rFonts w:eastAsiaTheme="minorEastAsia" w:cstheme="minorBidi"/>
            <w:noProof/>
            <w:sz w:val="22"/>
            <w:szCs w:val="22"/>
            <w:lang w:bidi="ar-SA"/>
          </w:rPr>
          <w:tab/>
        </w:r>
        <w:r w:rsidRPr="00404E93">
          <w:rPr>
            <w:rStyle w:val="Hyperlink"/>
            <w:noProof/>
          </w:rPr>
          <w:t>Introduction</w:t>
        </w:r>
        <w:r>
          <w:rPr>
            <w:noProof/>
            <w:webHidden/>
          </w:rPr>
          <w:tab/>
        </w:r>
        <w:r>
          <w:rPr>
            <w:noProof/>
            <w:webHidden/>
          </w:rPr>
          <w:fldChar w:fldCharType="begin"/>
        </w:r>
        <w:r>
          <w:rPr>
            <w:noProof/>
            <w:webHidden/>
          </w:rPr>
          <w:instrText xml:space="preserve"> PAGEREF _Toc458938327 \h </w:instrText>
        </w:r>
        <w:r>
          <w:rPr>
            <w:noProof/>
            <w:webHidden/>
          </w:rPr>
        </w:r>
        <w:r>
          <w:rPr>
            <w:noProof/>
            <w:webHidden/>
          </w:rPr>
          <w:fldChar w:fldCharType="separate"/>
        </w:r>
        <w:r w:rsidR="000A0E3D">
          <w:rPr>
            <w:noProof/>
            <w:webHidden/>
          </w:rPr>
          <w:t>142</w:t>
        </w:r>
        <w:r>
          <w:rPr>
            <w:noProof/>
            <w:webHidden/>
          </w:rPr>
          <w:fldChar w:fldCharType="end"/>
        </w:r>
      </w:hyperlink>
    </w:p>
    <w:p w14:paraId="306DEDFC"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28" w:history="1">
        <w:r w:rsidRPr="00404E93">
          <w:rPr>
            <w:rStyle w:val="Hyperlink"/>
            <w:noProof/>
          </w:rPr>
          <w:t>b.</w:t>
        </w:r>
        <w:r>
          <w:rPr>
            <w:rFonts w:eastAsiaTheme="minorEastAsia" w:cstheme="minorBidi"/>
            <w:noProof/>
            <w:sz w:val="22"/>
            <w:szCs w:val="22"/>
            <w:lang w:bidi="ar-SA"/>
          </w:rPr>
          <w:tab/>
        </w:r>
        <w:r w:rsidRPr="00404E93">
          <w:rPr>
            <w:rStyle w:val="Hyperlink"/>
            <w:noProof/>
          </w:rPr>
          <w:t>Intermolecular DODH/Hydroacylation</w:t>
        </w:r>
        <w:r>
          <w:rPr>
            <w:noProof/>
            <w:webHidden/>
          </w:rPr>
          <w:tab/>
        </w:r>
        <w:r>
          <w:rPr>
            <w:noProof/>
            <w:webHidden/>
          </w:rPr>
          <w:fldChar w:fldCharType="begin"/>
        </w:r>
        <w:r>
          <w:rPr>
            <w:noProof/>
            <w:webHidden/>
          </w:rPr>
          <w:instrText xml:space="preserve"> PAGEREF _Toc458938328 \h </w:instrText>
        </w:r>
        <w:r>
          <w:rPr>
            <w:noProof/>
            <w:webHidden/>
          </w:rPr>
        </w:r>
        <w:r>
          <w:rPr>
            <w:noProof/>
            <w:webHidden/>
          </w:rPr>
          <w:fldChar w:fldCharType="separate"/>
        </w:r>
        <w:r w:rsidR="000A0E3D">
          <w:rPr>
            <w:noProof/>
            <w:webHidden/>
          </w:rPr>
          <w:t>145</w:t>
        </w:r>
        <w:r>
          <w:rPr>
            <w:noProof/>
            <w:webHidden/>
          </w:rPr>
          <w:fldChar w:fldCharType="end"/>
        </w:r>
      </w:hyperlink>
    </w:p>
    <w:p w14:paraId="044FA741"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29" w:history="1">
        <w:r w:rsidRPr="00404E93">
          <w:rPr>
            <w:rStyle w:val="Hyperlink"/>
            <w:noProof/>
          </w:rPr>
          <w:t>c.</w:t>
        </w:r>
        <w:r>
          <w:rPr>
            <w:rFonts w:eastAsiaTheme="minorEastAsia" w:cstheme="minorBidi"/>
            <w:noProof/>
            <w:sz w:val="22"/>
            <w:szCs w:val="22"/>
            <w:lang w:bidi="ar-SA"/>
          </w:rPr>
          <w:tab/>
        </w:r>
        <w:r w:rsidRPr="00404E93">
          <w:rPr>
            <w:rStyle w:val="Hyperlink"/>
            <w:noProof/>
          </w:rPr>
          <w:t>Intramolecular DODH/Hydroacylation</w:t>
        </w:r>
        <w:r>
          <w:rPr>
            <w:noProof/>
            <w:webHidden/>
          </w:rPr>
          <w:tab/>
        </w:r>
        <w:r>
          <w:rPr>
            <w:noProof/>
            <w:webHidden/>
          </w:rPr>
          <w:fldChar w:fldCharType="begin"/>
        </w:r>
        <w:r>
          <w:rPr>
            <w:noProof/>
            <w:webHidden/>
          </w:rPr>
          <w:instrText xml:space="preserve"> PAGEREF _Toc458938329 \h </w:instrText>
        </w:r>
        <w:r>
          <w:rPr>
            <w:noProof/>
            <w:webHidden/>
          </w:rPr>
        </w:r>
        <w:r>
          <w:rPr>
            <w:noProof/>
            <w:webHidden/>
          </w:rPr>
          <w:fldChar w:fldCharType="separate"/>
        </w:r>
        <w:r w:rsidR="000A0E3D">
          <w:rPr>
            <w:noProof/>
            <w:webHidden/>
          </w:rPr>
          <w:t>147</w:t>
        </w:r>
        <w:r>
          <w:rPr>
            <w:noProof/>
            <w:webHidden/>
          </w:rPr>
          <w:fldChar w:fldCharType="end"/>
        </w:r>
      </w:hyperlink>
    </w:p>
    <w:p w14:paraId="7ED01FC2"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30" w:history="1">
        <w:r w:rsidRPr="00404E93">
          <w:rPr>
            <w:rStyle w:val="Hyperlink"/>
            <w:noProof/>
          </w:rPr>
          <w:t>d.</w:t>
        </w:r>
        <w:r>
          <w:rPr>
            <w:rFonts w:eastAsiaTheme="minorEastAsia" w:cstheme="minorBidi"/>
            <w:noProof/>
            <w:sz w:val="22"/>
            <w:szCs w:val="22"/>
            <w:lang w:bidi="ar-SA"/>
          </w:rPr>
          <w:tab/>
        </w:r>
        <w:r w:rsidRPr="00404E93">
          <w:rPr>
            <w:rStyle w:val="Hyperlink"/>
            <w:noProof/>
          </w:rPr>
          <w:t>Conclusions and future prospects</w:t>
        </w:r>
        <w:r>
          <w:rPr>
            <w:noProof/>
            <w:webHidden/>
          </w:rPr>
          <w:tab/>
        </w:r>
        <w:r>
          <w:rPr>
            <w:noProof/>
            <w:webHidden/>
          </w:rPr>
          <w:fldChar w:fldCharType="begin"/>
        </w:r>
        <w:r>
          <w:rPr>
            <w:noProof/>
            <w:webHidden/>
          </w:rPr>
          <w:instrText xml:space="preserve"> PAGEREF _Toc458938330 \h </w:instrText>
        </w:r>
        <w:r>
          <w:rPr>
            <w:noProof/>
            <w:webHidden/>
          </w:rPr>
        </w:r>
        <w:r>
          <w:rPr>
            <w:noProof/>
            <w:webHidden/>
          </w:rPr>
          <w:fldChar w:fldCharType="separate"/>
        </w:r>
        <w:r w:rsidR="000A0E3D">
          <w:rPr>
            <w:noProof/>
            <w:webHidden/>
          </w:rPr>
          <w:t>151</w:t>
        </w:r>
        <w:r>
          <w:rPr>
            <w:noProof/>
            <w:webHidden/>
          </w:rPr>
          <w:fldChar w:fldCharType="end"/>
        </w:r>
      </w:hyperlink>
    </w:p>
    <w:p w14:paraId="115F49B2"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31" w:history="1">
        <w:r w:rsidRPr="00404E93">
          <w:rPr>
            <w:rStyle w:val="Hyperlink"/>
            <w:noProof/>
          </w:rPr>
          <w:t>e.</w:t>
        </w:r>
        <w:r>
          <w:rPr>
            <w:rFonts w:eastAsiaTheme="minorEastAsia" w:cstheme="minorBidi"/>
            <w:noProof/>
            <w:sz w:val="22"/>
            <w:szCs w:val="22"/>
            <w:lang w:bidi="ar-SA"/>
          </w:rPr>
          <w:tab/>
        </w:r>
        <w:r w:rsidRPr="00404E93">
          <w:rPr>
            <w:rStyle w:val="Hyperlink"/>
            <w:noProof/>
          </w:rPr>
          <w:t>Experimental</w:t>
        </w:r>
        <w:r>
          <w:rPr>
            <w:noProof/>
            <w:webHidden/>
          </w:rPr>
          <w:tab/>
        </w:r>
        <w:r>
          <w:rPr>
            <w:noProof/>
            <w:webHidden/>
          </w:rPr>
          <w:fldChar w:fldCharType="begin"/>
        </w:r>
        <w:r>
          <w:rPr>
            <w:noProof/>
            <w:webHidden/>
          </w:rPr>
          <w:instrText xml:space="preserve"> PAGEREF _Toc458938331 \h </w:instrText>
        </w:r>
        <w:r>
          <w:rPr>
            <w:noProof/>
            <w:webHidden/>
          </w:rPr>
        </w:r>
        <w:r>
          <w:rPr>
            <w:noProof/>
            <w:webHidden/>
          </w:rPr>
          <w:fldChar w:fldCharType="separate"/>
        </w:r>
        <w:r w:rsidR="000A0E3D">
          <w:rPr>
            <w:noProof/>
            <w:webHidden/>
          </w:rPr>
          <w:t>153</w:t>
        </w:r>
        <w:r>
          <w:rPr>
            <w:noProof/>
            <w:webHidden/>
          </w:rPr>
          <w:fldChar w:fldCharType="end"/>
        </w:r>
      </w:hyperlink>
    </w:p>
    <w:p w14:paraId="0F9ADAA7" w14:textId="77777777" w:rsidR="001539C6" w:rsidRDefault="001539C6">
      <w:pPr>
        <w:pStyle w:val="TOC2"/>
        <w:tabs>
          <w:tab w:val="right" w:leader="dot" w:pos="8486"/>
        </w:tabs>
        <w:rPr>
          <w:rFonts w:eastAsiaTheme="minorEastAsia" w:cstheme="minorBidi"/>
          <w:noProof/>
          <w:sz w:val="22"/>
          <w:szCs w:val="22"/>
          <w:lang w:bidi="ar-SA"/>
        </w:rPr>
      </w:pPr>
      <w:hyperlink w:anchor="_Toc458938332" w:history="1">
        <w:r w:rsidRPr="00404E93">
          <w:rPr>
            <w:rStyle w:val="Hyperlink"/>
            <w:noProof/>
          </w:rPr>
          <w:t>7.</w:t>
        </w:r>
        <w:r>
          <w:rPr>
            <w:rFonts w:eastAsiaTheme="minorEastAsia" w:cstheme="minorBidi"/>
            <w:noProof/>
            <w:sz w:val="22"/>
            <w:szCs w:val="22"/>
            <w:lang w:bidi="ar-SA"/>
          </w:rPr>
          <w:tab/>
        </w:r>
        <w:r w:rsidRPr="00404E93">
          <w:rPr>
            <w:rStyle w:val="Hyperlink"/>
            <w:noProof/>
          </w:rPr>
          <w:t>DODH/Hydroformylation Tandem Reaction</w:t>
        </w:r>
        <w:r>
          <w:rPr>
            <w:noProof/>
            <w:webHidden/>
          </w:rPr>
          <w:tab/>
        </w:r>
        <w:r>
          <w:rPr>
            <w:noProof/>
            <w:webHidden/>
          </w:rPr>
          <w:fldChar w:fldCharType="begin"/>
        </w:r>
        <w:r>
          <w:rPr>
            <w:noProof/>
            <w:webHidden/>
          </w:rPr>
          <w:instrText xml:space="preserve"> PAGEREF _Toc458938332 \h </w:instrText>
        </w:r>
        <w:r>
          <w:rPr>
            <w:noProof/>
            <w:webHidden/>
          </w:rPr>
        </w:r>
        <w:r>
          <w:rPr>
            <w:noProof/>
            <w:webHidden/>
          </w:rPr>
          <w:fldChar w:fldCharType="separate"/>
        </w:r>
        <w:r w:rsidR="000A0E3D">
          <w:rPr>
            <w:noProof/>
            <w:webHidden/>
          </w:rPr>
          <w:t>160</w:t>
        </w:r>
        <w:r>
          <w:rPr>
            <w:noProof/>
            <w:webHidden/>
          </w:rPr>
          <w:fldChar w:fldCharType="end"/>
        </w:r>
      </w:hyperlink>
    </w:p>
    <w:p w14:paraId="42C2F9DB"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33" w:history="1">
        <w:r w:rsidRPr="00404E93">
          <w:rPr>
            <w:rStyle w:val="Hyperlink"/>
            <w:noProof/>
          </w:rPr>
          <w:t>a.</w:t>
        </w:r>
        <w:r>
          <w:rPr>
            <w:rFonts w:eastAsiaTheme="minorEastAsia" w:cstheme="minorBidi"/>
            <w:noProof/>
            <w:sz w:val="22"/>
            <w:szCs w:val="22"/>
            <w:lang w:bidi="ar-SA"/>
          </w:rPr>
          <w:tab/>
        </w:r>
        <w:r w:rsidRPr="00404E93">
          <w:rPr>
            <w:rStyle w:val="Hyperlink"/>
            <w:noProof/>
          </w:rPr>
          <w:t>Introduction and Background</w:t>
        </w:r>
        <w:r>
          <w:rPr>
            <w:noProof/>
            <w:webHidden/>
          </w:rPr>
          <w:tab/>
        </w:r>
        <w:r>
          <w:rPr>
            <w:noProof/>
            <w:webHidden/>
          </w:rPr>
          <w:fldChar w:fldCharType="begin"/>
        </w:r>
        <w:r>
          <w:rPr>
            <w:noProof/>
            <w:webHidden/>
          </w:rPr>
          <w:instrText xml:space="preserve"> PAGEREF _Toc458938333 \h </w:instrText>
        </w:r>
        <w:r>
          <w:rPr>
            <w:noProof/>
            <w:webHidden/>
          </w:rPr>
        </w:r>
        <w:r>
          <w:rPr>
            <w:noProof/>
            <w:webHidden/>
          </w:rPr>
          <w:fldChar w:fldCharType="separate"/>
        </w:r>
        <w:r w:rsidR="000A0E3D">
          <w:rPr>
            <w:noProof/>
            <w:webHidden/>
          </w:rPr>
          <w:t>160</w:t>
        </w:r>
        <w:r>
          <w:rPr>
            <w:noProof/>
            <w:webHidden/>
          </w:rPr>
          <w:fldChar w:fldCharType="end"/>
        </w:r>
      </w:hyperlink>
    </w:p>
    <w:p w14:paraId="4CF82172"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34" w:history="1">
        <w:r w:rsidRPr="00404E93">
          <w:rPr>
            <w:rStyle w:val="Hyperlink"/>
            <w:noProof/>
          </w:rPr>
          <w:t>b.</w:t>
        </w:r>
        <w:r>
          <w:rPr>
            <w:rFonts w:eastAsiaTheme="minorEastAsia" w:cstheme="minorBidi"/>
            <w:noProof/>
            <w:sz w:val="22"/>
            <w:szCs w:val="22"/>
            <w:lang w:bidi="ar-SA"/>
          </w:rPr>
          <w:tab/>
        </w:r>
        <w:r w:rsidRPr="00404E93">
          <w:rPr>
            <w:rStyle w:val="Hyperlink"/>
            <w:noProof/>
          </w:rPr>
          <w:t>Hydrogen and Carbon monoxide as DODH reducing agents</w:t>
        </w:r>
        <w:r>
          <w:rPr>
            <w:noProof/>
            <w:webHidden/>
          </w:rPr>
          <w:tab/>
        </w:r>
        <w:r>
          <w:rPr>
            <w:noProof/>
            <w:webHidden/>
          </w:rPr>
          <w:fldChar w:fldCharType="begin"/>
        </w:r>
        <w:r>
          <w:rPr>
            <w:noProof/>
            <w:webHidden/>
          </w:rPr>
          <w:instrText xml:space="preserve"> PAGEREF _Toc458938334 \h </w:instrText>
        </w:r>
        <w:r>
          <w:rPr>
            <w:noProof/>
            <w:webHidden/>
          </w:rPr>
        </w:r>
        <w:r>
          <w:rPr>
            <w:noProof/>
            <w:webHidden/>
          </w:rPr>
          <w:fldChar w:fldCharType="separate"/>
        </w:r>
        <w:r w:rsidR="000A0E3D">
          <w:rPr>
            <w:noProof/>
            <w:webHidden/>
          </w:rPr>
          <w:t>163</w:t>
        </w:r>
        <w:r>
          <w:rPr>
            <w:noProof/>
            <w:webHidden/>
          </w:rPr>
          <w:fldChar w:fldCharType="end"/>
        </w:r>
      </w:hyperlink>
    </w:p>
    <w:p w14:paraId="6627F8EA"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35" w:history="1">
        <w:r w:rsidRPr="00404E93">
          <w:rPr>
            <w:rStyle w:val="Hyperlink"/>
            <w:noProof/>
          </w:rPr>
          <w:t>c.</w:t>
        </w:r>
        <w:r>
          <w:rPr>
            <w:rFonts w:eastAsiaTheme="minorEastAsia" w:cstheme="minorBidi"/>
            <w:noProof/>
            <w:sz w:val="22"/>
            <w:szCs w:val="22"/>
            <w:lang w:bidi="ar-SA"/>
          </w:rPr>
          <w:tab/>
        </w:r>
        <w:r w:rsidRPr="00404E93">
          <w:rPr>
            <w:rStyle w:val="Hyperlink"/>
            <w:noProof/>
          </w:rPr>
          <w:t>Hydroformylation of 1-hexene</w:t>
        </w:r>
        <w:r>
          <w:rPr>
            <w:noProof/>
            <w:webHidden/>
          </w:rPr>
          <w:tab/>
        </w:r>
        <w:r>
          <w:rPr>
            <w:noProof/>
            <w:webHidden/>
          </w:rPr>
          <w:fldChar w:fldCharType="begin"/>
        </w:r>
        <w:r>
          <w:rPr>
            <w:noProof/>
            <w:webHidden/>
          </w:rPr>
          <w:instrText xml:space="preserve"> PAGEREF _Toc458938335 \h </w:instrText>
        </w:r>
        <w:r>
          <w:rPr>
            <w:noProof/>
            <w:webHidden/>
          </w:rPr>
        </w:r>
        <w:r>
          <w:rPr>
            <w:noProof/>
            <w:webHidden/>
          </w:rPr>
          <w:fldChar w:fldCharType="separate"/>
        </w:r>
        <w:r w:rsidR="000A0E3D">
          <w:rPr>
            <w:noProof/>
            <w:webHidden/>
          </w:rPr>
          <w:t>167</w:t>
        </w:r>
        <w:r>
          <w:rPr>
            <w:noProof/>
            <w:webHidden/>
          </w:rPr>
          <w:fldChar w:fldCharType="end"/>
        </w:r>
      </w:hyperlink>
    </w:p>
    <w:p w14:paraId="2685156E"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36" w:history="1">
        <w:r w:rsidRPr="00404E93">
          <w:rPr>
            <w:rStyle w:val="Hyperlink"/>
            <w:noProof/>
          </w:rPr>
          <w:t>d.</w:t>
        </w:r>
        <w:r>
          <w:rPr>
            <w:rFonts w:eastAsiaTheme="minorEastAsia" w:cstheme="minorBidi"/>
            <w:noProof/>
            <w:sz w:val="22"/>
            <w:szCs w:val="22"/>
            <w:lang w:bidi="ar-SA"/>
          </w:rPr>
          <w:tab/>
        </w:r>
        <w:r w:rsidRPr="00404E93">
          <w:rPr>
            <w:rStyle w:val="Hyperlink"/>
            <w:noProof/>
          </w:rPr>
          <w:t>Tandem DODH/Hydroformylation</w:t>
        </w:r>
        <w:r>
          <w:rPr>
            <w:noProof/>
            <w:webHidden/>
          </w:rPr>
          <w:tab/>
        </w:r>
        <w:r>
          <w:rPr>
            <w:noProof/>
            <w:webHidden/>
          </w:rPr>
          <w:fldChar w:fldCharType="begin"/>
        </w:r>
        <w:r>
          <w:rPr>
            <w:noProof/>
            <w:webHidden/>
          </w:rPr>
          <w:instrText xml:space="preserve"> PAGEREF _Toc458938336 \h </w:instrText>
        </w:r>
        <w:r>
          <w:rPr>
            <w:noProof/>
            <w:webHidden/>
          </w:rPr>
        </w:r>
        <w:r>
          <w:rPr>
            <w:noProof/>
            <w:webHidden/>
          </w:rPr>
          <w:fldChar w:fldCharType="separate"/>
        </w:r>
        <w:r w:rsidR="000A0E3D">
          <w:rPr>
            <w:noProof/>
            <w:webHidden/>
          </w:rPr>
          <w:t>170</w:t>
        </w:r>
        <w:r>
          <w:rPr>
            <w:noProof/>
            <w:webHidden/>
          </w:rPr>
          <w:fldChar w:fldCharType="end"/>
        </w:r>
      </w:hyperlink>
    </w:p>
    <w:p w14:paraId="5A93F06E"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37" w:history="1">
        <w:r w:rsidRPr="00404E93">
          <w:rPr>
            <w:rStyle w:val="Hyperlink"/>
            <w:noProof/>
          </w:rPr>
          <w:t>e.</w:t>
        </w:r>
        <w:r>
          <w:rPr>
            <w:rFonts w:eastAsiaTheme="minorEastAsia" w:cstheme="minorBidi"/>
            <w:noProof/>
            <w:sz w:val="22"/>
            <w:szCs w:val="22"/>
            <w:lang w:bidi="ar-SA"/>
          </w:rPr>
          <w:tab/>
        </w:r>
        <w:r w:rsidRPr="00404E93">
          <w:rPr>
            <w:rStyle w:val="Hyperlink"/>
            <w:noProof/>
          </w:rPr>
          <w:t>Conclusion</w:t>
        </w:r>
        <w:r>
          <w:rPr>
            <w:noProof/>
            <w:webHidden/>
          </w:rPr>
          <w:tab/>
        </w:r>
        <w:r>
          <w:rPr>
            <w:noProof/>
            <w:webHidden/>
          </w:rPr>
          <w:fldChar w:fldCharType="begin"/>
        </w:r>
        <w:r>
          <w:rPr>
            <w:noProof/>
            <w:webHidden/>
          </w:rPr>
          <w:instrText xml:space="preserve"> PAGEREF _Toc458938337 \h </w:instrText>
        </w:r>
        <w:r>
          <w:rPr>
            <w:noProof/>
            <w:webHidden/>
          </w:rPr>
        </w:r>
        <w:r>
          <w:rPr>
            <w:noProof/>
            <w:webHidden/>
          </w:rPr>
          <w:fldChar w:fldCharType="separate"/>
        </w:r>
        <w:r w:rsidR="000A0E3D">
          <w:rPr>
            <w:noProof/>
            <w:webHidden/>
          </w:rPr>
          <w:t>174</w:t>
        </w:r>
        <w:r>
          <w:rPr>
            <w:noProof/>
            <w:webHidden/>
          </w:rPr>
          <w:fldChar w:fldCharType="end"/>
        </w:r>
      </w:hyperlink>
    </w:p>
    <w:p w14:paraId="787B9322" w14:textId="77777777" w:rsidR="001539C6" w:rsidRDefault="001539C6">
      <w:pPr>
        <w:pStyle w:val="TOC3"/>
        <w:tabs>
          <w:tab w:val="left" w:pos="1080"/>
          <w:tab w:val="right" w:leader="dot" w:pos="8486"/>
        </w:tabs>
        <w:rPr>
          <w:rFonts w:eastAsiaTheme="minorEastAsia" w:cstheme="minorBidi"/>
          <w:noProof/>
          <w:sz w:val="22"/>
          <w:szCs w:val="22"/>
          <w:lang w:bidi="ar-SA"/>
        </w:rPr>
      </w:pPr>
      <w:hyperlink w:anchor="_Toc458938338" w:history="1">
        <w:r w:rsidRPr="00404E93">
          <w:rPr>
            <w:rStyle w:val="Hyperlink"/>
            <w:noProof/>
          </w:rPr>
          <w:t>f.</w:t>
        </w:r>
        <w:r>
          <w:rPr>
            <w:rFonts w:eastAsiaTheme="minorEastAsia" w:cstheme="minorBidi"/>
            <w:noProof/>
            <w:sz w:val="22"/>
            <w:szCs w:val="22"/>
            <w:lang w:bidi="ar-SA"/>
          </w:rPr>
          <w:tab/>
        </w:r>
        <w:r w:rsidRPr="00404E93">
          <w:rPr>
            <w:rStyle w:val="Hyperlink"/>
            <w:noProof/>
          </w:rPr>
          <w:t>Experimental</w:t>
        </w:r>
        <w:r>
          <w:rPr>
            <w:noProof/>
            <w:webHidden/>
          </w:rPr>
          <w:tab/>
        </w:r>
        <w:r>
          <w:rPr>
            <w:noProof/>
            <w:webHidden/>
          </w:rPr>
          <w:fldChar w:fldCharType="begin"/>
        </w:r>
        <w:r>
          <w:rPr>
            <w:noProof/>
            <w:webHidden/>
          </w:rPr>
          <w:instrText xml:space="preserve"> PAGEREF _Toc458938338 \h </w:instrText>
        </w:r>
        <w:r>
          <w:rPr>
            <w:noProof/>
            <w:webHidden/>
          </w:rPr>
        </w:r>
        <w:r>
          <w:rPr>
            <w:noProof/>
            <w:webHidden/>
          </w:rPr>
          <w:fldChar w:fldCharType="separate"/>
        </w:r>
        <w:r w:rsidR="000A0E3D">
          <w:rPr>
            <w:noProof/>
            <w:webHidden/>
          </w:rPr>
          <w:t>175</w:t>
        </w:r>
        <w:r>
          <w:rPr>
            <w:noProof/>
            <w:webHidden/>
          </w:rPr>
          <w:fldChar w:fldCharType="end"/>
        </w:r>
      </w:hyperlink>
    </w:p>
    <w:p w14:paraId="37C88420" w14:textId="77777777" w:rsidR="001539C6" w:rsidRDefault="001539C6">
      <w:pPr>
        <w:pStyle w:val="TOC1"/>
        <w:rPr>
          <w:rFonts w:eastAsiaTheme="minorEastAsia" w:cstheme="minorBidi"/>
          <w:noProof/>
          <w:sz w:val="22"/>
          <w:szCs w:val="22"/>
          <w:lang w:bidi="ar-SA"/>
        </w:rPr>
      </w:pPr>
      <w:hyperlink w:anchor="_Toc458938339" w:history="1">
        <w:r w:rsidRPr="00404E93">
          <w:rPr>
            <w:rStyle w:val="Hyperlink"/>
            <w:noProof/>
          </w:rPr>
          <w:t>Chapter IV.</w:t>
        </w:r>
        <w:r>
          <w:rPr>
            <w:rFonts w:eastAsiaTheme="minorEastAsia" w:cstheme="minorBidi"/>
            <w:noProof/>
            <w:sz w:val="22"/>
            <w:szCs w:val="22"/>
            <w:lang w:bidi="ar-SA"/>
          </w:rPr>
          <w:tab/>
        </w:r>
        <w:r w:rsidRPr="00404E93">
          <w:rPr>
            <w:rStyle w:val="Hyperlink"/>
            <w:noProof/>
          </w:rPr>
          <w:t>Mechanistic Study of IReO</w:t>
        </w:r>
        <w:r w:rsidRPr="00404E93">
          <w:rPr>
            <w:rStyle w:val="Hyperlink"/>
            <w:noProof/>
            <w:vertAlign w:val="subscript"/>
          </w:rPr>
          <w:t>2</w:t>
        </w:r>
        <w:r w:rsidRPr="00404E93">
          <w:rPr>
            <w:rStyle w:val="Hyperlink"/>
            <w:noProof/>
          </w:rPr>
          <w:t>TPP</w:t>
        </w:r>
        <w:r w:rsidRPr="00404E93">
          <w:rPr>
            <w:rStyle w:val="Hyperlink"/>
            <w:noProof/>
            <w:vertAlign w:val="subscript"/>
          </w:rPr>
          <w:t>2</w:t>
        </w:r>
        <w:r w:rsidRPr="00404E93">
          <w:rPr>
            <w:rStyle w:val="Hyperlink"/>
            <w:noProof/>
          </w:rPr>
          <w:t>-Promoted Reaction of Alcohols with Triphenylphosphine</w:t>
        </w:r>
        <w:r>
          <w:rPr>
            <w:noProof/>
            <w:webHidden/>
          </w:rPr>
          <w:tab/>
        </w:r>
        <w:r>
          <w:rPr>
            <w:noProof/>
            <w:webHidden/>
          </w:rPr>
          <w:fldChar w:fldCharType="begin"/>
        </w:r>
        <w:r>
          <w:rPr>
            <w:noProof/>
            <w:webHidden/>
          </w:rPr>
          <w:instrText xml:space="preserve"> PAGEREF _Toc458938339 \h </w:instrText>
        </w:r>
        <w:r>
          <w:rPr>
            <w:noProof/>
            <w:webHidden/>
          </w:rPr>
        </w:r>
        <w:r>
          <w:rPr>
            <w:noProof/>
            <w:webHidden/>
          </w:rPr>
          <w:fldChar w:fldCharType="separate"/>
        </w:r>
        <w:r w:rsidR="000A0E3D">
          <w:rPr>
            <w:noProof/>
            <w:webHidden/>
          </w:rPr>
          <w:t>186</w:t>
        </w:r>
        <w:r>
          <w:rPr>
            <w:noProof/>
            <w:webHidden/>
          </w:rPr>
          <w:fldChar w:fldCharType="end"/>
        </w:r>
      </w:hyperlink>
    </w:p>
    <w:p w14:paraId="2281945F" w14:textId="77777777" w:rsidR="001539C6" w:rsidRDefault="001539C6">
      <w:pPr>
        <w:pStyle w:val="TOC2"/>
        <w:tabs>
          <w:tab w:val="right" w:leader="dot" w:pos="8486"/>
        </w:tabs>
        <w:rPr>
          <w:rFonts w:eastAsiaTheme="minorEastAsia" w:cstheme="minorBidi"/>
          <w:noProof/>
          <w:sz w:val="22"/>
          <w:szCs w:val="22"/>
          <w:lang w:bidi="ar-SA"/>
        </w:rPr>
      </w:pPr>
      <w:hyperlink w:anchor="_Toc458938340" w:history="1">
        <w:r w:rsidRPr="00404E93">
          <w:rPr>
            <w:rStyle w:val="Hyperlink"/>
            <w:noProof/>
          </w:rPr>
          <w:t>1.</w:t>
        </w:r>
        <w:r>
          <w:rPr>
            <w:rFonts w:eastAsiaTheme="minorEastAsia" w:cstheme="minorBidi"/>
            <w:noProof/>
            <w:sz w:val="22"/>
            <w:szCs w:val="22"/>
            <w:lang w:bidi="ar-SA"/>
          </w:rPr>
          <w:tab/>
        </w:r>
        <w:r w:rsidRPr="00404E93">
          <w:rPr>
            <w:rStyle w:val="Hyperlink"/>
            <w:noProof/>
          </w:rPr>
          <w:t>Introduction and Background</w:t>
        </w:r>
        <w:r>
          <w:rPr>
            <w:noProof/>
            <w:webHidden/>
          </w:rPr>
          <w:tab/>
        </w:r>
        <w:r>
          <w:rPr>
            <w:noProof/>
            <w:webHidden/>
          </w:rPr>
          <w:fldChar w:fldCharType="begin"/>
        </w:r>
        <w:r>
          <w:rPr>
            <w:noProof/>
            <w:webHidden/>
          </w:rPr>
          <w:instrText xml:space="preserve"> PAGEREF _Toc458938340 \h </w:instrText>
        </w:r>
        <w:r>
          <w:rPr>
            <w:noProof/>
            <w:webHidden/>
          </w:rPr>
        </w:r>
        <w:r>
          <w:rPr>
            <w:noProof/>
            <w:webHidden/>
          </w:rPr>
          <w:fldChar w:fldCharType="separate"/>
        </w:r>
        <w:r w:rsidR="000A0E3D">
          <w:rPr>
            <w:noProof/>
            <w:webHidden/>
          </w:rPr>
          <w:t>186</w:t>
        </w:r>
        <w:r>
          <w:rPr>
            <w:noProof/>
            <w:webHidden/>
          </w:rPr>
          <w:fldChar w:fldCharType="end"/>
        </w:r>
      </w:hyperlink>
    </w:p>
    <w:p w14:paraId="6025C4B2" w14:textId="77777777" w:rsidR="001539C6" w:rsidRDefault="001539C6">
      <w:pPr>
        <w:pStyle w:val="TOC2"/>
        <w:tabs>
          <w:tab w:val="right" w:leader="dot" w:pos="8486"/>
        </w:tabs>
        <w:rPr>
          <w:rFonts w:eastAsiaTheme="minorEastAsia" w:cstheme="minorBidi"/>
          <w:noProof/>
          <w:sz w:val="22"/>
          <w:szCs w:val="22"/>
          <w:lang w:bidi="ar-SA"/>
        </w:rPr>
      </w:pPr>
      <w:hyperlink w:anchor="_Toc458938341" w:history="1">
        <w:r w:rsidRPr="00404E93">
          <w:rPr>
            <w:rStyle w:val="Hyperlink"/>
            <w:noProof/>
          </w:rPr>
          <w:t>2.</w:t>
        </w:r>
        <w:r>
          <w:rPr>
            <w:rFonts w:eastAsiaTheme="minorEastAsia" w:cstheme="minorBidi"/>
            <w:noProof/>
            <w:sz w:val="22"/>
            <w:szCs w:val="22"/>
            <w:lang w:bidi="ar-SA"/>
          </w:rPr>
          <w:tab/>
        </w:r>
        <w:r w:rsidRPr="00404E93">
          <w:rPr>
            <w:rStyle w:val="Hyperlink"/>
            <w:noProof/>
          </w:rPr>
          <w:t>Results</w:t>
        </w:r>
        <w:r>
          <w:rPr>
            <w:noProof/>
            <w:webHidden/>
          </w:rPr>
          <w:tab/>
        </w:r>
        <w:r>
          <w:rPr>
            <w:noProof/>
            <w:webHidden/>
          </w:rPr>
          <w:fldChar w:fldCharType="begin"/>
        </w:r>
        <w:r>
          <w:rPr>
            <w:noProof/>
            <w:webHidden/>
          </w:rPr>
          <w:instrText xml:space="preserve"> PAGEREF _Toc458938341 \h </w:instrText>
        </w:r>
        <w:r>
          <w:rPr>
            <w:noProof/>
            <w:webHidden/>
          </w:rPr>
        </w:r>
        <w:r>
          <w:rPr>
            <w:noProof/>
            <w:webHidden/>
          </w:rPr>
          <w:fldChar w:fldCharType="separate"/>
        </w:r>
        <w:r w:rsidR="000A0E3D">
          <w:rPr>
            <w:noProof/>
            <w:webHidden/>
          </w:rPr>
          <w:t>193</w:t>
        </w:r>
        <w:r>
          <w:rPr>
            <w:noProof/>
            <w:webHidden/>
          </w:rPr>
          <w:fldChar w:fldCharType="end"/>
        </w:r>
      </w:hyperlink>
    </w:p>
    <w:p w14:paraId="23F7C5BF"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42" w:history="1">
        <w:r w:rsidRPr="00404E93">
          <w:rPr>
            <w:rStyle w:val="Hyperlink"/>
            <w:noProof/>
          </w:rPr>
          <w:t>a.</w:t>
        </w:r>
        <w:r>
          <w:rPr>
            <w:rFonts w:eastAsiaTheme="minorEastAsia" w:cstheme="minorBidi"/>
            <w:noProof/>
            <w:sz w:val="22"/>
            <w:szCs w:val="22"/>
            <w:lang w:bidi="ar-SA"/>
          </w:rPr>
          <w:tab/>
        </w:r>
        <w:r w:rsidRPr="00404E93">
          <w:rPr>
            <w:rStyle w:val="Hyperlink"/>
            <w:noProof/>
          </w:rPr>
          <w:t>Study of the catalyst in solution; ligand dissociation</w:t>
        </w:r>
        <w:r>
          <w:rPr>
            <w:noProof/>
            <w:webHidden/>
          </w:rPr>
          <w:tab/>
        </w:r>
        <w:r>
          <w:rPr>
            <w:noProof/>
            <w:webHidden/>
          </w:rPr>
          <w:fldChar w:fldCharType="begin"/>
        </w:r>
        <w:r>
          <w:rPr>
            <w:noProof/>
            <w:webHidden/>
          </w:rPr>
          <w:instrText xml:space="preserve"> PAGEREF _Toc458938342 \h </w:instrText>
        </w:r>
        <w:r>
          <w:rPr>
            <w:noProof/>
            <w:webHidden/>
          </w:rPr>
        </w:r>
        <w:r>
          <w:rPr>
            <w:noProof/>
            <w:webHidden/>
          </w:rPr>
          <w:fldChar w:fldCharType="separate"/>
        </w:r>
        <w:r w:rsidR="000A0E3D">
          <w:rPr>
            <w:noProof/>
            <w:webHidden/>
          </w:rPr>
          <w:t>193</w:t>
        </w:r>
        <w:r>
          <w:rPr>
            <w:noProof/>
            <w:webHidden/>
          </w:rPr>
          <w:fldChar w:fldCharType="end"/>
        </w:r>
      </w:hyperlink>
    </w:p>
    <w:p w14:paraId="7369E522"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43" w:history="1">
        <w:r w:rsidRPr="00404E93">
          <w:rPr>
            <w:rStyle w:val="Hyperlink"/>
            <w:noProof/>
          </w:rPr>
          <w:t>b.</w:t>
        </w:r>
        <w:r>
          <w:rPr>
            <w:rFonts w:eastAsiaTheme="minorEastAsia" w:cstheme="minorBidi"/>
            <w:noProof/>
            <w:sz w:val="22"/>
            <w:szCs w:val="22"/>
            <w:lang w:bidi="ar-SA"/>
          </w:rPr>
          <w:tab/>
        </w:r>
        <w:r w:rsidRPr="00404E93">
          <w:rPr>
            <w:rStyle w:val="Hyperlink"/>
            <w:noProof/>
          </w:rPr>
          <w:t>Stoichiometric reaction NMR study: IReO</w:t>
        </w:r>
        <w:r w:rsidRPr="00404E93">
          <w:rPr>
            <w:rStyle w:val="Hyperlink"/>
            <w:noProof/>
            <w:vertAlign w:val="subscript"/>
          </w:rPr>
          <w:t>2</w:t>
        </w:r>
        <w:r w:rsidRPr="00404E93">
          <w:rPr>
            <w:rStyle w:val="Hyperlink"/>
            <w:noProof/>
          </w:rPr>
          <w:t>(PPh</w:t>
        </w:r>
        <w:r w:rsidRPr="00404E93">
          <w:rPr>
            <w:rStyle w:val="Hyperlink"/>
            <w:noProof/>
            <w:vertAlign w:val="subscript"/>
          </w:rPr>
          <w:t>3</w:t>
        </w:r>
        <w:r w:rsidRPr="00404E93">
          <w:rPr>
            <w:rStyle w:val="Hyperlink"/>
            <w:noProof/>
          </w:rPr>
          <w:t>)</w:t>
        </w:r>
        <w:r w:rsidRPr="00404E93">
          <w:rPr>
            <w:rStyle w:val="Hyperlink"/>
            <w:noProof/>
            <w:vertAlign w:val="subscript"/>
          </w:rPr>
          <w:t>2</w:t>
        </w:r>
        <w:r w:rsidRPr="00404E93">
          <w:rPr>
            <w:rStyle w:val="Hyperlink"/>
            <w:noProof/>
          </w:rPr>
          <w:t xml:space="preserve"> and benzhydrol</w:t>
        </w:r>
        <w:r>
          <w:rPr>
            <w:noProof/>
            <w:webHidden/>
          </w:rPr>
          <w:tab/>
        </w:r>
        <w:r>
          <w:rPr>
            <w:noProof/>
            <w:webHidden/>
          </w:rPr>
          <w:fldChar w:fldCharType="begin"/>
        </w:r>
        <w:r>
          <w:rPr>
            <w:noProof/>
            <w:webHidden/>
          </w:rPr>
          <w:instrText xml:space="preserve"> PAGEREF _Toc458938343 \h </w:instrText>
        </w:r>
        <w:r>
          <w:rPr>
            <w:noProof/>
            <w:webHidden/>
          </w:rPr>
        </w:r>
        <w:r>
          <w:rPr>
            <w:noProof/>
            <w:webHidden/>
          </w:rPr>
          <w:fldChar w:fldCharType="separate"/>
        </w:r>
        <w:r w:rsidR="000A0E3D">
          <w:rPr>
            <w:noProof/>
            <w:webHidden/>
          </w:rPr>
          <w:t>196</w:t>
        </w:r>
        <w:r>
          <w:rPr>
            <w:noProof/>
            <w:webHidden/>
          </w:rPr>
          <w:fldChar w:fldCharType="end"/>
        </w:r>
      </w:hyperlink>
    </w:p>
    <w:p w14:paraId="408844C2"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44" w:history="1">
        <w:r w:rsidRPr="00404E93">
          <w:rPr>
            <w:rStyle w:val="Hyperlink"/>
            <w:noProof/>
          </w:rPr>
          <w:t>c.</w:t>
        </w:r>
        <w:r>
          <w:rPr>
            <w:rFonts w:eastAsiaTheme="minorEastAsia" w:cstheme="minorBidi"/>
            <w:noProof/>
            <w:sz w:val="22"/>
            <w:szCs w:val="22"/>
            <w:lang w:bidi="ar-SA"/>
          </w:rPr>
          <w:tab/>
        </w:r>
        <w:r w:rsidRPr="00404E93">
          <w:rPr>
            <w:rStyle w:val="Hyperlink"/>
            <w:noProof/>
          </w:rPr>
          <w:t>Kinetic study</w:t>
        </w:r>
        <w:r>
          <w:rPr>
            <w:noProof/>
            <w:webHidden/>
          </w:rPr>
          <w:tab/>
        </w:r>
        <w:r>
          <w:rPr>
            <w:noProof/>
            <w:webHidden/>
          </w:rPr>
          <w:fldChar w:fldCharType="begin"/>
        </w:r>
        <w:r>
          <w:rPr>
            <w:noProof/>
            <w:webHidden/>
          </w:rPr>
          <w:instrText xml:space="preserve"> PAGEREF _Toc458938344 \h </w:instrText>
        </w:r>
        <w:r>
          <w:rPr>
            <w:noProof/>
            <w:webHidden/>
          </w:rPr>
        </w:r>
        <w:r>
          <w:rPr>
            <w:noProof/>
            <w:webHidden/>
          </w:rPr>
          <w:fldChar w:fldCharType="separate"/>
        </w:r>
        <w:r w:rsidR="000A0E3D">
          <w:rPr>
            <w:noProof/>
            <w:webHidden/>
          </w:rPr>
          <w:t>206</w:t>
        </w:r>
        <w:r>
          <w:rPr>
            <w:noProof/>
            <w:webHidden/>
          </w:rPr>
          <w:fldChar w:fldCharType="end"/>
        </w:r>
      </w:hyperlink>
    </w:p>
    <w:p w14:paraId="46C2A69C"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45" w:history="1">
        <w:r w:rsidRPr="00404E93">
          <w:rPr>
            <w:rStyle w:val="Hyperlink"/>
            <w:noProof/>
          </w:rPr>
          <w:t>d.</w:t>
        </w:r>
        <w:r>
          <w:rPr>
            <w:rFonts w:eastAsiaTheme="minorEastAsia" w:cstheme="minorBidi"/>
            <w:noProof/>
            <w:sz w:val="22"/>
            <w:szCs w:val="22"/>
            <w:lang w:bidi="ar-SA"/>
          </w:rPr>
          <w:tab/>
        </w:r>
        <w:r w:rsidRPr="00404E93">
          <w:rPr>
            <w:rStyle w:val="Hyperlink"/>
            <w:noProof/>
          </w:rPr>
          <w:t>Computational results summary of (PPh</w:t>
        </w:r>
        <w:r w:rsidRPr="00404E93">
          <w:rPr>
            <w:rStyle w:val="Hyperlink"/>
            <w:noProof/>
            <w:vertAlign w:val="subscript"/>
          </w:rPr>
          <w:t>3</w:t>
        </w:r>
        <w:r w:rsidRPr="00404E93">
          <w:rPr>
            <w:rStyle w:val="Hyperlink"/>
            <w:noProof/>
          </w:rPr>
          <w:t>)</w:t>
        </w:r>
        <w:r w:rsidRPr="00404E93">
          <w:rPr>
            <w:rStyle w:val="Hyperlink"/>
            <w:noProof/>
            <w:vertAlign w:val="subscript"/>
          </w:rPr>
          <w:t>2</w:t>
        </w:r>
        <w:r w:rsidRPr="00404E93">
          <w:rPr>
            <w:rStyle w:val="Hyperlink"/>
            <w:noProof/>
          </w:rPr>
          <w:t>ReO</w:t>
        </w:r>
        <w:r w:rsidRPr="00404E93">
          <w:rPr>
            <w:rStyle w:val="Hyperlink"/>
            <w:noProof/>
            <w:vertAlign w:val="subscript"/>
          </w:rPr>
          <w:t>2</w:t>
        </w:r>
        <w:r w:rsidRPr="00404E93">
          <w:rPr>
            <w:rStyle w:val="Hyperlink"/>
            <w:noProof/>
          </w:rPr>
          <w:t>I + MeOH (by K.Nicholas)</w:t>
        </w:r>
        <w:r>
          <w:rPr>
            <w:noProof/>
            <w:webHidden/>
          </w:rPr>
          <w:tab/>
        </w:r>
        <w:r>
          <w:rPr>
            <w:noProof/>
            <w:webHidden/>
          </w:rPr>
          <w:fldChar w:fldCharType="begin"/>
        </w:r>
        <w:r>
          <w:rPr>
            <w:noProof/>
            <w:webHidden/>
          </w:rPr>
          <w:instrText xml:space="preserve"> PAGEREF _Toc458938345 \h </w:instrText>
        </w:r>
        <w:r>
          <w:rPr>
            <w:noProof/>
            <w:webHidden/>
          </w:rPr>
        </w:r>
        <w:r>
          <w:rPr>
            <w:noProof/>
            <w:webHidden/>
          </w:rPr>
          <w:fldChar w:fldCharType="separate"/>
        </w:r>
        <w:r w:rsidR="000A0E3D">
          <w:rPr>
            <w:noProof/>
            <w:webHidden/>
          </w:rPr>
          <w:t>214</w:t>
        </w:r>
        <w:r>
          <w:rPr>
            <w:noProof/>
            <w:webHidden/>
          </w:rPr>
          <w:fldChar w:fldCharType="end"/>
        </w:r>
      </w:hyperlink>
    </w:p>
    <w:p w14:paraId="347E8A3C" w14:textId="77777777" w:rsidR="001539C6" w:rsidRDefault="001539C6">
      <w:pPr>
        <w:pStyle w:val="TOC2"/>
        <w:tabs>
          <w:tab w:val="right" w:leader="dot" w:pos="8486"/>
        </w:tabs>
        <w:rPr>
          <w:rFonts w:eastAsiaTheme="minorEastAsia" w:cstheme="minorBidi"/>
          <w:noProof/>
          <w:sz w:val="22"/>
          <w:szCs w:val="22"/>
          <w:lang w:bidi="ar-SA"/>
        </w:rPr>
      </w:pPr>
      <w:hyperlink w:anchor="_Toc458938346" w:history="1">
        <w:r w:rsidRPr="00404E93">
          <w:rPr>
            <w:rStyle w:val="Hyperlink"/>
            <w:noProof/>
          </w:rPr>
          <w:t>3.</w:t>
        </w:r>
        <w:r>
          <w:rPr>
            <w:rFonts w:eastAsiaTheme="minorEastAsia" w:cstheme="minorBidi"/>
            <w:noProof/>
            <w:sz w:val="22"/>
            <w:szCs w:val="22"/>
            <w:lang w:bidi="ar-SA"/>
          </w:rPr>
          <w:tab/>
        </w:r>
        <w:r w:rsidRPr="00404E93">
          <w:rPr>
            <w:rStyle w:val="Hyperlink"/>
            <w:noProof/>
          </w:rPr>
          <w:t>Discussion and Conclusions</w:t>
        </w:r>
        <w:r>
          <w:rPr>
            <w:noProof/>
            <w:webHidden/>
          </w:rPr>
          <w:tab/>
        </w:r>
        <w:r>
          <w:rPr>
            <w:noProof/>
            <w:webHidden/>
          </w:rPr>
          <w:fldChar w:fldCharType="begin"/>
        </w:r>
        <w:r>
          <w:rPr>
            <w:noProof/>
            <w:webHidden/>
          </w:rPr>
          <w:instrText xml:space="preserve"> PAGEREF _Toc458938346 \h </w:instrText>
        </w:r>
        <w:r>
          <w:rPr>
            <w:noProof/>
            <w:webHidden/>
          </w:rPr>
        </w:r>
        <w:r>
          <w:rPr>
            <w:noProof/>
            <w:webHidden/>
          </w:rPr>
          <w:fldChar w:fldCharType="separate"/>
        </w:r>
        <w:r w:rsidR="000A0E3D">
          <w:rPr>
            <w:noProof/>
            <w:webHidden/>
          </w:rPr>
          <w:t>216</w:t>
        </w:r>
        <w:r>
          <w:rPr>
            <w:noProof/>
            <w:webHidden/>
          </w:rPr>
          <w:fldChar w:fldCharType="end"/>
        </w:r>
      </w:hyperlink>
    </w:p>
    <w:p w14:paraId="7589F849" w14:textId="77777777" w:rsidR="001539C6" w:rsidRDefault="001539C6">
      <w:pPr>
        <w:pStyle w:val="TOC2"/>
        <w:tabs>
          <w:tab w:val="right" w:leader="dot" w:pos="8486"/>
        </w:tabs>
        <w:rPr>
          <w:rFonts w:eastAsiaTheme="minorEastAsia" w:cstheme="minorBidi"/>
          <w:noProof/>
          <w:sz w:val="22"/>
          <w:szCs w:val="22"/>
          <w:lang w:bidi="ar-SA"/>
        </w:rPr>
      </w:pPr>
      <w:hyperlink w:anchor="_Toc458938347" w:history="1">
        <w:r w:rsidRPr="00404E93">
          <w:rPr>
            <w:rStyle w:val="Hyperlink"/>
            <w:noProof/>
          </w:rPr>
          <w:t>4.</w:t>
        </w:r>
        <w:r>
          <w:rPr>
            <w:rFonts w:eastAsiaTheme="minorEastAsia" w:cstheme="minorBidi"/>
            <w:noProof/>
            <w:sz w:val="22"/>
            <w:szCs w:val="22"/>
            <w:lang w:bidi="ar-SA"/>
          </w:rPr>
          <w:tab/>
        </w:r>
        <w:r w:rsidRPr="00404E93">
          <w:rPr>
            <w:rStyle w:val="Hyperlink"/>
            <w:noProof/>
          </w:rPr>
          <w:t>Experimental</w:t>
        </w:r>
        <w:r>
          <w:rPr>
            <w:noProof/>
            <w:webHidden/>
          </w:rPr>
          <w:tab/>
        </w:r>
        <w:r>
          <w:rPr>
            <w:noProof/>
            <w:webHidden/>
          </w:rPr>
          <w:fldChar w:fldCharType="begin"/>
        </w:r>
        <w:r>
          <w:rPr>
            <w:noProof/>
            <w:webHidden/>
          </w:rPr>
          <w:instrText xml:space="preserve"> PAGEREF _Toc458938347 \h </w:instrText>
        </w:r>
        <w:r>
          <w:rPr>
            <w:noProof/>
            <w:webHidden/>
          </w:rPr>
        </w:r>
        <w:r>
          <w:rPr>
            <w:noProof/>
            <w:webHidden/>
          </w:rPr>
          <w:fldChar w:fldCharType="separate"/>
        </w:r>
        <w:r w:rsidR="000A0E3D">
          <w:rPr>
            <w:noProof/>
            <w:webHidden/>
          </w:rPr>
          <w:t>226</w:t>
        </w:r>
        <w:r>
          <w:rPr>
            <w:noProof/>
            <w:webHidden/>
          </w:rPr>
          <w:fldChar w:fldCharType="end"/>
        </w:r>
      </w:hyperlink>
    </w:p>
    <w:p w14:paraId="4906F637"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48" w:history="1">
        <w:r w:rsidRPr="00404E93">
          <w:rPr>
            <w:rStyle w:val="Hyperlink"/>
            <w:noProof/>
          </w:rPr>
          <w:t>a.</w:t>
        </w:r>
        <w:r>
          <w:rPr>
            <w:rFonts w:eastAsiaTheme="minorEastAsia" w:cstheme="minorBidi"/>
            <w:noProof/>
            <w:sz w:val="22"/>
            <w:szCs w:val="22"/>
            <w:lang w:bidi="ar-SA"/>
          </w:rPr>
          <w:tab/>
        </w:r>
        <w:r w:rsidRPr="00404E93">
          <w:rPr>
            <w:rStyle w:val="Hyperlink"/>
            <w:noProof/>
          </w:rPr>
          <w:t>General information: reagents and instruments.</w:t>
        </w:r>
        <w:r>
          <w:rPr>
            <w:noProof/>
            <w:webHidden/>
          </w:rPr>
          <w:tab/>
        </w:r>
        <w:r>
          <w:rPr>
            <w:noProof/>
            <w:webHidden/>
          </w:rPr>
          <w:fldChar w:fldCharType="begin"/>
        </w:r>
        <w:r>
          <w:rPr>
            <w:noProof/>
            <w:webHidden/>
          </w:rPr>
          <w:instrText xml:space="preserve"> PAGEREF _Toc458938348 \h </w:instrText>
        </w:r>
        <w:r>
          <w:rPr>
            <w:noProof/>
            <w:webHidden/>
          </w:rPr>
        </w:r>
        <w:r>
          <w:rPr>
            <w:noProof/>
            <w:webHidden/>
          </w:rPr>
          <w:fldChar w:fldCharType="separate"/>
        </w:r>
        <w:r w:rsidR="000A0E3D">
          <w:rPr>
            <w:noProof/>
            <w:webHidden/>
          </w:rPr>
          <w:t>226</w:t>
        </w:r>
        <w:r>
          <w:rPr>
            <w:noProof/>
            <w:webHidden/>
          </w:rPr>
          <w:fldChar w:fldCharType="end"/>
        </w:r>
      </w:hyperlink>
    </w:p>
    <w:p w14:paraId="2B2072D3"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49" w:history="1">
        <w:r w:rsidRPr="00404E93">
          <w:rPr>
            <w:rStyle w:val="Hyperlink"/>
            <w:noProof/>
          </w:rPr>
          <w:t>b.</w:t>
        </w:r>
        <w:r>
          <w:rPr>
            <w:rFonts w:eastAsiaTheme="minorEastAsia" w:cstheme="minorBidi"/>
            <w:noProof/>
            <w:sz w:val="22"/>
            <w:szCs w:val="22"/>
            <w:lang w:bidi="ar-SA"/>
          </w:rPr>
          <w:tab/>
        </w:r>
        <w:r w:rsidRPr="00404E93">
          <w:rPr>
            <w:rStyle w:val="Hyperlink"/>
            <w:noProof/>
          </w:rPr>
          <w:t>Catalyst synthesis</w:t>
        </w:r>
        <w:r>
          <w:rPr>
            <w:noProof/>
            <w:webHidden/>
          </w:rPr>
          <w:tab/>
        </w:r>
        <w:r>
          <w:rPr>
            <w:noProof/>
            <w:webHidden/>
          </w:rPr>
          <w:fldChar w:fldCharType="begin"/>
        </w:r>
        <w:r>
          <w:rPr>
            <w:noProof/>
            <w:webHidden/>
          </w:rPr>
          <w:instrText xml:space="preserve"> PAGEREF _Toc458938349 \h </w:instrText>
        </w:r>
        <w:r>
          <w:rPr>
            <w:noProof/>
            <w:webHidden/>
          </w:rPr>
        </w:r>
        <w:r>
          <w:rPr>
            <w:noProof/>
            <w:webHidden/>
          </w:rPr>
          <w:fldChar w:fldCharType="separate"/>
        </w:r>
        <w:r w:rsidR="000A0E3D">
          <w:rPr>
            <w:noProof/>
            <w:webHidden/>
          </w:rPr>
          <w:t>226</w:t>
        </w:r>
        <w:r>
          <w:rPr>
            <w:noProof/>
            <w:webHidden/>
          </w:rPr>
          <w:fldChar w:fldCharType="end"/>
        </w:r>
      </w:hyperlink>
    </w:p>
    <w:p w14:paraId="16E1D023"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50" w:history="1">
        <w:r w:rsidRPr="00404E93">
          <w:rPr>
            <w:rStyle w:val="Hyperlink"/>
            <w:noProof/>
          </w:rPr>
          <w:t>c.</w:t>
        </w:r>
        <w:r>
          <w:rPr>
            <w:rFonts w:eastAsiaTheme="minorEastAsia" w:cstheme="minorBidi"/>
            <w:noProof/>
            <w:sz w:val="22"/>
            <w:szCs w:val="22"/>
            <w:lang w:bidi="ar-SA"/>
          </w:rPr>
          <w:tab/>
        </w:r>
        <w:r w:rsidRPr="00404E93">
          <w:rPr>
            <w:rStyle w:val="Hyperlink"/>
            <w:noProof/>
          </w:rPr>
          <w:t>Study of the catalyst in solution; ligand dissociation</w:t>
        </w:r>
        <w:r>
          <w:rPr>
            <w:noProof/>
            <w:webHidden/>
          </w:rPr>
          <w:tab/>
        </w:r>
        <w:r>
          <w:rPr>
            <w:noProof/>
            <w:webHidden/>
          </w:rPr>
          <w:fldChar w:fldCharType="begin"/>
        </w:r>
        <w:r>
          <w:rPr>
            <w:noProof/>
            <w:webHidden/>
          </w:rPr>
          <w:instrText xml:space="preserve"> PAGEREF _Toc458938350 \h </w:instrText>
        </w:r>
        <w:r>
          <w:rPr>
            <w:noProof/>
            <w:webHidden/>
          </w:rPr>
        </w:r>
        <w:r>
          <w:rPr>
            <w:noProof/>
            <w:webHidden/>
          </w:rPr>
          <w:fldChar w:fldCharType="separate"/>
        </w:r>
        <w:r w:rsidR="000A0E3D">
          <w:rPr>
            <w:noProof/>
            <w:webHidden/>
          </w:rPr>
          <w:t>227</w:t>
        </w:r>
        <w:r>
          <w:rPr>
            <w:noProof/>
            <w:webHidden/>
          </w:rPr>
          <w:fldChar w:fldCharType="end"/>
        </w:r>
      </w:hyperlink>
    </w:p>
    <w:p w14:paraId="6FFA8D21"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51" w:history="1">
        <w:r w:rsidRPr="00404E93">
          <w:rPr>
            <w:rStyle w:val="Hyperlink"/>
            <w:noProof/>
          </w:rPr>
          <w:t>d.</w:t>
        </w:r>
        <w:r>
          <w:rPr>
            <w:rFonts w:eastAsiaTheme="minorEastAsia" w:cstheme="minorBidi"/>
            <w:noProof/>
            <w:sz w:val="22"/>
            <w:szCs w:val="22"/>
            <w:lang w:bidi="ar-SA"/>
          </w:rPr>
          <w:tab/>
        </w:r>
        <w:r w:rsidRPr="00404E93">
          <w:rPr>
            <w:rStyle w:val="Hyperlink"/>
            <w:noProof/>
          </w:rPr>
          <w:t>NMR Stoichiometric Experiments</w:t>
        </w:r>
        <w:r>
          <w:rPr>
            <w:noProof/>
            <w:webHidden/>
          </w:rPr>
          <w:tab/>
        </w:r>
        <w:r>
          <w:rPr>
            <w:noProof/>
            <w:webHidden/>
          </w:rPr>
          <w:fldChar w:fldCharType="begin"/>
        </w:r>
        <w:r>
          <w:rPr>
            <w:noProof/>
            <w:webHidden/>
          </w:rPr>
          <w:instrText xml:space="preserve"> PAGEREF _Toc458938351 \h </w:instrText>
        </w:r>
        <w:r>
          <w:rPr>
            <w:noProof/>
            <w:webHidden/>
          </w:rPr>
        </w:r>
        <w:r>
          <w:rPr>
            <w:noProof/>
            <w:webHidden/>
          </w:rPr>
          <w:fldChar w:fldCharType="separate"/>
        </w:r>
        <w:r w:rsidR="000A0E3D">
          <w:rPr>
            <w:noProof/>
            <w:webHidden/>
          </w:rPr>
          <w:t>227</w:t>
        </w:r>
        <w:r>
          <w:rPr>
            <w:noProof/>
            <w:webHidden/>
          </w:rPr>
          <w:fldChar w:fldCharType="end"/>
        </w:r>
      </w:hyperlink>
    </w:p>
    <w:p w14:paraId="7A051096"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52" w:history="1">
        <w:r w:rsidRPr="00404E93">
          <w:rPr>
            <w:rStyle w:val="Hyperlink"/>
            <w:noProof/>
          </w:rPr>
          <w:t>e.</w:t>
        </w:r>
        <w:r>
          <w:rPr>
            <w:rFonts w:eastAsiaTheme="minorEastAsia" w:cstheme="minorBidi"/>
            <w:noProof/>
            <w:sz w:val="22"/>
            <w:szCs w:val="22"/>
            <w:lang w:bidi="ar-SA"/>
          </w:rPr>
          <w:tab/>
        </w:r>
        <w:r w:rsidRPr="00404E93">
          <w:rPr>
            <w:rStyle w:val="Hyperlink"/>
            <w:noProof/>
          </w:rPr>
          <w:t>Kinetic experiments</w:t>
        </w:r>
        <w:r>
          <w:rPr>
            <w:noProof/>
            <w:webHidden/>
          </w:rPr>
          <w:tab/>
        </w:r>
        <w:r>
          <w:rPr>
            <w:noProof/>
            <w:webHidden/>
          </w:rPr>
          <w:fldChar w:fldCharType="begin"/>
        </w:r>
        <w:r>
          <w:rPr>
            <w:noProof/>
            <w:webHidden/>
          </w:rPr>
          <w:instrText xml:space="preserve"> PAGEREF _Toc458938352 \h </w:instrText>
        </w:r>
        <w:r>
          <w:rPr>
            <w:noProof/>
            <w:webHidden/>
          </w:rPr>
        </w:r>
        <w:r>
          <w:rPr>
            <w:noProof/>
            <w:webHidden/>
          </w:rPr>
          <w:fldChar w:fldCharType="separate"/>
        </w:r>
        <w:r w:rsidR="000A0E3D">
          <w:rPr>
            <w:noProof/>
            <w:webHidden/>
          </w:rPr>
          <w:t>231</w:t>
        </w:r>
        <w:r>
          <w:rPr>
            <w:noProof/>
            <w:webHidden/>
          </w:rPr>
          <w:fldChar w:fldCharType="end"/>
        </w:r>
      </w:hyperlink>
    </w:p>
    <w:p w14:paraId="2F5A5662" w14:textId="77777777" w:rsidR="001539C6" w:rsidRDefault="001539C6">
      <w:pPr>
        <w:pStyle w:val="TOC3"/>
        <w:tabs>
          <w:tab w:val="left" w:pos="1080"/>
          <w:tab w:val="right" w:leader="dot" w:pos="8486"/>
        </w:tabs>
        <w:rPr>
          <w:rFonts w:eastAsiaTheme="minorEastAsia" w:cstheme="minorBidi"/>
          <w:noProof/>
          <w:sz w:val="22"/>
          <w:szCs w:val="22"/>
          <w:lang w:bidi="ar-SA"/>
        </w:rPr>
      </w:pPr>
      <w:hyperlink w:anchor="_Toc458938353" w:history="1">
        <w:r w:rsidRPr="00404E93">
          <w:rPr>
            <w:rStyle w:val="Hyperlink"/>
            <w:noProof/>
          </w:rPr>
          <w:t>f.</w:t>
        </w:r>
        <w:r>
          <w:rPr>
            <w:rFonts w:eastAsiaTheme="minorEastAsia" w:cstheme="minorBidi"/>
            <w:noProof/>
            <w:sz w:val="22"/>
            <w:szCs w:val="22"/>
            <w:lang w:bidi="ar-SA"/>
          </w:rPr>
          <w:tab/>
        </w:r>
        <w:r w:rsidRPr="00404E93">
          <w:rPr>
            <w:rStyle w:val="Hyperlink"/>
            <w:noProof/>
          </w:rPr>
          <w:t>IR sampling</w:t>
        </w:r>
        <w:r>
          <w:rPr>
            <w:noProof/>
            <w:webHidden/>
          </w:rPr>
          <w:tab/>
        </w:r>
        <w:r>
          <w:rPr>
            <w:noProof/>
            <w:webHidden/>
          </w:rPr>
          <w:fldChar w:fldCharType="begin"/>
        </w:r>
        <w:r>
          <w:rPr>
            <w:noProof/>
            <w:webHidden/>
          </w:rPr>
          <w:instrText xml:space="preserve"> PAGEREF _Toc458938353 \h </w:instrText>
        </w:r>
        <w:r>
          <w:rPr>
            <w:noProof/>
            <w:webHidden/>
          </w:rPr>
        </w:r>
        <w:r>
          <w:rPr>
            <w:noProof/>
            <w:webHidden/>
          </w:rPr>
          <w:fldChar w:fldCharType="separate"/>
        </w:r>
        <w:r w:rsidR="000A0E3D">
          <w:rPr>
            <w:noProof/>
            <w:webHidden/>
          </w:rPr>
          <w:t>234</w:t>
        </w:r>
        <w:r>
          <w:rPr>
            <w:noProof/>
            <w:webHidden/>
          </w:rPr>
          <w:fldChar w:fldCharType="end"/>
        </w:r>
      </w:hyperlink>
    </w:p>
    <w:p w14:paraId="37B0CC3D" w14:textId="77777777" w:rsidR="001539C6" w:rsidRDefault="001539C6">
      <w:pPr>
        <w:pStyle w:val="TOC3"/>
        <w:tabs>
          <w:tab w:val="left" w:pos="1440"/>
          <w:tab w:val="right" w:leader="dot" w:pos="8486"/>
        </w:tabs>
        <w:rPr>
          <w:rFonts w:eastAsiaTheme="minorEastAsia" w:cstheme="minorBidi"/>
          <w:noProof/>
          <w:sz w:val="22"/>
          <w:szCs w:val="22"/>
          <w:lang w:bidi="ar-SA"/>
        </w:rPr>
      </w:pPr>
      <w:hyperlink w:anchor="_Toc458938354" w:history="1">
        <w:r w:rsidRPr="00404E93">
          <w:rPr>
            <w:rStyle w:val="Hyperlink"/>
            <w:noProof/>
          </w:rPr>
          <w:t>g.</w:t>
        </w:r>
        <w:r>
          <w:rPr>
            <w:rFonts w:eastAsiaTheme="minorEastAsia" w:cstheme="minorBidi"/>
            <w:noProof/>
            <w:sz w:val="22"/>
            <w:szCs w:val="22"/>
            <w:lang w:bidi="ar-SA"/>
          </w:rPr>
          <w:tab/>
        </w:r>
        <w:r w:rsidRPr="00404E93">
          <w:rPr>
            <w:rStyle w:val="Hyperlink"/>
            <w:noProof/>
          </w:rPr>
          <w:t>MS sampling</w:t>
        </w:r>
        <w:r>
          <w:rPr>
            <w:noProof/>
            <w:webHidden/>
          </w:rPr>
          <w:tab/>
        </w:r>
        <w:r>
          <w:rPr>
            <w:noProof/>
            <w:webHidden/>
          </w:rPr>
          <w:fldChar w:fldCharType="begin"/>
        </w:r>
        <w:r>
          <w:rPr>
            <w:noProof/>
            <w:webHidden/>
          </w:rPr>
          <w:instrText xml:space="preserve"> PAGEREF _Toc458938354 \h </w:instrText>
        </w:r>
        <w:r>
          <w:rPr>
            <w:noProof/>
            <w:webHidden/>
          </w:rPr>
        </w:r>
        <w:r>
          <w:rPr>
            <w:noProof/>
            <w:webHidden/>
          </w:rPr>
          <w:fldChar w:fldCharType="separate"/>
        </w:r>
        <w:r w:rsidR="000A0E3D">
          <w:rPr>
            <w:noProof/>
            <w:webHidden/>
          </w:rPr>
          <w:t>234</w:t>
        </w:r>
        <w:r>
          <w:rPr>
            <w:noProof/>
            <w:webHidden/>
          </w:rPr>
          <w:fldChar w:fldCharType="end"/>
        </w:r>
      </w:hyperlink>
    </w:p>
    <w:p w14:paraId="314AE779" w14:textId="77777777" w:rsidR="00DA1971" w:rsidRDefault="00ED6DBD" w:rsidP="00DA1971">
      <w:r>
        <w:fldChar w:fldCharType="end"/>
      </w:r>
      <w:r w:rsidR="00C92079">
        <w:t xml:space="preserve"> </w:t>
      </w:r>
    </w:p>
    <w:p w14:paraId="219ECD9F" w14:textId="77777777" w:rsidR="00775701" w:rsidRPr="00F058F0" w:rsidRDefault="00DA1971" w:rsidP="00594070">
      <w:pPr>
        <w:pStyle w:val="Style1"/>
        <w:ind w:left="0"/>
      </w:pPr>
      <w:r>
        <w:br w:type="page"/>
      </w:r>
      <w:bookmarkStart w:id="1" w:name="_Toc310579465"/>
      <w:r w:rsidRPr="00F058F0">
        <w:t>List of Tables</w:t>
      </w:r>
      <w:bookmarkEnd w:id="1"/>
    </w:p>
    <w:p w14:paraId="64431D3C" w14:textId="77777777" w:rsidR="00924E73" w:rsidRDefault="00BC21CB">
      <w:pPr>
        <w:pStyle w:val="TableofFigures"/>
        <w:tabs>
          <w:tab w:val="right" w:leader="dot" w:pos="8486"/>
        </w:tabs>
        <w:rPr>
          <w:rFonts w:eastAsiaTheme="minorEastAsia" w:cstheme="minorBidi"/>
          <w:noProof/>
          <w:sz w:val="22"/>
          <w:szCs w:val="22"/>
          <w:lang w:bidi="ar-SA"/>
        </w:rPr>
      </w:pPr>
      <w:r>
        <w:fldChar w:fldCharType="begin"/>
      </w:r>
      <w:r>
        <w:instrText xml:space="preserve"> TOC \h \z \c "Table II. " </w:instrText>
      </w:r>
      <w:r>
        <w:fldChar w:fldCharType="separate"/>
      </w:r>
      <w:hyperlink w:anchor="_Toc457670484" w:history="1">
        <w:r w:rsidR="00924E73" w:rsidRPr="00035664">
          <w:rPr>
            <w:rStyle w:val="Hyperlink"/>
            <w:noProof/>
          </w:rPr>
          <w:t>Table II. 2.1 Screening hydroaromatic reductants for DODH</w:t>
        </w:r>
        <w:r w:rsidR="00924E73">
          <w:rPr>
            <w:noProof/>
            <w:webHidden/>
          </w:rPr>
          <w:tab/>
        </w:r>
        <w:r w:rsidR="00924E73">
          <w:rPr>
            <w:noProof/>
            <w:webHidden/>
          </w:rPr>
          <w:fldChar w:fldCharType="begin"/>
        </w:r>
        <w:r w:rsidR="00924E73">
          <w:rPr>
            <w:noProof/>
            <w:webHidden/>
          </w:rPr>
          <w:instrText xml:space="preserve"> PAGEREF _Toc457670484 \h </w:instrText>
        </w:r>
        <w:r w:rsidR="00924E73">
          <w:rPr>
            <w:noProof/>
            <w:webHidden/>
          </w:rPr>
        </w:r>
        <w:r w:rsidR="00924E73">
          <w:rPr>
            <w:noProof/>
            <w:webHidden/>
          </w:rPr>
          <w:fldChar w:fldCharType="separate"/>
        </w:r>
        <w:r w:rsidR="000A0E3D">
          <w:rPr>
            <w:noProof/>
            <w:webHidden/>
          </w:rPr>
          <w:t>38</w:t>
        </w:r>
        <w:r w:rsidR="00924E73">
          <w:rPr>
            <w:noProof/>
            <w:webHidden/>
          </w:rPr>
          <w:fldChar w:fldCharType="end"/>
        </w:r>
      </w:hyperlink>
    </w:p>
    <w:p w14:paraId="7DC563C8" w14:textId="77777777" w:rsidR="00924E73" w:rsidRDefault="00443010" w:rsidP="00924E73">
      <w:pPr>
        <w:pStyle w:val="TableofFigures"/>
        <w:tabs>
          <w:tab w:val="right" w:leader="dot" w:pos="8486"/>
        </w:tabs>
        <w:spacing w:line="240" w:lineRule="auto"/>
        <w:rPr>
          <w:rFonts w:eastAsiaTheme="minorEastAsia" w:cstheme="minorBidi"/>
          <w:noProof/>
          <w:sz w:val="22"/>
          <w:szCs w:val="22"/>
          <w:lang w:bidi="ar-SA"/>
        </w:rPr>
      </w:pPr>
      <w:hyperlink w:anchor="_Toc457670485" w:history="1">
        <w:r w:rsidR="00924E73" w:rsidRPr="00035664">
          <w:rPr>
            <w:rStyle w:val="Hyperlink"/>
            <w:noProof/>
          </w:rPr>
          <w:t>Table II. 3.1 DODH with indoline as reductant</w:t>
        </w:r>
        <w:r w:rsidR="00924E73">
          <w:rPr>
            <w:noProof/>
            <w:webHidden/>
          </w:rPr>
          <w:tab/>
        </w:r>
        <w:r w:rsidR="00924E73">
          <w:rPr>
            <w:noProof/>
            <w:webHidden/>
          </w:rPr>
          <w:fldChar w:fldCharType="begin"/>
        </w:r>
        <w:r w:rsidR="00924E73">
          <w:rPr>
            <w:noProof/>
            <w:webHidden/>
          </w:rPr>
          <w:instrText xml:space="preserve"> PAGEREF _Toc457670485 \h </w:instrText>
        </w:r>
        <w:r w:rsidR="00924E73">
          <w:rPr>
            <w:noProof/>
            <w:webHidden/>
          </w:rPr>
        </w:r>
        <w:r w:rsidR="00924E73">
          <w:rPr>
            <w:noProof/>
            <w:webHidden/>
          </w:rPr>
          <w:fldChar w:fldCharType="separate"/>
        </w:r>
        <w:r w:rsidR="000A0E3D">
          <w:rPr>
            <w:noProof/>
            <w:webHidden/>
          </w:rPr>
          <w:t>41</w:t>
        </w:r>
        <w:r w:rsidR="00924E73">
          <w:rPr>
            <w:noProof/>
            <w:webHidden/>
          </w:rPr>
          <w:fldChar w:fldCharType="end"/>
        </w:r>
      </w:hyperlink>
    </w:p>
    <w:p w14:paraId="1891D975" w14:textId="77777777" w:rsidR="00924E73" w:rsidRDefault="00BC21CB" w:rsidP="001A0E71">
      <w:pPr>
        <w:pStyle w:val="NoSpacing"/>
        <w:rPr>
          <w:noProof/>
        </w:rPr>
      </w:pPr>
      <w:r>
        <w:fldChar w:fldCharType="end"/>
      </w:r>
      <w:r w:rsidR="00C47A04">
        <w:fldChar w:fldCharType="begin"/>
      </w:r>
      <w:r w:rsidR="00C47A04">
        <w:instrText xml:space="preserve"> TOC \h \z \c "Table III." </w:instrText>
      </w:r>
      <w:r w:rsidR="00C47A04">
        <w:fldChar w:fldCharType="separate"/>
      </w:r>
    </w:p>
    <w:p w14:paraId="2E502343"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486" w:history="1">
        <w:r w:rsidR="00924E73" w:rsidRPr="00EE6F00">
          <w:rPr>
            <w:rStyle w:val="Hyperlink"/>
            <w:noProof/>
          </w:rPr>
          <w:t>Table III. 1.1 DEF yield using α-hydroxy carbonyls (1, Figure III. 1.4) as reducing agent</w:t>
        </w:r>
        <w:r w:rsidR="00924E73">
          <w:rPr>
            <w:noProof/>
            <w:webHidden/>
          </w:rPr>
          <w:tab/>
        </w:r>
        <w:r w:rsidR="00924E73">
          <w:rPr>
            <w:noProof/>
            <w:webHidden/>
          </w:rPr>
          <w:fldChar w:fldCharType="begin"/>
        </w:r>
        <w:r w:rsidR="00924E73">
          <w:rPr>
            <w:noProof/>
            <w:webHidden/>
          </w:rPr>
          <w:instrText xml:space="preserve"> PAGEREF _Toc457670486 \h </w:instrText>
        </w:r>
        <w:r w:rsidR="00924E73">
          <w:rPr>
            <w:noProof/>
            <w:webHidden/>
          </w:rPr>
        </w:r>
        <w:r w:rsidR="00924E73">
          <w:rPr>
            <w:noProof/>
            <w:webHidden/>
          </w:rPr>
          <w:fldChar w:fldCharType="separate"/>
        </w:r>
        <w:r w:rsidR="000A0E3D">
          <w:rPr>
            <w:noProof/>
            <w:webHidden/>
          </w:rPr>
          <w:t>61</w:t>
        </w:r>
        <w:r w:rsidR="00924E73">
          <w:rPr>
            <w:noProof/>
            <w:webHidden/>
          </w:rPr>
          <w:fldChar w:fldCharType="end"/>
        </w:r>
      </w:hyperlink>
    </w:p>
    <w:p w14:paraId="53659F4D"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487" w:history="1">
        <w:r w:rsidR="00924E73" w:rsidRPr="00EE6F00">
          <w:rPr>
            <w:rStyle w:val="Hyperlink"/>
            <w:noProof/>
          </w:rPr>
          <w:t>Table III. 1.2 Alkene yield using ethyl lactate as reducing agent (Figure III. 1.5)</w:t>
        </w:r>
        <w:r w:rsidR="00924E73">
          <w:rPr>
            <w:noProof/>
            <w:webHidden/>
          </w:rPr>
          <w:tab/>
        </w:r>
        <w:r w:rsidR="00924E73">
          <w:rPr>
            <w:noProof/>
            <w:webHidden/>
          </w:rPr>
          <w:fldChar w:fldCharType="begin"/>
        </w:r>
        <w:r w:rsidR="00924E73">
          <w:rPr>
            <w:noProof/>
            <w:webHidden/>
          </w:rPr>
          <w:instrText xml:space="preserve"> PAGEREF _Toc457670487 \h </w:instrText>
        </w:r>
        <w:r w:rsidR="00924E73">
          <w:rPr>
            <w:noProof/>
            <w:webHidden/>
          </w:rPr>
        </w:r>
        <w:r w:rsidR="00924E73">
          <w:rPr>
            <w:noProof/>
            <w:webHidden/>
          </w:rPr>
          <w:fldChar w:fldCharType="separate"/>
        </w:r>
        <w:r w:rsidR="000A0E3D">
          <w:rPr>
            <w:noProof/>
            <w:webHidden/>
          </w:rPr>
          <w:t>63</w:t>
        </w:r>
        <w:r w:rsidR="00924E73">
          <w:rPr>
            <w:noProof/>
            <w:webHidden/>
          </w:rPr>
          <w:fldChar w:fldCharType="end"/>
        </w:r>
      </w:hyperlink>
    </w:p>
    <w:p w14:paraId="7C9D1E44"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488" w:history="1">
        <w:r w:rsidR="00924E73" w:rsidRPr="00EE6F00">
          <w:rPr>
            <w:rStyle w:val="Hyperlink"/>
            <w:noProof/>
          </w:rPr>
          <w:t>Table III. 1.3 Alkene (3) yield using α-hydroxy carbonyl (2) as reducing agents (Figure III. 1.6)</w:t>
        </w:r>
        <w:r w:rsidR="00924E73">
          <w:rPr>
            <w:noProof/>
            <w:webHidden/>
          </w:rPr>
          <w:tab/>
        </w:r>
        <w:r w:rsidR="00924E73">
          <w:rPr>
            <w:noProof/>
            <w:webHidden/>
          </w:rPr>
          <w:fldChar w:fldCharType="begin"/>
        </w:r>
        <w:r w:rsidR="00924E73">
          <w:rPr>
            <w:noProof/>
            <w:webHidden/>
          </w:rPr>
          <w:instrText xml:space="preserve"> PAGEREF _Toc457670488 \h </w:instrText>
        </w:r>
        <w:r w:rsidR="00924E73">
          <w:rPr>
            <w:noProof/>
            <w:webHidden/>
          </w:rPr>
        </w:r>
        <w:r w:rsidR="00924E73">
          <w:rPr>
            <w:noProof/>
            <w:webHidden/>
          </w:rPr>
          <w:fldChar w:fldCharType="separate"/>
        </w:r>
        <w:r w:rsidR="000A0E3D">
          <w:rPr>
            <w:noProof/>
            <w:webHidden/>
          </w:rPr>
          <w:t>64</w:t>
        </w:r>
        <w:r w:rsidR="00924E73">
          <w:rPr>
            <w:noProof/>
            <w:webHidden/>
          </w:rPr>
          <w:fldChar w:fldCharType="end"/>
        </w:r>
      </w:hyperlink>
    </w:p>
    <w:p w14:paraId="329F19FB"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489" w:history="1">
        <w:r w:rsidR="00924E73" w:rsidRPr="00EE6F00">
          <w:rPr>
            <w:rStyle w:val="Hyperlink"/>
            <w:noProof/>
          </w:rPr>
          <w:t>Table III. 3.1 DODH Study of the BOC Derivative of Glycerol</w:t>
        </w:r>
        <w:r w:rsidR="00924E73">
          <w:rPr>
            <w:noProof/>
            <w:webHidden/>
          </w:rPr>
          <w:tab/>
        </w:r>
        <w:r w:rsidR="00924E73">
          <w:rPr>
            <w:noProof/>
            <w:webHidden/>
          </w:rPr>
          <w:fldChar w:fldCharType="begin"/>
        </w:r>
        <w:r w:rsidR="00924E73">
          <w:rPr>
            <w:noProof/>
            <w:webHidden/>
          </w:rPr>
          <w:instrText xml:space="preserve"> PAGEREF _Toc457670489 \h </w:instrText>
        </w:r>
        <w:r w:rsidR="00924E73">
          <w:rPr>
            <w:noProof/>
            <w:webHidden/>
          </w:rPr>
        </w:r>
        <w:r w:rsidR="00924E73">
          <w:rPr>
            <w:noProof/>
            <w:webHidden/>
          </w:rPr>
          <w:fldChar w:fldCharType="separate"/>
        </w:r>
        <w:r w:rsidR="000A0E3D">
          <w:rPr>
            <w:noProof/>
            <w:webHidden/>
          </w:rPr>
          <w:t>100</w:t>
        </w:r>
        <w:r w:rsidR="00924E73">
          <w:rPr>
            <w:noProof/>
            <w:webHidden/>
          </w:rPr>
          <w:fldChar w:fldCharType="end"/>
        </w:r>
      </w:hyperlink>
    </w:p>
    <w:p w14:paraId="1CB46EA7"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490" w:history="1">
        <w:r w:rsidR="00924E73" w:rsidRPr="00EE6F00">
          <w:rPr>
            <w:rStyle w:val="Hyperlink"/>
            <w:noProof/>
          </w:rPr>
          <w:t>Table III. 3.2 TON of the DODH in glycerol : benzene solvent mixture</w:t>
        </w:r>
        <w:r w:rsidR="00924E73">
          <w:rPr>
            <w:noProof/>
            <w:webHidden/>
          </w:rPr>
          <w:tab/>
        </w:r>
        <w:r w:rsidR="00924E73">
          <w:rPr>
            <w:noProof/>
            <w:webHidden/>
          </w:rPr>
          <w:fldChar w:fldCharType="begin"/>
        </w:r>
        <w:r w:rsidR="00924E73">
          <w:rPr>
            <w:noProof/>
            <w:webHidden/>
          </w:rPr>
          <w:instrText xml:space="preserve"> PAGEREF _Toc457670490 \h </w:instrText>
        </w:r>
        <w:r w:rsidR="00924E73">
          <w:rPr>
            <w:noProof/>
            <w:webHidden/>
          </w:rPr>
        </w:r>
        <w:r w:rsidR="00924E73">
          <w:rPr>
            <w:noProof/>
            <w:webHidden/>
          </w:rPr>
          <w:fldChar w:fldCharType="separate"/>
        </w:r>
        <w:r w:rsidR="000A0E3D">
          <w:rPr>
            <w:noProof/>
            <w:webHidden/>
          </w:rPr>
          <w:t>105</w:t>
        </w:r>
        <w:r w:rsidR="00924E73">
          <w:rPr>
            <w:noProof/>
            <w:webHidden/>
          </w:rPr>
          <w:fldChar w:fldCharType="end"/>
        </w:r>
      </w:hyperlink>
    </w:p>
    <w:p w14:paraId="5105C68C"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491" w:history="1">
        <w:r w:rsidR="00924E73" w:rsidRPr="00EE6F00">
          <w:rPr>
            <w:rStyle w:val="Hyperlink"/>
            <w:noProof/>
          </w:rPr>
          <w:t>Table III. 3.3 Summary of reaction conditions for attempted allylation and tandem reaction</w:t>
        </w:r>
        <w:r w:rsidR="00924E73">
          <w:rPr>
            <w:noProof/>
            <w:webHidden/>
          </w:rPr>
          <w:tab/>
        </w:r>
        <w:r w:rsidR="00924E73">
          <w:rPr>
            <w:noProof/>
            <w:webHidden/>
          </w:rPr>
          <w:fldChar w:fldCharType="begin"/>
        </w:r>
        <w:r w:rsidR="00924E73">
          <w:rPr>
            <w:noProof/>
            <w:webHidden/>
          </w:rPr>
          <w:instrText xml:space="preserve"> PAGEREF _Toc457670491 \h </w:instrText>
        </w:r>
        <w:r w:rsidR="00924E73">
          <w:rPr>
            <w:noProof/>
            <w:webHidden/>
          </w:rPr>
        </w:r>
        <w:r w:rsidR="00924E73">
          <w:rPr>
            <w:noProof/>
            <w:webHidden/>
          </w:rPr>
          <w:fldChar w:fldCharType="separate"/>
        </w:r>
        <w:r w:rsidR="000A0E3D">
          <w:rPr>
            <w:noProof/>
            <w:webHidden/>
          </w:rPr>
          <w:t>107</w:t>
        </w:r>
        <w:r w:rsidR="00924E73">
          <w:rPr>
            <w:noProof/>
            <w:webHidden/>
          </w:rPr>
          <w:fldChar w:fldCharType="end"/>
        </w:r>
      </w:hyperlink>
    </w:p>
    <w:p w14:paraId="659EC671"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492" w:history="1">
        <w:r w:rsidR="00924E73" w:rsidRPr="00EE6F00">
          <w:rPr>
            <w:rStyle w:val="Hyperlink"/>
            <w:noProof/>
          </w:rPr>
          <w:t>Table III. 6.1 Reported and Attempted Hydroacylations</w:t>
        </w:r>
        <w:r w:rsidR="00924E73">
          <w:rPr>
            <w:noProof/>
            <w:webHidden/>
          </w:rPr>
          <w:tab/>
        </w:r>
        <w:r w:rsidR="00924E73">
          <w:rPr>
            <w:noProof/>
            <w:webHidden/>
          </w:rPr>
          <w:fldChar w:fldCharType="begin"/>
        </w:r>
        <w:r w:rsidR="00924E73">
          <w:rPr>
            <w:noProof/>
            <w:webHidden/>
          </w:rPr>
          <w:instrText xml:space="preserve"> PAGEREF _Toc457670492 \h </w:instrText>
        </w:r>
        <w:r w:rsidR="00924E73">
          <w:rPr>
            <w:noProof/>
            <w:webHidden/>
          </w:rPr>
        </w:r>
        <w:r w:rsidR="00924E73">
          <w:rPr>
            <w:noProof/>
            <w:webHidden/>
          </w:rPr>
          <w:fldChar w:fldCharType="separate"/>
        </w:r>
        <w:r w:rsidR="000A0E3D">
          <w:rPr>
            <w:noProof/>
            <w:webHidden/>
          </w:rPr>
          <w:t>146</w:t>
        </w:r>
        <w:r w:rsidR="00924E73">
          <w:rPr>
            <w:noProof/>
            <w:webHidden/>
          </w:rPr>
          <w:fldChar w:fldCharType="end"/>
        </w:r>
      </w:hyperlink>
    </w:p>
    <w:p w14:paraId="172FD83C"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493" w:history="1">
        <w:r w:rsidR="00924E73" w:rsidRPr="00EE6F00">
          <w:rPr>
            <w:rStyle w:val="Hyperlink"/>
            <w:noProof/>
          </w:rPr>
          <w:t>Table III. 6.2 Reaction conditions tested on the DODH of 1c</w:t>
        </w:r>
        <w:r w:rsidR="00924E73">
          <w:rPr>
            <w:noProof/>
            <w:webHidden/>
          </w:rPr>
          <w:tab/>
        </w:r>
        <w:r w:rsidR="00924E73">
          <w:rPr>
            <w:noProof/>
            <w:webHidden/>
          </w:rPr>
          <w:fldChar w:fldCharType="begin"/>
        </w:r>
        <w:r w:rsidR="00924E73">
          <w:rPr>
            <w:noProof/>
            <w:webHidden/>
          </w:rPr>
          <w:instrText xml:space="preserve"> PAGEREF _Toc457670493 \h </w:instrText>
        </w:r>
        <w:r w:rsidR="00924E73">
          <w:rPr>
            <w:noProof/>
            <w:webHidden/>
          </w:rPr>
        </w:r>
        <w:r w:rsidR="00924E73">
          <w:rPr>
            <w:noProof/>
            <w:webHidden/>
          </w:rPr>
          <w:fldChar w:fldCharType="separate"/>
        </w:r>
        <w:r w:rsidR="000A0E3D">
          <w:rPr>
            <w:noProof/>
            <w:webHidden/>
          </w:rPr>
          <w:t>150</w:t>
        </w:r>
        <w:r w:rsidR="00924E73">
          <w:rPr>
            <w:noProof/>
            <w:webHidden/>
          </w:rPr>
          <w:fldChar w:fldCharType="end"/>
        </w:r>
      </w:hyperlink>
    </w:p>
    <w:p w14:paraId="218740F4" w14:textId="77777777" w:rsidR="00924E73" w:rsidRDefault="00443010" w:rsidP="00924E73">
      <w:pPr>
        <w:pStyle w:val="TableofFigures"/>
        <w:tabs>
          <w:tab w:val="right" w:leader="dot" w:pos="8486"/>
        </w:tabs>
        <w:rPr>
          <w:rFonts w:eastAsiaTheme="minorEastAsia" w:cstheme="minorBidi"/>
          <w:noProof/>
          <w:sz w:val="22"/>
          <w:szCs w:val="22"/>
          <w:lang w:bidi="ar-SA"/>
        </w:rPr>
      </w:pPr>
      <w:hyperlink w:anchor="_Toc457670494" w:history="1">
        <w:r w:rsidR="00924E73" w:rsidRPr="00EE6F00">
          <w:rPr>
            <w:rStyle w:val="Hyperlink"/>
            <w:noProof/>
          </w:rPr>
          <w:t>Table III. 7.1 Results of the DODH of 1,2-hexane diol (Figure III. 7.5) with hydrogen and carbon monoxide under various reaction conditions</w:t>
        </w:r>
        <w:r w:rsidR="00924E73">
          <w:rPr>
            <w:noProof/>
            <w:webHidden/>
          </w:rPr>
          <w:tab/>
        </w:r>
        <w:r w:rsidR="00924E73">
          <w:rPr>
            <w:noProof/>
            <w:webHidden/>
          </w:rPr>
          <w:fldChar w:fldCharType="begin"/>
        </w:r>
        <w:r w:rsidR="00924E73">
          <w:rPr>
            <w:noProof/>
            <w:webHidden/>
          </w:rPr>
          <w:instrText xml:space="preserve"> PAGEREF _Toc457670494 \h </w:instrText>
        </w:r>
        <w:r w:rsidR="00924E73">
          <w:rPr>
            <w:noProof/>
            <w:webHidden/>
          </w:rPr>
        </w:r>
        <w:r w:rsidR="00924E73">
          <w:rPr>
            <w:noProof/>
            <w:webHidden/>
          </w:rPr>
          <w:fldChar w:fldCharType="separate"/>
        </w:r>
        <w:r w:rsidR="000A0E3D">
          <w:rPr>
            <w:noProof/>
            <w:webHidden/>
          </w:rPr>
          <w:t>164</w:t>
        </w:r>
        <w:r w:rsidR="00924E73">
          <w:rPr>
            <w:noProof/>
            <w:webHidden/>
          </w:rPr>
          <w:fldChar w:fldCharType="end"/>
        </w:r>
      </w:hyperlink>
    </w:p>
    <w:p w14:paraId="5CD38B3C" w14:textId="77777777" w:rsidR="00924E73" w:rsidRDefault="00443010" w:rsidP="00924E73">
      <w:pPr>
        <w:pStyle w:val="TableofFigures"/>
        <w:tabs>
          <w:tab w:val="right" w:leader="dot" w:pos="8486"/>
        </w:tabs>
        <w:spacing w:line="240" w:lineRule="auto"/>
        <w:rPr>
          <w:rFonts w:eastAsiaTheme="minorEastAsia" w:cstheme="minorBidi"/>
          <w:noProof/>
          <w:sz w:val="22"/>
          <w:szCs w:val="22"/>
          <w:lang w:bidi="ar-SA"/>
        </w:rPr>
      </w:pPr>
      <w:hyperlink w:anchor="_Toc457670495" w:history="1">
        <w:r w:rsidR="00924E73" w:rsidRPr="00EE6F00">
          <w:rPr>
            <w:rStyle w:val="Hyperlink"/>
            <w:noProof/>
          </w:rPr>
          <w:t>Table III. 7.2 Results of the hydroformylation of 1-hexene</w:t>
        </w:r>
        <w:r w:rsidR="00924E73">
          <w:rPr>
            <w:noProof/>
            <w:webHidden/>
          </w:rPr>
          <w:tab/>
        </w:r>
        <w:r w:rsidR="00924E73">
          <w:rPr>
            <w:noProof/>
            <w:webHidden/>
          </w:rPr>
          <w:fldChar w:fldCharType="begin"/>
        </w:r>
        <w:r w:rsidR="00924E73">
          <w:rPr>
            <w:noProof/>
            <w:webHidden/>
          </w:rPr>
          <w:instrText xml:space="preserve"> PAGEREF _Toc457670495 \h </w:instrText>
        </w:r>
        <w:r w:rsidR="00924E73">
          <w:rPr>
            <w:noProof/>
            <w:webHidden/>
          </w:rPr>
        </w:r>
        <w:r w:rsidR="00924E73">
          <w:rPr>
            <w:noProof/>
            <w:webHidden/>
          </w:rPr>
          <w:fldChar w:fldCharType="separate"/>
        </w:r>
        <w:r w:rsidR="000A0E3D">
          <w:rPr>
            <w:noProof/>
            <w:webHidden/>
          </w:rPr>
          <w:t>168</w:t>
        </w:r>
        <w:r w:rsidR="00924E73">
          <w:rPr>
            <w:noProof/>
            <w:webHidden/>
          </w:rPr>
          <w:fldChar w:fldCharType="end"/>
        </w:r>
      </w:hyperlink>
    </w:p>
    <w:p w14:paraId="3A915849" w14:textId="77777777" w:rsidR="00924E73" w:rsidRDefault="00C47A04" w:rsidP="00877651">
      <w:pPr>
        <w:pStyle w:val="NoSpacing"/>
        <w:rPr>
          <w:noProof/>
        </w:rPr>
      </w:pPr>
      <w:r>
        <w:fldChar w:fldCharType="end"/>
      </w:r>
      <w:r w:rsidR="00FE05A3">
        <w:fldChar w:fldCharType="begin"/>
      </w:r>
      <w:r w:rsidR="00FE05A3">
        <w:instrText xml:space="preserve"> TOC \h \z \c "Table" </w:instrText>
      </w:r>
      <w:r w:rsidR="00FE05A3">
        <w:fldChar w:fldCharType="separate"/>
      </w:r>
    </w:p>
    <w:p w14:paraId="74F4BA0A"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499" w:history="1">
        <w:r w:rsidR="00924E73" w:rsidRPr="00D333AA">
          <w:rPr>
            <w:rStyle w:val="Hyperlink"/>
            <w:noProof/>
          </w:rPr>
          <w:t>Table IV.1 Deoxygenation and reductive coupling of alcohols by PPh</w:t>
        </w:r>
        <w:r w:rsidR="00924E73" w:rsidRPr="00D333AA">
          <w:rPr>
            <w:rStyle w:val="Hyperlink"/>
            <w:noProof/>
            <w:vertAlign w:val="subscript"/>
          </w:rPr>
          <w:t>3</w:t>
        </w:r>
        <w:r w:rsidR="00924E73" w:rsidRPr="00D333AA">
          <w:rPr>
            <w:rStyle w:val="Hyperlink"/>
            <w:noProof/>
          </w:rPr>
          <w:t>/IReO</w:t>
        </w:r>
        <w:r w:rsidR="00924E73" w:rsidRPr="00D333AA">
          <w:rPr>
            <w:rStyle w:val="Hyperlink"/>
            <w:noProof/>
            <w:vertAlign w:val="subscript"/>
          </w:rPr>
          <w:t>2</w:t>
        </w:r>
        <w:r w:rsidR="00924E73" w:rsidRPr="00D333AA">
          <w:rPr>
            <w:rStyle w:val="Hyperlink"/>
            <w:noProof/>
          </w:rPr>
          <w:t>(PPh</w:t>
        </w:r>
        <w:r w:rsidR="00924E73" w:rsidRPr="00D333AA">
          <w:rPr>
            <w:rStyle w:val="Hyperlink"/>
            <w:noProof/>
            <w:vertAlign w:val="subscript"/>
          </w:rPr>
          <w:t>3</w:t>
        </w:r>
        <w:r w:rsidR="00924E73" w:rsidRPr="00D333AA">
          <w:rPr>
            <w:rStyle w:val="Hyperlink"/>
            <w:noProof/>
          </w:rPr>
          <w:t>)</w:t>
        </w:r>
        <w:r w:rsidR="00924E73" w:rsidRPr="00D333AA">
          <w:rPr>
            <w:rStyle w:val="Hyperlink"/>
            <w:noProof/>
            <w:vertAlign w:val="subscript"/>
          </w:rPr>
          <w:t>2</w:t>
        </w:r>
        <w:r w:rsidR="00924E73" w:rsidRPr="00D333AA">
          <w:rPr>
            <w:rStyle w:val="Hyperlink"/>
            <w:noProof/>
          </w:rPr>
          <w:t xml:space="preserve"> (1)</w:t>
        </w:r>
        <w:r w:rsidR="00924E73" w:rsidRPr="00D333AA">
          <w:rPr>
            <w:rStyle w:val="Hyperlink"/>
            <w:noProof/>
            <w:vertAlign w:val="superscript"/>
          </w:rPr>
          <w:t>a</w:t>
        </w:r>
        <w:r w:rsidR="00924E73">
          <w:rPr>
            <w:noProof/>
            <w:webHidden/>
          </w:rPr>
          <w:tab/>
        </w:r>
        <w:r w:rsidR="00924E73">
          <w:rPr>
            <w:noProof/>
            <w:webHidden/>
          </w:rPr>
          <w:fldChar w:fldCharType="begin"/>
        </w:r>
        <w:r w:rsidR="00924E73">
          <w:rPr>
            <w:noProof/>
            <w:webHidden/>
          </w:rPr>
          <w:instrText xml:space="preserve"> PAGEREF _Toc457670499 \h </w:instrText>
        </w:r>
        <w:r w:rsidR="00924E73">
          <w:rPr>
            <w:noProof/>
            <w:webHidden/>
          </w:rPr>
        </w:r>
        <w:r w:rsidR="00924E73">
          <w:rPr>
            <w:noProof/>
            <w:webHidden/>
          </w:rPr>
          <w:fldChar w:fldCharType="separate"/>
        </w:r>
        <w:r w:rsidR="000A0E3D">
          <w:rPr>
            <w:noProof/>
            <w:webHidden/>
          </w:rPr>
          <w:t>189</w:t>
        </w:r>
        <w:r w:rsidR="00924E73">
          <w:rPr>
            <w:noProof/>
            <w:webHidden/>
          </w:rPr>
          <w:fldChar w:fldCharType="end"/>
        </w:r>
      </w:hyperlink>
    </w:p>
    <w:p w14:paraId="6B920372"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500" w:history="1">
        <w:r w:rsidR="00924E73" w:rsidRPr="00D333AA">
          <w:rPr>
            <w:rStyle w:val="Hyperlink"/>
            <w:noProof/>
          </w:rPr>
          <w:t xml:space="preserve">Table IV.2 New NMR signals in </w:t>
        </w:r>
        <w:r w:rsidR="00924E73" w:rsidRPr="00D333AA">
          <w:rPr>
            <w:rStyle w:val="Hyperlink"/>
            <w:noProof/>
            <w:vertAlign w:val="superscript"/>
          </w:rPr>
          <w:t>1</w:t>
        </w:r>
        <w:r w:rsidR="00924E73" w:rsidRPr="00D333AA">
          <w:rPr>
            <w:rStyle w:val="Hyperlink"/>
            <w:noProof/>
          </w:rPr>
          <w:t xml:space="preserve">H and </w:t>
        </w:r>
        <w:r w:rsidR="00924E73" w:rsidRPr="00D333AA">
          <w:rPr>
            <w:rStyle w:val="Hyperlink"/>
            <w:noProof/>
            <w:vertAlign w:val="superscript"/>
          </w:rPr>
          <w:t>31</w:t>
        </w:r>
        <w:r w:rsidR="00924E73" w:rsidRPr="00D333AA">
          <w:rPr>
            <w:rStyle w:val="Hyperlink"/>
            <w:noProof/>
          </w:rPr>
          <w:t>P NMR of ROH/IReO</w:t>
        </w:r>
        <w:r w:rsidR="00924E73" w:rsidRPr="00D333AA">
          <w:rPr>
            <w:rStyle w:val="Hyperlink"/>
            <w:noProof/>
            <w:vertAlign w:val="subscript"/>
          </w:rPr>
          <w:t>2</w:t>
        </w:r>
        <w:r w:rsidR="00924E73" w:rsidRPr="00D333AA">
          <w:rPr>
            <w:rStyle w:val="Hyperlink"/>
            <w:noProof/>
          </w:rPr>
          <w:t>(PPh</w:t>
        </w:r>
        <w:r w:rsidR="00924E73" w:rsidRPr="00D333AA">
          <w:rPr>
            <w:rStyle w:val="Hyperlink"/>
            <w:noProof/>
            <w:vertAlign w:val="subscript"/>
          </w:rPr>
          <w:t>3</w:t>
        </w:r>
        <w:r w:rsidR="00924E73" w:rsidRPr="00D333AA">
          <w:rPr>
            <w:rStyle w:val="Hyperlink"/>
            <w:noProof/>
          </w:rPr>
          <w:t>)</w:t>
        </w:r>
        <w:r w:rsidR="00924E73" w:rsidRPr="00D333AA">
          <w:rPr>
            <w:rStyle w:val="Hyperlink"/>
            <w:noProof/>
            <w:vertAlign w:val="subscript"/>
          </w:rPr>
          <w:t>2</w:t>
        </w:r>
        <w:r w:rsidR="00924E73" w:rsidRPr="00D333AA">
          <w:rPr>
            <w:rStyle w:val="Hyperlink"/>
            <w:noProof/>
          </w:rPr>
          <w:t xml:space="preserve"> samples</w:t>
        </w:r>
        <w:r w:rsidR="00924E73">
          <w:rPr>
            <w:noProof/>
            <w:webHidden/>
          </w:rPr>
          <w:tab/>
        </w:r>
        <w:r w:rsidR="00924E73">
          <w:rPr>
            <w:noProof/>
            <w:webHidden/>
          </w:rPr>
          <w:fldChar w:fldCharType="begin"/>
        </w:r>
        <w:r w:rsidR="00924E73">
          <w:rPr>
            <w:noProof/>
            <w:webHidden/>
          </w:rPr>
          <w:instrText xml:space="preserve"> PAGEREF _Toc457670500 \h </w:instrText>
        </w:r>
        <w:r w:rsidR="00924E73">
          <w:rPr>
            <w:noProof/>
            <w:webHidden/>
          </w:rPr>
        </w:r>
        <w:r w:rsidR="00924E73">
          <w:rPr>
            <w:noProof/>
            <w:webHidden/>
          </w:rPr>
          <w:fldChar w:fldCharType="separate"/>
        </w:r>
        <w:r w:rsidR="000A0E3D">
          <w:rPr>
            <w:noProof/>
            <w:webHidden/>
          </w:rPr>
          <w:t>203</w:t>
        </w:r>
        <w:r w:rsidR="00924E73">
          <w:rPr>
            <w:noProof/>
            <w:webHidden/>
          </w:rPr>
          <w:fldChar w:fldCharType="end"/>
        </w:r>
      </w:hyperlink>
    </w:p>
    <w:p w14:paraId="5B9B2951"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501" w:history="1">
        <w:r w:rsidR="00924E73" w:rsidRPr="00D333AA">
          <w:rPr>
            <w:rStyle w:val="Hyperlink"/>
            <w:noProof/>
          </w:rPr>
          <w:t>Table IV.3 Integration ratios of new CH</w:t>
        </w:r>
        <w:r w:rsidR="00924E73" w:rsidRPr="00D333AA">
          <w:rPr>
            <w:rStyle w:val="Hyperlink"/>
            <w:noProof/>
            <w:vertAlign w:val="subscript"/>
          </w:rPr>
          <w:t>2</w:t>
        </w:r>
        <w:r w:rsidR="00924E73" w:rsidRPr="00D333AA">
          <w:rPr>
            <w:rStyle w:val="Hyperlink"/>
            <w:noProof/>
          </w:rPr>
          <w:t xml:space="preserve"> signals in ethanol/catalyst samples</w:t>
        </w:r>
        <w:r w:rsidR="00924E73">
          <w:rPr>
            <w:noProof/>
            <w:webHidden/>
          </w:rPr>
          <w:tab/>
        </w:r>
        <w:r w:rsidR="00924E73">
          <w:rPr>
            <w:noProof/>
            <w:webHidden/>
          </w:rPr>
          <w:fldChar w:fldCharType="begin"/>
        </w:r>
        <w:r w:rsidR="00924E73">
          <w:rPr>
            <w:noProof/>
            <w:webHidden/>
          </w:rPr>
          <w:instrText xml:space="preserve"> PAGEREF _Toc457670501 \h </w:instrText>
        </w:r>
        <w:r w:rsidR="00924E73">
          <w:rPr>
            <w:noProof/>
            <w:webHidden/>
          </w:rPr>
        </w:r>
        <w:r w:rsidR="00924E73">
          <w:rPr>
            <w:noProof/>
            <w:webHidden/>
          </w:rPr>
          <w:fldChar w:fldCharType="separate"/>
        </w:r>
        <w:r w:rsidR="000A0E3D">
          <w:rPr>
            <w:noProof/>
            <w:webHidden/>
          </w:rPr>
          <w:t>205</w:t>
        </w:r>
        <w:r w:rsidR="00924E73">
          <w:rPr>
            <w:noProof/>
            <w:webHidden/>
          </w:rPr>
          <w:fldChar w:fldCharType="end"/>
        </w:r>
      </w:hyperlink>
    </w:p>
    <w:p w14:paraId="6A8D00D5" w14:textId="77777777" w:rsidR="00DE1EF7" w:rsidRDefault="00FE05A3" w:rsidP="00877651">
      <w:pPr>
        <w:pStyle w:val="NoSpacing"/>
      </w:pPr>
      <w:r>
        <w:fldChar w:fldCharType="end"/>
      </w:r>
    </w:p>
    <w:p w14:paraId="3E65E79C" w14:textId="77777777" w:rsidR="00DA1971" w:rsidRPr="00F058F0" w:rsidRDefault="00DA1971" w:rsidP="00594070">
      <w:pPr>
        <w:pStyle w:val="Style1"/>
        <w:ind w:left="0"/>
      </w:pPr>
      <w:r>
        <w:br w:type="page"/>
      </w:r>
      <w:bookmarkStart w:id="2" w:name="_Toc310579466"/>
      <w:sdt>
        <w:sdtPr>
          <w:rPr>
            <w:rStyle w:val="Style1Char"/>
            <w:b/>
          </w:r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D42927">
            <w:rPr>
              <w:rStyle w:val="Style1Char"/>
              <w:b/>
            </w:rPr>
            <w:t>List of Figures</w:t>
          </w:r>
        </w:sdtContent>
      </w:sdt>
      <w:bookmarkEnd w:id="2"/>
    </w:p>
    <w:p w14:paraId="66732BA7" w14:textId="77777777" w:rsidR="00924E73" w:rsidRDefault="00915118">
      <w:pPr>
        <w:pStyle w:val="TableofFigures"/>
        <w:tabs>
          <w:tab w:val="right" w:leader="dot" w:pos="8486"/>
        </w:tabs>
        <w:rPr>
          <w:rFonts w:eastAsiaTheme="minorEastAsia" w:cstheme="minorBidi"/>
          <w:noProof/>
          <w:sz w:val="22"/>
          <w:szCs w:val="22"/>
          <w:lang w:bidi="ar-SA"/>
        </w:rPr>
      </w:pPr>
      <w:r>
        <w:fldChar w:fldCharType="begin"/>
      </w:r>
      <w:r>
        <w:instrText xml:space="preserve"> TOC \h \z \c "Figure I." </w:instrText>
      </w:r>
      <w:r>
        <w:fldChar w:fldCharType="separate"/>
      </w:r>
      <w:hyperlink w:anchor="_Toc457670505" w:history="1">
        <w:r w:rsidR="00924E73" w:rsidRPr="0086329F">
          <w:rPr>
            <w:rStyle w:val="Hyperlink"/>
            <w:noProof/>
          </w:rPr>
          <w:t>Figure I. 1.1 Biomass transformation process</w:t>
        </w:r>
        <w:r w:rsidR="00924E73">
          <w:rPr>
            <w:noProof/>
            <w:webHidden/>
          </w:rPr>
          <w:tab/>
        </w:r>
        <w:r w:rsidR="00924E73">
          <w:rPr>
            <w:noProof/>
            <w:webHidden/>
          </w:rPr>
          <w:fldChar w:fldCharType="begin"/>
        </w:r>
        <w:r w:rsidR="00924E73">
          <w:rPr>
            <w:noProof/>
            <w:webHidden/>
          </w:rPr>
          <w:instrText xml:space="preserve"> PAGEREF _Toc457670505 \h </w:instrText>
        </w:r>
        <w:r w:rsidR="00924E73">
          <w:rPr>
            <w:noProof/>
            <w:webHidden/>
          </w:rPr>
        </w:r>
        <w:r w:rsidR="00924E73">
          <w:rPr>
            <w:noProof/>
            <w:webHidden/>
          </w:rPr>
          <w:fldChar w:fldCharType="separate"/>
        </w:r>
        <w:r w:rsidR="000A0E3D">
          <w:rPr>
            <w:noProof/>
            <w:webHidden/>
          </w:rPr>
          <w:t>1</w:t>
        </w:r>
        <w:r w:rsidR="00924E73">
          <w:rPr>
            <w:noProof/>
            <w:webHidden/>
          </w:rPr>
          <w:fldChar w:fldCharType="end"/>
        </w:r>
      </w:hyperlink>
    </w:p>
    <w:p w14:paraId="6B5E99A8"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506" w:history="1">
        <w:r w:rsidR="00924E73" w:rsidRPr="0086329F">
          <w:rPr>
            <w:rStyle w:val="Hyperlink"/>
            <w:noProof/>
          </w:rPr>
          <w:t>Figure I. 2.1 Two steps uncatalyzed didehydroxylation of glycols</w:t>
        </w:r>
        <w:r w:rsidR="00924E73">
          <w:rPr>
            <w:noProof/>
            <w:webHidden/>
          </w:rPr>
          <w:tab/>
        </w:r>
        <w:r w:rsidR="00924E73">
          <w:rPr>
            <w:noProof/>
            <w:webHidden/>
          </w:rPr>
          <w:fldChar w:fldCharType="begin"/>
        </w:r>
        <w:r w:rsidR="00924E73">
          <w:rPr>
            <w:noProof/>
            <w:webHidden/>
          </w:rPr>
          <w:instrText xml:space="preserve"> PAGEREF _Toc457670506 \h </w:instrText>
        </w:r>
        <w:r w:rsidR="00924E73">
          <w:rPr>
            <w:noProof/>
            <w:webHidden/>
          </w:rPr>
        </w:r>
        <w:r w:rsidR="00924E73">
          <w:rPr>
            <w:noProof/>
            <w:webHidden/>
          </w:rPr>
          <w:fldChar w:fldCharType="separate"/>
        </w:r>
        <w:r w:rsidR="000A0E3D">
          <w:rPr>
            <w:noProof/>
            <w:webHidden/>
          </w:rPr>
          <w:t>2</w:t>
        </w:r>
        <w:r w:rsidR="00924E73">
          <w:rPr>
            <w:noProof/>
            <w:webHidden/>
          </w:rPr>
          <w:fldChar w:fldCharType="end"/>
        </w:r>
      </w:hyperlink>
    </w:p>
    <w:p w14:paraId="2739A2C4"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507" w:history="1">
        <w:r w:rsidR="00924E73" w:rsidRPr="0086329F">
          <w:rPr>
            <w:rStyle w:val="Hyperlink"/>
            <w:noProof/>
          </w:rPr>
          <w:t>Figure I. 2.2 General reaction equation of one step uncatalyzed didehydroxylation</w:t>
        </w:r>
        <w:r w:rsidR="00924E73">
          <w:rPr>
            <w:noProof/>
            <w:webHidden/>
          </w:rPr>
          <w:tab/>
        </w:r>
        <w:r w:rsidR="00924E73">
          <w:rPr>
            <w:noProof/>
            <w:webHidden/>
          </w:rPr>
          <w:fldChar w:fldCharType="begin"/>
        </w:r>
        <w:r w:rsidR="00924E73">
          <w:rPr>
            <w:noProof/>
            <w:webHidden/>
          </w:rPr>
          <w:instrText xml:space="preserve"> PAGEREF _Toc457670507 \h </w:instrText>
        </w:r>
        <w:r w:rsidR="00924E73">
          <w:rPr>
            <w:noProof/>
            <w:webHidden/>
          </w:rPr>
        </w:r>
        <w:r w:rsidR="00924E73">
          <w:rPr>
            <w:noProof/>
            <w:webHidden/>
          </w:rPr>
          <w:fldChar w:fldCharType="separate"/>
        </w:r>
        <w:r w:rsidR="000A0E3D">
          <w:rPr>
            <w:noProof/>
            <w:webHidden/>
          </w:rPr>
          <w:t>3</w:t>
        </w:r>
        <w:r w:rsidR="00924E73">
          <w:rPr>
            <w:noProof/>
            <w:webHidden/>
          </w:rPr>
          <w:fldChar w:fldCharType="end"/>
        </w:r>
      </w:hyperlink>
    </w:p>
    <w:p w14:paraId="6925FFDC" w14:textId="77777777" w:rsidR="00924E73" w:rsidRDefault="00443010" w:rsidP="00924E73">
      <w:pPr>
        <w:pStyle w:val="TableofFigures"/>
        <w:tabs>
          <w:tab w:val="right" w:leader="dot" w:pos="8486"/>
        </w:tabs>
        <w:spacing w:line="240" w:lineRule="auto"/>
        <w:rPr>
          <w:rFonts w:eastAsiaTheme="minorEastAsia" w:cstheme="minorBidi"/>
          <w:noProof/>
          <w:sz w:val="22"/>
          <w:szCs w:val="22"/>
          <w:lang w:bidi="ar-SA"/>
        </w:rPr>
      </w:pPr>
      <w:hyperlink w:anchor="_Toc457670508" w:history="1">
        <w:r w:rsidR="00924E73" w:rsidRPr="0086329F">
          <w:rPr>
            <w:rStyle w:val="Hyperlink"/>
            <w:noProof/>
          </w:rPr>
          <w:t>Figure I. 2.3 Substrate scope of one step uncatalyzed didehydroxylation diols</w:t>
        </w:r>
        <w:r w:rsidR="00924E73">
          <w:rPr>
            <w:noProof/>
            <w:webHidden/>
          </w:rPr>
          <w:tab/>
        </w:r>
        <w:r w:rsidR="00924E73">
          <w:rPr>
            <w:noProof/>
            <w:webHidden/>
          </w:rPr>
          <w:fldChar w:fldCharType="begin"/>
        </w:r>
        <w:r w:rsidR="00924E73">
          <w:rPr>
            <w:noProof/>
            <w:webHidden/>
          </w:rPr>
          <w:instrText xml:space="preserve"> PAGEREF _Toc457670508 \h </w:instrText>
        </w:r>
        <w:r w:rsidR="00924E73">
          <w:rPr>
            <w:noProof/>
            <w:webHidden/>
          </w:rPr>
        </w:r>
        <w:r w:rsidR="00924E73">
          <w:rPr>
            <w:noProof/>
            <w:webHidden/>
          </w:rPr>
          <w:fldChar w:fldCharType="separate"/>
        </w:r>
        <w:r w:rsidR="000A0E3D">
          <w:rPr>
            <w:noProof/>
            <w:webHidden/>
          </w:rPr>
          <w:t>3</w:t>
        </w:r>
        <w:r w:rsidR="00924E73">
          <w:rPr>
            <w:noProof/>
            <w:webHidden/>
          </w:rPr>
          <w:fldChar w:fldCharType="end"/>
        </w:r>
      </w:hyperlink>
    </w:p>
    <w:p w14:paraId="1C5A045A" w14:textId="77777777" w:rsidR="001539C6" w:rsidRDefault="00915118" w:rsidP="009B3170">
      <w:pPr>
        <w:pStyle w:val="NoSpacing"/>
        <w:rPr>
          <w:noProof/>
        </w:rPr>
      </w:pPr>
      <w:r>
        <w:fldChar w:fldCharType="end"/>
      </w:r>
      <w:r>
        <w:fldChar w:fldCharType="begin"/>
      </w:r>
      <w:r>
        <w:instrText xml:space="preserve"> TOC \h \z \c "Figure I. 3." </w:instrText>
      </w:r>
      <w:r>
        <w:fldChar w:fldCharType="separate"/>
      </w:r>
    </w:p>
    <w:p w14:paraId="4465B508"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55" w:history="1">
        <w:r w:rsidRPr="00A81EBB">
          <w:rPr>
            <w:rStyle w:val="Hyperlink"/>
            <w:noProof/>
          </w:rPr>
          <w:t>Figure I.3.a.1 Summary of DODH systems using PPh</w:t>
        </w:r>
        <w:r w:rsidRPr="00A81EBB">
          <w:rPr>
            <w:rStyle w:val="Hyperlink"/>
            <w:noProof/>
            <w:vertAlign w:val="subscript"/>
          </w:rPr>
          <w:t>3</w:t>
        </w:r>
        <w:r w:rsidRPr="00A81EBB">
          <w:rPr>
            <w:rStyle w:val="Hyperlink"/>
            <w:noProof/>
          </w:rPr>
          <w:t xml:space="preserve"> as reducing agent</w:t>
        </w:r>
        <w:r>
          <w:rPr>
            <w:noProof/>
            <w:webHidden/>
          </w:rPr>
          <w:tab/>
        </w:r>
        <w:r>
          <w:rPr>
            <w:noProof/>
            <w:webHidden/>
          </w:rPr>
          <w:fldChar w:fldCharType="begin"/>
        </w:r>
        <w:r>
          <w:rPr>
            <w:noProof/>
            <w:webHidden/>
          </w:rPr>
          <w:instrText xml:space="preserve"> PAGEREF _Toc458938355 \h </w:instrText>
        </w:r>
        <w:r>
          <w:rPr>
            <w:noProof/>
            <w:webHidden/>
          </w:rPr>
        </w:r>
        <w:r>
          <w:rPr>
            <w:noProof/>
            <w:webHidden/>
          </w:rPr>
          <w:fldChar w:fldCharType="separate"/>
        </w:r>
        <w:r w:rsidR="000A0E3D">
          <w:rPr>
            <w:noProof/>
            <w:webHidden/>
          </w:rPr>
          <w:t>5</w:t>
        </w:r>
        <w:r>
          <w:rPr>
            <w:noProof/>
            <w:webHidden/>
          </w:rPr>
          <w:fldChar w:fldCharType="end"/>
        </w:r>
      </w:hyperlink>
    </w:p>
    <w:p w14:paraId="0CDEC090"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56" w:history="1">
        <w:r w:rsidRPr="00A81EBB">
          <w:rPr>
            <w:rStyle w:val="Hyperlink"/>
            <w:noProof/>
          </w:rPr>
          <w:t>Figure I.3.a.2 Proposed mechanistic cycle for phosphine driven DODH reaction</w:t>
        </w:r>
        <w:r>
          <w:rPr>
            <w:noProof/>
            <w:webHidden/>
          </w:rPr>
          <w:tab/>
        </w:r>
        <w:r>
          <w:rPr>
            <w:noProof/>
            <w:webHidden/>
          </w:rPr>
          <w:fldChar w:fldCharType="begin"/>
        </w:r>
        <w:r>
          <w:rPr>
            <w:noProof/>
            <w:webHidden/>
          </w:rPr>
          <w:instrText xml:space="preserve"> PAGEREF _Toc458938356 \h </w:instrText>
        </w:r>
        <w:r>
          <w:rPr>
            <w:noProof/>
            <w:webHidden/>
          </w:rPr>
        </w:r>
        <w:r>
          <w:rPr>
            <w:noProof/>
            <w:webHidden/>
          </w:rPr>
          <w:fldChar w:fldCharType="separate"/>
        </w:r>
        <w:r w:rsidR="000A0E3D">
          <w:rPr>
            <w:noProof/>
            <w:webHidden/>
          </w:rPr>
          <w:t>5</w:t>
        </w:r>
        <w:r>
          <w:rPr>
            <w:noProof/>
            <w:webHidden/>
          </w:rPr>
          <w:fldChar w:fldCharType="end"/>
        </w:r>
      </w:hyperlink>
    </w:p>
    <w:p w14:paraId="588E00D2"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57" w:history="1">
        <w:r w:rsidRPr="00A81EBB">
          <w:rPr>
            <w:rStyle w:val="Hyperlink"/>
            <w:noProof/>
          </w:rPr>
          <w:t>Figure I.3.a.3 Erythritol and threitol products distribution</w:t>
        </w:r>
        <w:r>
          <w:rPr>
            <w:noProof/>
            <w:webHidden/>
          </w:rPr>
          <w:tab/>
        </w:r>
        <w:r>
          <w:rPr>
            <w:noProof/>
            <w:webHidden/>
          </w:rPr>
          <w:fldChar w:fldCharType="begin"/>
        </w:r>
        <w:r>
          <w:rPr>
            <w:noProof/>
            <w:webHidden/>
          </w:rPr>
          <w:instrText xml:space="preserve"> PAGEREF _Toc458938357 \h </w:instrText>
        </w:r>
        <w:r>
          <w:rPr>
            <w:noProof/>
            <w:webHidden/>
          </w:rPr>
        </w:r>
        <w:r>
          <w:rPr>
            <w:noProof/>
            <w:webHidden/>
          </w:rPr>
          <w:fldChar w:fldCharType="separate"/>
        </w:r>
        <w:r w:rsidR="000A0E3D">
          <w:rPr>
            <w:noProof/>
            <w:webHidden/>
          </w:rPr>
          <w:t>6</w:t>
        </w:r>
        <w:r>
          <w:rPr>
            <w:noProof/>
            <w:webHidden/>
          </w:rPr>
          <w:fldChar w:fldCharType="end"/>
        </w:r>
      </w:hyperlink>
    </w:p>
    <w:p w14:paraId="5AC24E15"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58" w:history="1">
        <w:r w:rsidRPr="00A81EBB">
          <w:rPr>
            <w:rStyle w:val="Hyperlink"/>
            <w:noProof/>
          </w:rPr>
          <w:t>Figure I.3.a.4 Stereoselectivity of DODH reaction system</w:t>
        </w:r>
        <w:r>
          <w:rPr>
            <w:noProof/>
            <w:webHidden/>
          </w:rPr>
          <w:tab/>
        </w:r>
        <w:r>
          <w:rPr>
            <w:noProof/>
            <w:webHidden/>
          </w:rPr>
          <w:fldChar w:fldCharType="begin"/>
        </w:r>
        <w:r>
          <w:rPr>
            <w:noProof/>
            <w:webHidden/>
          </w:rPr>
          <w:instrText xml:space="preserve"> PAGEREF _Toc458938358 \h </w:instrText>
        </w:r>
        <w:r>
          <w:rPr>
            <w:noProof/>
            <w:webHidden/>
          </w:rPr>
        </w:r>
        <w:r>
          <w:rPr>
            <w:noProof/>
            <w:webHidden/>
          </w:rPr>
          <w:fldChar w:fldCharType="separate"/>
        </w:r>
        <w:r w:rsidR="000A0E3D">
          <w:rPr>
            <w:noProof/>
            <w:webHidden/>
          </w:rPr>
          <w:t>7</w:t>
        </w:r>
        <w:r>
          <w:rPr>
            <w:noProof/>
            <w:webHidden/>
          </w:rPr>
          <w:fldChar w:fldCharType="end"/>
        </w:r>
      </w:hyperlink>
    </w:p>
    <w:p w14:paraId="6B3A54A4"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59" w:history="1">
        <w:r w:rsidRPr="00A81EBB">
          <w:rPr>
            <w:rStyle w:val="Hyperlink"/>
            <w:noProof/>
          </w:rPr>
          <w:t>Figure I.3.a.5 Cp’ReO</w:t>
        </w:r>
        <w:r w:rsidRPr="00A81EBB">
          <w:rPr>
            <w:rStyle w:val="Hyperlink"/>
            <w:noProof/>
            <w:vertAlign w:val="subscript"/>
          </w:rPr>
          <w:t>3</w:t>
        </w:r>
        <w:r w:rsidRPr="00A81EBB">
          <w:rPr>
            <w:rStyle w:val="Hyperlink"/>
            <w:noProof/>
          </w:rPr>
          <w:t xml:space="preserve"> reduction pathway</w:t>
        </w:r>
        <w:r>
          <w:rPr>
            <w:noProof/>
            <w:webHidden/>
          </w:rPr>
          <w:tab/>
        </w:r>
        <w:r>
          <w:rPr>
            <w:noProof/>
            <w:webHidden/>
          </w:rPr>
          <w:fldChar w:fldCharType="begin"/>
        </w:r>
        <w:r>
          <w:rPr>
            <w:noProof/>
            <w:webHidden/>
          </w:rPr>
          <w:instrText xml:space="preserve"> PAGEREF _Toc458938359 \h </w:instrText>
        </w:r>
        <w:r>
          <w:rPr>
            <w:noProof/>
            <w:webHidden/>
          </w:rPr>
        </w:r>
        <w:r>
          <w:rPr>
            <w:noProof/>
            <w:webHidden/>
          </w:rPr>
          <w:fldChar w:fldCharType="separate"/>
        </w:r>
        <w:r w:rsidR="000A0E3D">
          <w:rPr>
            <w:noProof/>
            <w:webHidden/>
          </w:rPr>
          <w:t>7</w:t>
        </w:r>
        <w:r>
          <w:rPr>
            <w:noProof/>
            <w:webHidden/>
          </w:rPr>
          <w:fldChar w:fldCharType="end"/>
        </w:r>
      </w:hyperlink>
    </w:p>
    <w:p w14:paraId="37CE0FB0"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60" w:history="1">
        <w:r w:rsidRPr="00A81EBB">
          <w:rPr>
            <w:rStyle w:val="Hyperlink"/>
            <w:noProof/>
          </w:rPr>
          <w:t>Figure I.3.a.6 Mechanistic probes of alkene extrusion from LReO(glycolate)</w:t>
        </w:r>
        <w:r>
          <w:rPr>
            <w:noProof/>
            <w:webHidden/>
          </w:rPr>
          <w:tab/>
        </w:r>
        <w:r>
          <w:rPr>
            <w:noProof/>
            <w:webHidden/>
          </w:rPr>
          <w:fldChar w:fldCharType="begin"/>
        </w:r>
        <w:r>
          <w:rPr>
            <w:noProof/>
            <w:webHidden/>
          </w:rPr>
          <w:instrText xml:space="preserve"> PAGEREF _Toc458938360 \h </w:instrText>
        </w:r>
        <w:r>
          <w:rPr>
            <w:noProof/>
            <w:webHidden/>
          </w:rPr>
        </w:r>
        <w:r>
          <w:rPr>
            <w:noProof/>
            <w:webHidden/>
          </w:rPr>
          <w:fldChar w:fldCharType="separate"/>
        </w:r>
        <w:r w:rsidR="000A0E3D">
          <w:rPr>
            <w:noProof/>
            <w:webHidden/>
          </w:rPr>
          <w:t>8</w:t>
        </w:r>
        <w:r>
          <w:rPr>
            <w:noProof/>
            <w:webHidden/>
          </w:rPr>
          <w:fldChar w:fldCharType="end"/>
        </w:r>
      </w:hyperlink>
    </w:p>
    <w:p w14:paraId="773CB35E"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61" w:history="1">
        <w:r w:rsidRPr="00A81EBB">
          <w:rPr>
            <w:rStyle w:val="Hyperlink"/>
            <w:noProof/>
          </w:rPr>
          <w:t>Figure I.3.a.7 General deoxygenation of epoxides using phosphite and rhenium oxide</w:t>
        </w:r>
        <w:r>
          <w:rPr>
            <w:noProof/>
            <w:webHidden/>
          </w:rPr>
          <w:tab/>
        </w:r>
        <w:r>
          <w:rPr>
            <w:noProof/>
            <w:webHidden/>
          </w:rPr>
          <w:fldChar w:fldCharType="begin"/>
        </w:r>
        <w:r>
          <w:rPr>
            <w:noProof/>
            <w:webHidden/>
          </w:rPr>
          <w:instrText xml:space="preserve"> PAGEREF _Toc458938361 \h </w:instrText>
        </w:r>
        <w:r>
          <w:rPr>
            <w:noProof/>
            <w:webHidden/>
          </w:rPr>
        </w:r>
        <w:r>
          <w:rPr>
            <w:noProof/>
            <w:webHidden/>
          </w:rPr>
          <w:fldChar w:fldCharType="separate"/>
        </w:r>
        <w:r w:rsidR="000A0E3D">
          <w:rPr>
            <w:noProof/>
            <w:webHidden/>
          </w:rPr>
          <w:t>10</w:t>
        </w:r>
        <w:r>
          <w:rPr>
            <w:noProof/>
            <w:webHidden/>
          </w:rPr>
          <w:fldChar w:fldCharType="end"/>
        </w:r>
      </w:hyperlink>
    </w:p>
    <w:p w14:paraId="6EBA1495"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62" w:history="1">
        <w:r w:rsidRPr="00A81EBB">
          <w:rPr>
            <w:rStyle w:val="Hyperlink"/>
            <w:noProof/>
          </w:rPr>
          <w:t>Figure I.3.a.8 Summary of DODH systems using hydrogen as reducing agent</w:t>
        </w:r>
        <w:r>
          <w:rPr>
            <w:noProof/>
            <w:webHidden/>
          </w:rPr>
          <w:tab/>
        </w:r>
        <w:r>
          <w:rPr>
            <w:noProof/>
            <w:webHidden/>
          </w:rPr>
          <w:fldChar w:fldCharType="begin"/>
        </w:r>
        <w:r>
          <w:rPr>
            <w:noProof/>
            <w:webHidden/>
          </w:rPr>
          <w:instrText xml:space="preserve"> PAGEREF _Toc458938362 \h </w:instrText>
        </w:r>
        <w:r>
          <w:rPr>
            <w:noProof/>
            <w:webHidden/>
          </w:rPr>
        </w:r>
        <w:r>
          <w:rPr>
            <w:noProof/>
            <w:webHidden/>
          </w:rPr>
          <w:fldChar w:fldCharType="separate"/>
        </w:r>
        <w:r w:rsidR="000A0E3D">
          <w:rPr>
            <w:noProof/>
            <w:webHidden/>
          </w:rPr>
          <w:t>10</w:t>
        </w:r>
        <w:r>
          <w:rPr>
            <w:noProof/>
            <w:webHidden/>
          </w:rPr>
          <w:fldChar w:fldCharType="end"/>
        </w:r>
      </w:hyperlink>
    </w:p>
    <w:p w14:paraId="73B486A5"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63" w:history="1">
        <w:r w:rsidRPr="00A81EBB">
          <w:rPr>
            <w:rStyle w:val="Hyperlink"/>
            <w:noProof/>
          </w:rPr>
          <w:t>Figure I.3.a.9 Calculated lowest energy profile for hydrogen, MeReO</w:t>
        </w:r>
        <w:r w:rsidRPr="00A81EBB">
          <w:rPr>
            <w:rStyle w:val="Hyperlink"/>
            <w:noProof/>
            <w:vertAlign w:val="subscript"/>
          </w:rPr>
          <w:t>3</w:t>
        </w:r>
        <w:r w:rsidRPr="00A81EBB">
          <w:rPr>
            <w:rStyle w:val="Hyperlink"/>
            <w:noProof/>
          </w:rPr>
          <w:t>- catalyzed DODH</w:t>
        </w:r>
        <w:r>
          <w:rPr>
            <w:noProof/>
            <w:webHidden/>
          </w:rPr>
          <w:tab/>
        </w:r>
        <w:r>
          <w:rPr>
            <w:noProof/>
            <w:webHidden/>
          </w:rPr>
          <w:fldChar w:fldCharType="begin"/>
        </w:r>
        <w:r>
          <w:rPr>
            <w:noProof/>
            <w:webHidden/>
          </w:rPr>
          <w:instrText xml:space="preserve"> PAGEREF _Toc458938363 \h </w:instrText>
        </w:r>
        <w:r>
          <w:rPr>
            <w:noProof/>
            <w:webHidden/>
          </w:rPr>
        </w:r>
        <w:r>
          <w:rPr>
            <w:noProof/>
            <w:webHidden/>
          </w:rPr>
          <w:fldChar w:fldCharType="separate"/>
        </w:r>
        <w:r w:rsidR="000A0E3D">
          <w:rPr>
            <w:noProof/>
            <w:webHidden/>
          </w:rPr>
          <w:t>11</w:t>
        </w:r>
        <w:r>
          <w:rPr>
            <w:noProof/>
            <w:webHidden/>
          </w:rPr>
          <w:fldChar w:fldCharType="end"/>
        </w:r>
      </w:hyperlink>
    </w:p>
    <w:p w14:paraId="6F9E6525"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64" w:history="1">
        <w:r w:rsidRPr="00A81EBB">
          <w:rPr>
            <w:rStyle w:val="Hyperlink"/>
            <w:noProof/>
          </w:rPr>
          <w:t>Figure I.3.a.10 Summary of DODH systems using sulfite as reducing agent</w:t>
        </w:r>
        <w:r>
          <w:rPr>
            <w:noProof/>
            <w:webHidden/>
          </w:rPr>
          <w:tab/>
        </w:r>
        <w:r>
          <w:rPr>
            <w:noProof/>
            <w:webHidden/>
          </w:rPr>
          <w:fldChar w:fldCharType="begin"/>
        </w:r>
        <w:r>
          <w:rPr>
            <w:noProof/>
            <w:webHidden/>
          </w:rPr>
          <w:instrText xml:space="preserve"> PAGEREF _Toc458938364 \h </w:instrText>
        </w:r>
        <w:r>
          <w:rPr>
            <w:noProof/>
            <w:webHidden/>
          </w:rPr>
        </w:r>
        <w:r>
          <w:rPr>
            <w:noProof/>
            <w:webHidden/>
          </w:rPr>
          <w:fldChar w:fldCharType="separate"/>
        </w:r>
        <w:r w:rsidR="000A0E3D">
          <w:rPr>
            <w:noProof/>
            <w:webHidden/>
          </w:rPr>
          <w:t>13</w:t>
        </w:r>
        <w:r>
          <w:rPr>
            <w:noProof/>
            <w:webHidden/>
          </w:rPr>
          <w:fldChar w:fldCharType="end"/>
        </w:r>
      </w:hyperlink>
    </w:p>
    <w:p w14:paraId="2A9B2A5D"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65" w:history="1">
        <w:r w:rsidRPr="00A81EBB">
          <w:rPr>
            <w:rStyle w:val="Hyperlink"/>
            <w:noProof/>
          </w:rPr>
          <w:t>Figure I.3.a.11 General reaction equation of DODH using sulfite as reducing agent</w:t>
        </w:r>
        <w:r>
          <w:rPr>
            <w:noProof/>
            <w:webHidden/>
          </w:rPr>
          <w:tab/>
        </w:r>
        <w:r>
          <w:rPr>
            <w:noProof/>
            <w:webHidden/>
          </w:rPr>
          <w:fldChar w:fldCharType="begin"/>
        </w:r>
        <w:r>
          <w:rPr>
            <w:noProof/>
            <w:webHidden/>
          </w:rPr>
          <w:instrText xml:space="preserve"> PAGEREF _Toc458938365 \h </w:instrText>
        </w:r>
        <w:r>
          <w:rPr>
            <w:noProof/>
            <w:webHidden/>
          </w:rPr>
        </w:r>
        <w:r>
          <w:rPr>
            <w:noProof/>
            <w:webHidden/>
          </w:rPr>
          <w:fldChar w:fldCharType="separate"/>
        </w:r>
        <w:r w:rsidR="000A0E3D">
          <w:rPr>
            <w:noProof/>
            <w:webHidden/>
          </w:rPr>
          <w:t>13</w:t>
        </w:r>
        <w:r>
          <w:rPr>
            <w:noProof/>
            <w:webHidden/>
          </w:rPr>
          <w:fldChar w:fldCharType="end"/>
        </w:r>
      </w:hyperlink>
    </w:p>
    <w:p w14:paraId="1DB4F73F"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66" w:history="1">
        <w:r w:rsidRPr="00A81EBB">
          <w:rPr>
            <w:rStyle w:val="Hyperlink"/>
            <w:noProof/>
          </w:rPr>
          <w:t xml:space="preserve">Figure I.3.a.12 Proposed mechanism of </w:t>
        </w:r>
        <w:r w:rsidRPr="00A81EBB">
          <w:rPr>
            <w:rStyle w:val="Hyperlink"/>
            <w:rFonts w:cstheme="minorHAnsi"/>
            <w:noProof/>
          </w:rPr>
          <w:t>MeReO</w:t>
        </w:r>
        <w:r w:rsidRPr="00A81EBB">
          <w:rPr>
            <w:rStyle w:val="Hyperlink"/>
            <w:rFonts w:cstheme="minorHAnsi"/>
            <w:noProof/>
            <w:vertAlign w:val="subscript"/>
          </w:rPr>
          <w:t>3</w:t>
        </w:r>
        <w:r w:rsidRPr="00A81EBB">
          <w:rPr>
            <w:rStyle w:val="Hyperlink"/>
            <w:noProof/>
          </w:rPr>
          <w:t xml:space="preserve"> catalytic cycle in DODH using sulfite reductant</w:t>
        </w:r>
        <w:r>
          <w:rPr>
            <w:noProof/>
            <w:webHidden/>
          </w:rPr>
          <w:tab/>
        </w:r>
        <w:r>
          <w:rPr>
            <w:noProof/>
            <w:webHidden/>
          </w:rPr>
          <w:fldChar w:fldCharType="begin"/>
        </w:r>
        <w:r>
          <w:rPr>
            <w:noProof/>
            <w:webHidden/>
          </w:rPr>
          <w:instrText xml:space="preserve"> PAGEREF _Toc458938366 \h </w:instrText>
        </w:r>
        <w:r>
          <w:rPr>
            <w:noProof/>
            <w:webHidden/>
          </w:rPr>
        </w:r>
        <w:r>
          <w:rPr>
            <w:noProof/>
            <w:webHidden/>
          </w:rPr>
          <w:fldChar w:fldCharType="separate"/>
        </w:r>
        <w:r w:rsidR="000A0E3D">
          <w:rPr>
            <w:noProof/>
            <w:webHidden/>
          </w:rPr>
          <w:t>14</w:t>
        </w:r>
        <w:r>
          <w:rPr>
            <w:noProof/>
            <w:webHidden/>
          </w:rPr>
          <w:fldChar w:fldCharType="end"/>
        </w:r>
      </w:hyperlink>
    </w:p>
    <w:p w14:paraId="427DEDF9"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67" w:history="1">
        <w:r w:rsidRPr="00A81EBB">
          <w:rPr>
            <w:rStyle w:val="Hyperlink"/>
            <w:noProof/>
          </w:rPr>
          <w:t>Figure I.3.a.13 Calculated lowest energy profile for sulfite, CH</w:t>
        </w:r>
        <w:r w:rsidRPr="00A81EBB">
          <w:rPr>
            <w:rStyle w:val="Hyperlink"/>
            <w:noProof/>
            <w:vertAlign w:val="subscript"/>
          </w:rPr>
          <w:t>3</w:t>
        </w:r>
        <w:r w:rsidRPr="00A81EBB">
          <w:rPr>
            <w:rStyle w:val="Hyperlink"/>
            <w:noProof/>
          </w:rPr>
          <w:t>ReO</w:t>
        </w:r>
        <w:r w:rsidRPr="00A81EBB">
          <w:rPr>
            <w:rStyle w:val="Hyperlink"/>
            <w:noProof/>
            <w:vertAlign w:val="subscript"/>
          </w:rPr>
          <w:t>3</w:t>
        </w:r>
        <w:r w:rsidRPr="00A81EBB">
          <w:rPr>
            <w:rStyle w:val="Hyperlink"/>
            <w:noProof/>
          </w:rPr>
          <w:t>- catalyzed DODH</w:t>
        </w:r>
        <w:r>
          <w:rPr>
            <w:noProof/>
            <w:webHidden/>
          </w:rPr>
          <w:tab/>
        </w:r>
        <w:r>
          <w:rPr>
            <w:noProof/>
            <w:webHidden/>
          </w:rPr>
          <w:fldChar w:fldCharType="begin"/>
        </w:r>
        <w:r>
          <w:rPr>
            <w:noProof/>
            <w:webHidden/>
          </w:rPr>
          <w:instrText xml:space="preserve"> PAGEREF _Toc458938367 \h </w:instrText>
        </w:r>
        <w:r>
          <w:rPr>
            <w:noProof/>
            <w:webHidden/>
          </w:rPr>
        </w:r>
        <w:r>
          <w:rPr>
            <w:noProof/>
            <w:webHidden/>
          </w:rPr>
          <w:fldChar w:fldCharType="separate"/>
        </w:r>
        <w:r w:rsidR="000A0E3D">
          <w:rPr>
            <w:noProof/>
            <w:webHidden/>
          </w:rPr>
          <w:t>15</w:t>
        </w:r>
        <w:r>
          <w:rPr>
            <w:noProof/>
            <w:webHidden/>
          </w:rPr>
          <w:fldChar w:fldCharType="end"/>
        </w:r>
      </w:hyperlink>
    </w:p>
    <w:p w14:paraId="741F4B3C"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68" w:history="1">
        <w:r w:rsidRPr="00A81EBB">
          <w:rPr>
            <w:rStyle w:val="Hyperlink"/>
            <w:noProof/>
          </w:rPr>
          <w:t>Figure I.3.a.14 Summary of DODH systems using sulfite as reducing agent</w:t>
        </w:r>
        <w:r>
          <w:rPr>
            <w:noProof/>
            <w:webHidden/>
          </w:rPr>
          <w:tab/>
        </w:r>
        <w:r>
          <w:rPr>
            <w:noProof/>
            <w:webHidden/>
          </w:rPr>
          <w:fldChar w:fldCharType="begin"/>
        </w:r>
        <w:r>
          <w:rPr>
            <w:noProof/>
            <w:webHidden/>
          </w:rPr>
          <w:instrText xml:space="preserve"> PAGEREF _Toc458938368 \h </w:instrText>
        </w:r>
        <w:r>
          <w:rPr>
            <w:noProof/>
            <w:webHidden/>
          </w:rPr>
        </w:r>
        <w:r>
          <w:rPr>
            <w:noProof/>
            <w:webHidden/>
          </w:rPr>
          <w:fldChar w:fldCharType="separate"/>
        </w:r>
        <w:r w:rsidR="000A0E3D">
          <w:rPr>
            <w:noProof/>
            <w:webHidden/>
          </w:rPr>
          <w:t>16</w:t>
        </w:r>
        <w:r>
          <w:rPr>
            <w:noProof/>
            <w:webHidden/>
          </w:rPr>
          <w:fldChar w:fldCharType="end"/>
        </w:r>
      </w:hyperlink>
    </w:p>
    <w:p w14:paraId="6F963E92"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69" w:history="1">
        <w:r w:rsidRPr="00A81EBB">
          <w:rPr>
            <w:rStyle w:val="Hyperlink"/>
            <w:noProof/>
          </w:rPr>
          <w:t>Figure I.3.a.15 First reported DODH reaction using alcohol as reducing agent</w:t>
        </w:r>
        <w:r>
          <w:rPr>
            <w:noProof/>
            <w:webHidden/>
          </w:rPr>
          <w:tab/>
        </w:r>
        <w:r>
          <w:rPr>
            <w:noProof/>
            <w:webHidden/>
          </w:rPr>
          <w:fldChar w:fldCharType="begin"/>
        </w:r>
        <w:r>
          <w:rPr>
            <w:noProof/>
            <w:webHidden/>
          </w:rPr>
          <w:instrText xml:space="preserve"> PAGEREF _Toc458938369 \h </w:instrText>
        </w:r>
        <w:r>
          <w:rPr>
            <w:noProof/>
            <w:webHidden/>
          </w:rPr>
        </w:r>
        <w:r>
          <w:rPr>
            <w:noProof/>
            <w:webHidden/>
          </w:rPr>
          <w:fldChar w:fldCharType="separate"/>
        </w:r>
        <w:r w:rsidR="000A0E3D">
          <w:rPr>
            <w:noProof/>
            <w:webHidden/>
          </w:rPr>
          <w:t>16</w:t>
        </w:r>
        <w:r>
          <w:rPr>
            <w:noProof/>
            <w:webHidden/>
          </w:rPr>
          <w:fldChar w:fldCharType="end"/>
        </w:r>
      </w:hyperlink>
    </w:p>
    <w:p w14:paraId="71EB57F4"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70" w:history="1">
        <w:r w:rsidRPr="00A81EBB">
          <w:rPr>
            <w:rStyle w:val="Hyperlink"/>
            <w:noProof/>
          </w:rPr>
          <w:t>Figure I.3.a.16 MeReO</w:t>
        </w:r>
        <w:r w:rsidRPr="00A81EBB">
          <w:rPr>
            <w:rStyle w:val="Hyperlink"/>
            <w:noProof/>
            <w:vertAlign w:val="subscript"/>
          </w:rPr>
          <w:t>3</w:t>
        </w:r>
        <w:r w:rsidRPr="00A81EBB">
          <w:rPr>
            <w:rStyle w:val="Hyperlink"/>
            <w:noProof/>
          </w:rPr>
          <w:t>-catalyzed disproportionation of glycerol in constant distillation system</w:t>
        </w:r>
        <w:r>
          <w:rPr>
            <w:noProof/>
            <w:webHidden/>
          </w:rPr>
          <w:tab/>
        </w:r>
        <w:r>
          <w:rPr>
            <w:noProof/>
            <w:webHidden/>
          </w:rPr>
          <w:fldChar w:fldCharType="begin"/>
        </w:r>
        <w:r>
          <w:rPr>
            <w:noProof/>
            <w:webHidden/>
          </w:rPr>
          <w:instrText xml:space="preserve"> PAGEREF _Toc458938370 \h </w:instrText>
        </w:r>
        <w:r>
          <w:rPr>
            <w:noProof/>
            <w:webHidden/>
          </w:rPr>
        </w:r>
        <w:r>
          <w:rPr>
            <w:noProof/>
            <w:webHidden/>
          </w:rPr>
          <w:fldChar w:fldCharType="separate"/>
        </w:r>
        <w:r w:rsidR="000A0E3D">
          <w:rPr>
            <w:noProof/>
            <w:webHidden/>
          </w:rPr>
          <w:t>18</w:t>
        </w:r>
        <w:r>
          <w:rPr>
            <w:noProof/>
            <w:webHidden/>
          </w:rPr>
          <w:fldChar w:fldCharType="end"/>
        </w:r>
      </w:hyperlink>
    </w:p>
    <w:p w14:paraId="6C9A21A6"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71" w:history="1">
        <w:r w:rsidRPr="00A81EBB">
          <w:rPr>
            <w:rStyle w:val="Hyperlink"/>
            <w:noProof/>
          </w:rPr>
          <w:t>Figure I.3.a.17 Alcohols as reducing agent in DODH system</w:t>
        </w:r>
        <w:r>
          <w:rPr>
            <w:noProof/>
            <w:webHidden/>
          </w:rPr>
          <w:tab/>
        </w:r>
        <w:r>
          <w:rPr>
            <w:noProof/>
            <w:webHidden/>
          </w:rPr>
          <w:fldChar w:fldCharType="begin"/>
        </w:r>
        <w:r>
          <w:rPr>
            <w:noProof/>
            <w:webHidden/>
          </w:rPr>
          <w:instrText xml:space="preserve"> PAGEREF _Toc458938371 \h </w:instrText>
        </w:r>
        <w:r>
          <w:rPr>
            <w:noProof/>
            <w:webHidden/>
          </w:rPr>
        </w:r>
        <w:r>
          <w:rPr>
            <w:noProof/>
            <w:webHidden/>
          </w:rPr>
          <w:fldChar w:fldCharType="separate"/>
        </w:r>
        <w:r w:rsidR="000A0E3D">
          <w:rPr>
            <w:noProof/>
            <w:webHidden/>
          </w:rPr>
          <w:t>19</w:t>
        </w:r>
        <w:r>
          <w:rPr>
            <w:noProof/>
            <w:webHidden/>
          </w:rPr>
          <w:fldChar w:fldCharType="end"/>
        </w:r>
      </w:hyperlink>
    </w:p>
    <w:p w14:paraId="7009E0CD"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72" w:history="1">
        <w:r w:rsidRPr="00A81EBB">
          <w:rPr>
            <w:rStyle w:val="Hyperlink"/>
            <w:noProof/>
          </w:rPr>
          <w:t>Figure I.3.a.18 Purification and catalyst recycling in NH</w:t>
        </w:r>
        <w:r w:rsidRPr="00A81EBB">
          <w:rPr>
            <w:rStyle w:val="Hyperlink"/>
            <w:noProof/>
            <w:vertAlign w:val="subscript"/>
          </w:rPr>
          <w:t>4</w:t>
        </w:r>
        <w:r w:rsidRPr="00A81EBB">
          <w:rPr>
            <w:rStyle w:val="Hyperlink"/>
            <w:noProof/>
          </w:rPr>
          <w:t>ReO</w:t>
        </w:r>
        <w:r w:rsidRPr="00A81EBB">
          <w:rPr>
            <w:rStyle w:val="Hyperlink"/>
            <w:noProof/>
            <w:vertAlign w:val="subscript"/>
          </w:rPr>
          <w:t>4</w:t>
        </w:r>
        <w:r w:rsidRPr="00A81EBB">
          <w:rPr>
            <w:rStyle w:val="Hyperlink"/>
            <w:noProof/>
          </w:rPr>
          <w:t xml:space="preserve"> / benzyl alcohol DODH system</w:t>
        </w:r>
        <w:r>
          <w:rPr>
            <w:noProof/>
            <w:webHidden/>
          </w:rPr>
          <w:tab/>
        </w:r>
        <w:r>
          <w:rPr>
            <w:noProof/>
            <w:webHidden/>
          </w:rPr>
          <w:fldChar w:fldCharType="begin"/>
        </w:r>
        <w:r>
          <w:rPr>
            <w:noProof/>
            <w:webHidden/>
          </w:rPr>
          <w:instrText xml:space="preserve"> PAGEREF _Toc458938372 \h </w:instrText>
        </w:r>
        <w:r>
          <w:rPr>
            <w:noProof/>
            <w:webHidden/>
          </w:rPr>
        </w:r>
        <w:r>
          <w:rPr>
            <w:noProof/>
            <w:webHidden/>
          </w:rPr>
          <w:fldChar w:fldCharType="separate"/>
        </w:r>
        <w:r w:rsidR="000A0E3D">
          <w:rPr>
            <w:noProof/>
            <w:webHidden/>
          </w:rPr>
          <w:t>21</w:t>
        </w:r>
        <w:r>
          <w:rPr>
            <w:noProof/>
            <w:webHidden/>
          </w:rPr>
          <w:fldChar w:fldCharType="end"/>
        </w:r>
      </w:hyperlink>
    </w:p>
    <w:p w14:paraId="46021048"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73" w:history="1">
        <w:r w:rsidRPr="00A81EBB">
          <w:rPr>
            <w:rStyle w:val="Hyperlink"/>
            <w:noProof/>
          </w:rPr>
          <w:t>Figure I.3.a.19 Proposed mechanistic cycle for alcohol-driven, CH</w:t>
        </w:r>
        <w:r w:rsidRPr="00A81EBB">
          <w:rPr>
            <w:rStyle w:val="Hyperlink"/>
            <w:noProof/>
            <w:vertAlign w:val="subscript"/>
          </w:rPr>
          <w:t>3</w:t>
        </w:r>
        <w:r w:rsidRPr="00A81EBB">
          <w:rPr>
            <w:rStyle w:val="Hyperlink"/>
            <w:noProof/>
          </w:rPr>
          <w:t>ReO</w:t>
        </w:r>
        <w:r w:rsidRPr="00A81EBB">
          <w:rPr>
            <w:rStyle w:val="Hyperlink"/>
            <w:noProof/>
            <w:vertAlign w:val="subscript"/>
          </w:rPr>
          <w:t>3</w:t>
        </w:r>
        <w:r w:rsidRPr="00A81EBB">
          <w:rPr>
            <w:rStyle w:val="Hyperlink"/>
            <w:noProof/>
          </w:rPr>
          <w:t>-catalyzed DODH by Abu-Omar</w:t>
        </w:r>
        <w:r>
          <w:rPr>
            <w:noProof/>
            <w:webHidden/>
          </w:rPr>
          <w:tab/>
        </w:r>
        <w:r>
          <w:rPr>
            <w:noProof/>
            <w:webHidden/>
          </w:rPr>
          <w:fldChar w:fldCharType="begin"/>
        </w:r>
        <w:r>
          <w:rPr>
            <w:noProof/>
            <w:webHidden/>
          </w:rPr>
          <w:instrText xml:space="preserve"> PAGEREF _Toc458938373 \h </w:instrText>
        </w:r>
        <w:r>
          <w:rPr>
            <w:noProof/>
            <w:webHidden/>
          </w:rPr>
        </w:r>
        <w:r>
          <w:rPr>
            <w:noProof/>
            <w:webHidden/>
          </w:rPr>
          <w:fldChar w:fldCharType="separate"/>
        </w:r>
        <w:r w:rsidR="000A0E3D">
          <w:rPr>
            <w:noProof/>
            <w:webHidden/>
          </w:rPr>
          <w:t>22</w:t>
        </w:r>
        <w:r>
          <w:rPr>
            <w:noProof/>
            <w:webHidden/>
          </w:rPr>
          <w:fldChar w:fldCharType="end"/>
        </w:r>
      </w:hyperlink>
    </w:p>
    <w:p w14:paraId="58378514"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74" w:history="1">
        <w:r w:rsidRPr="00A81EBB">
          <w:rPr>
            <w:rStyle w:val="Hyperlink"/>
            <w:noProof/>
          </w:rPr>
          <w:t>Figure I.3.a.20 Calculated lowest energy profile for alcohol-driven, CH</w:t>
        </w:r>
        <w:r w:rsidRPr="00A81EBB">
          <w:rPr>
            <w:rStyle w:val="Hyperlink"/>
            <w:noProof/>
            <w:vertAlign w:val="subscript"/>
          </w:rPr>
          <w:t>3</w:t>
        </w:r>
        <w:r w:rsidRPr="00A81EBB">
          <w:rPr>
            <w:rStyle w:val="Hyperlink"/>
            <w:noProof/>
          </w:rPr>
          <w:t>ReO</w:t>
        </w:r>
        <w:r w:rsidRPr="00A81EBB">
          <w:rPr>
            <w:rStyle w:val="Hyperlink"/>
            <w:noProof/>
            <w:vertAlign w:val="subscript"/>
          </w:rPr>
          <w:t>3</w:t>
        </w:r>
        <w:r w:rsidRPr="00A81EBB">
          <w:rPr>
            <w:rStyle w:val="Hyperlink"/>
            <w:noProof/>
          </w:rPr>
          <w:t>-catalyzed DODH</w:t>
        </w:r>
        <w:r>
          <w:rPr>
            <w:noProof/>
            <w:webHidden/>
          </w:rPr>
          <w:tab/>
        </w:r>
        <w:r>
          <w:rPr>
            <w:noProof/>
            <w:webHidden/>
          </w:rPr>
          <w:fldChar w:fldCharType="begin"/>
        </w:r>
        <w:r>
          <w:rPr>
            <w:noProof/>
            <w:webHidden/>
          </w:rPr>
          <w:instrText xml:space="preserve"> PAGEREF _Toc458938374 \h </w:instrText>
        </w:r>
        <w:r>
          <w:rPr>
            <w:noProof/>
            <w:webHidden/>
          </w:rPr>
        </w:r>
        <w:r>
          <w:rPr>
            <w:noProof/>
            <w:webHidden/>
          </w:rPr>
          <w:fldChar w:fldCharType="separate"/>
        </w:r>
        <w:r w:rsidR="000A0E3D">
          <w:rPr>
            <w:noProof/>
            <w:webHidden/>
          </w:rPr>
          <w:t>23</w:t>
        </w:r>
        <w:r>
          <w:rPr>
            <w:noProof/>
            <w:webHidden/>
          </w:rPr>
          <w:fldChar w:fldCharType="end"/>
        </w:r>
      </w:hyperlink>
    </w:p>
    <w:p w14:paraId="64F931D2"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75" w:history="1">
        <w:r w:rsidRPr="00A81EBB">
          <w:rPr>
            <w:rStyle w:val="Hyperlink"/>
            <w:noProof/>
          </w:rPr>
          <w:t>Figure I.3.a.21 Proposed mechanistic cycle for alcohol-driven, CH</w:t>
        </w:r>
        <w:r w:rsidRPr="00A81EBB">
          <w:rPr>
            <w:rStyle w:val="Hyperlink"/>
            <w:noProof/>
            <w:vertAlign w:val="subscript"/>
          </w:rPr>
          <w:t>3</w:t>
        </w:r>
        <w:r w:rsidRPr="00A81EBB">
          <w:rPr>
            <w:rStyle w:val="Hyperlink"/>
            <w:noProof/>
          </w:rPr>
          <w:t>ReO</w:t>
        </w:r>
        <w:r w:rsidRPr="00A81EBB">
          <w:rPr>
            <w:rStyle w:val="Hyperlink"/>
            <w:noProof/>
            <w:vertAlign w:val="subscript"/>
          </w:rPr>
          <w:t>3</w:t>
        </w:r>
        <w:r w:rsidRPr="00A81EBB">
          <w:rPr>
            <w:rStyle w:val="Hyperlink"/>
            <w:noProof/>
          </w:rPr>
          <w:t>-catalyzed DODH by Fristrup</w:t>
        </w:r>
        <w:r>
          <w:rPr>
            <w:noProof/>
            <w:webHidden/>
          </w:rPr>
          <w:tab/>
        </w:r>
        <w:r>
          <w:rPr>
            <w:noProof/>
            <w:webHidden/>
          </w:rPr>
          <w:fldChar w:fldCharType="begin"/>
        </w:r>
        <w:r>
          <w:rPr>
            <w:noProof/>
            <w:webHidden/>
          </w:rPr>
          <w:instrText xml:space="preserve"> PAGEREF _Toc458938375 \h </w:instrText>
        </w:r>
        <w:r>
          <w:rPr>
            <w:noProof/>
            <w:webHidden/>
          </w:rPr>
        </w:r>
        <w:r>
          <w:rPr>
            <w:noProof/>
            <w:webHidden/>
          </w:rPr>
          <w:fldChar w:fldCharType="separate"/>
        </w:r>
        <w:r w:rsidR="000A0E3D">
          <w:rPr>
            <w:noProof/>
            <w:webHidden/>
          </w:rPr>
          <w:t>24</w:t>
        </w:r>
        <w:r>
          <w:rPr>
            <w:noProof/>
            <w:webHidden/>
          </w:rPr>
          <w:fldChar w:fldCharType="end"/>
        </w:r>
      </w:hyperlink>
    </w:p>
    <w:p w14:paraId="46F93229"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76" w:history="1">
        <w:r w:rsidRPr="00A81EBB">
          <w:rPr>
            <w:rStyle w:val="Hyperlink"/>
            <w:noProof/>
          </w:rPr>
          <w:t>Figure I.3.a.22 Summary of DODH system using elemental reductant</w:t>
        </w:r>
        <w:r>
          <w:rPr>
            <w:noProof/>
            <w:webHidden/>
          </w:rPr>
          <w:tab/>
        </w:r>
        <w:r>
          <w:rPr>
            <w:noProof/>
            <w:webHidden/>
          </w:rPr>
          <w:fldChar w:fldCharType="begin"/>
        </w:r>
        <w:r>
          <w:rPr>
            <w:noProof/>
            <w:webHidden/>
          </w:rPr>
          <w:instrText xml:space="preserve"> PAGEREF _Toc458938376 \h </w:instrText>
        </w:r>
        <w:r>
          <w:rPr>
            <w:noProof/>
            <w:webHidden/>
          </w:rPr>
        </w:r>
        <w:r>
          <w:rPr>
            <w:noProof/>
            <w:webHidden/>
          </w:rPr>
          <w:fldChar w:fldCharType="separate"/>
        </w:r>
        <w:r w:rsidR="000A0E3D">
          <w:rPr>
            <w:noProof/>
            <w:webHidden/>
          </w:rPr>
          <w:t>25</w:t>
        </w:r>
        <w:r>
          <w:rPr>
            <w:noProof/>
            <w:webHidden/>
          </w:rPr>
          <w:fldChar w:fldCharType="end"/>
        </w:r>
      </w:hyperlink>
    </w:p>
    <w:p w14:paraId="610625CF"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77" w:history="1">
        <w:r w:rsidRPr="00A81EBB">
          <w:rPr>
            <w:rStyle w:val="Hyperlink"/>
            <w:noProof/>
          </w:rPr>
          <w:t>Figure I.3.a.23 Summary of DODH system using heterogeneous rhenium catalyst</w:t>
        </w:r>
        <w:r>
          <w:rPr>
            <w:noProof/>
            <w:webHidden/>
          </w:rPr>
          <w:tab/>
        </w:r>
        <w:r>
          <w:rPr>
            <w:noProof/>
            <w:webHidden/>
          </w:rPr>
          <w:fldChar w:fldCharType="begin"/>
        </w:r>
        <w:r>
          <w:rPr>
            <w:noProof/>
            <w:webHidden/>
          </w:rPr>
          <w:instrText xml:space="preserve"> PAGEREF _Toc458938377 \h </w:instrText>
        </w:r>
        <w:r>
          <w:rPr>
            <w:noProof/>
            <w:webHidden/>
          </w:rPr>
        </w:r>
        <w:r>
          <w:rPr>
            <w:noProof/>
            <w:webHidden/>
          </w:rPr>
          <w:fldChar w:fldCharType="separate"/>
        </w:r>
        <w:r w:rsidR="000A0E3D">
          <w:rPr>
            <w:noProof/>
            <w:webHidden/>
          </w:rPr>
          <w:t>26</w:t>
        </w:r>
        <w:r>
          <w:rPr>
            <w:noProof/>
            <w:webHidden/>
          </w:rPr>
          <w:fldChar w:fldCharType="end"/>
        </w:r>
      </w:hyperlink>
    </w:p>
    <w:p w14:paraId="43E56B03"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78" w:history="1">
        <w:r w:rsidRPr="00A81EBB">
          <w:rPr>
            <w:rStyle w:val="Hyperlink"/>
            <w:noProof/>
          </w:rPr>
          <w:t>Figure I.3.b.1 Summary of DODH system using non precious metal catalyst</w:t>
        </w:r>
        <w:r>
          <w:rPr>
            <w:noProof/>
            <w:webHidden/>
          </w:rPr>
          <w:tab/>
        </w:r>
        <w:r>
          <w:rPr>
            <w:noProof/>
            <w:webHidden/>
          </w:rPr>
          <w:fldChar w:fldCharType="begin"/>
        </w:r>
        <w:r>
          <w:rPr>
            <w:noProof/>
            <w:webHidden/>
          </w:rPr>
          <w:instrText xml:space="preserve"> PAGEREF _Toc458938378 \h </w:instrText>
        </w:r>
        <w:r>
          <w:rPr>
            <w:noProof/>
            <w:webHidden/>
          </w:rPr>
        </w:r>
        <w:r>
          <w:rPr>
            <w:noProof/>
            <w:webHidden/>
          </w:rPr>
          <w:fldChar w:fldCharType="separate"/>
        </w:r>
        <w:r w:rsidR="000A0E3D">
          <w:rPr>
            <w:noProof/>
            <w:webHidden/>
          </w:rPr>
          <w:t>27</w:t>
        </w:r>
        <w:r>
          <w:rPr>
            <w:noProof/>
            <w:webHidden/>
          </w:rPr>
          <w:fldChar w:fldCharType="end"/>
        </w:r>
      </w:hyperlink>
    </w:p>
    <w:p w14:paraId="534732BF"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79" w:history="1">
        <w:r w:rsidRPr="00A81EBB">
          <w:rPr>
            <w:rStyle w:val="Hyperlink"/>
            <w:noProof/>
          </w:rPr>
          <w:t>Figure I.3.b.2 Calculated lowest energy profile for diol-driven (left) and for isopropanol-driven (right), MoO</w:t>
        </w:r>
        <w:r w:rsidRPr="00A81EBB">
          <w:rPr>
            <w:rStyle w:val="Hyperlink"/>
            <w:noProof/>
            <w:vertAlign w:val="subscript"/>
          </w:rPr>
          <w:t>3</w:t>
        </w:r>
        <w:r w:rsidRPr="00A81EBB">
          <w:rPr>
            <w:rStyle w:val="Hyperlink"/>
            <w:noProof/>
          </w:rPr>
          <w:t>-catalyzed DODH</w:t>
        </w:r>
        <w:r>
          <w:rPr>
            <w:noProof/>
            <w:webHidden/>
          </w:rPr>
          <w:tab/>
        </w:r>
        <w:r>
          <w:rPr>
            <w:noProof/>
            <w:webHidden/>
          </w:rPr>
          <w:fldChar w:fldCharType="begin"/>
        </w:r>
        <w:r>
          <w:rPr>
            <w:noProof/>
            <w:webHidden/>
          </w:rPr>
          <w:instrText xml:space="preserve"> PAGEREF _Toc458938379 \h </w:instrText>
        </w:r>
        <w:r>
          <w:rPr>
            <w:noProof/>
            <w:webHidden/>
          </w:rPr>
        </w:r>
        <w:r>
          <w:rPr>
            <w:noProof/>
            <w:webHidden/>
          </w:rPr>
          <w:fldChar w:fldCharType="separate"/>
        </w:r>
        <w:r w:rsidR="000A0E3D">
          <w:rPr>
            <w:noProof/>
            <w:webHidden/>
          </w:rPr>
          <w:t>28</w:t>
        </w:r>
        <w:r>
          <w:rPr>
            <w:noProof/>
            <w:webHidden/>
          </w:rPr>
          <w:fldChar w:fldCharType="end"/>
        </w:r>
      </w:hyperlink>
    </w:p>
    <w:p w14:paraId="6D72AF5D" w14:textId="77777777" w:rsidR="001539C6" w:rsidRDefault="001539C6" w:rsidP="001539C6">
      <w:pPr>
        <w:pStyle w:val="TableofFigures"/>
        <w:tabs>
          <w:tab w:val="right" w:leader="dot" w:pos="8486"/>
        </w:tabs>
        <w:spacing w:line="240" w:lineRule="auto"/>
        <w:rPr>
          <w:rFonts w:eastAsiaTheme="minorEastAsia" w:cstheme="minorBidi"/>
          <w:noProof/>
          <w:sz w:val="22"/>
          <w:szCs w:val="22"/>
          <w:lang w:bidi="ar-SA"/>
        </w:rPr>
      </w:pPr>
      <w:hyperlink w:anchor="_Toc458938380" w:history="1">
        <w:r w:rsidRPr="00A81EBB">
          <w:rPr>
            <w:rStyle w:val="Hyperlink"/>
            <w:noProof/>
          </w:rPr>
          <w:t>Figure I.3.b.3 Vanadium catalyzed DODH and DO</w:t>
        </w:r>
        <w:r>
          <w:rPr>
            <w:noProof/>
            <w:webHidden/>
          </w:rPr>
          <w:tab/>
        </w:r>
        <w:r>
          <w:rPr>
            <w:noProof/>
            <w:webHidden/>
          </w:rPr>
          <w:fldChar w:fldCharType="begin"/>
        </w:r>
        <w:r>
          <w:rPr>
            <w:noProof/>
            <w:webHidden/>
          </w:rPr>
          <w:instrText xml:space="preserve"> PAGEREF _Toc458938380 \h </w:instrText>
        </w:r>
        <w:r>
          <w:rPr>
            <w:noProof/>
            <w:webHidden/>
          </w:rPr>
        </w:r>
        <w:r>
          <w:rPr>
            <w:noProof/>
            <w:webHidden/>
          </w:rPr>
          <w:fldChar w:fldCharType="separate"/>
        </w:r>
        <w:r w:rsidR="000A0E3D">
          <w:rPr>
            <w:noProof/>
            <w:webHidden/>
          </w:rPr>
          <w:t>30</w:t>
        </w:r>
        <w:r>
          <w:rPr>
            <w:noProof/>
            <w:webHidden/>
          </w:rPr>
          <w:fldChar w:fldCharType="end"/>
        </w:r>
      </w:hyperlink>
    </w:p>
    <w:p w14:paraId="217DA07F" w14:textId="77777777" w:rsidR="00924E73" w:rsidRDefault="00915118" w:rsidP="009B3170">
      <w:pPr>
        <w:pStyle w:val="NoSpacing"/>
        <w:rPr>
          <w:noProof/>
        </w:rPr>
      </w:pPr>
      <w:r>
        <w:fldChar w:fldCharType="end"/>
      </w:r>
      <w:r w:rsidR="007A5CF2">
        <w:fldChar w:fldCharType="begin"/>
      </w:r>
      <w:r w:rsidR="007A5CF2">
        <w:instrText xml:space="preserve"> TOC \h \z \c "Figure I. 4." </w:instrText>
      </w:r>
      <w:r w:rsidR="007A5CF2">
        <w:fldChar w:fldCharType="separate"/>
      </w:r>
    </w:p>
    <w:p w14:paraId="6B82E32E"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653" w:history="1">
        <w:r w:rsidR="00924E73" w:rsidRPr="00622BF2">
          <w:rPr>
            <w:rStyle w:val="Hyperlink"/>
            <w:noProof/>
          </w:rPr>
          <w:t>Figure I. 4.1 Synthesis of adipic acid from mucic acid via DODH and Hydrogenation two steps process</w:t>
        </w:r>
        <w:r w:rsidR="00924E73">
          <w:rPr>
            <w:noProof/>
            <w:webHidden/>
          </w:rPr>
          <w:tab/>
        </w:r>
        <w:r w:rsidR="00924E73">
          <w:rPr>
            <w:noProof/>
            <w:webHidden/>
          </w:rPr>
          <w:fldChar w:fldCharType="begin"/>
        </w:r>
        <w:r w:rsidR="00924E73">
          <w:rPr>
            <w:noProof/>
            <w:webHidden/>
          </w:rPr>
          <w:instrText xml:space="preserve"> PAGEREF _Toc457670653 \h </w:instrText>
        </w:r>
        <w:r w:rsidR="00924E73">
          <w:rPr>
            <w:noProof/>
            <w:webHidden/>
          </w:rPr>
        </w:r>
        <w:r w:rsidR="00924E73">
          <w:rPr>
            <w:noProof/>
            <w:webHidden/>
          </w:rPr>
          <w:fldChar w:fldCharType="separate"/>
        </w:r>
        <w:r w:rsidR="000A0E3D">
          <w:rPr>
            <w:noProof/>
            <w:webHidden/>
          </w:rPr>
          <w:t>31</w:t>
        </w:r>
        <w:r w:rsidR="00924E73">
          <w:rPr>
            <w:noProof/>
            <w:webHidden/>
          </w:rPr>
          <w:fldChar w:fldCharType="end"/>
        </w:r>
      </w:hyperlink>
    </w:p>
    <w:p w14:paraId="17523AA6"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654" w:history="1">
        <w:r w:rsidR="00924E73" w:rsidRPr="00622BF2">
          <w:rPr>
            <w:rStyle w:val="Hyperlink"/>
            <w:noProof/>
          </w:rPr>
          <w:t>Figure I. 4.2 Simultaneous DODH and hydrogenation of diols by ReO</w:t>
        </w:r>
        <w:r w:rsidR="00924E73" w:rsidRPr="00622BF2">
          <w:rPr>
            <w:rStyle w:val="Hyperlink"/>
            <w:noProof/>
            <w:vertAlign w:val="subscript"/>
          </w:rPr>
          <w:t>x</w:t>
        </w:r>
        <w:r w:rsidR="00924E73" w:rsidRPr="00622BF2">
          <w:rPr>
            <w:rStyle w:val="Hyperlink"/>
            <w:noProof/>
          </w:rPr>
          <w:t>-Pd/CeO</w:t>
        </w:r>
        <w:r w:rsidR="00924E73" w:rsidRPr="00622BF2">
          <w:rPr>
            <w:rStyle w:val="Hyperlink"/>
            <w:noProof/>
            <w:vertAlign w:val="subscript"/>
          </w:rPr>
          <w:t>2</w:t>
        </w:r>
        <w:r w:rsidR="00924E73" w:rsidRPr="00622BF2">
          <w:rPr>
            <w:rStyle w:val="Hyperlink"/>
            <w:noProof/>
          </w:rPr>
          <w:t xml:space="preserve"> heterogeneous catalyst</w:t>
        </w:r>
        <w:r w:rsidR="00924E73">
          <w:rPr>
            <w:noProof/>
            <w:webHidden/>
          </w:rPr>
          <w:tab/>
        </w:r>
        <w:r w:rsidR="00924E73">
          <w:rPr>
            <w:noProof/>
            <w:webHidden/>
          </w:rPr>
          <w:fldChar w:fldCharType="begin"/>
        </w:r>
        <w:r w:rsidR="00924E73">
          <w:rPr>
            <w:noProof/>
            <w:webHidden/>
          </w:rPr>
          <w:instrText xml:space="preserve"> PAGEREF _Toc457670654 \h </w:instrText>
        </w:r>
        <w:r w:rsidR="00924E73">
          <w:rPr>
            <w:noProof/>
            <w:webHidden/>
          </w:rPr>
        </w:r>
        <w:r w:rsidR="00924E73">
          <w:rPr>
            <w:noProof/>
            <w:webHidden/>
          </w:rPr>
          <w:fldChar w:fldCharType="separate"/>
        </w:r>
        <w:r w:rsidR="000A0E3D">
          <w:rPr>
            <w:noProof/>
            <w:webHidden/>
          </w:rPr>
          <w:t>31</w:t>
        </w:r>
        <w:r w:rsidR="00924E73">
          <w:rPr>
            <w:noProof/>
            <w:webHidden/>
          </w:rPr>
          <w:fldChar w:fldCharType="end"/>
        </w:r>
      </w:hyperlink>
    </w:p>
    <w:p w14:paraId="48A0AB2D" w14:textId="77777777" w:rsidR="00924E73" w:rsidRDefault="00443010" w:rsidP="00924E73">
      <w:pPr>
        <w:pStyle w:val="TableofFigures"/>
        <w:tabs>
          <w:tab w:val="right" w:leader="dot" w:pos="8486"/>
        </w:tabs>
        <w:spacing w:line="240" w:lineRule="auto"/>
        <w:rPr>
          <w:rFonts w:eastAsiaTheme="minorEastAsia" w:cstheme="minorBidi"/>
          <w:noProof/>
          <w:sz w:val="22"/>
          <w:szCs w:val="22"/>
          <w:lang w:bidi="ar-SA"/>
        </w:rPr>
      </w:pPr>
      <w:hyperlink w:anchor="_Toc457670655" w:history="1">
        <w:r w:rsidR="00924E73" w:rsidRPr="00622BF2">
          <w:rPr>
            <w:rStyle w:val="Hyperlink"/>
            <w:noProof/>
          </w:rPr>
          <w:t>Figure I. 4.3 Benzannulation reaction to form substituted naphthalene</w:t>
        </w:r>
        <w:r w:rsidR="00924E73">
          <w:rPr>
            <w:noProof/>
            <w:webHidden/>
          </w:rPr>
          <w:tab/>
        </w:r>
        <w:r w:rsidR="00924E73">
          <w:rPr>
            <w:noProof/>
            <w:webHidden/>
          </w:rPr>
          <w:fldChar w:fldCharType="begin"/>
        </w:r>
        <w:r w:rsidR="00924E73">
          <w:rPr>
            <w:noProof/>
            <w:webHidden/>
          </w:rPr>
          <w:instrText xml:space="preserve"> PAGEREF _Toc457670655 \h </w:instrText>
        </w:r>
        <w:r w:rsidR="00924E73">
          <w:rPr>
            <w:noProof/>
            <w:webHidden/>
          </w:rPr>
        </w:r>
        <w:r w:rsidR="00924E73">
          <w:rPr>
            <w:noProof/>
            <w:webHidden/>
          </w:rPr>
          <w:fldChar w:fldCharType="separate"/>
        </w:r>
        <w:r w:rsidR="000A0E3D">
          <w:rPr>
            <w:noProof/>
            <w:webHidden/>
          </w:rPr>
          <w:t>32</w:t>
        </w:r>
        <w:r w:rsidR="00924E73">
          <w:rPr>
            <w:noProof/>
            <w:webHidden/>
          </w:rPr>
          <w:fldChar w:fldCharType="end"/>
        </w:r>
      </w:hyperlink>
    </w:p>
    <w:p w14:paraId="56D3B204" w14:textId="77777777" w:rsidR="00924E73" w:rsidRDefault="007A5CF2" w:rsidP="004A7222">
      <w:pPr>
        <w:pStyle w:val="NoSpacing"/>
        <w:rPr>
          <w:noProof/>
        </w:rPr>
      </w:pPr>
      <w:r>
        <w:fldChar w:fldCharType="end"/>
      </w:r>
      <w:r>
        <w:fldChar w:fldCharType="begin"/>
      </w:r>
      <w:r>
        <w:instrText xml:space="preserve"> TOC \h \z \c "Figure I. 5." </w:instrText>
      </w:r>
      <w:r>
        <w:fldChar w:fldCharType="separate"/>
      </w:r>
    </w:p>
    <w:p w14:paraId="12612709" w14:textId="77777777" w:rsidR="00924E73" w:rsidRDefault="00443010" w:rsidP="00924E73">
      <w:pPr>
        <w:pStyle w:val="TableofFigures"/>
        <w:tabs>
          <w:tab w:val="right" w:leader="dot" w:pos="8486"/>
        </w:tabs>
        <w:spacing w:line="240" w:lineRule="auto"/>
        <w:rPr>
          <w:rFonts w:eastAsiaTheme="minorEastAsia" w:cstheme="minorBidi"/>
          <w:noProof/>
          <w:sz w:val="22"/>
          <w:szCs w:val="22"/>
          <w:lang w:bidi="ar-SA"/>
        </w:rPr>
      </w:pPr>
      <w:hyperlink w:anchor="_Toc457670677" w:history="1">
        <w:r w:rsidR="00924E73" w:rsidRPr="00934DA7">
          <w:rPr>
            <w:rStyle w:val="Hyperlink"/>
            <w:noProof/>
          </w:rPr>
          <w:t>Figure I. 5.1 Summary of DODH systems</w:t>
        </w:r>
        <w:r w:rsidR="00924E73">
          <w:rPr>
            <w:noProof/>
            <w:webHidden/>
          </w:rPr>
          <w:tab/>
        </w:r>
        <w:r w:rsidR="00924E73">
          <w:rPr>
            <w:noProof/>
            <w:webHidden/>
          </w:rPr>
          <w:fldChar w:fldCharType="begin"/>
        </w:r>
        <w:r w:rsidR="00924E73">
          <w:rPr>
            <w:noProof/>
            <w:webHidden/>
          </w:rPr>
          <w:instrText xml:space="preserve"> PAGEREF _Toc457670677 \h </w:instrText>
        </w:r>
        <w:r w:rsidR="00924E73">
          <w:rPr>
            <w:noProof/>
            <w:webHidden/>
          </w:rPr>
        </w:r>
        <w:r w:rsidR="00924E73">
          <w:rPr>
            <w:noProof/>
            <w:webHidden/>
          </w:rPr>
          <w:fldChar w:fldCharType="separate"/>
        </w:r>
        <w:r w:rsidR="000A0E3D">
          <w:rPr>
            <w:noProof/>
            <w:webHidden/>
          </w:rPr>
          <w:t>32</w:t>
        </w:r>
        <w:r w:rsidR="00924E73">
          <w:rPr>
            <w:noProof/>
            <w:webHidden/>
          </w:rPr>
          <w:fldChar w:fldCharType="end"/>
        </w:r>
      </w:hyperlink>
    </w:p>
    <w:p w14:paraId="5956C960" w14:textId="77777777" w:rsidR="001539C6" w:rsidRDefault="007A5CF2" w:rsidP="00877651">
      <w:pPr>
        <w:pStyle w:val="NoSpacing"/>
        <w:rPr>
          <w:noProof/>
        </w:rPr>
      </w:pPr>
      <w:r>
        <w:fldChar w:fldCharType="end"/>
      </w:r>
      <w:r w:rsidR="00BC21CB">
        <w:fldChar w:fldCharType="begin"/>
      </w:r>
      <w:r w:rsidR="00BC21CB">
        <w:instrText xml:space="preserve"> TOC \h \z \c "Figure II." </w:instrText>
      </w:r>
      <w:r w:rsidR="00BC21CB">
        <w:fldChar w:fldCharType="separate"/>
      </w:r>
    </w:p>
    <w:p w14:paraId="71783EB7"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81" w:history="1">
        <w:r w:rsidRPr="00A12CCF">
          <w:rPr>
            <w:rStyle w:val="Hyperlink"/>
            <w:noProof/>
          </w:rPr>
          <w:t>Figure II. 2.1 Tandem DODH/DA with DET and 1,3-cyclohexadiene</w:t>
        </w:r>
        <w:r>
          <w:rPr>
            <w:noProof/>
            <w:webHidden/>
          </w:rPr>
          <w:tab/>
        </w:r>
        <w:r>
          <w:rPr>
            <w:noProof/>
            <w:webHidden/>
          </w:rPr>
          <w:fldChar w:fldCharType="begin"/>
        </w:r>
        <w:r>
          <w:rPr>
            <w:noProof/>
            <w:webHidden/>
          </w:rPr>
          <w:instrText xml:space="preserve"> PAGEREF _Toc458938381 \h </w:instrText>
        </w:r>
        <w:r>
          <w:rPr>
            <w:noProof/>
            <w:webHidden/>
          </w:rPr>
        </w:r>
        <w:r>
          <w:rPr>
            <w:noProof/>
            <w:webHidden/>
          </w:rPr>
          <w:fldChar w:fldCharType="separate"/>
        </w:r>
        <w:r w:rsidR="000A0E3D">
          <w:rPr>
            <w:noProof/>
            <w:webHidden/>
          </w:rPr>
          <w:t>37</w:t>
        </w:r>
        <w:r>
          <w:rPr>
            <w:noProof/>
            <w:webHidden/>
          </w:rPr>
          <w:fldChar w:fldCharType="end"/>
        </w:r>
      </w:hyperlink>
    </w:p>
    <w:p w14:paraId="2D0AE054"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82" w:history="1">
        <w:r w:rsidRPr="00A12CCF">
          <w:rPr>
            <w:rStyle w:val="Hyperlink"/>
            <w:noProof/>
          </w:rPr>
          <w:t>Figure II. 2.2 Tandem DODH/DA with DET and 9,10-dihydroanthracene</w:t>
        </w:r>
        <w:r>
          <w:rPr>
            <w:noProof/>
            <w:webHidden/>
          </w:rPr>
          <w:tab/>
        </w:r>
        <w:r>
          <w:rPr>
            <w:noProof/>
            <w:webHidden/>
          </w:rPr>
          <w:fldChar w:fldCharType="begin"/>
        </w:r>
        <w:r>
          <w:rPr>
            <w:noProof/>
            <w:webHidden/>
          </w:rPr>
          <w:instrText xml:space="preserve"> PAGEREF _Toc458938382 \h </w:instrText>
        </w:r>
        <w:r>
          <w:rPr>
            <w:noProof/>
            <w:webHidden/>
          </w:rPr>
        </w:r>
        <w:r>
          <w:rPr>
            <w:noProof/>
            <w:webHidden/>
          </w:rPr>
          <w:fldChar w:fldCharType="separate"/>
        </w:r>
        <w:r w:rsidR="000A0E3D">
          <w:rPr>
            <w:noProof/>
            <w:webHidden/>
          </w:rPr>
          <w:t>37</w:t>
        </w:r>
        <w:r>
          <w:rPr>
            <w:noProof/>
            <w:webHidden/>
          </w:rPr>
          <w:fldChar w:fldCharType="end"/>
        </w:r>
      </w:hyperlink>
    </w:p>
    <w:p w14:paraId="154CB515"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83" w:history="1">
        <w:r w:rsidRPr="00A12CCF">
          <w:rPr>
            <w:rStyle w:val="Hyperlink"/>
            <w:noProof/>
          </w:rPr>
          <w:t>Figure II. 2.3 Activity of HA on DODH of DET and 1,2-octanediol</w:t>
        </w:r>
        <w:r>
          <w:rPr>
            <w:noProof/>
            <w:webHidden/>
          </w:rPr>
          <w:tab/>
        </w:r>
        <w:r>
          <w:rPr>
            <w:noProof/>
            <w:webHidden/>
          </w:rPr>
          <w:fldChar w:fldCharType="begin"/>
        </w:r>
        <w:r>
          <w:rPr>
            <w:noProof/>
            <w:webHidden/>
          </w:rPr>
          <w:instrText xml:space="preserve"> PAGEREF _Toc458938383 \h </w:instrText>
        </w:r>
        <w:r>
          <w:rPr>
            <w:noProof/>
            <w:webHidden/>
          </w:rPr>
        </w:r>
        <w:r>
          <w:rPr>
            <w:noProof/>
            <w:webHidden/>
          </w:rPr>
          <w:fldChar w:fldCharType="separate"/>
        </w:r>
        <w:r w:rsidR="000A0E3D">
          <w:rPr>
            <w:noProof/>
            <w:webHidden/>
          </w:rPr>
          <w:t>37</w:t>
        </w:r>
        <w:r>
          <w:rPr>
            <w:noProof/>
            <w:webHidden/>
          </w:rPr>
          <w:fldChar w:fldCharType="end"/>
        </w:r>
      </w:hyperlink>
    </w:p>
    <w:p w14:paraId="3ACBB3CE"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84" w:history="1">
        <w:r w:rsidRPr="00A12CCF">
          <w:rPr>
            <w:rStyle w:val="Hyperlink"/>
            <w:noProof/>
          </w:rPr>
          <w:t>Figure II. 2.4 Hydrogen donors tested that gave limited alkene yield or ambiguous products</w:t>
        </w:r>
        <w:r>
          <w:rPr>
            <w:noProof/>
            <w:webHidden/>
          </w:rPr>
          <w:tab/>
        </w:r>
        <w:r>
          <w:rPr>
            <w:noProof/>
            <w:webHidden/>
          </w:rPr>
          <w:fldChar w:fldCharType="begin"/>
        </w:r>
        <w:r>
          <w:rPr>
            <w:noProof/>
            <w:webHidden/>
          </w:rPr>
          <w:instrText xml:space="preserve"> PAGEREF _Toc458938384 \h </w:instrText>
        </w:r>
        <w:r>
          <w:rPr>
            <w:noProof/>
            <w:webHidden/>
          </w:rPr>
        </w:r>
        <w:r>
          <w:rPr>
            <w:noProof/>
            <w:webHidden/>
          </w:rPr>
          <w:fldChar w:fldCharType="separate"/>
        </w:r>
        <w:r w:rsidR="000A0E3D">
          <w:rPr>
            <w:noProof/>
            <w:webHidden/>
          </w:rPr>
          <w:t>39</w:t>
        </w:r>
        <w:r>
          <w:rPr>
            <w:noProof/>
            <w:webHidden/>
          </w:rPr>
          <w:fldChar w:fldCharType="end"/>
        </w:r>
      </w:hyperlink>
    </w:p>
    <w:p w14:paraId="33BDC31F"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85" w:history="1">
        <w:r w:rsidRPr="00A12CCF">
          <w:rPr>
            <w:rStyle w:val="Hyperlink"/>
            <w:noProof/>
          </w:rPr>
          <w:t>Figure II. 3.1 Reactivity of indoline as reducing agent on a variety of diols</w:t>
        </w:r>
        <w:r>
          <w:rPr>
            <w:noProof/>
            <w:webHidden/>
          </w:rPr>
          <w:tab/>
        </w:r>
        <w:r>
          <w:rPr>
            <w:noProof/>
            <w:webHidden/>
          </w:rPr>
          <w:fldChar w:fldCharType="begin"/>
        </w:r>
        <w:r>
          <w:rPr>
            <w:noProof/>
            <w:webHidden/>
          </w:rPr>
          <w:instrText xml:space="preserve"> PAGEREF _Toc458938385 \h </w:instrText>
        </w:r>
        <w:r>
          <w:rPr>
            <w:noProof/>
            <w:webHidden/>
          </w:rPr>
        </w:r>
        <w:r>
          <w:rPr>
            <w:noProof/>
            <w:webHidden/>
          </w:rPr>
          <w:fldChar w:fldCharType="separate"/>
        </w:r>
        <w:r w:rsidR="000A0E3D">
          <w:rPr>
            <w:noProof/>
            <w:webHidden/>
          </w:rPr>
          <w:t>40</w:t>
        </w:r>
        <w:r>
          <w:rPr>
            <w:noProof/>
            <w:webHidden/>
          </w:rPr>
          <w:fldChar w:fldCharType="end"/>
        </w:r>
      </w:hyperlink>
    </w:p>
    <w:p w14:paraId="11F35B93"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86" w:history="1">
        <w:r w:rsidRPr="00A12CCF">
          <w:rPr>
            <w:rStyle w:val="Hyperlink"/>
            <w:noProof/>
          </w:rPr>
          <w:t>Figure II. 3.2 DODH of glyceric acid using indoline as reducing agent</w:t>
        </w:r>
        <w:r>
          <w:rPr>
            <w:noProof/>
            <w:webHidden/>
          </w:rPr>
          <w:tab/>
        </w:r>
        <w:r>
          <w:rPr>
            <w:noProof/>
            <w:webHidden/>
          </w:rPr>
          <w:fldChar w:fldCharType="begin"/>
        </w:r>
        <w:r>
          <w:rPr>
            <w:noProof/>
            <w:webHidden/>
          </w:rPr>
          <w:instrText xml:space="preserve"> PAGEREF _Toc458938386 \h </w:instrText>
        </w:r>
        <w:r>
          <w:rPr>
            <w:noProof/>
            <w:webHidden/>
          </w:rPr>
        </w:r>
        <w:r>
          <w:rPr>
            <w:noProof/>
            <w:webHidden/>
          </w:rPr>
          <w:fldChar w:fldCharType="separate"/>
        </w:r>
        <w:r w:rsidR="000A0E3D">
          <w:rPr>
            <w:noProof/>
            <w:webHidden/>
          </w:rPr>
          <w:t>42</w:t>
        </w:r>
        <w:r>
          <w:rPr>
            <w:noProof/>
            <w:webHidden/>
          </w:rPr>
          <w:fldChar w:fldCharType="end"/>
        </w:r>
      </w:hyperlink>
    </w:p>
    <w:p w14:paraId="400CCBAD"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87" w:history="1">
        <w:r w:rsidRPr="00A12CCF">
          <w:rPr>
            <w:rStyle w:val="Hyperlink"/>
            <w:noProof/>
          </w:rPr>
          <w:t>Figure II. 3.3 Reducing agent competition: (A)indoline vs. 2-butanol; (B): indoline vs. 3-pentanol</w:t>
        </w:r>
        <w:r>
          <w:rPr>
            <w:noProof/>
            <w:webHidden/>
          </w:rPr>
          <w:tab/>
        </w:r>
        <w:r>
          <w:rPr>
            <w:noProof/>
            <w:webHidden/>
          </w:rPr>
          <w:fldChar w:fldCharType="begin"/>
        </w:r>
        <w:r>
          <w:rPr>
            <w:noProof/>
            <w:webHidden/>
          </w:rPr>
          <w:instrText xml:space="preserve"> PAGEREF _Toc458938387 \h </w:instrText>
        </w:r>
        <w:r>
          <w:rPr>
            <w:noProof/>
            <w:webHidden/>
          </w:rPr>
        </w:r>
        <w:r>
          <w:rPr>
            <w:noProof/>
            <w:webHidden/>
          </w:rPr>
          <w:fldChar w:fldCharType="separate"/>
        </w:r>
        <w:r w:rsidR="000A0E3D">
          <w:rPr>
            <w:noProof/>
            <w:webHidden/>
          </w:rPr>
          <w:t>43</w:t>
        </w:r>
        <w:r>
          <w:rPr>
            <w:noProof/>
            <w:webHidden/>
          </w:rPr>
          <w:fldChar w:fldCharType="end"/>
        </w:r>
      </w:hyperlink>
    </w:p>
    <w:p w14:paraId="45EE8B4E"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88" w:history="1">
        <w:r w:rsidRPr="00A12CCF">
          <w:rPr>
            <w:rStyle w:val="Hyperlink"/>
            <w:noProof/>
          </w:rPr>
          <w:t xml:space="preserve">Figure II. 4.1 </w:t>
        </w:r>
        <w:r w:rsidRPr="00A12CCF">
          <w:rPr>
            <w:rStyle w:val="Hyperlink"/>
            <w:noProof/>
            <w:vertAlign w:val="superscript"/>
          </w:rPr>
          <w:t>1</w:t>
        </w:r>
        <w:r w:rsidRPr="00A12CCF">
          <w:rPr>
            <w:rStyle w:val="Hyperlink"/>
            <w:noProof/>
          </w:rPr>
          <w:t>H NMR and IR of 4</w:t>
        </w:r>
        <w:r>
          <w:rPr>
            <w:noProof/>
            <w:webHidden/>
          </w:rPr>
          <w:tab/>
        </w:r>
        <w:r>
          <w:rPr>
            <w:noProof/>
            <w:webHidden/>
          </w:rPr>
          <w:fldChar w:fldCharType="begin"/>
        </w:r>
        <w:r>
          <w:rPr>
            <w:noProof/>
            <w:webHidden/>
          </w:rPr>
          <w:instrText xml:space="preserve"> PAGEREF _Toc458938388 \h </w:instrText>
        </w:r>
        <w:r>
          <w:rPr>
            <w:noProof/>
            <w:webHidden/>
          </w:rPr>
        </w:r>
        <w:r>
          <w:rPr>
            <w:noProof/>
            <w:webHidden/>
          </w:rPr>
          <w:fldChar w:fldCharType="separate"/>
        </w:r>
        <w:r w:rsidR="000A0E3D">
          <w:rPr>
            <w:noProof/>
            <w:webHidden/>
          </w:rPr>
          <w:t>44</w:t>
        </w:r>
        <w:r>
          <w:rPr>
            <w:noProof/>
            <w:webHidden/>
          </w:rPr>
          <w:fldChar w:fldCharType="end"/>
        </w:r>
      </w:hyperlink>
    </w:p>
    <w:p w14:paraId="6B6318E8"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89" w:history="1">
        <w:r w:rsidRPr="00A12CCF">
          <w:rPr>
            <w:rStyle w:val="Hyperlink"/>
            <w:noProof/>
          </w:rPr>
          <w:t>Figure II. 4.2 X-ray ORTEP diagram of MeReO</w:t>
        </w:r>
        <w:r w:rsidRPr="00A12CCF">
          <w:rPr>
            <w:rStyle w:val="Hyperlink"/>
            <w:noProof/>
            <w:vertAlign w:val="subscript"/>
          </w:rPr>
          <w:t>3</w:t>
        </w:r>
        <w:r w:rsidRPr="00A12CCF">
          <w:rPr>
            <w:rStyle w:val="Hyperlink"/>
            <w:noProof/>
          </w:rPr>
          <w:t>(indoline) (4)</w:t>
        </w:r>
        <w:r>
          <w:rPr>
            <w:noProof/>
            <w:webHidden/>
          </w:rPr>
          <w:tab/>
        </w:r>
        <w:r>
          <w:rPr>
            <w:noProof/>
            <w:webHidden/>
          </w:rPr>
          <w:fldChar w:fldCharType="begin"/>
        </w:r>
        <w:r>
          <w:rPr>
            <w:noProof/>
            <w:webHidden/>
          </w:rPr>
          <w:instrText xml:space="preserve"> PAGEREF _Toc458938389 \h </w:instrText>
        </w:r>
        <w:r>
          <w:rPr>
            <w:noProof/>
            <w:webHidden/>
          </w:rPr>
        </w:r>
        <w:r>
          <w:rPr>
            <w:noProof/>
            <w:webHidden/>
          </w:rPr>
          <w:fldChar w:fldCharType="separate"/>
        </w:r>
        <w:r w:rsidR="000A0E3D">
          <w:rPr>
            <w:noProof/>
            <w:webHidden/>
          </w:rPr>
          <w:t>44</w:t>
        </w:r>
        <w:r>
          <w:rPr>
            <w:noProof/>
            <w:webHidden/>
          </w:rPr>
          <w:fldChar w:fldCharType="end"/>
        </w:r>
      </w:hyperlink>
    </w:p>
    <w:p w14:paraId="53BF79DC"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90" w:history="1">
        <w:r w:rsidRPr="00A12CCF">
          <w:rPr>
            <w:rStyle w:val="Hyperlink"/>
            <w:noProof/>
          </w:rPr>
          <w:t>Figure II. 4.3 MDO-trapping experiment</w:t>
        </w:r>
        <w:r>
          <w:rPr>
            <w:noProof/>
            <w:webHidden/>
          </w:rPr>
          <w:tab/>
        </w:r>
        <w:r>
          <w:rPr>
            <w:noProof/>
            <w:webHidden/>
          </w:rPr>
          <w:fldChar w:fldCharType="begin"/>
        </w:r>
        <w:r>
          <w:rPr>
            <w:noProof/>
            <w:webHidden/>
          </w:rPr>
          <w:instrText xml:space="preserve"> PAGEREF _Toc458938390 \h </w:instrText>
        </w:r>
        <w:r>
          <w:rPr>
            <w:noProof/>
            <w:webHidden/>
          </w:rPr>
        </w:r>
        <w:r>
          <w:rPr>
            <w:noProof/>
            <w:webHidden/>
          </w:rPr>
          <w:fldChar w:fldCharType="separate"/>
        </w:r>
        <w:r w:rsidR="000A0E3D">
          <w:rPr>
            <w:noProof/>
            <w:webHidden/>
          </w:rPr>
          <w:t>45</w:t>
        </w:r>
        <w:r>
          <w:rPr>
            <w:noProof/>
            <w:webHidden/>
          </w:rPr>
          <w:fldChar w:fldCharType="end"/>
        </w:r>
      </w:hyperlink>
    </w:p>
    <w:p w14:paraId="73B2D73E"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91" w:history="1">
        <w:r w:rsidRPr="00A12CCF">
          <w:rPr>
            <w:rStyle w:val="Hyperlink"/>
            <w:noProof/>
          </w:rPr>
          <w:t xml:space="preserve">Figure II. 4.4 </w:t>
        </w:r>
        <w:r w:rsidRPr="00A12CCF">
          <w:rPr>
            <w:rStyle w:val="Hyperlink"/>
            <w:noProof/>
            <w:vertAlign w:val="superscript"/>
          </w:rPr>
          <w:t>1</w:t>
        </w:r>
        <w:r w:rsidRPr="00A12CCF">
          <w:rPr>
            <w:rStyle w:val="Hyperlink"/>
            <w:noProof/>
          </w:rPr>
          <w:t xml:space="preserve">H and </w:t>
        </w:r>
        <w:r w:rsidRPr="00A12CCF">
          <w:rPr>
            <w:rStyle w:val="Hyperlink"/>
            <w:noProof/>
            <w:vertAlign w:val="superscript"/>
          </w:rPr>
          <w:t>13</w:t>
        </w:r>
        <w:r w:rsidRPr="00A12CCF">
          <w:rPr>
            <w:rStyle w:val="Hyperlink"/>
            <w:noProof/>
          </w:rPr>
          <w:t>C NMR spectra of 5</w:t>
        </w:r>
        <w:r>
          <w:rPr>
            <w:noProof/>
            <w:webHidden/>
          </w:rPr>
          <w:tab/>
        </w:r>
        <w:r>
          <w:rPr>
            <w:noProof/>
            <w:webHidden/>
          </w:rPr>
          <w:fldChar w:fldCharType="begin"/>
        </w:r>
        <w:r>
          <w:rPr>
            <w:noProof/>
            <w:webHidden/>
          </w:rPr>
          <w:instrText xml:space="preserve"> PAGEREF _Toc458938391 \h </w:instrText>
        </w:r>
        <w:r>
          <w:rPr>
            <w:noProof/>
            <w:webHidden/>
          </w:rPr>
        </w:r>
        <w:r>
          <w:rPr>
            <w:noProof/>
            <w:webHidden/>
          </w:rPr>
          <w:fldChar w:fldCharType="separate"/>
        </w:r>
        <w:r w:rsidR="000A0E3D">
          <w:rPr>
            <w:noProof/>
            <w:webHidden/>
          </w:rPr>
          <w:t>46</w:t>
        </w:r>
        <w:r>
          <w:rPr>
            <w:noProof/>
            <w:webHidden/>
          </w:rPr>
          <w:fldChar w:fldCharType="end"/>
        </w:r>
      </w:hyperlink>
    </w:p>
    <w:p w14:paraId="2EF85C10"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92" w:history="1">
        <w:r w:rsidRPr="00A12CCF">
          <w:rPr>
            <w:rStyle w:val="Hyperlink"/>
            <w:noProof/>
          </w:rPr>
          <w:t xml:space="preserve">Figure II. 4.5 </w:t>
        </w:r>
        <w:r w:rsidRPr="00A12CCF">
          <w:rPr>
            <w:rStyle w:val="Hyperlink"/>
            <w:noProof/>
            <w:vertAlign w:val="superscript"/>
          </w:rPr>
          <w:t>1</w:t>
        </w:r>
        <w:r w:rsidRPr="00A12CCF">
          <w:rPr>
            <w:rStyle w:val="Hyperlink"/>
            <w:noProof/>
          </w:rPr>
          <w:t xml:space="preserve">H NMR experiment </w:t>
        </w:r>
        <w:r w:rsidRPr="00A12CCF">
          <w:rPr>
            <w:rStyle w:val="Hyperlink"/>
            <w:rFonts w:cstheme="minorHAnsi"/>
            <w:noProof/>
          </w:rPr>
          <w:t>MeReO</w:t>
        </w:r>
        <w:r w:rsidRPr="00A12CCF">
          <w:rPr>
            <w:rStyle w:val="Hyperlink"/>
            <w:rFonts w:cstheme="minorHAnsi"/>
            <w:noProof/>
            <w:vertAlign w:val="subscript"/>
          </w:rPr>
          <w:t>3</w:t>
        </w:r>
        <w:r w:rsidRPr="00A12CCF">
          <w:rPr>
            <w:rStyle w:val="Hyperlink"/>
            <w:noProof/>
          </w:rPr>
          <w:t xml:space="preserve">:indoline vs. </w:t>
        </w:r>
        <w:r w:rsidRPr="00A12CCF">
          <w:rPr>
            <w:rStyle w:val="Hyperlink"/>
            <w:rFonts w:cstheme="minorHAnsi"/>
            <w:noProof/>
          </w:rPr>
          <w:t>MeReO</w:t>
        </w:r>
        <w:r w:rsidRPr="00A12CCF">
          <w:rPr>
            <w:rStyle w:val="Hyperlink"/>
            <w:rFonts w:cstheme="minorHAnsi"/>
            <w:noProof/>
            <w:vertAlign w:val="subscript"/>
          </w:rPr>
          <w:t>3</w:t>
        </w:r>
        <w:r w:rsidRPr="00A12CCF">
          <w:rPr>
            <w:rStyle w:val="Hyperlink"/>
            <w:noProof/>
          </w:rPr>
          <w:t>:Glycolate formation</w:t>
        </w:r>
        <w:r>
          <w:rPr>
            <w:noProof/>
            <w:webHidden/>
          </w:rPr>
          <w:tab/>
        </w:r>
        <w:r>
          <w:rPr>
            <w:noProof/>
            <w:webHidden/>
          </w:rPr>
          <w:fldChar w:fldCharType="begin"/>
        </w:r>
        <w:r>
          <w:rPr>
            <w:noProof/>
            <w:webHidden/>
          </w:rPr>
          <w:instrText xml:space="preserve"> PAGEREF _Toc458938392 \h </w:instrText>
        </w:r>
        <w:r>
          <w:rPr>
            <w:noProof/>
            <w:webHidden/>
          </w:rPr>
        </w:r>
        <w:r>
          <w:rPr>
            <w:noProof/>
            <w:webHidden/>
          </w:rPr>
          <w:fldChar w:fldCharType="separate"/>
        </w:r>
        <w:r w:rsidR="000A0E3D">
          <w:rPr>
            <w:noProof/>
            <w:webHidden/>
          </w:rPr>
          <w:t>47</w:t>
        </w:r>
        <w:r>
          <w:rPr>
            <w:noProof/>
            <w:webHidden/>
          </w:rPr>
          <w:fldChar w:fldCharType="end"/>
        </w:r>
      </w:hyperlink>
    </w:p>
    <w:p w14:paraId="08F09314" w14:textId="77777777" w:rsidR="001539C6" w:rsidRDefault="001539C6">
      <w:pPr>
        <w:pStyle w:val="TableofFigures"/>
        <w:tabs>
          <w:tab w:val="right" w:leader="dot" w:pos="8486"/>
        </w:tabs>
        <w:rPr>
          <w:rFonts w:eastAsiaTheme="minorEastAsia" w:cstheme="minorBidi"/>
          <w:noProof/>
          <w:sz w:val="22"/>
          <w:szCs w:val="22"/>
          <w:lang w:bidi="ar-SA"/>
        </w:rPr>
      </w:pPr>
      <w:hyperlink w:anchor="_Toc458938393" w:history="1">
        <w:r w:rsidRPr="00A12CCF">
          <w:rPr>
            <w:rStyle w:val="Hyperlink"/>
            <w:noProof/>
          </w:rPr>
          <w:t xml:space="preserve">Figure II. 4.6 Possible mechanism of </w:t>
        </w:r>
        <w:r w:rsidRPr="00A12CCF">
          <w:rPr>
            <w:rStyle w:val="Hyperlink"/>
            <w:rFonts w:cstheme="minorHAnsi"/>
            <w:noProof/>
          </w:rPr>
          <w:t>MeReO</w:t>
        </w:r>
        <w:r w:rsidRPr="00A12CCF">
          <w:rPr>
            <w:rStyle w:val="Hyperlink"/>
            <w:rFonts w:cstheme="minorHAnsi"/>
            <w:noProof/>
            <w:vertAlign w:val="subscript"/>
          </w:rPr>
          <w:t>3</w:t>
        </w:r>
        <w:r w:rsidRPr="00A12CCF">
          <w:rPr>
            <w:rStyle w:val="Hyperlink"/>
            <w:noProof/>
          </w:rPr>
          <w:t>-indoline H-transfer redox reaction</w:t>
        </w:r>
        <w:r>
          <w:rPr>
            <w:noProof/>
            <w:webHidden/>
          </w:rPr>
          <w:tab/>
        </w:r>
        <w:r>
          <w:rPr>
            <w:noProof/>
            <w:webHidden/>
          </w:rPr>
          <w:fldChar w:fldCharType="begin"/>
        </w:r>
        <w:r>
          <w:rPr>
            <w:noProof/>
            <w:webHidden/>
          </w:rPr>
          <w:instrText xml:space="preserve"> PAGEREF _Toc458938393 \h </w:instrText>
        </w:r>
        <w:r>
          <w:rPr>
            <w:noProof/>
            <w:webHidden/>
          </w:rPr>
        </w:r>
        <w:r>
          <w:rPr>
            <w:noProof/>
            <w:webHidden/>
          </w:rPr>
          <w:fldChar w:fldCharType="separate"/>
        </w:r>
        <w:r w:rsidR="000A0E3D">
          <w:rPr>
            <w:noProof/>
            <w:webHidden/>
          </w:rPr>
          <w:t>47</w:t>
        </w:r>
        <w:r>
          <w:rPr>
            <w:noProof/>
            <w:webHidden/>
          </w:rPr>
          <w:fldChar w:fldCharType="end"/>
        </w:r>
      </w:hyperlink>
    </w:p>
    <w:p w14:paraId="104721C3" w14:textId="77777777" w:rsidR="001539C6" w:rsidRDefault="001539C6" w:rsidP="001539C6">
      <w:pPr>
        <w:pStyle w:val="TableofFigures"/>
        <w:tabs>
          <w:tab w:val="right" w:leader="dot" w:pos="8486"/>
        </w:tabs>
        <w:spacing w:line="240" w:lineRule="auto"/>
        <w:rPr>
          <w:rFonts w:eastAsiaTheme="minorEastAsia" w:cstheme="minorBidi"/>
          <w:noProof/>
          <w:sz w:val="22"/>
          <w:szCs w:val="22"/>
          <w:lang w:bidi="ar-SA"/>
        </w:rPr>
      </w:pPr>
      <w:hyperlink w:anchor="_Toc458938394" w:history="1">
        <w:r w:rsidRPr="00A12CCF">
          <w:rPr>
            <w:rStyle w:val="Hyperlink"/>
            <w:noProof/>
          </w:rPr>
          <w:t xml:space="preserve">Figure II. 4.7 Potential </w:t>
        </w:r>
        <w:r w:rsidRPr="00A12CCF">
          <w:rPr>
            <w:rStyle w:val="Hyperlink"/>
            <w:rFonts w:cstheme="minorHAnsi"/>
            <w:noProof/>
          </w:rPr>
          <w:t>MeReO</w:t>
        </w:r>
        <w:r w:rsidRPr="00A12CCF">
          <w:rPr>
            <w:rStyle w:val="Hyperlink"/>
            <w:rFonts w:cstheme="minorHAnsi"/>
            <w:noProof/>
            <w:vertAlign w:val="subscript"/>
          </w:rPr>
          <w:t>3</w:t>
        </w:r>
        <w:r w:rsidRPr="00A12CCF">
          <w:rPr>
            <w:rStyle w:val="Hyperlink"/>
            <w:noProof/>
          </w:rPr>
          <w:t xml:space="preserve"> catalytic cycle with indoline as reductant</w:t>
        </w:r>
        <w:r>
          <w:rPr>
            <w:noProof/>
            <w:webHidden/>
          </w:rPr>
          <w:tab/>
        </w:r>
        <w:r>
          <w:rPr>
            <w:noProof/>
            <w:webHidden/>
          </w:rPr>
          <w:fldChar w:fldCharType="begin"/>
        </w:r>
        <w:r>
          <w:rPr>
            <w:noProof/>
            <w:webHidden/>
          </w:rPr>
          <w:instrText xml:space="preserve"> PAGEREF _Toc458938394 \h </w:instrText>
        </w:r>
        <w:r>
          <w:rPr>
            <w:noProof/>
            <w:webHidden/>
          </w:rPr>
        </w:r>
        <w:r>
          <w:rPr>
            <w:noProof/>
            <w:webHidden/>
          </w:rPr>
          <w:fldChar w:fldCharType="separate"/>
        </w:r>
        <w:r w:rsidR="000A0E3D">
          <w:rPr>
            <w:noProof/>
            <w:webHidden/>
          </w:rPr>
          <w:t>48</w:t>
        </w:r>
        <w:r>
          <w:rPr>
            <w:noProof/>
            <w:webHidden/>
          </w:rPr>
          <w:fldChar w:fldCharType="end"/>
        </w:r>
      </w:hyperlink>
    </w:p>
    <w:p w14:paraId="254FE608" w14:textId="77777777" w:rsidR="00924E73" w:rsidRDefault="00BC21CB" w:rsidP="00F76147">
      <w:pPr>
        <w:pStyle w:val="NoSpacing"/>
        <w:rPr>
          <w:noProof/>
        </w:rPr>
      </w:pPr>
      <w:r>
        <w:fldChar w:fldCharType="end"/>
      </w:r>
      <w:r w:rsidR="000B3CA9">
        <w:fldChar w:fldCharType="begin"/>
      </w:r>
      <w:r w:rsidR="000B3CA9">
        <w:instrText xml:space="preserve"> TOC \h \z \c "Figure III." </w:instrText>
      </w:r>
      <w:r w:rsidR="000B3CA9">
        <w:fldChar w:fldCharType="separate"/>
      </w:r>
    </w:p>
    <w:p w14:paraId="05388372"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03" w:history="1">
        <w:r w:rsidR="00924E73" w:rsidRPr="006F1FB5">
          <w:rPr>
            <w:rStyle w:val="Hyperlink"/>
            <w:noProof/>
          </w:rPr>
          <w:t>Figure III. 1.1 Diels-Alder general reaction</w:t>
        </w:r>
        <w:r w:rsidR="00924E73">
          <w:rPr>
            <w:noProof/>
            <w:webHidden/>
          </w:rPr>
          <w:tab/>
        </w:r>
        <w:r w:rsidR="00924E73">
          <w:rPr>
            <w:noProof/>
            <w:webHidden/>
          </w:rPr>
          <w:fldChar w:fldCharType="begin"/>
        </w:r>
        <w:r w:rsidR="00924E73">
          <w:rPr>
            <w:noProof/>
            <w:webHidden/>
          </w:rPr>
          <w:instrText xml:space="preserve"> PAGEREF _Toc457670703 \h </w:instrText>
        </w:r>
        <w:r w:rsidR="00924E73">
          <w:rPr>
            <w:noProof/>
            <w:webHidden/>
          </w:rPr>
        </w:r>
        <w:r w:rsidR="00924E73">
          <w:rPr>
            <w:noProof/>
            <w:webHidden/>
          </w:rPr>
          <w:fldChar w:fldCharType="separate"/>
        </w:r>
        <w:r w:rsidR="000A0E3D">
          <w:rPr>
            <w:noProof/>
            <w:webHidden/>
          </w:rPr>
          <w:t>58</w:t>
        </w:r>
        <w:r w:rsidR="00924E73">
          <w:rPr>
            <w:noProof/>
            <w:webHidden/>
          </w:rPr>
          <w:fldChar w:fldCharType="end"/>
        </w:r>
      </w:hyperlink>
    </w:p>
    <w:p w14:paraId="64176B47"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04" w:history="1">
        <w:r w:rsidR="00924E73" w:rsidRPr="006F1FB5">
          <w:rPr>
            <w:rStyle w:val="Hyperlink"/>
            <w:noProof/>
          </w:rPr>
          <w:t>Figure III. 1.2 DODH/DA reaction system</w:t>
        </w:r>
        <w:r w:rsidR="00924E73">
          <w:rPr>
            <w:noProof/>
            <w:webHidden/>
          </w:rPr>
          <w:tab/>
        </w:r>
        <w:r w:rsidR="00924E73">
          <w:rPr>
            <w:noProof/>
            <w:webHidden/>
          </w:rPr>
          <w:fldChar w:fldCharType="begin"/>
        </w:r>
        <w:r w:rsidR="00924E73">
          <w:rPr>
            <w:noProof/>
            <w:webHidden/>
          </w:rPr>
          <w:instrText xml:space="preserve"> PAGEREF _Toc457670704 \h </w:instrText>
        </w:r>
        <w:r w:rsidR="00924E73">
          <w:rPr>
            <w:noProof/>
            <w:webHidden/>
          </w:rPr>
        </w:r>
        <w:r w:rsidR="00924E73">
          <w:rPr>
            <w:noProof/>
            <w:webHidden/>
          </w:rPr>
          <w:fldChar w:fldCharType="separate"/>
        </w:r>
        <w:r w:rsidR="000A0E3D">
          <w:rPr>
            <w:noProof/>
            <w:webHidden/>
          </w:rPr>
          <w:t>59</w:t>
        </w:r>
        <w:r w:rsidR="00924E73">
          <w:rPr>
            <w:noProof/>
            <w:webHidden/>
          </w:rPr>
          <w:fldChar w:fldCharType="end"/>
        </w:r>
      </w:hyperlink>
    </w:p>
    <w:p w14:paraId="717B6BD7"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05" w:history="1">
        <w:r w:rsidR="00924E73" w:rsidRPr="006F1FB5">
          <w:rPr>
            <w:rStyle w:val="Hyperlink"/>
            <w:noProof/>
          </w:rPr>
          <w:t>Figure III. 1.3 DODH/Hetero Diels Alder tandem concept</w:t>
        </w:r>
        <w:r w:rsidR="00924E73">
          <w:rPr>
            <w:noProof/>
            <w:webHidden/>
          </w:rPr>
          <w:tab/>
        </w:r>
        <w:r w:rsidR="00924E73">
          <w:rPr>
            <w:noProof/>
            <w:webHidden/>
          </w:rPr>
          <w:fldChar w:fldCharType="begin"/>
        </w:r>
        <w:r w:rsidR="00924E73">
          <w:rPr>
            <w:noProof/>
            <w:webHidden/>
          </w:rPr>
          <w:instrText xml:space="preserve"> PAGEREF _Toc457670705 \h </w:instrText>
        </w:r>
        <w:r w:rsidR="00924E73">
          <w:rPr>
            <w:noProof/>
            <w:webHidden/>
          </w:rPr>
        </w:r>
        <w:r w:rsidR="00924E73">
          <w:rPr>
            <w:noProof/>
            <w:webHidden/>
          </w:rPr>
          <w:fldChar w:fldCharType="separate"/>
        </w:r>
        <w:r w:rsidR="000A0E3D">
          <w:rPr>
            <w:noProof/>
            <w:webHidden/>
          </w:rPr>
          <w:t>60</w:t>
        </w:r>
        <w:r w:rsidR="00924E73">
          <w:rPr>
            <w:noProof/>
            <w:webHidden/>
          </w:rPr>
          <w:fldChar w:fldCharType="end"/>
        </w:r>
      </w:hyperlink>
    </w:p>
    <w:p w14:paraId="26E50A46"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06" w:history="1">
        <w:r w:rsidR="00924E73" w:rsidRPr="006F1FB5">
          <w:rPr>
            <w:rStyle w:val="Hyperlink"/>
            <w:noProof/>
          </w:rPr>
          <w:t>Figure III. 1.4 Activity of α-carbonyl alcohol as reducing agent for DODH of DET</w:t>
        </w:r>
        <w:r w:rsidR="00924E73">
          <w:rPr>
            <w:noProof/>
            <w:webHidden/>
          </w:rPr>
          <w:tab/>
        </w:r>
        <w:r w:rsidR="00924E73">
          <w:rPr>
            <w:noProof/>
            <w:webHidden/>
          </w:rPr>
          <w:fldChar w:fldCharType="begin"/>
        </w:r>
        <w:r w:rsidR="00924E73">
          <w:rPr>
            <w:noProof/>
            <w:webHidden/>
          </w:rPr>
          <w:instrText xml:space="preserve"> PAGEREF _Toc457670706 \h </w:instrText>
        </w:r>
        <w:r w:rsidR="00924E73">
          <w:rPr>
            <w:noProof/>
            <w:webHidden/>
          </w:rPr>
        </w:r>
        <w:r w:rsidR="00924E73">
          <w:rPr>
            <w:noProof/>
            <w:webHidden/>
          </w:rPr>
          <w:fldChar w:fldCharType="separate"/>
        </w:r>
        <w:r w:rsidR="000A0E3D">
          <w:rPr>
            <w:noProof/>
            <w:webHidden/>
          </w:rPr>
          <w:t>61</w:t>
        </w:r>
        <w:r w:rsidR="00924E73">
          <w:rPr>
            <w:noProof/>
            <w:webHidden/>
          </w:rPr>
          <w:fldChar w:fldCharType="end"/>
        </w:r>
      </w:hyperlink>
    </w:p>
    <w:p w14:paraId="3BC7D9F3"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07" w:history="1">
        <w:r w:rsidR="00924E73" w:rsidRPr="006F1FB5">
          <w:rPr>
            <w:rStyle w:val="Hyperlink"/>
            <w:noProof/>
          </w:rPr>
          <w:t>Figure III. 1.5 Activity of ethyl lactate as reducing agent for DODH of diols (1)</w:t>
        </w:r>
        <w:r w:rsidR="00924E73">
          <w:rPr>
            <w:noProof/>
            <w:webHidden/>
          </w:rPr>
          <w:tab/>
        </w:r>
        <w:r w:rsidR="00924E73">
          <w:rPr>
            <w:noProof/>
            <w:webHidden/>
          </w:rPr>
          <w:fldChar w:fldCharType="begin"/>
        </w:r>
        <w:r w:rsidR="00924E73">
          <w:rPr>
            <w:noProof/>
            <w:webHidden/>
          </w:rPr>
          <w:instrText xml:space="preserve"> PAGEREF _Toc457670707 \h </w:instrText>
        </w:r>
        <w:r w:rsidR="00924E73">
          <w:rPr>
            <w:noProof/>
            <w:webHidden/>
          </w:rPr>
        </w:r>
        <w:r w:rsidR="00924E73">
          <w:rPr>
            <w:noProof/>
            <w:webHidden/>
          </w:rPr>
          <w:fldChar w:fldCharType="separate"/>
        </w:r>
        <w:r w:rsidR="000A0E3D">
          <w:rPr>
            <w:noProof/>
            <w:webHidden/>
          </w:rPr>
          <w:t>62</w:t>
        </w:r>
        <w:r w:rsidR="00924E73">
          <w:rPr>
            <w:noProof/>
            <w:webHidden/>
          </w:rPr>
          <w:fldChar w:fldCharType="end"/>
        </w:r>
      </w:hyperlink>
    </w:p>
    <w:p w14:paraId="7D0113CB"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08" w:history="1">
        <w:r w:rsidR="00924E73" w:rsidRPr="006F1FB5">
          <w:rPr>
            <w:rStyle w:val="Hyperlink"/>
            <w:noProof/>
          </w:rPr>
          <w:t>Figure III. 1.6 Activity of other α-hydroxy carbonyl (2) as reducing agent for DODH of glycols (1)</w:t>
        </w:r>
        <w:r w:rsidR="00924E73">
          <w:rPr>
            <w:noProof/>
            <w:webHidden/>
          </w:rPr>
          <w:tab/>
        </w:r>
        <w:r w:rsidR="00924E73">
          <w:rPr>
            <w:noProof/>
            <w:webHidden/>
          </w:rPr>
          <w:fldChar w:fldCharType="begin"/>
        </w:r>
        <w:r w:rsidR="00924E73">
          <w:rPr>
            <w:noProof/>
            <w:webHidden/>
          </w:rPr>
          <w:instrText xml:space="preserve"> PAGEREF _Toc457670708 \h </w:instrText>
        </w:r>
        <w:r w:rsidR="00924E73">
          <w:rPr>
            <w:noProof/>
            <w:webHidden/>
          </w:rPr>
        </w:r>
        <w:r w:rsidR="00924E73">
          <w:rPr>
            <w:noProof/>
            <w:webHidden/>
          </w:rPr>
          <w:fldChar w:fldCharType="separate"/>
        </w:r>
        <w:r w:rsidR="000A0E3D">
          <w:rPr>
            <w:noProof/>
            <w:webHidden/>
          </w:rPr>
          <w:t>63</w:t>
        </w:r>
        <w:r w:rsidR="00924E73">
          <w:rPr>
            <w:noProof/>
            <w:webHidden/>
          </w:rPr>
          <w:fldChar w:fldCharType="end"/>
        </w:r>
      </w:hyperlink>
    </w:p>
    <w:p w14:paraId="2D614EC1"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09" w:history="1">
        <w:r w:rsidR="00924E73" w:rsidRPr="006F1FB5">
          <w:rPr>
            <w:rStyle w:val="Hyperlink"/>
            <w:noProof/>
          </w:rPr>
          <w:t>Figure III. 1.7 Trapping experiment of methyl glyoxal (2) by cycloaddition with isoprene</w:t>
        </w:r>
        <w:r w:rsidR="00924E73">
          <w:rPr>
            <w:noProof/>
            <w:webHidden/>
          </w:rPr>
          <w:tab/>
        </w:r>
        <w:r w:rsidR="00924E73">
          <w:rPr>
            <w:noProof/>
            <w:webHidden/>
          </w:rPr>
          <w:fldChar w:fldCharType="begin"/>
        </w:r>
        <w:r w:rsidR="00924E73">
          <w:rPr>
            <w:noProof/>
            <w:webHidden/>
          </w:rPr>
          <w:instrText xml:space="preserve"> PAGEREF _Toc457670709 \h </w:instrText>
        </w:r>
        <w:r w:rsidR="00924E73">
          <w:rPr>
            <w:noProof/>
            <w:webHidden/>
          </w:rPr>
        </w:r>
        <w:r w:rsidR="00924E73">
          <w:rPr>
            <w:noProof/>
            <w:webHidden/>
          </w:rPr>
          <w:fldChar w:fldCharType="separate"/>
        </w:r>
        <w:r w:rsidR="000A0E3D">
          <w:rPr>
            <w:noProof/>
            <w:webHidden/>
          </w:rPr>
          <w:t>65</w:t>
        </w:r>
        <w:r w:rsidR="00924E73">
          <w:rPr>
            <w:noProof/>
            <w:webHidden/>
          </w:rPr>
          <w:fldChar w:fldCharType="end"/>
        </w:r>
      </w:hyperlink>
    </w:p>
    <w:p w14:paraId="09170D45"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10" w:history="1">
        <w:r w:rsidR="00924E73" w:rsidRPr="006F1FB5">
          <w:rPr>
            <w:rStyle w:val="Hyperlink"/>
            <w:noProof/>
          </w:rPr>
          <w:t>Figure III. 1.8 Study of Hetero-Diel Alder step</w:t>
        </w:r>
        <w:r w:rsidR="00924E73">
          <w:rPr>
            <w:noProof/>
            <w:webHidden/>
          </w:rPr>
          <w:tab/>
        </w:r>
        <w:r w:rsidR="00924E73">
          <w:rPr>
            <w:noProof/>
            <w:webHidden/>
          </w:rPr>
          <w:fldChar w:fldCharType="begin"/>
        </w:r>
        <w:r w:rsidR="00924E73">
          <w:rPr>
            <w:noProof/>
            <w:webHidden/>
          </w:rPr>
          <w:instrText xml:space="preserve"> PAGEREF _Toc457670710 \h </w:instrText>
        </w:r>
        <w:r w:rsidR="00924E73">
          <w:rPr>
            <w:noProof/>
            <w:webHidden/>
          </w:rPr>
        </w:r>
        <w:r w:rsidR="00924E73">
          <w:rPr>
            <w:noProof/>
            <w:webHidden/>
          </w:rPr>
          <w:fldChar w:fldCharType="separate"/>
        </w:r>
        <w:r w:rsidR="000A0E3D">
          <w:rPr>
            <w:noProof/>
            <w:webHidden/>
          </w:rPr>
          <w:t>66</w:t>
        </w:r>
        <w:r w:rsidR="00924E73">
          <w:rPr>
            <w:noProof/>
            <w:webHidden/>
          </w:rPr>
          <w:fldChar w:fldCharType="end"/>
        </w:r>
      </w:hyperlink>
    </w:p>
    <w:p w14:paraId="5464CAA9"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11" w:history="1">
        <w:r w:rsidR="00924E73" w:rsidRPr="006F1FB5">
          <w:rPr>
            <w:rStyle w:val="Hyperlink"/>
            <w:noProof/>
          </w:rPr>
          <w:t>Figure III. 1.9 Hetero-Diel Alder reaction of butadiene and benzaldehyde</w:t>
        </w:r>
        <w:r w:rsidR="00924E73">
          <w:rPr>
            <w:noProof/>
            <w:webHidden/>
          </w:rPr>
          <w:tab/>
        </w:r>
        <w:r w:rsidR="00924E73">
          <w:rPr>
            <w:noProof/>
            <w:webHidden/>
          </w:rPr>
          <w:fldChar w:fldCharType="begin"/>
        </w:r>
        <w:r w:rsidR="00924E73">
          <w:rPr>
            <w:noProof/>
            <w:webHidden/>
          </w:rPr>
          <w:instrText xml:space="preserve"> PAGEREF _Toc457670711 \h </w:instrText>
        </w:r>
        <w:r w:rsidR="00924E73">
          <w:rPr>
            <w:noProof/>
            <w:webHidden/>
          </w:rPr>
        </w:r>
        <w:r w:rsidR="00924E73">
          <w:rPr>
            <w:noProof/>
            <w:webHidden/>
          </w:rPr>
          <w:fldChar w:fldCharType="separate"/>
        </w:r>
        <w:r w:rsidR="000A0E3D">
          <w:rPr>
            <w:noProof/>
            <w:webHidden/>
          </w:rPr>
          <w:t>68</w:t>
        </w:r>
        <w:r w:rsidR="00924E73">
          <w:rPr>
            <w:noProof/>
            <w:webHidden/>
          </w:rPr>
          <w:fldChar w:fldCharType="end"/>
        </w:r>
      </w:hyperlink>
    </w:p>
    <w:p w14:paraId="39BF90E2"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12" w:history="1">
        <w:r w:rsidR="00924E73" w:rsidRPr="006F1FB5">
          <w:rPr>
            <w:rStyle w:val="Hyperlink"/>
            <w:noProof/>
          </w:rPr>
          <w:t>Figure III. 2.1 General metathesis equation</w:t>
        </w:r>
        <w:r w:rsidR="00924E73">
          <w:rPr>
            <w:noProof/>
            <w:webHidden/>
          </w:rPr>
          <w:tab/>
        </w:r>
        <w:r w:rsidR="00924E73">
          <w:rPr>
            <w:noProof/>
            <w:webHidden/>
          </w:rPr>
          <w:fldChar w:fldCharType="begin"/>
        </w:r>
        <w:r w:rsidR="00924E73">
          <w:rPr>
            <w:noProof/>
            <w:webHidden/>
          </w:rPr>
          <w:instrText xml:space="preserve"> PAGEREF _Toc457670712 \h </w:instrText>
        </w:r>
        <w:r w:rsidR="00924E73">
          <w:rPr>
            <w:noProof/>
            <w:webHidden/>
          </w:rPr>
        </w:r>
        <w:r w:rsidR="00924E73">
          <w:rPr>
            <w:noProof/>
            <w:webHidden/>
          </w:rPr>
          <w:fldChar w:fldCharType="separate"/>
        </w:r>
        <w:r w:rsidR="000A0E3D">
          <w:rPr>
            <w:noProof/>
            <w:webHidden/>
          </w:rPr>
          <w:t>75</w:t>
        </w:r>
        <w:r w:rsidR="00924E73">
          <w:rPr>
            <w:noProof/>
            <w:webHidden/>
          </w:rPr>
          <w:fldChar w:fldCharType="end"/>
        </w:r>
      </w:hyperlink>
    </w:p>
    <w:p w14:paraId="0525FFA1"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13" w:history="1">
        <w:r w:rsidR="00924E73" w:rsidRPr="006F1FB5">
          <w:rPr>
            <w:rStyle w:val="Hyperlink"/>
            <w:noProof/>
          </w:rPr>
          <w:t>Figure III. 2.2 Metathesis mechanistic cycle</w:t>
        </w:r>
        <w:r w:rsidR="00924E73">
          <w:rPr>
            <w:noProof/>
            <w:webHidden/>
          </w:rPr>
          <w:tab/>
        </w:r>
        <w:r w:rsidR="00924E73">
          <w:rPr>
            <w:noProof/>
            <w:webHidden/>
          </w:rPr>
          <w:fldChar w:fldCharType="begin"/>
        </w:r>
        <w:r w:rsidR="00924E73">
          <w:rPr>
            <w:noProof/>
            <w:webHidden/>
          </w:rPr>
          <w:instrText xml:space="preserve"> PAGEREF _Toc457670713 \h </w:instrText>
        </w:r>
        <w:r w:rsidR="00924E73">
          <w:rPr>
            <w:noProof/>
            <w:webHidden/>
          </w:rPr>
        </w:r>
        <w:r w:rsidR="00924E73">
          <w:rPr>
            <w:noProof/>
            <w:webHidden/>
          </w:rPr>
          <w:fldChar w:fldCharType="separate"/>
        </w:r>
        <w:r w:rsidR="000A0E3D">
          <w:rPr>
            <w:noProof/>
            <w:webHidden/>
          </w:rPr>
          <w:t>76</w:t>
        </w:r>
        <w:r w:rsidR="00924E73">
          <w:rPr>
            <w:noProof/>
            <w:webHidden/>
          </w:rPr>
          <w:fldChar w:fldCharType="end"/>
        </w:r>
      </w:hyperlink>
    </w:p>
    <w:p w14:paraId="1DCC6895"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14" w:history="1">
        <w:r w:rsidR="00924E73" w:rsidRPr="006F1FB5">
          <w:rPr>
            <w:rStyle w:val="Hyperlink"/>
            <w:noProof/>
          </w:rPr>
          <w:t>Figure III. 2.3 DODH/ Olefin Metathesis tandem concept</w:t>
        </w:r>
        <w:r w:rsidR="00924E73">
          <w:rPr>
            <w:noProof/>
            <w:webHidden/>
          </w:rPr>
          <w:tab/>
        </w:r>
        <w:r w:rsidR="00924E73">
          <w:rPr>
            <w:noProof/>
            <w:webHidden/>
          </w:rPr>
          <w:fldChar w:fldCharType="begin"/>
        </w:r>
        <w:r w:rsidR="00924E73">
          <w:rPr>
            <w:noProof/>
            <w:webHidden/>
          </w:rPr>
          <w:instrText xml:space="preserve"> PAGEREF _Toc457670714 \h </w:instrText>
        </w:r>
        <w:r w:rsidR="00924E73">
          <w:rPr>
            <w:noProof/>
            <w:webHidden/>
          </w:rPr>
        </w:r>
        <w:r w:rsidR="00924E73">
          <w:rPr>
            <w:noProof/>
            <w:webHidden/>
          </w:rPr>
          <w:fldChar w:fldCharType="separate"/>
        </w:r>
        <w:r w:rsidR="000A0E3D">
          <w:rPr>
            <w:noProof/>
            <w:webHidden/>
          </w:rPr>
          <w:t>77</w:t>
        </w:r>
        <w:r w:rsidR="00924E73">
          <w:rPr>
            <w:noProof/>
            <w:webHidden/>
          </w:rPr>
          <w:fldChar w:fldCharType="end"/>
        </w:r>
      </w:hyperlink>
    </w:p>
    <w:p w14:paraId="45D4CC3C"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15" w:history="1">
        <w:r w:rsidR="00924E73" w:rsidRPr="006F1FB5">
          <w:rPr>
            <w:rStyle w:val="Hyperlink"/>
            <w:noProof/>
          </w:rPr>
          <w:t>Figure III. 2.4 Study of the metathesis reaction</w:t>
        </w:r>
        <w:r w:rsidR="00924E73">
          <w:rPr>
            <w:noProof/>
            <w:webHidden/>
          </w:rPr>
          <w:tab/>
        </w:r>
        <w:r w:rsidR="00924E73">
          <w:rPr>
            <w:noProof/>
            <w:webHidden/>
          </w:rPr>
          <w:fldChar w:fldCharType="begin"/>
        </w:r>
        <w:r w:rsidR="00924E73">
          <w:rPr>
            <w:noProof/>
            <w:webHidden/>
          </w:rPr>
          <w:instrText xml:space="preserve"> PAGEREF _Toc457670715 \h </w:instrText>
        </w:r>
        <w:r w:rsidR="00924E73">
          <w:rPr>
            <w:noProof/>
            <w:webHidden/>
          </w:rPr>
        </w:r>
        <w:r w:rsidR="00924E73">
          <w:rPr>
            <w:noProof/>
            <w:webHidden/>
          </w:rPr>
          <w:fldChar w:fldCharType="separate"/>
        </w:r>
        <w:r w:rsidR="000A0E3D">
          <w:rPr>
            <w:noProof/>
            <w:webHidden/>
          </w:rPr>
          <w:t>79</w:t>
        </w:r>
        <w:r w:rsidR="00924E73">
          <w:rPr>
            <w:noProof/>
            <w:webHidden/>
          </w:rPr>
          <w:fldChar w:fldCharType="end"/>
        </w:r>
      </w:hyperlink>
    </w:p>
    <w:p w14:paraId="0FABE4CE"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16" w:history="1">
        <w:r w:rsidR="00924E73" w:rsidRPr="006F1FB5">
          <w:rPr>
            <w:rStyle w:val="Hyperlink"/>
            <w:noProof/>
          </w:rPr>
          <w:t>Figure III. 2.5 Tests of compatibility of the metathesis with DODH reagents</w:t>
        </w:r>
        <w:r w:rsidR="00924E73">
          <w:rPr>
            <w:noProof/>
            <w:webHidden/>
          </w:rPr>
          <w:tab/>
        </w:r>
        <w:r w:rsidR="00924E73">
          <w:rPr>
            <w:noProof/>
            <w:webHidden/>
          </w:rPr>
          <w:fldChar w:fldCharType="begin"/>
        </w:r>
        <w:r w:rsidR="00924E73">
          <w:rPr>
            <w:noProof/>
            <w:webHidden/>
          </w:rPr>
          <w:instrText xml:space="preserve"> PAGEREF _Toc457670716 \h </w:instrText>
        </w:r>
        <w:r w:rsidR="00924E73">
          <w:rPr>
            <w:noProof/>
            <w:webHidden/>
          </w:rPr>
        </w:r>
        <w:r w:rsidR="00924E73">
          <w:rPr>
            <w:noProof/>
            <w:webHidden/>
          </w:rPr>
          <w:fldChar w:fldCharType="separate"/>
        </w:r>
        <w:r w:rsidR="000A0E3D">
          <w:rPr>
            <w:noProof/>
            <w:webHidden/>
          </w:rPr>
          <w:t>80</w:t>
        </w:r>
        <w:r w:rsidR="00924E73">
          <w:rPr>
            <w:noProof/>
            <w:webHidden/>
          </w:rPr>
          <w:fldChar w:fldCharType="end"/>
        </w:r>
      </w:hyperlink>
    </w:p>
    <w:p w14:paraId="50755F7E"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17" w:history="1">
        <w:r w:rsidR="00924E73" w:rsidRPr="006F1FB5">
          <w:rPr>
            <w:rStyle w:val="Hyperlink"/>
            <w:noProof/>
          </w:rPr>
          <w:t>Figure III. 2.6 CoOMoO</w:t>
        </w:r>
        <w:r w:rsidR="00924E73" w:rsidRPr="006F1FB5">
          <w:rPr>
            <w:rStyle w:val="Hyperlink"/>
            <w:noProof/>
            <w:vertAlign w:val="subscript"/>
          </w:rPr>
          <w:t>3</w:t>
        </w:r>
        <w:r w:rsidR="00924E73" w:rsidRPr="006F1FB5">
          <w:rPr>
            <w:rStyle w:val="Hyperlink"/>
            <w:noProof/>
          </w:rPr>
          <w:t>Al</w:t>
        </w:r>
        <w:r w:rsidR="00924E73" w:rsidRPr="006F1FB5">
          <w:rPr>
            <w:rStyle w:val="Hyperlink"/>
            <w:noProof/>
            <w:vertAlign w:val="subscript"/>
          </w:rPr>
          <w:t>2</w:t>
        </w:r>
        <w:r w:rsidR="00924E73" w:rsidRPr="006F1FB5">
          <w:rPr>
            <w:rStyle w:val="Hyperlink"/>
            <w:noProof/>
          </w:rPr>
          <w:t>O</w:t>
        </w:r>
        <w:r w:rsidR="00924E73" w:rsidRPr="006F1FB5">
          <w:rPr>
            <w:rStyle w:val="Hyperlink"/>
            <w:noProof/>
            <w:vertAlign w:val="subscript"/>
          </w:rPr>
          <w:t>3</w:t>
        </w:r>
        <w:r w:rsidR="00924E73" w:rsidRPr="006F1FB5">
          <w:rPr>
            <w:rStyle w:val="Hyperlink"/>
            <w:noProof/>
          </w:rPr>
          <w:t xml:space="preserve"> as DODH catalyst</w:t>
        </w:r>
        <w:r w:rsidR="00924E73">
          <w:rPr>
            <w:noProof/>
            <w:webHidden/>
          </w:rPr>
          <w:tab/>
        </w:r>
        <w:r w:rsidR="00924E73">
          <w:rPr>
            <w:noProof/>
            <w:webHidden/>
          </w:rPr>
          <w:fldChar w:fldCharType="begin"/>
        </w:r>
        <w:r w:rsidR="00924E73">
          <w:rPr>
            <w:noProof/>
            <w:webHidden/>
          </w:rPr>
          <w:instrText xml:space="preserve"> PAGEREF _Toc457670717 \h </w:instrText>
        </w:r>
        <w:r w:rsidR="00924E73">
          <w:rPr>
            <w:noProof/>
            <w:webHidden/>
          </w:rPr>
        </w:r>
        <w:r w:rsidR="00924E73">
          <w:rPr>
            <w:noProof/>
            <w:webHidden/>
          </w:rPr>
          <w:fldChar w:fldCharType="separate"/>
        </w:r>
        <w:r w:rsidR="000A0E3D">
          <w:rPr>
            <w:noProof/>
            <w:webHidden/>
          </w:rPr>
          <w:t>81</w:t>
        </w:r>
        <w:r w:rsidR="00924E73">
          <w:rPr>
            <w:noProof/>
            <w:webHidden/>
          </w:rPr>
          <w:fldChar w:fldCharType="end"/>
        </w:r>
      </w:hyperlink>
    </w:p>
    <w:p w14:paraId="41DD4881"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18" w:history="1">
        <w:r w:rsidR="00924E73" w:rsidRPr="006F1FB5">
          <w:rPr>
            <w:rStyle w:val="Hyperlink"/>
            <w:noProof/>
          </w:rPr>
          <w:t>Figure III. 2.7 Deoxygenation/Metathesis tandem reaction</w:t>
        </w:r>
        <w:r w:rsidR="00924E73">
          <w:rPr>
            <w:noProof/>
            <w:webHidden/>
          </w:rPr>
          <w:tab/>
        </w:r>
        <w:r w:rsidR="00924E73">
          <w:rPr>
            <w:noProof/>
            <w:webHidden/>
          </w:rPr>
          <w:fldChar w:fldCharType="begin"/>
        </w:r>
        <w:r w:rsidR="00924E73">
          <w:rPr>
            <w:noProof/>
            <w:webHidden/>
          </w:rPr>
          <w:instrText xml:space="preserve"> PAGEREF _Toc457670718 \h </w:instrText>
        </w:r>
        <w:r w:rsidR="00924E73">
          <w:rPr>
            <w:noProof/>
            <w:webHidden/>
          </w:rPr>
        </w:r>
        <w:r w:rsidR="00924E73">
          <w:rPr>
            <w:noProof/>
            <w:webHidden/>
          </w:rPr>
          <w:fldChar w:fldCharType="separate"/>
        </w:r>
        <w:r w:rsidR="000A0E3D">
          <w:rPr>
            <w:noProof/>
            <w:webHidden/>
          </w:rPr>
          <w:t>82</w:t>
        </w:r>
        <w:r w:rsidR="00924E73">
          <w:rPr>
            <w:noProof/>
            <w:webHidden/>
          </w:rPr>
          <w:fldChar w:fldCharType="end"/>
        </w:r>
      </w:hyperlink>
    </w:p>
    <w:p w14:paraId="61334DA2"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19" w:history="1">
        <w:r w:rsidR="00924E73" w:rsidRPr="006F1FB5">
          <w:rPr>
            <w:rStyle w:val="Hyperlink"/>
            <w:noProof/>
          </w:rPr>
          <w:t>Figure III. 3.1 General allylation reaction equation</w:t>
        </w:r>
        <w:r w:rsidR="00924E73">
          <w:rPr>
            <w:noProof/>
            <w:webHidden/>
          </w:rPr>
          <w:tab/>
        </w:r>
        <w:r w:rsidR="00924E73">
          <w:rPr>
            <w:noProof/>
            <w:webHidden/>
          </w:rPr>
          <w:fldChar w:fldCharType="begin"/>
        </w:r>
        <w:r w:rsidR="00924E73">
          <w:rPr>
            <w:noProof/>
            <w:webHidden/>
          </w:rPr>
          <w:instrText xml:space="preserve"> PAGEREF _Toc457670719 \h </w:instrText>
        </w:r>
        <w:r w:rsidR="00924E73">
          <w:rPr>
            <w:noProof/>
            <w:webHidden/>
          </w:rPr>
        </w:r>
        <w:r w:rsidR="00924E73">
          <w:rPr>
            <w:noProof/>
            <w:webHidden/>
          </w:rPr>
          <w:fldChar w:fldCharType="separate"/>
        </w:r>
        <w:r w:rsidR="000A0E3D">
          <w:rPr>
            <w:noProof/>
            <w:webHidden/>
          </w:rPr>
          <w:t>90</w:t>
        </w:r>
        <w:r w:rsidR="00924E73">
          <w:rPr>
            <w:noProof/>
            <w:webHidden/>
          </w:rPr>
          <w:fldChar w:fldCharType="end"/>
        </w:r>
      </w:hyperlink>
    </w:p>
    <w:p w14:paraId="083638B7"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20" w:history="1">
        <w:r w:rsidR="00924E73" w:rsidRPr="006F1FB5">
          <w:rPr>
            <w:rStyle w:val="Hyperlink"/>
            <w:noProof/>
          </w:rPr>
          <w:t>Figure III. 3.2 General carbonyl allylation</w:t>
        </w:r>
        <w:r w:rsidR="00924E73">
          <w:rPr>
            <w:noProof/>
            <w:webHidden/>
          </w:rPr>
          <w:tab/>
        </w:r>
        <w:r w:rsidR="00924E73">
          <w:rPr>
            <w:noProof/>
            <w:webHidden/>
          </w:rPr>
          <w:fldChar w:fldCharType="begin"/>
        </w:r>
        <w:r w:rsidR="00924E73">
          <w:rPr>
            <w:noProof/>
            <w:webHidden/>
          </w:rPr>
          <w:instrText xml:space="preserve"> PAGEREF _Toc457670720 \h </w:instrText>
        </w:r>
        <w:r w:rsidR="00924E73">
          <w:rPr>
            <w:noProof/>
            <w:webHidden/>
          </w:rPr>
        </w:r>
        <w:r w:rsidR="00924E73">
          <w:rPr>
            <w:noProof/>
            <w:webHidden/>
          </w:rPr>
          <w:fldChar w:fldCharType="separate"/>
        </w:r>
        <w:r w:rsidR="000A0E3D">
          <w:rPr>
            <w:noProof/>
            <w:webHidden/>
          </w:rPr>
          <w:t>91</w:t>
        </w:r>
        <w:r w:rsidR="00924E73">
          <w:rPr>
            <w:noProof/>
            <w:webHidden/>
          </w:rPr>
          <w:fldChar w:fldCharType="end"/>
        </w:r>
      </w:hyperlink>
    </w:p>
    <w:p w14:paraId="232A776F"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21" w:history="1">
        <w:r w:rsidR="00924E73" w:rsidRPr="006F1FB5">
          <w:rPr>
            <w:rStyle w:val="Hyperlink"/>
            <w:noProof/>
          </w:rPr>
          <w:t>Figure III. 3.3 DODH/Carbonyl-Allylation (CA) tandem concept</w:t>
        </w:r>
        <w:r w:rsidR="00924E73">
          <w:rPr>
            <w:noProof/>
            <w:webHidden/>
          </w:rPr>
          <w:tab/>
        </w:r>
        <w:r w:rsidR="00924E73">
          <w:rPr>
            <w:noProof/>
            <w:webHidden/>
          </w:rPr>
          <w:fldChar w:fldCharType="begin"/>
        </w:r>
        <w:r w:rsidR="00924E73">
          <w:rPr>
            <w:noProof/>
            <w:webHidden/>
          </w:rPr>
          <w:instrText xml:space="preserve"> PAGEREF _Toc457670721 \h </w:instrText>
        </w:r>
        <w:r w:rsidR="00924E73">
          <w:rPr>
            <w:noProof/>
            <w:webHidden/>
          </w:rPr>
        </w:r>
        <w:r w:rsidR="00924E73">
          <w:rPr>
            <w:noProof/>
            <w:webHidden/>
          </w:rPr>
          <w:fldChar w:fldCharType="separate"/>
        </w:r>
        <w:r w:rsidR="000A0E3D">
          <w:rPr>
            <w:noProof/>
            <w:webHidden/>
          </w:rPr>
          <w:t>91</w:t>
        </w:r>
        <w:r w:rsidR="00924E73">
          <w:rPr>
            <w:noProof/>
            <w:webHidden/>
          </w:rPr>
          <w:fldChar w:fldCharType="end"/>
        </w:r>
      </w:hyperlink>
    </w:p>
    <w:p w14:paraId="2F34A495"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22" w:history="1">
        <w:r w:rsidR="00924E73" w:rsidRPr="006F1FB5">
          <w:rPr>
            <w:rStyle w:val="Hyperlink"/>
            <w:noProof/>
          </w:rPr>
          <w:t>Figure III. 3.4 DODH/Krische Allylation</w:t>
        </w:r>
        <w:r w:rsidR="00924E73">
          <w:rPr>
            <w:noProof/>
            <w:webHidden/>
          </w:rPr>
          <w:tab/>
        </w:r>
        <w:r w:rsidR="00924E73">
          <w:rPr>
            <w:noProof/>
            <w:webHidden/>
          </w:rPr>
          <w:fldChar w:fldCharType="begin"/>
        </w:r>
        <w:r w:rsidR="00924E73">
          <w:rPr>
            <w:noProof/>
            <w:webHidden/>
          </w:rPr>
          <w:instrText xml:space="preserve"> PAGEREF _Toc457670722 \h </w:instrText>
        </w:r>
        <w:r w:rsidR="00924E73">
          <w:rPr>
            <w:noProof/>
            <w:webHidden/>
          </w:rPr>
        </w:r>
        <w:r w:rsidR="00924E73">
          <w:rPr>
            <w:noProof/>
            <w:webHidden/>
          </w:rPr>
          <w:fldChar w:fldCharType="separate"/>
        </w:r>
        <w:r w:rsidR="000A0E3D">
          <w:rPr>
            <w:noProof/>
            <w:webHidden/>
          </w:rPr>
          <w:t>92</w:t>
        </w:r>
        <w:r w:rsidR="00924E73">
          <w:rPr>
            <w:noProof/>
            <w:webHidden/>
          </w:rPr>
          <w:fldChar w:fldCharType="end"/>
        </w:r>
      </w:hyperlink>
    </w:p>
    <w:p w14:paraId="119AB801"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23" w:history="1">
        <w:r w:rsidR="00924E73" w:rsidRPr="006F1FB5">
          <w:rPr>
            <w:rStyle w:val="Hyperlink"/>
            <w:noProof/>
          </w:rPr>
          <w:t>Figure III. 3.5 DODH/Masuyama Allylation</w:t>
        </w:r>
        <w:r w:rsidR="00924E73">
          <w:rPr>
            <w:noProof/>
            <w:webHidden/>
          </w:rPr>
          <w:tab/>
        </w:r>
        <w:r w:rsidR="00924E73">
          <w:rPr>
            <w:noProof/>
            <w:webHidden/>
          </w:rPr>
          <w:fldChar w:fldCharType="begin"/>
        </w:r>
        <w:r w:rsidR="00924E73">
          <w:rPr>
            <w:noProof/>
            <w:webHidden/>
          </w:rPr>
          <w:instrText xml:space="preserve"> PAGEREF _Toc457670723 \h </w:instrText>
        </w:r>
        <w:r w:rsidR="00924E73">
          <w:rPr>
            <w:noProof/>
            <w:webHidden/>
          </w:rPr>
        </w:r>
        <w:r w:rsidR="00924E73">
          <w:rPr>
            <w:noProof/>
            <w:webHidden/>
          </w:rPr>
          <w:fldChar w:fldCharType="separate"/>
        </w:r>
        <w:r w:rsidR="000A0E3D">
          <w:rPr>
            <w:noProof/>
            <w:webHidden/>
          </w:rPr>
          <w:t>94</w:t>
        </w:r>
        <w:r w:rsidR="00924E73">
          <w:rPr>
            <w:noProof/>
            <w:webHidden/>
          </w:rPr>
          <w:fldChar w:fldCharType="end"/>
        </w:r>
      </w:hyperlink>
    </w:p>
    <w:p w14:paraId="7791C9F6"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24" w:history="1">
        <w:r w:rsidR="00924E73" w:rsidRPr="006F1FB5">
          <w:rPr>
            <w:rStyle w:val="Hyperlink"/>
            <w:noProof/>
          </w:rPr>
          <w:t>Figure III. 3.6 (S)-I Catalyst preparation</w:t>
        </w:r>
        <w:r w:rsidR="00924E73">
          <w:rPr>
            <w:noProof/>
            <w:webHidden/>
          </w:rPr>
          <w:tab/>
        </w:r>
        <w:r w:rsidR="00924E73">
          <w:rPr>
            <w:noProof/>
            <w:webHidden/>
          </w:rPr>
          <w:fldChar w:fldCharType="begin"/>
        </w:r>
        <w:r w:rsidR="00924E73">
          <w:rPr>
            <w:noProof/>
            <w:webHidden/>
          </w:rPr>
          <w:instrText xml:space="preserve"> PAGEREF _Toc457670724 \h </w:instrText>
        </w:r>
        <w:r w:rsidR="00924E73">
          <w:rPr>
            <w:noProof/>
            <w:webHidden/>
          </w:rPr>
        </w:r>
        <w:r w:rsidR="00924E73">
          <w:rPr>
            <w:noProof/>
            <w:webHidden/>
          </w:rPr>
          <w:fldChar w:fldCharType="separate"/>
        </w:r>
        <w:r w:rsidR="000A0E3D">
          <w:rPr>
            <w:noProof/>
            <w:webHidden/>
          </w:rPr>
          <w:t>95</w:t>
        </w:r>
        <w:r w:rsidR="00924E73">
          <w:rPr>
            <w:noProof/>
            <w:webHidden/>
          </w:rPr>
          <w:fldChar w:fldCharType="end"/>
        </w:r>
      </w:hyperlink>
    </w:p>
    <w:p w14:paraId="2EFDED23"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25" w:history="1">
        <w:r w:rsidR="00924E73" w:rsidRPr="006F1FB5">
          <w:rPr>
            <w:rStyle w:val="Hyperlink"/>
            <w:noProof/>
          </w:rPr>
          <w:t>Figure III. 3.7 Study of allylation step</w:t>
        </w:r>
        <w:r w:rsidR="00924E73">
          <w:rPr>
            <w:noProof/>
            <w:webHidden/>
          </w:rPr>
          <w:tab/>
        </w:r>
        <w:r w:rsidR="00924E73">
          <w:rPr>
            <w:noProof/>
            <w:webHidden/>
          </w:rPr>
          <w:fldChar w:fldCharType="begin"/>
        </w:r>
        <w:r w:rsidR="00924E73">
          <w:rPr>
            <w:noProof/>
            <w:webHidden/>
          </w:rPr>
          <w:instrText xml:space="preserve"> PAGEREF _Toc457670725 \h </w:instrText>
        </w:r>
        <w:r w:rsidR="00924E73">
          <w:rPr>
            <w:noProof/>
            <w:webHidden/>
          </w:rPr>
        </w:r>
        <w:r w:rsidR="00924E73">
          <w:rPr>
            <w:noProof/>
            <w:webHidden/>
          </w:rPr>
          <w:fldChar w:fldCharType="separate"/>
        </w:r>
        <w:r w:rsidR="000A0E3D">
          <w:rPr>
            <w:noProof/>
            <w:webHidden/>
          </w:rPr>
          <w:t>95</w:t>
        </w:r>
        <w:r w:rsidR="00924E73">
          <w:rPr>
            <w:noProof/>
            <w:webHidden/>
          </w:rPr>
          <w:fldChar w:fldCharType="end"/>
        </w:r>
      </w:hyperlink>
    </w:p>
    <w:p w14:paraId="5E7F1A79"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26" w:history="1">
        <w:r w:rsidR="00924E73" w:rsidRPr="006F1FB5">
          <w:rPr>
            <w:rStyle w:val="Hyperlink"/>
            <w:noProof/>
          </w:rPr>
          <w:t>Figure III. 3.8 DODH of Glycerol Monostearate</w:t>
        </w:r>
        <w:r w:rsidR="00924E73">
          <w:rPr>
            <w:noProof/>
            <w:webHidden/>
          </w:rPr>
          <w:tab/>
        </w:r>
        <w:r w:rsidR="00924E73">
          <w:rPr>
            <w:noProof/>
            <w:webHidden/>
          </w:rPr>
          <w:fldChar w:fldCharType="begin"/>
        </w:r>
        <w:r w:rsidR="00924E73">
          <w:rPr>
            <w:noProof/>
            <w:webHidden/>
          </w:rPr>
          <w:instrText xml:space="preserve"> PAGEREF _Toc457670726 \h </w:instrText>
        </w:r>
        <w:r w:rsidR="00924E73">
          <w:rPr>
            <w:noProof/>
            <w:webHidden/>
          </w:rPr>
        </w:r>
        <w:r w:rsidR="00924E73">
          <w:rPr>
            <w:noProof/>
            <w:webHidden/>
          </w:rPr>
          <w:fldChar w:fldCharType="separate"/>
        </w:r>
        <w:r w:rsidR="000A0E3D">
          <w:rPr>
            <w:noProof/>
            <w:webHidden/>
          </w:rPr>
          <w:t>96</w:t>
        </w:r>
        <w:r w:rsidR="00924E73">
          <w:rPr>
            <w:noProof/>
            <w:webHidden/>
          </w:rPr>
          <w:fldChar w:fldCharType="end"/>
        </w:r>
      </w:hyperlink>
    </w:p>
    <w:p w14:paraId="4D278E17"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27" w:history="1">
        <w:r w:rsidR="00924E73" w:rsidRPr="006F1FB5">
          <w:rPr>
            <w:rStyle w:val="Hyperlink"/>
            <w:noProof/>
          </w:rPr>
          <w:t>Figure III. 3.9 DODH reaction with added bases</w:t>
        </w:r>
        <w:r w:rsidR="00924E73">
          <w:rPr>
            <w:noProof/>
            <w:webHidden/>
          </w:rPr>
          <w:tab/>
        </w:r>
        <w:r w:rsidR="00924E73">
          <w:rPr>
            <w:noProof/>
            <w:webHidden/>
          </w:rPr>
          <w:fldChar w:fldCharType="begin"/>
        </w:r>
        <w:r w:rsidR="00924E73">
          <w:rPr>
            <w:noProof/>
            <w:webHidden/>
          </w:rPr>
          <w:instrText xml:space="preserve"> PAGEREF _Toc457670727 \h </w:instrText>
        </w:r>
        <w:r w:rsidR="00924E73">
          <w:rPr>
            <w:noProof/>
            <w:webHidden/>
          </w:rPr>
        </w:r>
        <w:r w:rsidR="00924E73">
          <w:rPr>
            <w:noProof/>
            <w:webHidden/>
          </w:rPr>
          <w:fldChar w:fldCharType="separate"/>
        </w:r>
        <w:r w:rsidR="000A0E3D">
          <w:rPr>
            <w:noProof/>
            <w:webHidden/>
          </w:rPr>
          <w:t>97</w:t>
        </w:r>
        <w:r w:rsidR="00924E73">
          <w:rPr>
            <w:noProof/>
            <w:webHidden/>
          </w:rPr>
          <w:fldChar w:fldCharType="end"/>
        </w:r>
      </w:hyperlink>
    </w:p>
    <w:p w14:paraId="0182E50C"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28" w:history="1">
        <w:r w:rsidR="00924E73" w:rsidRPr="006F1FB5">
          <w:rPr>
            <w:rStyle w:val="Hyperlink"/>
            <w:noProof/>
          </w:rPr>
          <w:t>Figure III. 3.10 DODH reaction with trans-[ReO</w:t>
        </w:r>
        <w:r w:rsidR="00924E73" w:rsidRPr="006F1FB5">
          <w:rPr>
            <w:rStyle w:val="Hyperlink"/>
            <w:noProof/>
            <w:vertAlign w:val="subscript"/>
          </w:rPr>
          <w:t>2</w:t>
        </w:r>
        <w:r w:rsidR="00924E73" w:rsidRPr="006F1FB5">
          <w:rPr>
            <w:rStyle w:val="Hyperlink"/>
            <w:noProof/>
          </w:rPr>
          <w:t>(py)</w:t>
        </w:r>
        <w:r w:rsidR="00924E73" w:rsidRPr="006F1FB5">
          <w:rPr>
            <w:rStyle w:val="Hyperlink"/>
            <w:noProof/>
            <w:vertAlign w:val="subscript"/>
          </w:rPr>
          <w:t>4</w:t>
        </w:r>
        <w:r w:rsidR="00924E73" w:rsidRPr="006F1FB5">
          <w:rPr>
            <w:rStyle w:val="Hyperlink"/>
            <w:noProof/>
          </w:rPr>
          <w:t>]PF</w:t>
        </w:r>
        <w:r w:rsidR="00924E73" w:rsidRPr="006F1FB5">
          <w:rPr>
            <w:rStyle w:val="Hyperlink"/>
            <w:noProof/>
            <w:vertAlign w:val="subscript"/>
          </w:rPr>
          <w:t>6</w:t>
        </w:r>
        <w:r w:rsidR="00924E73" w:rsidRPr="006F1FB5">
          <w:rPr>
            <w:rStyle w:val="Hyperlink"/>
            <w:noProof/>
          </w:rPr>
          <w:t xml:space="preserve"> as catalyst and added pyridine</w:t>
        </w:r>
        <w:r w:rsidR="00924E73">
          <w:rPr>
            <w:noProof/>
            <w:webHidden/>
          </w:rPr>
          <w:tab/>
        </w:r>
        <w:r w:rsidR="00924E73">
          <w:rPr>
            <w:noProof/>
            <w:webHidden/>
          </w:rPr>
          <w:fldChar w:fldCharType="begin"/>
        </w:r>
        <w:r w:rsidR="00924E73">
          <w:rPr>
            <w:noProof/>
            <w:webHidden/>
          </w:rPr>
          <w:instrText xml:space="preserve"> PAGEREF _Toc457670728 \h </w:instrText>
        </w:r>
        <w:r w:rsidR="00924E73">
          <w:rPr>
            <w:noProof/>
            <w:webHidden/>
          </w:rPr>
        </w:r>
        <w:r w:rsidR="00924E73">
          <w:rPr>
            <w:noProof/>
            <w:webHidden/>
          </w:rPr>
          <w:fldChar w:fldCharType="separate"/>
        </w:r>
        <w:r w:rsidR="000A0E3D">
          <w:rPr>
            <w:noProof/>
            <w:webHidden/>
          </w:rPr>
          <w:t>98</w:t>
        </w:r>
        <w:r w:rsidR="00924E73">
          <w:rPr>
            <w:noProof/>
            <w:webHidden/>
          </w:rPr>
          <w:fldChar w:fldCharType="end"/>
        </w:r>
      </w:hyperlink>
    </w:p>
    <w:p w14:paraId="1599A4ED"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29" w:history="1">
        <w:r w:rsidR="00924E73" w:rsidRPr="006F1FB5">
          <w:rPr>
            <w:rStyle w:val="Hyperlink"/>
            <w:noProof/>
          </w:rPr>
          <w:t>Figure III. 3.11 Carbonyl Allylation Step with added [ReO</w:t>
        </w:r>
        <w:r w:rsidR="00924E73" w:rsidRPr="006F1FB5">
          <w:rPr>
            <w:rStyle w:val="Hyperlink"/>
            <w:noProof/>
            <w:vertAlign w:val="subscript"/>
          </w:rPr>
          <w:t>2</w:t>
        </w:r>
        <w:r w:rsidR="00924E73" w:rsidRPr="006F1FB5">
          <w:rPr>
            <w:rStyle w:val="Hyperlink"/>
            <w:noProof/>
          </w:rPr>
          <w:t>(py)</w:t>
        </w:r>
        <w:r w:rsidR="00924E73" w:rsidRPr="006F1FB5">
          <w:rPr>
            <w:rStyle w:val="Hyperlink"/>
            <w:noProof/>
            <w:vertAlign w:val="subscript"/>
          </w:rPr>
          <w:t>4</w:t>
        </w:r>
        <w:r w:rsidR="00924E73" w:rsidRPr="006F1FB5">
          <w:rPr>
            <w:rStyle w:val="Hyperlink"/>
            <w:noProof/>
          </w:rPr>
          <w:t>]PF</w:t>
        </w:r>
        <w:r w:rsidR="00924E73" w:rsidRPr="006F1FB5">
          <w:rPr>
            <w:rStyle w:val="Hyperlink"/>
            <w:noProof/>
            <w:vertAlign w:val="subscript"/>
          </w:rPr>
          <w:t>6</w:t>
        </w:r>
        <w:r w:rsidR="00924E73" w:rsidRPr="006F1FB5">
          <w:rPr>
            <w:rStyle w:val="Hyperlink"/>
            <w:noProof/>
          </w:rPr>
          <w:t xml:space="preserve"> or pyridine</w:t>
        </w:r>
        <w:r w:rsidR="00924E73">
          <w:rPr>
            <w:noProof/>
            <w:webHidden/>
          </w:rPr>
          <w:tab/>
        </w:r>
        <w:r w:rsidR="00924E73">
          <w:rPr>
            <w:noProof/>
            <w:webHidden/>
          </w:rPr>
          <w:fldChar w:fldCharType="begin"/>
        </w:r>
        <w:r w:rsidR="00924E73">
          <w:rPr>
            <w:noProof/>
            <w:webHidden/>
          </w:rPr>
          <w:instrText xml:space="preserve"> PAGEREF _Toc457670729 \h </w:instrText>
        </w:r>
        <w:r w:rsidR="00924E73">
          <w:rPr>
            <w:noProof/>
            <w:webHidden/>
          </w:rPr>
        </w:r>
        <w:r w:rsidR="00924E73">
          <w:rPr>
            <w:noProof/>
            <w:webHidden/>
          </w:rPr>
          <w:fldChar w:fldCharType="separate"/>
        </w:r>
        <w:r w:rsidR="000A0E3D">
          <w:rPr>
            <w:noProof/>
            <w:webHidden/>
          </w:rPr>
          <w:t>98</w:t>
        </w:r>
        <w:r w:rsidR="00924E73">
          <w:rPr>
            <w:noProof/>
            <w:webHidden/>
          </w:rPr>
          <w:fldChar w:fldCharType="end"/>
        </w:r>
      </w:hyperlink>
    </w:p>
    <w:p w14:paraId="4258C7FA"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30" w:history="1">
        <w:r w:rsidR="00924E73" w:rsidRPr="006F1FB5">
          <w:rPr>
            <w:rStyle w:val="Hyperlink"/>
            <w:noProof/>
          </w:rPr>
          <w:t xml:space="preserve">Figure III. 3.12 </w:t>
        </w:r>
        <w:r w:rsidR="00924E73" w:rsidRPr="006F1FB5">
          <w:rPr>
            <w:rStyle w:val="Hyperlink"/>
            <w:i/>
            <w:noProof/>
          </w:rPr>
          <w:t>In situ</w:t>
        </w:r>
        <w:r w:rsidR="00924E73" w:rsidRPr="006F1FB5">
          <w:rPr>
            <w:rStyle w:val="Hyperlink"/>
            <w:noProof/>
          </w:rPr>
          <w:t xml:space="preserve"> Formation of a Base with BOC Derivative of Glycerol</w:t>
        </w:r>
        <w:r w:rsidR="00924E73">
          <w:rPr>
            <w:noProof/>
            <w:webHidden/>
          </w:rPr>
          <w:tab/>
        </w:r>
        <w:r w:rsidR="00924E73">
          <w:rPr>
            <w:noProof/>
            <w:webHidden/>
          </w:rPr>
          <w:fldChar w:fldCharType="begin"/>
        </w:r>
        <w:r w:rsidR="00924E73">
          <w:rPr>
            <w:noProof/>
            <w:webHidden/>
          </w:rPr>
          <w:instrText xml:space="preserve"> PAGEREF _Toc457670730 \h </w:instrText>
        </w:r>
        <w:r w:rsidR="00924E73">
          <w:rPr>
            <w:noProof/>
            <w:webHidden/>
          </w:rPr>
        </w:r>
        <w:r w:rsidR="00924E73">
          <w:rPr>
            <w:noProof/>
            <w:webHidden/>
          </w:rPr>
          <w:fldChar w:fldCharType="separate"/>
        </w:r>
        <w:r w:rsidR="000A0E3D">
          <w:rPr>
            <w:noProof/>
            <w:webHidden/>
          </w:rPr>
          <w:t>99</w:t>
        </w:r>
        <w:r w:rsidR="00924E73">
          <w:rPr>
            <w:noProof/>
            <w:webHidden/>
          </w:rPr>
          <w:fldChar w:fldCharType="end"/>
        </w:r>
      </w:hyperlink>
    </w:p>
    <w:p w14:paraId="62FCA9C8"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31" w:history="1">
        <w:r w:rsidR="00924E73" w:rsidRPr="006F1FB5">
          <w:rPr>
            <w:rStyle w:val="Hyperlink"/>
            <w:noProof/>
          </w:rPr>
          <w:t>Figure III. 3.13 Synthesis of BOC derivative of glycerol</w:t>
        </w:r>
        <w:r w:rsidR="00924E73">
          <w:rPr>
            <w:noProof/>
            <w:webHidden/>
          </w:rPr>
          <w:tab/>
        </w:r>
        <w:r w:rsidR="00924E73">
          <w:rPr>
            <w:noProof/>
            <w:webHidden/>
          </w:rPr>
          <w:fldChar w:fldCharType="begin"/>
        </w:r>
        <w:r w:rsidR="00924E73">
          <w:rPr>
            <w:noProof/>
            <w:webHidden/>
          </w:rPr>
          <w:instrText xml:space="preserve"> PAGEREF _Toc457670731 \h </w:instrText>
        </w:r>
        <w:r w:rsidR="00924E73">
          <w:rPr>
            <w:noProof/>
            <w:webHidden/>
          </w:rPr>
        </w:r>
        <w:r w:rsidR="00924E73">
          <w:rPr>
            <w:noProof/>
            <w:webHidden/>
          </w:rPr>
          <w:fldChar w:fldCharType="separate"/>
        </w:r>
        <w:r w:rsidR="000A0E3D">
          <w:rPr>
            <w:noProof/>
            <w:webHidden/>
          </w:rPr>
          <w:t>99</w:t>
        </w:r>
        <w:r w:rsidR="00924E73">
          <w:rPr>
            <w:noProof/>
            <w:webHidden/>
          </w:rPr>
          <w:fldChar w:fldCharType="end"/>
        </w:r>
      </w:hyperlink>
    </w:p>
    <w:p w14:paraId="120A4BA7"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32" w:history="1">
        <w:r w:rsidR="00924E73" w:rsidRPr="006F1FB5">
          <w:rPr>
            <w:rStyle w:val="Hyperlink"/>
            <w:noProof/>
          </w:rPr>
          <w:t>Figure III. 3.14 DODH of the BOC Derivative of Glycerol</w:t>
        </w:r>
        <w:r w:rsidR="00924E73">
          <w:rPr>
            <w:noProof/>
            <w:webHidden/>
          </w:rPr>
          <w:tab/>
        </w:r>
        <w:r w:rsidR="00924E73">
          <w:rPr>
            <w:noProof/>
            <w:webHidden/>
          </w:rPr>
          <w:fldChar w:fldCharType="begin"/>
        </w:r>
        <w:r w:rsidR="00924E73">
          <w:rPr>
            <w:noProof/>
            <w:webHidden/>
          </w:rPr>
          <w:instrText xml:space="preserve"> PAGEREF _Toc457670732 \h </w:instrText>
        </w:r>
        <w:r w:rsidR="00924E73">
          <w:rPr>
            <w:noProof/>
            <w:webHidden/>
          </w:rPr>
        </w:r>
        <w:r w:rsidR="00924E73">
          <w:rPr>
            <w:noProof/>
            <w:webHidden/>
          </w:rPr>
          <w:fldChar w:fldCharType="separate"/>
        </w:r>
        <w:r w:rsidR="000A0E3D">
          <w:rPr>
            <w:noProof/>
            <w:webHidden/>
          </w:rPr>
          <w:t>100</w:t>
        </w:r>
        <w:r w:rsidR="00924E73">
          <w:rPr>
            <w:noProof/>
            <w:webHidden/>
          </w:rPr>
          <w:fldChar w:fldCharType="end"/>
        </w:r>
      </w:hyperlink>
    </w:p>
    <w:p w14:paraId="30051205"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33" w:history="1">
        <w:r w:rsidR="00924E73" w:rsidRPr="006F1FB5">
          <w:rPr>
            <w:rStyle w:val="Hyperlink"/>
            <w:noProof/>
          </w:rPr>
          <w:t>Figure III. 3.15 Allylation reaction in benzene as solvent and at 150</w:t>
        </w:r>
        <w:r w:rsidR="00924E73" w:rsidRPr="006F1FB5">
          <w:rPr>
            <w:rStyle w:val="Hyperlink"/>
            <w:noProof/>
            <w:vertAlign w:val="superscript"/>
          </w:rPr>
          <w:t>o</w:t>
        </w:r>
        <w:r w:rsidR="00924E73" w:rsidRPr="006F1FB5">
          <w:rPr>
            <w:rStyle w:val="Hyperlink"/>
            <w:noProof/>
          </w:rPr>
          <w:t>C</w:t>
        </w:r>
        <w:r w:rsidR="00924E73">
          <w:rPr>
            <w:noProof/>
            <w:webHidden/>
          </w:rPr>
          <w:tab/>
        </w:r>
        <w:r w:rsidR="00924E73">
          <w:rPr>
            <w:noProof/>
            <w:webHidden/>
          </w:rPr>
          <w:fldChar w:fldCharType="begin"/>
        </w:r>
        <w:r w:rsidR="00924E73">
          <w:rPr>
            <w:noProof/>
            <w:webHidden/>
          </w:rPr>
          <w:instrText xml:space="preserve"> PAGEREF _Toc457670733 \h </w:instrText>
        </w:r>
        <w:r w:rsidR="00924E73">
          <w:rPr>
            <w:noProof/>
            <w:webHidden/>
          </w:rPr>
        </w:r>
        <w:r w:rsidR="00924E73">
          <w:rPr>
            <w:noProof/>
            <w:webHidden/>
          </w:rPr>
          <w:fldChar w:fldCharType="separate"/>
        </w:r>
        <w:r w:rsidR="000A0E3D">
          <w:rPr>
            <w:noProof/>
            <w:webHidden/>
          </w:rPr>
          <w:t>103</w:t>
        </w:r>
        <w:r w:rsidR="00924E73">
          <w:rPr>
            <w:noProof/>
            <w:webHidden/>
          </w:rPr>
          <w:fldChar w:fldCharType="end"/>
        </w:r>
      </w:hyperlink>
    </w:p>
    <w:p w14:paraId="4D91272D"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34" w:history="1">
        <w:r w:rsidR="00924E73" w:rsidRPr="006F1FB5">
          <w:rPr>
            <w:rStyle w:val="Hyperlink"/>
            <w:noProof/>
          </w:rPr>
          <w:t>Figure III. 3.16 DODH of DET using SnCl</w:t>
        </w:r>
        <w:r w:rsidR="00924E73" w:rsidRPr="006F1FB5">
          <w:rPr>
            <w:rStyle w:val="Hyperlink"/>
            <w:noProof/>
            <w:vertAlign w:val="subscript"/>
          </w:rPr>
          <w:t>2</w:t>
        </w:r>
        <w:r w:rsidR="00924E73" w:rsidRPr="006F1FB5">
          <w:rPr>
            <w:rStyle w:val="Hyperlink"/>
            <w:noProof/>
          </w:rPr>
          <w:t xml:space="preserve"> as reducing agent</w:t>
        </w:r>
        <w:r w:rsidR="00924E73">
          <w:rPr>
            <w:noProof/>
            <w:webHidden/>
          </w:rPr>
          <w:tab/>
        </w:r>
        <w:r w:rsidR="00924E73">
          <w:rPr>
            <w:noProof/>
            <w:webHidden/>
          </w:rPr>
          <w:fldChar w:fldCharType="begin"/>
        </w:r>
        <w:r w:rsidR="00924E73">
          <w:rPr>
            <w:noProof/>
            <w:webHidden/>
          </w:rPr>
          <w:instrText xml:space="preserve"> PAGEREF _Toc457670734 \h </w:instrText>
        </w:r>
        <w:r w:rsidR="00924E73">
          <w:rPr>
            <w:noProof/>
            <w:webHidden/>
          </w:rPr>
        </w:r>
        <w:r w:rsidR="00924E73">
          <w:rPr>
            <w:noProof/>
            <w:webHidden/>
          </w:rPr>
          <w:fldChar w:fldCharType="separate"/>
        </w:r>
        <w:r w:rsidR="000A0E3D">
          <w:rPr>
            <w:noProof/>
            <w:webHidden/>
          </w:rPr>
          <w:t>103</w:t>
        </w:r>
        <w:r w:rsidR="00924E73">
          <w:rPr>
            <w:noProof/>
            <w:webHidden/>
          </w:rPr>
          <w:fldChar w:fldCharType="end"/>
        </w:r>
      </w:hyperlink>
    </w:p>
    <w:p w14:paraId="5498CFA0"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35" w:history="1">
        <w:r w:rsidR="00924E73" w:rsidRPr="006F1FB5">
          <w:rPr>
            <w:rStyle w:val="Hyperlink"/>
            <w:noProof/>
          </w:rPr>
          <w:t>Figure III. 3.17 DODH of glycerol in biphasic media</w:t>
        </w:r>
        <w:r w:rsidR="00924E73">
          <w:rPr>
            <w:noProof/>
            <w:webHidden/>
          </w:rPr>
          <w:tab/>
        </w:r>
        <w:r w:rsidR="00924E73">
          <w:rPr>
            <w:noProof/>
            <w:webHidden/>
          </w:rPr>
          <w:fldChar w:fldCharType="begin"/>
        </w:r>
        <w:r w:rsidR="00924E73">
          <w:rPr>
            <w:noProof/>
            <w:webHidden/>
          </w:rPr>
          <w:instrText xml:space="preserve"> PAGEREF _Toc457670735 \h </w:instrText>
        </w:r>
        <w:r w:rsidR="00924E73">
          <w:rPr>
            <w:noProof/>
            <w:webHidden/>
          </w:rPr>
        </w:r>
        <w:r w:rsidR="00924E73">
          <w:rPr>
            <w:noProof/>
            <w:webHidden/>
          </w:rPr>
          <w:fldChar w:fldCharType="separate"/>
        </w:r>
        <w:r w:rsidR="000A0E3D">
          <w:rPr>
            <w:noProof/>
            <w:webHidden/>
          </w:rPr>
          <w:t>105</w:t>
        </w:r>
        <w:r w:rsidR="00924E73">
          <w:rPr>
            <w:noProof/>
            <w:webHidden/>
          </w:rPr>
          <w:fldChar w:fldCharType="end"/>
        </w:r>
      </w:hyperlink>
    </w:p>
    <w:p w14:paraId="056204A5"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36" w:history="1">
        <w:r w:rsidR="00924E73" w:rsidRPr="006F1FB5">
          <w:rPr>
            <w:rStyle w:val="Hyperlink"/>
            <w:noProof/>
          </w:rPr>
          <w:t>Figure III. 3.18 Allylation reaction in benzene : glycerol biphasic system</w:t>
        </w:r>
        <w:r w:rsidR="00924E73">
          <w:rPr>
            <w:noProof/>
            <w:webHidden/>
          </w:rPr>
          <w:tab/>
        </w:r>
        <w:r w:rsidR="00924E73">
          <w:rPr>
            <w:noProof/>
            <w:webHidden/>
          </w:rPr>
          <w:fldChar w:fldCharType="begin"/>
        </w:r>
        <w:r w:rsidR="00924E73">
          <w:rPr>
            <w:noProof/>
            <w:webHidden/>
          </w:rPr>
          <w:instrText xml:space="preserve"> PAGEREF _Toc457670736 \h </w:instrText>
        </w:r>
        <w:r w:rsidR="00924E73">
          <w:rPr>
            <w:noProof/>
            <w:webHidden/>
          </w:rPr>
        </w:r>
        <w:r w:rsidR="00924E73">
          <w:rPr>
            <w:noProof/>
            <w:webHidden/>
          </w:rPr>
          <w:fldChar w:fldCharType="separate"/>
        </w:r>
        <w:r w:rsidR="000A0E3D">
          <w:rPr>
            <w:noProof/>
            <w:webHidden/>
          </w:rPr>
          <w:t>105</w:t>
        </w:r>
        <w:r w:rsidR="00924E73">
          <w:rPr>
            <w:noProof/>
            <w:webHidden/>
          </w:rPr>
          <w:fldChar w:fldCharType="end"/>
        </w:r>
      </w:hyperlink>
    </w:p>
    <w:p w14:paraId="1C58E76A"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37" w:history="1">
        <w:r w:rsidR="00924E73" w:rsidRPr="006F1FB5">
          <w:rPr>
            <w:rStyle w:val="Hyperlink"/>
            <w:noProof/>
          </w:rPr>
          <w:t>Figure III. 3.19 Allylation step in 3-octanol</w:t>
        </w:r>
        <w:r w:rsidR="00924E73">
          <w:rPr>
            <w:noProof/>
            <w:webHidden/>
          </w:rPr>
          <w:tab/>
        </w:r>
        <w:r w:rsidR="00924E73">
          <w:rPr>
            <w:noProof/>
            <w:webHidden/>
          </w:rPr>
          <w:fldChar w:fldCharType="begin"/>
        </w:r>
        <w:r w:rsidR="00924E73">
          <w:rPr>
            <w:noProof/>
            <w:webHidden/>
          </w:rPr>
          <w:instrText xml:space="preserve"> PAGEREF _Toc457670737 \h </w:instrText>
        </w:r>
        <w:r w:rsidR="00924E73">
          <w:rPr>
            <w:noProof/>
            <w:webHidden/>
          </w:rPr>
        </w:r>
        <w:r w:rsidR="00924E73">
          <w:rPr>
            <w:noProof/>
            <w:webHidden/>
          </w:rPr>
          <w:fldChar w:fldCharType="separate"/>
        </w:r>
        <w:r w:rsidR="000A0E3D">
          <w:rPr>
            <w:noProof/>
            <w:webHidden/>
          </w:rPr>
          <w:t>106</w:t>
        </w:r>
        <w:r w:rsidR="00924E73">
          <w:rPr>
            <w:noProof/>
            <w:webHidden/>
          </w:rPr>
          <w:fldChar w:fldCharType="end"/>
        </w:r>
      </w:hyperlink>
    </w:p>
    <w:p w14:paraId="19B28D33"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38" w:history="1">
        <w:r w:rsidR="00924E73" w:rsidRPr="006F1FB5">
          <w:rPr>
            <w:rStyle w:val="Hyperlink"/>
            <w:noProof/>
          </w:rPr>
          <w:t>Figure III. 3.20 Tandem DODH/Allylation reaction</w:t>
        </w:r>
        <w:r w:rsidR="00924E73">
          <w:rPr>
            <w:noProof/>
            <w:webHidden/>
          </w:rPr>
          <w:tab/>
        </w:r>
        <w:r w:rsidR="00924E73">
          <w:rPr>
            <w:noProof/>
            <w:webHidden/>
          </w:rPr>
          <w:fldChar w:fldCharType="begin"/>
        </w:r>
        <w:r w:rsidR="00924E73">
          <w:rPr>
            <w:noProof/>
            <w:webHidden/>
          </w:rPr>
          <w:instrText xml:space="preserve"> PAGEREF _Toc457670738 \h </w:instrText>
        </w:r>
        <w:r w:rsidR="00924E73">
          <w:rPr>
            <w:noProof/>
            <w:webHidden/>
          </w:rPr>
        </w:r>
        <w:r w:rsidR="00924E73">
          <w:rPr>
            <w:noProof/>
            <w:webHidden/>
          </w:rPr>
          <w:fldChar w:fldCharType="separate"/>
        </w:r>
        <w:r w:rsidR="000A0E3D">
          <w:rPr>
            <w:noProof/>
            <w:webHidden/>
          </w:rPr>
          <w:t>106</w:t>
        </w:r>
        <w:r w:rsidR="00924E73">
          <w:rPr>
            <w:noProof/>
            <w:webHidden/>
          </w:rPr>
          <w:fldChar w:fldCharType="end"/>
        </w:r>
      </w:hyperlink>
    </w:p>
    <w:p w14:paraId="71DFA023"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39" w:history="1">
        <w:r w:rsidR="00924E73" w:rsidRPr="006F1FB5">
          <w:rPr>
            <w:rStyle w:val="Hyperlink"/>
            <w:noProof/>
          </w:rPr>
          <w:t>Figure III. 3.21 Tandem DODH/Allylation in PEG or DME solvent</w:t>
        </w:r>
        <w:r w:rsidR="00924E73">
          <w:rPr>
            <w:noProof/>
            <w:webHidden/>
          </w:rPr>
          <w:tab/>
        </w:r>
        <w:r w:rsidR="00924E73">
          <w:rPr>
            <w:noProof/>
            <w:webHidden/>
          </w:rPr>
          <w:fldChar w:fldCharType="begin"/>
        </w:r>
        <w:r w:rsidR="00924E73">
          <w:rPr>
            <w:noProof/>
            <w:webHidden/>
          </w:rPr>
          <w:instrText xml:space="preserve"> PAGEREF _Toc457670739 \h </w:instrText>
        </w:r>
        <w:r w:rsidR="00924E73">
          <w:rPr>
            <w:noProof/>
            <w:webHidden/>
          </w:rPr>
        </w:r>
        <w:r w:rsidR="00924E73">
          <w:rPr>
            <w:noProof/>
            <w:webHidden/>
          </w:rPr>
          <w:fldChar w:fldCharType="separate"/>
        </w:r>
        <w:r w:rsidR="000A0E3D">
          <w:rPr>
            <w:noProof/>
            <w:webHidden/>
          </w:rPr>
          <w:t>107</w:t>
        </w:r>
        <w:r w:rsidR="00924E73">
          <w:rPr>
            <w:noProof/>
            <w:webHidden/>
          </w:rPr>
          <w:fldChar w:fldCharType="end"/>
        </w:r>
      </w:hyperlink>
    </w:p>
    <w:p w14:paraId="2B0F4AEA"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40" w:history="1">
        <w:r w:rsidR="00924E73" w:rsidRPr="006F1FB5">
          <w:rPr>
            <w:rStyle w:val="Hyperlink"/>
            <w:noProof/>
          </w:rPr>
          <w:t>Figure III. 4.1 Formation of the phosphorus ylide and Wittig general scheme</w:t>
        </w:r>
        <w:r w:rsidR="00924E73">
          <w:rPr>
            <w:noProof/>
            <w:webHidden/>
          </w:rPr>
          <w:tab/>
        </w:r>
        <w:r w:rsidR="00924E73">
          <w:rPr>
            <w:noProof/>
            <w:webHidden/>
          </w:rPr>
          <w:fldChar w:fldCharType="begin"/>
        </w:r>
        <w:r w:rsidR="00924E73">
          <w:rPr>
            <w:noProof/>
            <w:webHidden/>
          </w:rPr>
          <w:instrText xml:space="preserve"> PAGEREF _Toc457670740 \h </w:instrText>
        </w:r>
        <w:r w:rsidR="00924E73">
          <w:rPr>
            <w:noProof/>
            <w:webHidden/>
          </w:rPr>
        </w:r>
        <w:r w:rsidR="00924E73">
          <w:rPr>
            <w:noProof/>
            <w:webHidden/>
          </w:rPr>
          <w:fldChar w:fldCharType="separate"/>
        </w:r>
        <w:r w:rsidR="000A0E3D">
          <w:rPr>
            <w:noProof/>
            <w:webHidden/>
          </w:rPr>
          <w:t>122</w:t>
        </w:r>
        <w:r w:rsidR="00924E73">
          <w:rPr>
            <w:noProof/>
            <w:webHidden/>
          </w:rPr>
          <w:fldChar w:fldCharType="end"/>
        </w:r>
      </w:hyperlink>
    </w:p>
    <w:p w14:paraId="04B9B194"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41" w:history="1">
        <w:r w:rsidR="00924E73" w:rsidRPr="006F1FB5">
          <w:rPr>
            <w:rStyle w:val="Hyperlink"/>
            <w:noProof/>
          </w:rPr>
          <w:t>Figure III. 4.2 Werner’s base-free catalytic Wittig reaction</w:t>
        </w:r>
        <w:r w:rsidR="00924E73">
          <w:rPr>
            <w:noProof/>
            <w:webHidden/>
          </w:rPr>
          <w:tab/>
        </w:r>
        <w:r w:rsidR="00924E73">
          <w:rPr>
            <w:noProof/>
            <w:webHidden/>
          </w:rPr>
          <w:fldChar w:fldCharType="begin"/>
        </w:r>
        <w:r w:rsidR="00924E73">
          <w:rPr>
            <w:noProof/>
            <w:webHidden/>
          </w:rPr>
          <w:instrText xml:space="preserve"> PAGEREF _Toc457670741 \h </w:instrText>
        </w:r>
        <w:r w:rsidR="00924E73">
          <w:rPr>
            <w:noProof/>
            <w:webHidden/>
          </w:rPr>
        </w:r>
        <w:r w:rsidR="00924E73">
          <w:rPr>
            <w:noProof/>
            <w:webHidden/>
          </w:rPr>
          <w:fldChar w:fldCharType="separate"/>
        </w:r>
        <w:r w:rsidR="000A0E3D">
          <w:rPr>
            <w:noProof/>
            <w:webHidden/>
          </w:rPr>
          <w:t>122</w:t>
        </w:r>
        <w:r w:rsidR="00924E73">
          <w:rPr>
            <w:noProof/>
            <w:webHidden/>
          </w:rPr>
          <w:fldChar w:fldCharType="end"/>
        </w:r>
      </w:hyperlink>
    </w:p>
    <w:p w14:paraId="62DE2194"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42" w:history="1">
        <w:r w:rsidR="00924E73" w:rsidRPr="006F1FB5">
          <w:rPr>
            <w:rStyle w:val="Hyperlink"/>
            <w:noProof/>
          </w:rPr>
          <w:t>Figure III. 4.3 Proposed mechanism for reaction</w:t>
        </w:r>
        <w:r w:rsidR="00924E73">
          <w:rPr>
            <w:noProof/>
            <w:webHidden/>
          </w:rPr>
          <w:tab/>
        </w:r>
        <w:r w:rsidR="00924E73">
          <w:rPr>
            <w:noProof/>
            <w:webHidden/>
          </w:rPr>
          <w:fldChar w:fldCharType="begin"/>
        </w:r>
        <w:r w:rsidR="00924E73">
          <w:rPr>
            <w:noProof/>
            <w:webHidden/>
          </w:rPr>
          <w:instrText xml:space="preserve"> PAGEREF _Toc457670742 \h </w:instrText>
        </w:r>
        <w:r w:rsidR="00924E73">
          <w:rPr>
            <w:noProof/>
            <w:webHidden/>
          </w:rPr>
        </w:r>
        <w:r w:rsidR="00924E73">
          <w:rPr>
            <w:noProof/>
            <w:webHidden/>
          </w:rPr>
          <w:fldChar w:fldCharType="separate"/>
        </w:r>
        <w:r w:rsidR="000A0E3D">
          <w:rPr>
            <w:noProof/>
            <w:webHidden/>
          </w:rPr>
          <w:t>123</w:t>
        </w:r>
        <w:r w:rsidR="00924E73">
          <w:rPr>
            <w:noProof/>
            <w:webHidden/>
          </w:rPr>
          <w:fldChar w:fldCharType="end"/>
        </w:r>
      </w:hyperlink>
    </w:p>
    <w:p w14:paraId="7EBB080C"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43" w:history="1">
        <w:r w:rsidR="00924E73" w:rsidRPr="006F1FB5">
          <w:rPr>
            <w:rStyle w:val="Hyperlink"/>
            <w:noProof/>
          </w:rPr>
          <w:t>Figure III. 4.4 DODH/ “base free catalytic” Wittig tandem reaction concept</w:t>
        </w:r>
        <w:r w:rsidR="00924E73">
          <w:rPr>
            <w:noProof/>
            <w:webHidden/>
          </w:rPr>
          <w:tab/>
        </w:r>
        <w:r w:rsidR="00924E73">
          <w:rPr>
            <w:noProof/>
            <w:webHidden/>
          </w:rPr>
          <w:fldChar w:fldCharType="begin"/>
        </w:r>
        <w:r w:rsidR="00924E73">
          <w:rPr>
            <w:noProof/>
            <w:webHidden/>
          </w:rPr>
          <w:instrText xml:space="preserve"> PAGEREF _Toc457670743 \h </w:instrText>
        </w:r>
        <w:r w:rsidR="00924E73">
          <w:rPr>
            <w:noProof/>
            <w:webHidden/>
          </w:rPr>
        </w:r>
        <w:r w:rsidR="00924E73">
          <w:rPr>
            <w:noProof/>
            <w:webHidden/>
          </w:rPr>
          <w:fldChar w:fldCharType="separate"/>
        </w:r>
        <w:r w:rsidR="000A0E3D">
          <w:rPr>
            <w:noProof/>
            <w:webHidden/>
          </w:rPr>
          <w:t>123</w:t>
        </w:r>
        <w:r w:rsidR="00924E73">
          <w:rPr>
            <w:noProof/>
            <w:webHidden/>
          </w:rPr>
          <w:fldChar w:fldCharType="end"/>
        </w:r>
      </w:hyperlink>
    </w:p>
    <w:p w14:paraId="6830BA08"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44" w:history="1">
        <w:r w:rsidR="00924E73" w:rsidRPr="006F1FB5">
          <w:rPr>
            <w:rStyle w:val="Hyperlink"/>
            <w:noProof/>
          </w:rPr>
          <w:t>Figure III. 4.5 Compatibility test of Bu</w:t>
        </w:r>
        <w:r w:rsidR="00924E73" w:rsidRPr="006F1FB5">
          <w:rPr>
            <w:rStyle w:val="Hyperlink"/>
            <w:noProof/>
            <w:vertAlign w:val="subscript"/>
          </w:rPr>
          <w:t>3</w:t>
        </w:r>
        <w:r w:rsidR="00924E73" w:rsidRPr="006F1FB5">
          <w:rPr>
            <w:rStyle w:val="Hyperlink"/>
            <w:noProof/>
          </w:rPr>
          <w:t>P with DODH mixture</w:t>
        </w:r>
        <w:r w:rsidR="00924E73">
          <w:rPr>
            <w:noProof/>
            <w:webHidden/>
          </w:rPr>
          <w:tab/>
        </w:r>
        <w:r w:rsidR="00924E73">
          <w:rPr>
            <w:noProof/>
            <w:webHidden/>
          </w:rPr>
          <w:fldChar w:fldCharType="begin"/>
        </w:r>
        <w:r w:rsidR="00924E73">
          <w:rPr>
            <w:noProof/>
            <w:webHidden/>
          </w:rPr>
          <w:instrText xml:space="preserve"> PAGEREF _Toc457670744 \h </w:instrText>
        </w:r>
        <w:r w:rsidR="00924E73">
          <w:rPr>
            <w:noProof/>
            <w:webHidden/>
          </w:rPr>
        </w:r>
        <w:r w:rsidR="00924E73">
          <w:rPr>
            <w:noProof/>
            <w:webHidden/>
          </w:rPr>
          <w:fldChar w:fldCharType="separate"/>
        </w:r>
        <w:r w:rsidR="000A0E3D">
          <w:rPr>
            <w:noProof/>
            <w:webHidden/>
          </w:rPr>
          <w:t>124</w:t>
        </w:r>
        <w:r w:rsidR="00924E73">
          <w:rPr>
            <w:noProof/>
            <w:webHidden/>
          </w:rPr>
          <w:fldChar w:fldCharType="end"/>
        </w:r>
      </w:hyperlink>
    </w:p>
    <w:p w14:paraId="305DA08B"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45" w:history="1">
        <w:r w:rsidR="00924E73" w:rsidRPr="006F1FB5">
          <w:rPr>
            <w:rStyle w:val="Hyperlink"/>
            <w:noProof/>
          </w:rPr>
          <w:t>Figure III. 4.6 Tandem reaction using Bu</w:t>
        </w:r>
        <w:r w:rsidR="00924E73" w:rsidRPr="006F1FB5">
          <w:rPr>
            <w:rStyle w:val="Hyperlink"/>
            <w:noProof/>
            <w:vertAlign w:val="subscript"/>
          </w:rPr>
          <w:t>3</w:t>
        </w:r>
        <w:r w:rsidR="00924E73" w:rsidRPr="006F1FB5">
          <w:rPr>
            <w:rStyle w:val="Hyperlink"/>
            <w:noProof/>
          </w:rPr>
          <w:t>P as stoichiometric reagent</w:t>
        </w:r>
        <w:r w:rsidR="00924E73">
          <w:rPr>
            <w:noProof/>
            <w:webHidden/>
          </w:rPr>
          <w:tab/>
        </w:r>
        <w:r w:rsidR="00924E73">
          <w:rPr>
            <w:noProof/>
            <w:webHidden/>
          </w:rPr>
          <w:fldChar w:fldCharType="begin"/>
        </w:r>
        <w:r w:rsidR="00924E73">
          <w:rPr>
            <w:noProof/>
            <w:webHidden/>
          </w:rPr>
          <w:instrText xml:space="preserve"> PAGEREF _Toc457670745 \h </w:instrText>
        </w:r>
        <w:r w:rsidR="00924E73">
          <w:rPr>
            <w:noProof/>
            <w:webHidden/>
          </w:rPr>
        </w:r>
        <w:r w:rsidR="00924E73">
          <w:rPr>
            <w:noProof/>
            <w:webHidden/>
          </w:rPr>
          <w:fldChar w:fldCharType="separate"/>
        </w:r>
        <w:r w:rsidR="000A0E3D">
          <w:rPr>
            <w:noProof/>
            <w:webHidden/>
          </w:rPr>
          <w:t>125</w:t>
        </w:r>
        <w:r w:rsidR="00924E73">
          <w:rPr>
            <w:noProof/>
            <w:webHidden/>
          </w:rPr>
          <w:fldChar w:fldCharType="end"/>
        </w:r>
      </w:hyperlink>
    </w:p>
    <w:p w14:paraId="12E4D3F5"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46" w:history="1">
        <w:r w:rsidR="00924E73" w:rsidRPr="006F1FB5">
          <w:rPr>
            <w:rStyle w:val="Hyperlink"/>
            <w:noProof/>
          </w:rPr>
          <w:t>Figure III. 4.7 Tandem DODH/ catalytic Wittig</w:t>
        </w:r>
        <w:r w:rsidR="00924E73">
          <w:rPr>
            <w:noProof/>
            <w:webHidden/>
          </w:rPr>
          <w:tab/>
        </w:r>
        <w:r w:rsidR="00924E73">
          <w:rPr>
            <w:noProof/>
            <w:webHidden/>
          </w:rPr>
          <w:fldChar w:fldCharType="begin"/>
        </w:r>
        <w:r w:rsidR="00924E73">
          <w:rPr>
            <w:noProof/>
            <w:webHidden/>
          </w:rPr>
          <w:instrText xml:space="preserve"> PAGEREF _Toc457670746 \h </w:instrText>
        </w:r>
        <w:r w:rsidR="00924E73">
          <w:rPr>
            <w:noProof/>
            <w:webHidden/>
          </w:rPr>
        </w:r>
        <w:r w:rsidR="00924E73">
          <w:rPr>
            <w:noProof/>
            <w:webHidden/>
          </w:rPr>
          <w:fldChar w:fldCharType="separate"/>
        </w:r>
        <w:r w:rsidR="000A0E3D">
          <w:rPr>
            <w:noProof/>
            <w:webHidden/>
          </w:rPr>
          <w:t>126</w:t>
        </w:r>
        <w:r w:rsidR="00924E73">
          <w:rPr>
            <w:noProof/>
            <w:webHidden/>
          </w:rPr>
          <w:fldChar w:fldCharType="end"/>
        </w:r>
      </w:hyperlink>
    </w:p>
    <w:p w14:paraId="6FA42136"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47" w:history="1">
        <w:r w:rsidR="00924E73" w:rsidRPr="006F1FB5">
          <w:rPr>
            <w:rStyle w:val="Hyperlink"/>
            <w:noProof/>
          </w:rPr>
          <w:t>Figure III. 4.8 Tandem DODH/Werner-Wittig and Werner-Wittig reaction using catalytic phosphine</w:t>
        </w:r>
        <w:r w:rsidR="00924E73">
          <w:rPr>
            <w:noProof/>
            <w:webHidden/>
          </w:rPr>
          <w:tab/>
        </w:r>
        <w:r w:rsidR="00924E73">
          <w:rPr>
            <w:noProof/>
            <w:webHidden/>
          </w:rPr>
          <w:fldChar w:fldCharType="begin"/>
        </w:r>
        <w:r w:rsidR="00924E73">
          <w:rPr>
            <w:noProof/>
            <w:webHidden/>
          </w:rPr>
          <w:instrText xml:space="preserve"> PAGEREF _Toc457670747 \h </w:instrText>
        </w:r>
        <w:r w:rsidR="00924E73">
          <w:rPr>
            <w:noProof/>
            <w:webHidden/>
          </w:rPr>
        </w:r>
        <w:r w:rsidR="00924E73">
          <w:rPr>
            <w:noProof/>
            <w:webHidden/>
          </w:rPr>
          <w:fldChar w:fldCharType="separate"/>
        </w:r>
        <w:r w:rsidR="000A0E3D">
          <w:rPr>
            <w:noProof/>
            <w:webHidden/>
          </w:rPr>
          <w:t>127</w:t>
        </w:r>
        <w:r w:rsidR="00924E73">
          <w:rPr>
            <w:noProof/>
            <w:webHidden/>
          </w:rPr>
          <w:fldChar w:fldCharType="end"/>
        </w:r>
      </w:hyperlink>
    </w:p>
    <w:p w14:paraId="069B1233"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48" w:history="1">
        <w:r w:rsidR="00924E73" w:rsidRPr="006F1FB5">
          <w:rPr>
            <w:rStyle w:val="Hyperlink"/>
            <w:noProof/>
          </w:rPr>
          <w:t>Figure III. 4.9 Potential intramolecular DODH / “base free” Wittig</w:t>
        </w:r>
        <w:r w:rsidR="00924E73">
          <w:rPr>
            <w:noProof/>
            <w:webHidden/>
          </w:rPr>
          <w:tab/>
        </w:r>
        <w:r w:rsidR="00924E73">
          <w:rPr>
            <w:noProof/>
            <w:webHidden/>
          </w:rPr>
          <w:fldChar w:fldCharType="begin"/>
        </w:r>
        <w:r w:rsidR="00924E73">
          <w:rPr>
            <w:noProof/>
            <w:webHidden/>
          </w:rPr>
          <w:instrText xml:space="preserve"> PAGEREF _Toc457670748 \h </w:instrText>
        </w:r>
        <w:r w:rsidR="00924E73">
          <w:rPr>
            <w:noProof/>
            <w:webHidden/>
          </w:rPr>
        </w:r>
        <w:r w:rsidR="00924E73">
          <w:rPr>
            <w:noProof/>
            <w:webHidden/>
          </w:rPr>
          <w:fldChar w:fldCharType="separate"/>
        </w:r>
        <w:r w:rsidR="000A0E3D">
          <w:rPr>
            <w:noProof/>
            <w:webHidden/>
          </w:rPr>
          <w:t>128</w:t>
        </w:r>
        <w:r w:rsidR="00924E73">
          <w:rPr>
            <w:noProof/>
            <w:webHidden/>
          </w:rPr>
          <w:fldChar w:fldCharType="end"/>
        </w:r>
      </w:hyperlink>
    </w:p>
    <w:p w14:paraId="0615F27E"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49" w:history="1">
        <w:r w:rsidR="00924E73" w:rsidRPr="006F1FB5">
          <w:rPr>
            <w:rStyle w:val="Hyperlink"/>
            <w:noProof/>
          </w:rPr>
          <w:t>Figure III. 4.10 Variations in the diol and/or alcohol reducing agent</w:t>
        </w:r>
        <w:r w:rsidR="00924E73">
          <w:rPr>
            <w:noProof/>
            <w:webHidden/>
          </w:rPr>
          <w:tab/>
        </w:r>
        <w:r w:rsidR="00924E73">
          <w:rPr>
            <w:noProof/>
            <w:webHidden/>
          </w:rPr>
          <w:fldChar w:fldCharType="begin"/>
        </w:r>
        <w:r w:rsidR="00924E73">
          <w:rPr>
            <w:noProof/>
            <w:webHidden/>
          </w:rPr>
          <w:instrText xml:space="preserve"> PAGEREF _Toc457670749 \h </w:instrText>
        </w:r>
        <w:r w:rsidR="00924E73">
          <w:rPr>
            <w:noProof/>
            <w:webHidden/>
          </w:rPr>
        </w:r>
        <w:r w:rsidR="00924E73">
          <w:rPr>
            <w:noProof/>
            <w:webHidden/>
          </w:rPr>
          <w:fldChar w:fldCharType="separate"/>
        </w:r>
        <w:r w:rsidR="000A0E3D">
          <w:rPr>
            <w:noProof/>
            <w:webHidden/>
          </w:rPr>
          <w:t>129</w:t>
        </w:r>
        <w:r w:rsidR="00924E73">
          <w:rPr>
            <w:noProof/>
            <w:webHidden/>
          </w:rPr>
          <w:fldChar w:fldCharType="end"/>
        </w:r>
      </w:hyperlink>
    </w:p>
    <w:p w14:paraId="13047596"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50" w:history="1">
        <w:r w:rsidR="00924E73" w:rsidRPr="006F1FB5">
          <w:rPr>
            <w:rStyle w:val="Hyperlink"/>
            <w:noProof/>
          </w:rPr>
          <w:t>Figure III. 5.1 General Heck reaction</w:t>
        </w:r>
        <w:r w:rsidR="00924E73">
          <w:rPr>
            <w:noProof/>
            <w:webHidden/>
          </w:rPr>
          <w:tab/>
        </w:r>
        <w:r w:rsidR="00924E73">
          <w:rPr>
            <w:noProof/>
            <w:webHidden/>
          </w:rPr>
          <w:fldChar w:fldCharType="begin"/>
        </w:r>
        <w:r w:rsidR="00924E73">
          <w:rPr>
            <w:noProof/>
            <w:webHidden/>
          </w:rPr>
          <w:instrText xml:space="preserve"> PAGEREF _Toc457670750 \h </w:instrText>
        </w:r>
        <w:r w:rsidR="00924E73">
          <w:rPr>
            <w:noProof/>
            <w:webHidden/>
          </w:rPr>
        </w:r>
        <w:r w:rsidR="00924E73">
          <w:rPr>
            <w:noProof/>
            <w:webHidden/>
          </w:rPr>
          <w:fldChar w:fldCharType="separate"/>
        </w:r>
        <w:r w:rsidR="000A0E3D">
          <w:rPr>
            <w:noProof/>
            <w:webHidden/>
          </w:rPr>
          <w:t>132</w:t>
        </w:r>
        <w:r w:rsidR="00924E73">
          <w:rPr>
            <w:noProof/>
            <w:webHidden/>
          </w:rPr>
          <w:fldChar w:fldCharType="end"/>
        </w:r>
      </w:hyperlink>
    </w:p>
    <w:p w14:paraId="2D1FBC9B"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51" w:history="1">
        <w:r w:rsidR="00924E73" w:rsidRPr="006F1FB5">
          <w:rPr>
            <w:rStyle w:val="Hyperlink"/>
            <w:noProof/>
          </w:rPr>
          <w:t>Figure III. 5.2 Heck catalytic cycle</w:t>
        </w:r>
        <w:r w:rsidR="00924E73">
          <w:rPr>
            <w:noProof/>
            <w:webHidden/>
          </w:rPr>
          <w:tab/>
        </w:r>
        <w:r w:rsidR="00924E73">
          <w:rPr>
            <w:noProof/>
            <w:webHidden/>
          </w:rPr>
          <w:fldChar w:fldCharType="begin"/>
        </w:r>
        <w:r w:rsidR="00924E73">
          <w:rPr>
            <w:noProof/>
            <w:webHidden/>
          </w:rPr>
          <w:instrText xml:space="preserve"> PAGEREF _Toc457670751 \h </w:instrText>
        </w:r>
        <w:r w:rsidR="00924E73">
          <w:rPr>
            <w:noProof/>
            <w:webHidden/>
          </w:rPr>
        </w:r>
        <w:r w:rsidR="00924E73">
          <w:rPr>
            <w:noProof/>
            <w:webHidden/>
          </w:rPr>
          <w:fldChar w:fldCharType="separate"/>
        </w:r>
        <w:r w:rsidR="000A0E3D">
          <w:rPr>
            <w:noProof/>
            <w:webHidden/>
          </w:rPr>
          <w:t>133</w:t>
        </w:r>
        <w:r w:rsidR="00924E73">
          <w:rPr>
            <w:noProof/>
            <w:webHidden/>
          </w:rPr>
          <w:fldChar w:fldCharType="end"/>
        </w:r>
      </w:hyperlink>
    </w:p>
    <w:p w14:paraId="35935A3B"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52" w:history="1">
        <w:r w:rsidR="00924E73" w:rsidRPr="006F1FB5">
          <w:rPr>
            <w:rStyle w:val="Hyperlink"/>
            <w:noProof/>
          </w:rPr>
          <w:t>Figure III. 5.3 DODH/Heck tandem concept</w:t>
        </w:r>
        <w:r w:rsidR="00924E73">
          <w:rPr>
            <w:noProof/>
            <w:webHidden/>
          </w:rPr>
          <w:tab/>
        </w:r>
        <w:r w:rsidR="00924E73">
          <w:rPr>
            <w:noProof/>
            <w:webHidden/>
          </w:rPr>
          <w:fldChar w:fldCharType="begin"/>
        </w:r>
        <w:r w:rsidR="00924E73">
          <w:rPr>
            <w:noProof/>
            <w:webHidden/>
          </w:rPr>
          <w:instrText xml:space="preserve"> PAGEREF _Toc457670752 \h </w:instrText>
        </w:r>
        <w:r w:rsidR="00924E73">
          <w:rPr>
            <w:noProof/>
            <w:webHidden/>
          </w:rPr>
        </w:r>
        <w:r w:rsidR="00924E73">
          <w:rPr>
            <w:noProof/>
            <w:webHidden/>
          </w:rPr>
          <w:fldChar w:fldCharType="separate"/>
        </w:r>
        <w:r w:rsidR="000A0E3D">
          <w:rPr>
            <w:noProof/>
            <w:webHidden/>
          </w:rPr>
          <w:t>133</w:t>
        </w:r>
        <w:r w:rsidR="00924E73">
          <w:rPr>
            <w:noProof/>
            <w:webHidden/>
          </w:rPr>
          <w:fldChar w:fldCharType="end"/>
        </w:r>
      </w:hyperlink>
    </w:p>
    <w:p w14:paraId="70F94DB1"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53" w:history="1">
        <w:r w:rsidR="00924E73" w:rsidRPr="006F1FB5">
          <w:rPr>
            <w:rStyle w:val="Hyperlink"/>
            <w:noProof/>
          </w:rPr>
          <w:t>Figure III. 5.4 DODH/Heck tandem reaction with the reducing agent and aryl halide provided by one reagent</w:t>
        </w:r>
        <w:r w:rsidR="00924E73">
          <w:rPr>
            <w:noProof/>
            <w:webHidden/>
          </w:rPr>
          <w:tab/>
        </w:r>
        <w:r w:rsidR="00924E73">
          <w:rPr>
            <w:noProof/>
            <w:webHidden/>
          </w:rPr>
          <w:fldChar w:fldCharType="begin"/>
        </w:r>
        <w:r w:rsidR="00924E73">
          <w:rPr>
            <w:noProof/>
            <w:webHidden/>
          </w:rPr>
          <w:instrText xml:space="preserve"> PAGEREF _Toc457670753 \h </w:instrText>
        </w:r>
        <w:r w:rsidR="00924E73">
          <w:rPr>
            <w:noProof/>
            <w:webHidden/>
          </w:rPr>
        </w:r>
        <w:r w:rsidR="00924E73">
          <w:rPr>
            <w:noProof/>
            <w:webHidden/>
          </w:rPr>
          <w:fldChar w:fldCharType="separate"/>
        </w:r>
        <w:r w:rsidR="000A0E3D">
          <w:rPr>
            <w:noProof/>
            <w:webHidden/>
          </w:rPr>
          <w:t>134</w:t>
        </w:r>
        <w:r w:rsidR="00924E73">
          <w:rPr>
            <w:noProof/>
            <w:webHidden/>
          </w:rPr>
          <w:fldChar w:fldCharType="end"/>
        </w:r>
      </w:hyperlink>
    </w:p>
    <w:p w14:paraId="27266B59"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54" w:history="1">
        <w:r w:rsidR="00924E73" w:rsidRPr="006F1FB5">
          <w:rPr>
            <w:rStyle w:val="Hyperlink"/>
            <w:noProof/>
          </w:rPr>
          <w:t>Figure III. 5.5 DODH reaction system using ReO</w:t>
        </w:r>
        <w:r w:rsidR="00924E73" w:rsidRPr="006F1FB5">
          <w:rPr>
            <w:rStyle w:val="Hyperlink"/>
            <w:noProof/>
            <w:vertAlign w:val="subscript"/>
          </w:rPr>
          <w:t>2</w:t>
        </w:r>
        <w:r w:rsidR="00924E73" w:rsidRPr="006F1FB5">
          <w:rPr>
            <w:rStyle w:val="Hyperlink"/>
            <w:noProof/>
          </w:rPr>
          <w:t>(Py)</w:t>
        </w:r>
        <w:r w:rsidR="00924E73" w:rsidRPr="006F1FB5">
          <w:rPr>
            <w:rStyle w:val="Hyperlink"/>
            <w:noProof/>
            <w:vertAlign w:val="subscript"/>
          </w:rPr>
          <w:t>4</w:t>
        </w:r>
        <w:r w:rsidR="00924E73" w:rsidRPr="006F1FB5">
          <w:rPr>
            <w:rStyle w:val="Hyperlink"/>
            <w:noProof/>
            <w:vertAlign w:val="superscript"/>
          </w:rPr>
          <w:t>+-</w:t>
        </w:r>
        <w:r w:rsidR="00924E73" w:rsidRPr="006F1FB5">
          <w:rPr>
            <w:rStyle w:val="Hyperlink"/>
            <w:noProof/>
          </w:rPr>
          <w:t>X as catalyst</w:t>
        </w:r>
        <w:r w:rsidR="00924E73">
          <w:rPr>
            <w:noProof/>
            <w:webHidden/>
          </w:rPr>
          <w:tab/>
        </w:r>
        <w:r w:rsidR="00924E73">
          <w:rPr>
            <w:noProof/>
            <w:webHidden/>
          </w:rPr>
          <w:fldChar w:fldCharType="begin"/>
        </w:r>
        <w:r w:rsidR="00924E73">
          <w:rPr>
            <w:noProof/>
            <w:webHidden/>
          </w:rPr>
          <w:instrText xml:space="preserve"> PAGEREF _Toc457670754 \h </w:instrText>
        </w:r>
        <w:r w:rsidR="00924E73">
          <w:rPr>
            <w:noProof/>
            <w:webHidden/>
          </w:rPr>
        </w:r>
        <w:r w:rsidR="00924E73">
          <w:rPr>
            <w:noProof/>
            <w:webHidden/>
          </w:rPr>
          <w:fldChar w:fldCharType="separate"/>
        </w:r>
        <w:r w:rsidR="000A0E3D">
          <w:rPr>
            <w:noProof/>
            <w:webHidden/>
          </w:rPr>
          <w:t>135</w:t>
        </w:r>
        <w:r w:rsidR="00924E73">
          <w:rPr>
            <w:noProof/>
            <w:webHidden/>
          </w:rPr>
          <w:fldChar w:fldCharType="end"/>
        </w:r>
      </w:hyperlink>
    </w:p>
    <w:p w14:paraId="07F10C7A"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55" w:history="1">
        <w:r w:rsidR="00924E73" w:rsidRPr="006F1FB5">
          <w:rPr>
            <w:rStyle w:val="Hyperlink"/>
            <w:noProof/>
          </w:rPr>
          <w:t>Figure III. 5.6 Test of stoichiometric on Heck coupling</w:t>
        </w:r>
        <w:r w:rsidR="00924E73">
          <w:rPr>
            <w:noProof/>
            <w:webHidden/>
          </w:rPr>
          <w:tab/>
        </w:r>
        <w:r w:rsidR="00924E73">
          <w:rPr>
            <w:noProof/>
            <w:webHidden/>
          </w:rPr>
          <w:fldChar w:fldCharType="begin"/>
        </w:r>
        <w:r w:rsidR="00924E73">
          <w:rPr>
            <w:noProof/>
            <w:webHidden/>
          </w:rPr>
          <w:instrText xml:space="preserve"> PAGEREF _Toc457670755 \h </w:instrText>
        </w:r>
        <w:r w:rsidR="00924E73">
          <w:rPr>
            <w:noProof/>
            <w:webHidden/>
          </w:rPr>
        </w:r>
        <w:r w:rsidR="00924E73">
          <w:rPr>
            <w:noProof/>
            <w:webHidden/>
          </w:rPr>
          <w:fldChar w:fldCharType="separate"/>
        </w:r>
        <w:r w:rsidR="000A0E3D">
          <w:rPr>
            <w:noProof/>
            <w:webHidden/>
          </w:rPr>
          <w:t>137</w:t>
        </w:r>
        <w:r w:rsidR="00924E73">
          <w:rPr>
            <w:noProof/>
            <w:webHidden/>
          </w:rPr>
          <w:fldChar w:fldCharType="end"/>
        </w:r>
      </w:hyperlink>
    </w:p>
    <w:p w14:paraId="45786150"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56" w:history="1">
        <w:r w:rsidR="00924E73" w:rsidRPr="006F1FB5">
          <w:rPr>
            <w:rStyle w:val="Hyperlink"/>
            <w:noProof/>
          </w:rPr>
          <w:t>Figure III. 5.7 Test of the heck reaction using pyridine as additive</w:t>
        </w:r>
        <w:r w:rsidR="00924E73">
          <w:rPr>
            <w:noProof/>
            <w:webHidden/>
          </w:rPr>
          <w:tab/>
        </w:r>
        <w:r w:rsidR="00924E73">
          <w:rPr>
            <w:noProof/>
            <w:webHidden/>
          </w:rPr>
          <w:fldChar w:fldCharType="begin"/>
        </w:r>
        <w:r w:rsidR="00924E73">
          <w:rPr>
            <w:noProof/>
            <w:webHidden/>
          </w:rPr>
          <w:instrText xml:space="preserve"> PAGEREF _Toc457670756 \h </w:instrText>
        </w:r>
        <w:r w:rsidR="00924E73">
          <w:rPr>
            <w:noProof/>
            <w:webHidden/>
          </w:rPr>
        </w:r>
        <w:r w:rsidR="00924E73">
          <w:rPr>
            <w:noProof/>
            <w:webHidden/>
          </w:rPr>
          <w:fldChar w:fldCharType="separate"/>
        </w:r>
        <w:r w:rsidR="000A0E3D">
          <w:rPr>
            <w:noProof/>
            <w:webHidden/>
          </w:rPr>
          <w:t>137</w:t>
        </w:r>
        <w:r w:rsidR="00924E73">
          <w:rPr>
            <w:noProof/>
            <w:webHidden/>
          </w:rPr>
          <w:fldChar w:fldCharType="end"/>
        </w:r>
      </w:hyperlink>
    </w:p>
    <w:p w14:paraId="363A0E5C"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57" w:history="1">
        <w:r w:rsidR="00924E73" w:rsidRPr="006F1FB5">
          <w:rPr>
            <w:rStyle w:val="Hyperlink"/>
            <w:noProof/>
          </w:rPr>
          <w:t>Figure III. 6.1 General Hydroacylation equation</w:t>
        </w:r>
        <w:r w:rsidR="00924E73">
          <w:rPr>
            <w:noProof/>
            <w:webHidden/>
          </w:rPr>
          <w:tab/>
        </w:r>
        <w:r w:rsidR="00924E73">
          <w:rPr>
            <w:noProof/>
            <w:webHidden/>
          </w:rPr>
          <w:fldChar w:fldCharType="begin"/>
        </w:r>
        <w:r w:rsidR="00924E73">
          <w:rPr>
            <w:noProof/>
            <w:webHidden/>
          </w:rPr>
          <w:instrText xml:space="preserve"> PAGEREF _Toc457670757 \h </w:instrText>
        </w:r>
        <w:r w:rsidR="00924E73">
          <w:rPr>
            <w:noProof/>
            <w:webHidden/>
          </w:rPr>
        </w:r>
        <w:r w:rsidR="00924E73">
          <w:rPr>
            <w:noProof/>
            <w:webHidden/>
          </w:rPr>
          <w:fldChar w:fldCharType="separate"/>
        </w:r>
        <w:r w:rsidR="000A0E3D">
          <w:rPr>
            <w:noProof/>
            <w:webHidden/>
          </w:rPr>
          <w:t>142</w:t>
        </w:r>
        <w:r w:rsidR="00924E73">
          <w:rPr>
            <w:noProof/>
            <w:webHidden/>
          </w:rPr>
          <w:fldChar w:fldCharType="end"/>
        </w:r>
      </w:hyperlink>
    </w:p>
    <w:p w14:paraId="6C45A028"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58" w:history="1">
        <w:r w:rsidR="00924E73" w:rsidRPr="006F1FB5">
          <w:rPr>
            <w:rStyle w:val="Hyperlink"/>
            <w:noProof/>
          </w:rPr>
          <w:t>Figure III. 6.2 Rhodium catalyst mechanism; Hydroacylcation and Decarbonylation</w:t>
        </w:r>
        <w:r w:rsidR="00924E73">
          <w:rPr>
            <w:noProof/>
            <w:webHidden/>
          </w:rPr>
          <w:tab/>
        </w:r>
        <w:r w:rsidR="00924E73">
          <w:rPr>
            <w:noProof/>
            <w:webHidden/>
          </w:rPr>
          <w:fldChar w:fldCharType="begin"/>
        </w:r>
        <w:r w:rsidR="00924E73">
          <w:rPr>
            <w:noProof/>
            <w:webHidden/>
          </w:rPr>
          <w:instrText xml:space="preserve"> PAGEREF _Toc457670758 \h </w:instrText>
        </w:r>
        <w:r w:rsidR="00924E73">
          <w:rPr>
            <w:noProof/>
            <w:webHidden/>
          </w:rPr>
        </w:r>
        <w:r w:rsidR="00924E73">
          <w:rPr>
            <w:noProof/>
            <w:webHidden/>
          </w:rPr>
          <w:fldChar w:fldCharType="separate"/>
        </w:r>
        <w:r w:rsidR="000A0E3D">
          <w:rPr>
            <w:noProof/>
            <w:webHidden/>
          </w:rPr>
          <w:t>143</w:t>
        </w:r>
        <w:r w:rsidR="00924E73">
          <w:rPr>
            <w:noProof/>
            <w:webHidden/>
          </w:rPr>
          <w:fldChar w:fldCharType="end"/>
        </w:r>
      </w:hyperlink>
    </w:p>
    <w:p w14:paraId="461E1C56"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59" w:history="1">
        <w:r w:rsidR="00924E73" w:rsidRPr="006F1FB5">
          <w:rPr>
            <w:rStyle w:val="Hyperlink"/>
            <w:noProof/>
          </w:rPr>
          <w:t>Figure III. 6.3 DODH/Hydroacylation tandem concept</w:t>
        </w:r>
        <w:r w:rsidR="00924E73">
          <w:rPr>
            <w:noProof/>
            <w:webHidden/>
          </w:rPr>
          <w:tab/>
        </w:r>
        <w:r w:rsidR="00924E73">
          <w:rPr>
            <w:noProof/>
            <w:webHidden/>
          </w:rPr>
          <w:fldChar w:fldCharType="begin"/>
        </w:r>
        <w:r w:rsidR="00924E73">
          <w:rPr>
            <w:noProof/>
            <w:webHidden/>
          </w:rPr>
          <w:instrText xml:space="preserve"> PAGEREF _Toc457670759 \h </w:instrText>
        </w:r>
        <w:r w:rsidR="00924E73">
          <w:rPr>
            <w:noProof/>
            <w:webHidden/>
          </w:rPr>
        </w:r>
        <w:r w:rsidR="00924E73">
          <w:rPr>
            <w:noProof/>
            <w:webHidden/>
          </w:rPr>
          <w:fldChar w:fldCharType="separate"/>
        </w:r>
        <w:r w:rsidR="000A0E3D">
          <w:rPr>
            <w:noProof/>
            <w:webHidden/>
          </w:rPr>
          <w:t>144</w:t>
        </w:r>
        <w:r w:rsidR="00924E73">
          <w:rPr>
            <w:noProof/>
            <w:webHidden/>
          </w:rPr>
          <w:fldChar w:fldCharType="end"/>
        </w:r>
      </w:hyperlink>
    </w:p>
    <w:p w14:paraId="0C31E830"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60" w:history="1">
        <w:r w:rsidR="00924E73" w:rsidRPr="006F1FB5">
          <w:rPr>
            <w:rStyle w:val="Hyperlink"/>
            <w:noProof/>
          </w:rPr>
          <w:t>Figure III. 6.4 Intramolecular DODH/Hydroacylation tandem concept</w:t>
        </w:r>
        <w:r w:rsidR="00924E73">
          <w:rPr>
            <w:noProof/>
            <w:webHidden/>
          </w:rPr>
          <w:tab/>
        </w:r>
        <w:r w:rsidR="00924E73">
          <w:rPr>
            <w:noProof/>
            <w:webHidden/>
          </w:rPr>
          <w:fldChar w:fldCharType="begin"/>
        </w:r>
        <w:r w:rsidR="00924E73">
          <w:rPr>
            <w:noProof/>
            <w:webHidden/>
          </w:rPr>
          <w:instrText xml:space="preserve"> PAGEREF _Toc457670760 \h </w:instrText>
        </w:r>
        <w:r w:rsidR="00924E73">
          <w:rPr>
            <w:noProof/>
            <w:webHidden/>
          </w:rPr>
        </w:r>
        <w:r w:rsidR="00924E73">
          <w:rPr>
            <w:noProof/>
            <w:webHidden/>
          </w:rPr>
          <w:fldChar w:fldCharType="separate"/>
        </w:r>
        <w:r w:rsidR="000A0E3D">
          <w:rPr>
            <w:noProof/>
            <w:webHidden/>
          </w:rPr>
          <w:t>145</w:t>
        </w:r>
        <w:r w:rsidR="00924E73">
          <w:rPr>
            <w:noProof/>
            <w:webHidden/>
          </w:rPr>
          <w:fldChar w:fldCharType="end"/>
        </w:r>
      </w:hyperlink>
    </w:p>
    <w:p w14:paraId="71A51DDA"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61" w:history="1">
        <w:r w:rsidR="00924E73" w:rsidRPr="006F1FB5">
          <w:rPr>
            <w:rStyle w:val="Hyperlink"/>
            <w:noProof/>
          </w:rPr>
          <w:t>Figure III. 6.5 General Hydroacylation of cyclohexene and benzaldehyde</w:t>
        </w:r>
        <w:r w:rsidR="00924E73">
          <w:rPr>
            <w:noProof/>
            <w:webHidden/>
          </w:rPr>
          <w:tab/>
        </w:r>
        <w:r w:rsidR="00924E73">
          <w:rPr>
            <w:noProof/>
            <w:webHidden/>
          </w:rPr>
          <w:fldChar w:fldCharType="begin"/>
        </w:r>
        <w:r w:rsidR="00924E73">
          <w:rPr>
            <w:noProof/>
            <w:webHidden/>
          </w:rPr>
          <w:instrText xml:space="preserve"> PAGEREF _Toc457670761 \h </w:instrText>
        </w:r>
        <w:r w:rsidR="00924E73">
          <w:rPr>
            <w:noProof/>
            <w:webHidden/>
          </w:rPr>
        </w:r>
        <w:r w:rsidR="00924E73">
          <w:rPr>
            <w:noProof/>
            <w:webHidden/>
          </w:rPr>
          <w:fldChar w:fldCharType="separate"/>
        </w:r>
        <w:r w:rsidR="000A0E3D">
          <w:rPr>
            <w:noProof/>
            <w:webHidden/>
          </w:rPr>
          <w:t>146</w:t>
        </w:r>
        <w:r w:rsidR="00924E73">
          <w:rPr>
            <w:noProof/>
            <w:webHidden/>
          </w:rPr>
          <w:fldChar w:fldCharType="end"/>
        </w:r>
      </w:hyperlink>
    </w:p>
    <w:p w14:paraId="667718AC"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62" w:history="1">
        <w:r w:rsidR="00924E73" w:rsidRPr="006F1FB5">
          <w:rPr>
            <w:rStyle w:val="Hyperlink"/>
            <w:noProof/>
          </w:rPr>
          <w:t>Figure III. 6.6 Hydroacylation catalyst</w:t>
        </w:r>
        <w:r w:rsidR="00924E73">
          <w:rPr>
            <w:noProof/>
            <w:webHidden/>
          </w:rPr>
          <w:tab/>
        </w:r>
        <w:r w:rsidR="00924E73">
          <w:rPr>
            <w:noProof/>
            <w:webHidden/>
          </w:rPr>
          <w:fldChar w:fldCharType="begin"/>
        </w:r>
        <w:r w:rsidR="00924E73">
          <w:rPr>
            <w:noProof/>
            <w:webHidden/>
          </w:rPr>
          <w:instrText xml:space="preserve"> PAGEREF _Toc457670762 \h </w:instrText>
        </w:r>
        <w:r w:rsidR="00924E73">
          <w:rPr>
            <w:noProof/>
            <w:webHidden/>
          </w:rPr>
        </w:r>
        <w:r w:rsidR="00924E73">
          <w:rPr>
            <w:noProof/>
            <w:webHidden/>
          </w:rPr>
          <w:fldChar w:fldCharType="separate"/>
        </w:r>
        <w:r w:rsidR="000A0E3D">
          <w:rPr>
            <w:noProof/>
            <w:webHidden/>
          </w:rPr>
          <w:t>147</w:t>
        </w:r>
        <w:r w:rsidR="00924E73">
          <w:rPr>
            <w:noProof/>
            <w:webHidden/>
          </w:rPr>
          <w:fldChar w:fldCharType="end"/>
        </w:r>
      </w:hyperlink>
    </w:p>
    <w:p w14:paraId="01FA6EA8"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63" w:history="1">
        <w:r w:rsidR="00924E73" w:rsidRPr="006F1FB5">
          <w:rPr>
            <w:rStyle w:val="Hyperlink"/>
            <w:noProof/>
          </w:rPr>
          <w:t>Figure III. 6.7 Intramolecular DODH/Hydroacylation study plan</w:t>
        </w:r>
        <w:r w:rsidR="00924E73">
          <w:rPr>
            <w:noProof/>
            <w:webHidden/>
          </w:rPr>
          <w:tab/>
        </w:r>
        <w:r w:rsidR="00924E73">
          <w:rPr>
            <w:noProof/>
            <w:webHidden/>
          </w:rPr>
          <w:fldChar w:fldCharType="begin"/>
        </w:r>
        <w:r w:rsidR="00924E73">
          <w:rPr>
            <w:noProof/>
            <w:webHidden/>
          </w:rPr>
          <w:instrText xml:space="preserve"> PAGEREF _Toc457670763 \h </w:instrText>
        </w:r>
        <w:r w:rsidR="00924E73">
          <w:rPr>
            <w:noProof/>
            <w:webHidden/>
          </w:rPr>
        </w:r>
        <w:r w:rsidR="00924E73">
          <w:rPr>
            <w:noProof/>
            <w:webHidden/>
          </w:rPr>
          <w:fldChar w:fldCharType="separate"/>
        </w:r>
        <w:r w:rsidR="000A0E3D">
          <w:rPr>
            <w:noProof/>
            <w:webHidden/>
          </w:rPr>
          <w:t>147</w:t>
        </w:r>
        <w:r w:rsidR="00924E73">
          <w:rPr>
            <w:noProof/>
            <w:webHidden/>
          </w:rPr>
          <w:fldChar w:fldCharType="end"/>
        </w:r>
      </w:hyperlink>
    </w:p>
    <w:p w14:paraId="7F73D348"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64" w:history="1">
        <w:r w:rsidR="00924E73" w:rsidRPr="006F1FB5">
          <w:rPr>
            <w:rStyle w:val="Hyperlink"/>
            <w:noProof/>
          </w:rPr>
          <w:t>Figure III. 6.8 General synthesis of compound 1</w:t>
        </w:r>
        <w:r w:rsidR="00924E73">
          <w:rPr>
            <w:noProof/>
            <w:webHidden/>
          </w:rPr>
          <w:tab/>
        </w:r>
        <w:r w:rsidR="00924E73">
          <w:rPr>
            <w:noProof/>
            <w:webHidden/>
          </w:rPr>
          <w:fldChar w:fldCharType="begin"/>
        </w:r>
        <w:r w:rsidR="00924E73">
          <w:rPr>
            <w:noProof/>
            <w:webHidden/>
          </w:rPr>
          <w:instrText xml:space="preserve"> PAGEREF _Toc457670764 \h </w:instrText>
        </w:r>
        <w:r w:rsidR="00924E73">
          <w:rPr>
            <w:noProof/>
            <w:webHidden/>
          </w:rPr>
        </w:r>
        <w:r w:rsidR="00924E73">
          <w:rPr>
            <w:noProof/>
            <w:webHidden/>
          </w:rPr>
          <w:fldChar w:fldCharType="separate"/>
        </w:r>
        <w:r w:rsidR="000A0E3D">
          <w:rPr>
            <w:noProof/>
            <w:webHidden/>
          </w:rPr>
          <w:t>147</w:t>
        </w:r>
        <w:r w:rsidR="00924E73">
          <w:rPr>
            <w:noProof/>
            <w:webHidden/>
          </w:rPr>
          <w:fldChar w:fldCharType="end"/>
        </w:r>
      </w:hyperlink>
    </w:p>
    <w:p w14:paraId="197D7077"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65" w:history="1">
        <w:r w:rsidR="00924E73" w:rsidRPr="006F1FB5">
          <w:rPr>
            <w:rStyle w:val="Hyperlink"/>
            <w:noProof/>
          </w:rPr>
          <w:t>Figure III. 6.9 DODH of 1b</w:t>
        </w:r>
        <w:r w:rsidR="00924E73">
          <w:rPr>
            <w:noProof/>
            <w:webHidden/>
          </w:rPr>
          <w:tab/>
        </w:r>
        <w:r w:rsidR="00924E73">
          <w:rPr>
            <w:noProof/>
            <w:webHidden/>
          </w:rPr>
          <w:fldChar w:fldCharType="begin"/>
        </w:r>
        <w:r w:rsidR="00924E73">
          <w:rPr>
            <w:noProof/>
            <w:webHidden/>
          </w:rPr>
          <w:instrText xml:space="preserve"> PAGEREF _Toc457670765 \h </w:instrText>
        </w:r>
        <w:r w:rsidR="00924E73">
          <w:rPr>
            <w:noProof/>
            <w:webHidden/>
          </w:rPr>
        </w:r>
        <w:r w:rsidR="00924E73">
          <w:rPr>
            <w:noProof/>
            <w:webHidden/>
          </w:rPr>
          <w:fldChar w:fldCharType="separate"/>
        </w:r>
        <w:r w:rsidR="000A0E3D">
          <w:rPr>
            <w:noProof/>
            <w:webHidden/>
          </w:rPr>
          <w:t>148</w:t>
        </w:r>
        <w:r w:rsidR="00924E73">
          <w:rPr>
            <w:noProof/>
            <w:webHidden/>
          </w:rPr>
          <w:fldChar w:fldCharType="end"/>
        </w:r>
      </w:hyperlink>
    </w:p>
    <w:p w14:paraId="7C5040A5"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66" w:history="1">
        <w:r w:rsidR="00924E73" w:rsidRPr="006F1FB5">
          <w:rPr>
            <w:rStyle w:val="Hyperlink"/>
            <w:noProof/>
          </w:rPr>
          <w:t>Figure III. 6.10 DODH of 1c</w:t>
        </w:r>
        <w:r w:rsidR="00924E73">
          <w:rPr>
            <w:noProof/>
            <w:webHidden/>
          </w:rPr>
          <w:tab/>
        </w:r>
        <w:r w:rsidR="00924E73">
          <w:rPr>
            <w:noProof/>
            <w:webHidden/>
          </w:rPr>
          <w:fldChar w:fldCharType="begin"/>
        </w:r>
        <w:r w:rsidR="00924E73">
          <w:rPr>
            <w:noProof/>
            <w:webHidden/>
          </w:rPr>
          <w:instrText xml:space="preserve"> PAGEREF _Toc457670766 \h </w:instrText>
        </w:r>
        <w:r w:rsidR="00924E73">
          <w:rPr>
            <w:noProof/>
            <w:webHidden/>
          </w:rPr>
        </w:r>
        <w:r w:rsidR="00924E73">
          <w:rPr>
            <w:noProof/>
            <w:webHidden/>
          </w:rPr>
          <w:fldChar w:fldCharType="separate"/>
        </w:r>
        <w:r w:rsidR="000A0E3D">
          <w:rPr>
            <w:noProof/>
            <w:webHidden/>
          </w:rPr>
          <w:t>150</w:t>
        </w:r>
        <w:r w:rsidR="00924E73">
          <w:rPr>
            <w:noProof/>
            <w:webHidden/>
          </w:rPr>
          <w:fldChar w:fldCharType="end"/>
        </w:r>
      </w:hyperlink>
    </w:p>
    <w:p w14:paraId="2DCCFBB8"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67" w:history="1">
        <w:r w:rsidR="00924E73" w:rsidRPr="006F1FB5">
          <w:rPr>
            <w:rStyle w:val="Hyperlink"/>
            <w:noProof/>
          </w:rPr>
          <w:t>Figure III. 6.11 Reaction of 2 with 1-butanol to form acetal 6</w:t>
        </w:r>
        <w:r w:rsidR="00924E73">
          <w:rPr>
            <w:noProof/>
            <w:webHidden/>
          </w:rPr>
          <w:tab/>
        </w:r>
        <w:r w:rsidR="00924E73">
          <w:rPr>
            <w:noProof/>
            <w:webHidden/>
          </w:rPr>
          <w:fldChar w:fldCharType="begin"/>
        </w:r>
        <w:r w:rsidR="00924E73">
          <w:rPr>
            <w:noProof/>
            <w:webHidden/>
          </w:rPr>
          <w:instrText xml:space="preserve"> PAGEREF _Toc457670767 \h </w:instrText>
        </w:r>
        <w:r w:rsidR="00924E73">
          <w:rPr>
            <w:noProof/>
            <w:webHidden/>
          </w:rPr>
        </w:r>
        <w:r w:rsidR="00924E73">
          <w:rPr>
            <w:noProof/>
            <w:webHidden/>
          </w:rPr>
          <w:fldChar w:fldCharType="separate"/>
        </w:r>
        <w:r w:rsidR="000A0E3D">
          <w:rPr>
            <w:noProof/>
            <w:webHidden/>
          </w:rPr>
          <w:t>150</w:t>
        </w:r>
        <w:r w:rsidR="00924E73">
          <w:rPr>
            <w:noProof/>
            <w:webHidden/>
          </w:rPr>
          <w:fldChar w:fldCharType="end"/>
        </w:r>
      </w:hyperlink>
    </w:p>
    <w:p w14:paraId="2BE18C66"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68" w:history="1">
        <w:r w:rsidR="00924E73" w:rsidRPr="006F1FB5">
          <w:rPr>
            <w:rStyle w:val="Hyperlink"/>
            <w:noProof/>
          </w:rPr>
          <w:t>Figure III. 6.12 Reported hydroacylation by Glorius and co-worker</w:t>
        </w:r>
        <w:r w:rsidR="00924E73">
          <w:rPr>
            <w:noProof/>
            <w:webHidden/>
          </w:rPr>
          <w:tab/>
        </w:r>
        <w:r w:rsidR="00924E73">
          <w:rPr>
            <w:noProof/>
            <w:webHidden/>
          </w:rPr>
          <w:fldChar w:fldCharType="begin"/>
        </w:r>
        <w:r w:rsidR="00924E73">
          <w:rPr>
            <w:noProof/>
            <w:webHidden/>
          </w:rPr>
          <w:instrText xml:space="preserve"> PAGEREF _Toc457670768 \h </w:instrText>
        </w:r>
        <w:r w:rsidR="00924E73">
          <w:rPr>
            <w:noProof/>
            <w:webHidden/>
          </w:rPr>
        </w:r>
        <w:r w:rsidR="00924E73">
          <w:rPr>
            <w:noProof/>
            <w:webHidden/>
          </w:rPr>
          <w:fldChar w:fldCharType="separate"/>
        </w:r>
        <w:r w:rsidR="000A0E3D">
          <w:rPr>
            <w:noProof/>
            <w:webHidden/>
          </w:rPr>
          <w:t>151</w:t>
        </w:r>
        <w:r w:rsidR="00924E73">
          <w:rPr>
            <w:noProof/>
            <w:webHidden/>
          </w:rPr>
          <w:fldChar w:fldCharType="end"/>
        </w:r>
      </w:hyperlink>
    </w:p>
    <w:p w14:paraId="06D3F4A2"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69" w:history="1">
        <w:r w:rsidR="00924E73" w:rsidRPr="006F1FB5">
          <w:rPr>
            <w:rStyle w:val="Hyperlink"/>
            <w:noProof/>
          </w:rPr>
          <w:t>Figure III. 6.13 Potential scope study for intramolecular DODH/hydroacylation</w:t>
        </w:r>
        <w:r w:rsidR="00924E73">
          <w:rPr>
            <w:noProof/>
            <w:webHidden/>
          </w:rPr>
          <w:tab/>
        </w:r>
        <w:r w:rsidR="00924E73">
          <w:rPr>
            <w:noProof/>
            <w:webHidden/>
          </w:rPr>
          <w:fldChar w:fldCharType="begin"/>
        </w:r>
        <w:r w:rsidR="00924E73">
          <w:rPr>
            <w:noProof/>
            <w:webHidden/>
          </w:rPr>
          <w:instrText xml:space="preserve"> PAGEREF _Toc457670769 \h </w:instrText>
        </w:r>
        <w:r w:rsidR="00924E73">
          <w:rPr>
            <w:noProof/>
            <w:webHidden/>
          </w:rPr>
        </w:r>
        <w:r w:rsidR="00924E73">
          <w:rPr>
            <w:noProof/>
            <w:webHidden/>
          </w:rPr>
          <w:fldChar w:fldCharType="separate"/>
        </w:r>
        <w:r w:rsidR="000A0E3D">
          <w:rPr>
            <w:noProof/>
            <w:webHidden/>
          </w:rPr>
          <w:t>153</w:t>
        </w:r>
        <w:r w:rsidR="00924E73">
          <w:rPr>
            <w:noProof/>
            <w:webHidden/>
          </w:rPr>
          <w:fldChar w:fldCharType="end"/>
        </w:r>
      </w:hyperlink>
    </w:p>
    <w:p w14:paraId="0C5C9A96"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70" w:history="1">
        <w:r w:rsidR="00924E73" w:rsidRPr="006F1FB5">
          <w:rPr>
            <w:rStyle w:val="Hyperlink"/>
            <w:noProof/>
          </w:rPr>
          <w:t>Figure III. 7.1 General Hydroformylation reaction</w:t>
        </w:r>
        <w:r w:rsidR="00924E73">
          <w:rPr>
            <w:noProof/>
            <w:webHidden/>
          </w:rPr>
          <w:tab/>
        </w:r>
        <w:r w:rsidR="00924E73">
          <w:rPr>
            <w:noProof/>
            <w:webHidden/>
          </w:rPr>
          <w:fldChar w:fldCharType="begin"/>
        </w:r>
        <w:r w:rsidR="00924E73">
          <w:rPr>
            <w:noProof/>
            <w:webHidden/>
          </w:rPr>
          <w:instrText xml:space="preserve"> PAGEREF _Toc457670770 \h </w:instrText>
        </w:r>
        <w:r w:rsidR="00924E73">
          <w:rPr>
            <w:noProof/>
            <w:webHidden/>
          </w:rPr>
        </w:r>
        <w:r w:rsidR="00924E73">
          <w:rPr>
            <w:noProof/>
            <w:webHidden/>
          </w:rPr>
          <w:fldChar w:fldCharType="separate"/>
        </w:r>
        <w:r w:rsidR="000A0E3D">
          <w:rPr>
            <w:noProof/>
            <w:webHidden/>
          </w:rPr>
          <w:t>160</w:t>
        </w:r>
        <w:r w:rsidR="00924E73">
          <w:rPr>
            <w:noProof/>
            <w:webHidden/>
          </w:rPr>
          <w:fldChar w:fldCharType="end"/>
        </w:r>
      </w:hyperlink>
    </w:p>
    <w:p w14:paraId="57A314A7"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71" w:history="1">
        <w:r w:rsidR="00924E73" w:rsidRPr="006F1FB5">
          <w:rPr>
            <w:rStyle w:val="Hyperlink"/>
            <w:noProof/>
          </w:rPr>
          <w:t>Figure III. 7.2 Rhodium catalyzed hydrofomylation mechanistic cycle</w:t>
        </w:r>
        <w:r w:rsidR="00924E73">
          <w:rPr>
            <w:noProof/>
            <w:webHidden/>
          </w:rPr>
          <w:tab/>
        </w:r>
        <w:r w:rsidR="00924E73">
          <w:rPr>
            <w:noProof/>
            <w:webHidden/>
          </w:rPr>
          <w:fldChar w:fldCharType="begin"/>
        </w:r>
        <w:r w:rsidR="00924E73">
          <w:rPr>
            <w:noProof/>
            <w:webHidden/>
          </w:rPr>
          <w:instrText xml:space="preserve"> PAGEREF _Toc457670771 \h </w:instrText>
        </w:r>
        <w:r w:rsidR="00924E73">
          <w:rPr>
            <w:noProof/>
            <w:webHidden/>
          </w:rPr>
        </w:r>
        <w:r w:rsidR="00924E73">
          <w:rPr>
            <w:noProof/>
            <w:webHidden/>
          </w:rPr>
          <w:fldChar w:fldCharType="separate"/>
        </w:r>
        <w:r w:rsidR="000A0E3D">
          <w:rPr>
            <w:noProof/>
            <w:webHidden/>
          </w:rPr>
          <w:t>161</w:t>
        </w:r>
        <w:r w:rsidR="00924E73">
          <w:rPr>
            <w:noProof/>
            <w:webHidden/>
          </w:rPr>
          <w:fldChar w:fldCharType="end"/>
        </w:r>
      </w:hyperlink>
    </w:p>
    <w:p w14:paraId="265C324C"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72" w:history="1">
        <w:r w:rsidR="00924E73" w:rsidRPr="006F1FB5">
          <w:rPr>
            <w:rStyle w:val="Hyperlink"/>
            <w:noProof/>
          </w:rPr>
          <w:t>Figure III. 7.3 DODH/Hydroformylation tandem concept</w:t>
        </w:r>
        <w:r w:rsidR="00924E73">
          <w:rPr>
            <w:noProof/>
            <w:webHidden/>
          </w:rPr>
          <w:tab/>
        </w:r>
        <w:r w:rsidR="00924E73">
          <w:rPr>
            <w:noProof/>
            <w:webHidden/>
          </w:rPr>
          <w:fldChar w:fldCharType="begin"/>
        </w:r>
        <w:r w:rsidR="00924E73">
          <w:rPr>
            <w:noProof/>
            <w:webHidden/>
          </w:rPr>
          <w:instrText xml:space="preserve"> PAGEREF _Toc457670772 \h </w:instrText>
        </w:r>
        <w:r w:rsidR="00924E73">
          <w:rPr>
            <w:noProof/>
            <w:webHidden/>
          </w:rPr>
        </w:r>
        <w:r w:rsidR="00924E73">
          <w:rPr>
            <w:noProof/>
            <w:webHidden/>
          </w:rPr>
          <w:fldChar w:fldCharType="separate"/>
        </w:r>
        <w:r w:rsidR="000A0E3D">
          <w:rPr>
            <w:noProof/>
            <w:webHidden/>
          </w:rPr>
          <w:t>162</w:t>
        </w:r>
        <w:r w:rsidR="00924E73">
          <w:rPr>
            <w:noProof/>
            <w:webHidden/>
          </w:rPr>
          <w:fldChar w:fldCharType="end"/>
        </w:r>
      </w:hyperlink>
    </w:p>
    <w:p w14:paraId="3A02491A"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73" w:history="1">
        <w:r w:rsidR="00924E73" w:rsidRPr="006F1FB5">
          <w:rPr>
            <w:rStyle w:val="Hyperlink"/>
            <w:noProof/>
          </w:rPr>
          <w:t>Figure III. 7.4 Abu-Omar DODH of 1,2-hexanediol with H</w:t>
        </w:r>
        <w:r w:rsidR="00924E73" w:rsidRPr="006F1FB5">
          <w:rPr>
            <w:rStyle w:val="Hyperlink"/>
            <w:noProof/>
            <w:vertAlign w:val="subscript"/>
          </w:rPr>
          <w:t>2</w:t>
        </w:r>
        <w:r w:rsidR="00924E73" w:rsidRPr="006F1FB5">
          <w:rPr>
            <w:rStyle w:val="Hyperlink"/>
            <w:noProof/>
          </w:rPr>
          <w:t xml:space="preserve"> as reducing agent</w:t>
        </w:r>
        <w:r w:rsidR="00924E73">
          <w:rPr>
            <w:noProof/>
            <w:webHidden/>
          </w:rPr>
          <w:tab/>
        </w:r>
        <w:r w:rsidR="00924E73">
          <w:rPr>
            <w:noProof/>
            <w:webHidden/>
          </w:rPr>
          <w:fldChar w:fldCharType="begin"/>
        </w:r>
        <w:r w:rsidR="00924E73">
          <w:rPr>
            <w:noProof/>
            <w:webHidden/>
          </w:rPr>
          <w:instrText xml:space="preserve"> PAGEREF _Toc457670773 \h </w:instrText>
        </w:r>
        <w:r w:rsidR="00924E73">
          <w:rPr>
            <w:noProof/>
            <w:webHidden/>
          </w:rPr>
        </w:r>
        <w:r w:rsidR="00924E73">
          <w:rPr>
            <w:noProof/>
            <w:webHidden/>
          </w:rPr>
          <w:fldChar w:fldCharType="separate"/>
        </w:r>
        <w:r w:rsidR="000A0E3D">
          <w:rPr>
            <w:noProof/>
            <w:webHidden/>
          </w:rPr>
          <w:t>163</w:t>
        </w:r>
        <w:r w:rsidR="00924E73">
          <w:rPr>
            <w:noProof/>
            <w:webHidden/>
          </w:rPr>
          <w:fldChar w:fldCharType="end"/>
        </w:r>
      </w:hyperlink>
    </w:p>
    <w:p w14:paraId="04BB4CD5"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74" w:history="1">
        <w:r w:rsidR="00924E73" w:rsidRPr="006F1FB5">
          <w:rPr>
            <w:rStyle w:val="Hyperlink"/>
            <w:noProof/>
          </w:rPr>
          <w:t>Figure III. 7.5 DODH of 1,2-hexanediol using H</w:t>
        </w:r>
        <w:r w:rsidR="00924E73" w:rsidRPr="006F1FB5">
          <w:rPr>
            <w:rStyle w:val="Hyperlink"/>
            <w:noProof/>
            <w:vertAlign w:val="subscript"/>
          </w:rPr>
          <w:t>2</w:t>
        </w:r>
        <w:r w:rsidR="00924E73" w:rsidRPr="006F1FB5">
          <w:rPr>
            <w:rStyle w:val="Hyperlink"/>
            <w:noProof/>
          </w:rPr>
          <w:t>/CO as reducing agent</w:t>
        </w:r>
        <w:r w:rsidR="00924E73">
          <w:rPr>
            <w:noProof/>
            <w:webHidden/>
          </w:rPr>
          <w:tab/>
        </w:r>
        <w:r w:rsidR="00924E73">
          <w:rPr>
            <w:noProof/>
            <w:webHidden/>
          </w:rPr>
          <w:fldChar w:fldCharType="begin"/>
        </w:r>
        <w:r w:rsidR="00924E73">
          <w:rPr>
            <w:noProof/>
            <w:webHidden/>
          </w:rPr>
          <w:instrText xml:space="preserve"> PAGEREF _Toc457670774 \h </w:instrText>
        </w:r>
        <w:r w:rsidR="00924E73">
          <w:rPr>
            <w:noProof/>
            <w:webHidden/>
          </w:rPr>
        </w:r>
        <w:r w:rsidR="00924E73">
          <w:rPr>
            <w:noProof/>
            <w:webHidden/>
          </w:rPr>
          <w:fldChar w:fldCharType="separate"/>
        </w:r>
        <w:r w:rsidR="000A0E3D">
          <w:rPr>
            <w:noProof/>
            <w:webHidden/>
          </w:rPr>
          <w:t>164</w:t>
        </w:r>
        <w:r w:rsidR="00924E73">
          <w:rPr>
            <w:noProof/>
            <w:webHidden/>
          </w:rPr>
          <w:fldChar w:fldCharType="end"/>
        </w:r>
      </w:hyperlink>
    </w:p>
    <w:p w14:paraId="207F2773"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75" w:history="1">
        <w:r w:rsidR="00924E73" w:rsidRPr="006F1FB5">
          <w:rPr>
            <w:rStyle w:val="Hyperlink"/>
            <w:noProof/>
          </w:rPr>
          <w:t>Figure III. 7.6 Shvo’s Ruthenium catalyst dissociation equilibrium</w:t>
        </w:r>
        <w:r w:rsidR="00924E73">
          <w:rPr>
            <w:noProof/>
            <w:webHidden/>
          </w:rPr>
          <w:tab/>
        </w:r>
        <w:r w:rsidR="00924E73">
          <w:rPr>
            <w:noProof/>
            <w:webHidden/>
          </w:rPr>
          <w:fldChar w:fldCharType="begin"/>
        </w:r>
        <w:r w:rsidR="00924E73">
          <w:rPr>
            <w:noProof/>
            <w:webHidden/>
          </w:rPr>
          <w:instrText xml:space="preserve"> PAGEREF _Toc457670775 \h </w:instrText>
        </w:r>
        <w:r w:rsidR="00924E73">
          <w:rPr>
            <w:noProof/>
            <w:webHidden/>
          </w:rPr>
        </w:r>
        <w:r w:rsidR="00924E73">
          <w:rPr>
            <w:noProof/>
            <w:webHidden/>
          </w:rPr>
          <w:fldChar w:fldCharType="separate"/>
        </w:r>
        <w:r w:rsidR="000A0E3D">
          <w:rPr>
            <w:noProof/>
            <w:webHidden/>
          </w:rPr>
          <w:t>165</w:t>
        </w:r>
        <w:r w:rsidR="00924E73">
          <w:rPr>
            <w:noProof/>
            <w:webHidden/>
          </w:rPr>
          <w:fldChar w:fldCharType="end"/>
        </w:r>
      </w:hyperlink>
    </w:p>
    <w:p w14:paraId="491936BA"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76" w:history="1">
        <w:r w:rsidR="00924E73" w:rsidRPr="006F1FB5">
          <w:rPr>
            <w:rStyle w:val="Hyperlink"/>
            <w:noProof/>
          </w:rPr>
          <w:t>Figure III. 7.7 Shvo’s catalyst cycle for hydrogen activation in aldehyde reduction</w:t>
        </w:r>
        <w:r w:rsidR="00924E73">
          <w:rPr>
            <w:noProof/>
            <w:webHidden/>
          </w:rPr>
          <w:tab/>
        </w:r>
        <w:r w:rsidR="00924E73">
          <w:rPr>
            <w:noProof/>
            <w:webHidden/>
          </w:rPr>
          <w:fldChar w:fldCharType="begin"/>
        </w:r>
        <w:r w:rsidR="00924E73">
          <w:rPr>
            <w:noProof/>
            <w:webHidden/>
          </w:rPr>
          <w:instrText xml:space="preserve"> PAGEREF _Toc457670776 \h </w:instrText>
        </w:r>
        <w:r w:rsidR="00924E73">
          <w:rPr>
            <w:noProof/>
            <w:webHidden/>
          </w:rPr>
        </w:r>
        <w:r w:rsidR="00924E73">
          <w:rPr>
            <w:noProof/>
            <w:webHidden/>
          </w:rPr>
          <w:fldChar w:fldCharType="separate"/>
        </w:r>
        <w:r w:rsidR="000A0E3D">
          <w:rPr>
            <w:noProof/>
            <w:webHidden/>
          </w:rPr>
          <w:t>165</w:t>
        </w:r>
        <w:r w:rsidR="00924E73">
          <w:rPr>
            <w:noProof/>
            <w:webHidden/>
          </w:rPr>
          <w:fldChar w:fldCharType="end"/>
        </w:r>
      </w:hyperlink>
    </w:p>
    <w:p w14:paraId="67555024"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77" w:history="1">
        <w:r w:rsidR="00924E73" w:rsidRPr="006F1FB5">
          <w:rPr>
            <w:rStyle w:val="Hyperlink"/>
            <w:noProof/>
          </w:rPr>
          <w:t>Figure III. 7.8 Synthesis of iron analogues to Shvo’s catalyst</w:t>
        </w:r>
        <w:r w:rsidR="00924E73">
          <w:rPr>
            <w:noProof/>
            <w:webHidden/>
          </w:rPr>
          <w:tab/>
        </w:r>
        <w:r w:rsidR="00924E73">
          <w:rPr>
            <w:noProof/>
            <w:webHidden/>
          </w:rPr>
          <w:fldChar w:fldCharType="begin"/>
        </w:r>
        <w:r w:rsidR="00924E73">
          <w:rPr>
            <w:noProof/>
            <w:webHidden/>
          </w:rPr>
          <w:instrText xml:space="preserve"> PAGEREF _Toc457670777 \h </w:instrText>
        </w:r>
        <w:r w:rsidR="00924E73">
          <w:rPr>
            <w:noProof/>
            <w:webHidden/>
          </w:rPr>
        </w:r>
        <w:r w:rsidR="00924E73">
          <w:rPr>
            <w:noProof/>
            <w:webHidden/>
          </w:rPr>
          <w:fldChar w:fldCharType="separate"/>
        </w:r>
        <w:r w:rsidR="000A0E3D">
          <w:rPr>
            <w:noProof/>
            <w:webHidden/>
          </w:rPr>
          <w:t>166</w:t>
        </w:r>
        <w:r w:rsidR="00924E73">
          <w:rPr>
            <w:noProof/>
            <w:webHidden/>
          </w:rPr>
          <w:fldChar w:fldCharType="end"/>
        </w:r>
      </w:hyperlink>
    </w:p>
    <w:p w14:paraId="4EF0555C"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78" w:history="1">
        <w:r w:rsidR="00924E73" w:rsidRPr="006F1FB5">
          <w:rPr>
            <w:rStyle w:val="Hyperlink"/>
            <w:noProof/>
          </w:rPr>
          <w:t>Figure III. 7.9 DODH of 1,2-hexanediol using 1 as hydrogen activating catalyst</w:t>
        </w:r>
        <w:r w:rsidR="00924E73">
          <w:rPr>
            <w:noProof/>
            <w:webHidden/>
          </w:rPr>
          <w:tab/>
        </w:r>
        <w:r w:rsidR="00924E73">
          <w:rPr>
            <w:noProof/>
            <w:webHidden/>
          </w:rPr>
          <w:fldChar w:fldCharType="begin"/>
        </w:r>
        <w:r w:rsidR="00924E73">
          <w:rPr>
            <w:noProof/>
            <w:webHidden/>
          </w:rPr>
          <w:instrText xml:space="preserve"> PAGEREF _Toc457670778 \h </w:instrText>
        </w:r>
        <w:r w:rsidR="00924E73">
          <w:rPr>
            <w:noProof/>
            <w:webHidden/>
          </w:rPr>
        </w:r>
        <w:r w:rsidR="00924E73">
          <w:rPr>
            <w:noProof/>
            <w:webHidden/>
          </w:rPr>
          <w:fldChar w:fldCharType="separate"/>
        </w:r>
        <w:r w:rsidR="000A0E3D">
          <w:rPr>
            <w:noProof/>
            <w:webHidden/>
          </w:rPr>
          <w:t>166</w:t>
        </w:r>
        <w:r w:rsidR="00924E73">
          <w:rPr>
            <w:noProof/>
            <w:webHidden/>
          </w:rPr>
          <w:fldChar w:fldCharType="end"/>
        </w:r>
      </w:hyperlink>
    </w:p>
    <w:p w14:paraId="750793EB"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79" w:history="1">
        <w:r w:rsidR="00924E73" w:rsidRPr="006F1FB5">
          <w:rPr>
            <w:rStyle w:val="Hyperlink"/>
            <w:noProof/>
          </w:rPr>
          <w:t>Figure III. 7.10 Hydroformylation of 1-hexene</w:t>
        </w:r>
        <w:r w:rsidR="00924E73">
          <w:rPr>
            <w:noProof/>
            <w:webHidden/>
          </w:rPr>
          <w:tab/>
        </w:r>
        <w:r w:rsidR="00924E73">
          <w:rPr>
            <w:noProof/>
            <w:webHidden/>
          </w:rPr>
          <w:fldChar w:fldCharType="begin"/>
        </w:r>
        <w:r w:rsidR="00924E73">
          <w:rPr>
            <w:noProof/>
            <w:webHidden/>
          </w:rPr>
          <w:instrText xml:space="preserve"> PAGEREF _Toc457670779 \h </w:instrText>
        </w:r>
        <w:r w:rsidR="00924E73">
          <w:rPr>
            <w:noProof/>
            <w:webHidden/>
          </w:rPr>
        </w:r>
        <w:r w:rsidR="00924E73">
          <w:rPr>
            <w:noProof/>
            <w:webHidden/>
          </w:rPr>
          <w:fldChar w:fldCharType="separate"/>
        </w:r>
        <w:r w:rsidR="000A0E3D">
          <w:rPr>
            <w:noProof/>
            <w:webHidden/>
          </w:rPr>
          <w:t>167</w:t>
        </w:r>
        <w:r w:rsidR="00924E73">
          <w:rPr>
            <w:noProof/>
            <w:webHidden/>
          </w:rPr>
          <w:fldChar w:fldCharType="end"/>
        </w:r>
      </w:hyperlink>
    </w:p>
    <w:p w14:paraId="3EC294FC"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80" w:history="1">
        <w:r w:rsidR="00924E73" w:rsidRPr="006F1FB5">
          <w:rPr>
            <w:rStyle w:val="Hyperlink"/>
            <w:noProof/>
          </w:rPr>
          <w:t xml:space="preserve">Figure III. 7.11 Pakkanen Hydroformylation of 1-hexene </w:t>
        </w:r>
        <w:r w:rsidR="00924E73" w:rsidRPr="006F1FB5">
          <w:rPr>
            <w:rStyle w:val="Hyperlink"/>
            <w:rFonts w:cstheme="minorHAnsi"/>
            <w:noProof/>
            <w:vertAlign w:val="superscript"/>
          </w:rPr>
          <w:t>167</w:t>
        </w:r>
        <w:r w:rsidR="00924E73">
          <w:rPr>
            <w:noProof/>
            <w:webHidden/>
          </w:rPr>
          <w:tab/>
        </w:r>
        <w:r w:rsidR="00924E73">
          <w:rPr>
            <w:noProof/>
            <w:webHidden/>
          </w:rPr>
          <w:fldChar w:fldCharType="begin"/>
        </w:r>
        <w:r w:rsidR="00924E73">
          <w:rPr>
            <w:noProof/>
            <w:webHidden/>
          </w:rPr>
          <w:instrText xml:space="preserve"> PAGEREF _Toc457670780 \h </w:instrText>
        </w:r>
        <w:r w:rsidR="00924E73">
          <w:rPr>
            <w:noProof/>
            <w:webHidden/>
          </w:rPr>
        </w:r>
        <w:r w:rsidR="00924E73">
          <w:rPr>
            <w:noProof/>
            <w:webHidden/>
          </w:rPr>
          <w:fldChar w:fldCharType="separate"/>
        </w:r>
        <w:r w:rsidR="000A0E3D">
          <w:rPr>
            <w:noProof/>
            <w:webHidden/>
          </w:rPr>
          <w:t>169</w:t>
        </w:r>
        <w:r w:rsidR="00924E73">
          <w:rPr>
            <w:noProof/>
            <w:webHidden/>
          </w:rPr>
          <w:fldChar w:fldCharType="end"/>
        </w:r>
      </w:hyperlink>
    </w:p>
    <w:p w14:paraId="49DA4FB4"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81" w:history="1">
        <w:r w:rsidR="00924E73" w:rsidRPr="006F1FB5">
          <w:rPr>
            <w:rStyle w:val="Hyperlink"/>
            <w:noProof/>
          </w:rPr>
          <w:t>Figure III. 7.12 DODH of 1,2-hexanediol with PPh</w:t>
        </w:r>
        <w:r w:rsidR="00924E73" w:rsidRPr="006F1FB5">
          <w:rPr>
            <w:rStyle w:val="Hyperlink"/>
            <w:noProof/>
            <w:vertAlign w:val="subscript"/>
          </w:rPr>
          <w:t>3</w:t>
        </w:r>
        <w:r w:rsidR="00924E73" w:rsidRPr="006F1FB5">
          <w:rPr>
            <w:rStyle w:val="Hyperlink"/>
            <w:noProof/>
          </w:rPr>
          <w:t xml:space="preserve"> as reducing agent</w:t>
        </w:r>
        <w:r w:rsidR="00924E73">
          <w:rPr>
            <w:noProof/>
            <w:webHidden/>
          </w:rPr>
          <w:tab/>
        </w:r>
        <w:r w:rsidR="00924E73">
          <w:rPr>
            <w:noProof/>
            <w:webHidden/>
          </w:rPr>
          <w:fldChar w:fldCharType="begin"/>
        </w:r>
        <w:r w:rsidR="00924E73">
          <w:rPr>
            <w:noProof/>
            <w:webHidden/>
          </w:rPr>
          <w:instrText xml:space="preserve"> PAGEREF _Toc457670781 \h </w:instrText>
        </w:r>
        <w:r w:rsidR="00924E73">
          <w:rPr>
            <w:noProof/>
            <w:webHidden/>
          </w:rPr>
        </w:r>
        <w:r w:rsidR="00924E73">
          <w:rPr>
            <w:noProof/>
            <w:webHidden/>
          </w:rPr>
          <w:fldChar w:fldCharType="separate"/>
        </w:r>
        <w:r w:rsidR="000A0E3D">
          <w:rPr>
            <w:noProof/>
            <w:webHidden/>
          </w:rPr>
          <w:t>170</w:t>
        </w:r>
        <w:r w:rsidR="00924E73">
          <w:rPr>
            <w:noProof/>
            <w:webHidden/>
          </w:rPr>
          <w:fldChar w:fldCharType="end"/>
        </w:r>
      </w:hyperlink>
    </w:p>
    <w:p w14:paraId="57308328"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82" w:history="1">
        <w:r w:rsidR="00924E73" w:rsidRPr="006F1FB5">
          <w:rPr>
            <w:rStyle w:val="Hyperlink"/>
            <w:noProof/>
          </w:rPr>
          <w:t>Figure III. 7.13 DODH/Hydroformylation tandem reaction of 1,2-hexane diol</w:t>
        </w:r>
        <w:r w:rsidR="00924E73">
          <w:rPr>
            <w:noProof/>
            <w:webHidden/>
          </w:rPr>
          <w:tab/>
        </w:r>
        <w:r w:rsidR="00924E73">
          <w:rPr>
            <w:noProof/>
            <w:webHidden/>
          </w:rPr>
          <w:fldChar w:fldCharType="begin"/>
        </w:r>
        <w:r w:rsidR="00924E73">
          <w:rPr>
            <w:noProof/>
            <w:webHidden/>
          </w:rPr>
          <w:instrText xml:space="preserve"> PAGEREF _Toc457670782 \h </w:instrText>
        </w:r>
        <w:r w:rsidR="00924E73">
          <w:rPr>
            <w:noProof/>
            <w:webHidden/>
          </w:rPr>
        </w:r>
        <w:r w:rsidR="00924E73">
          <w:rPr>
            <w:noProof/>
            <w:webHidden/>
          </w:rPr>
          <w:fldChar w:fldCharType="separate"/>
        </w:r>
        <w:r w:rsidR="000A0E3D">
          <w:rPr>
            <w:noProof/>
            <w:webHidden/>
          </w:rPr>
          <w:t>171</w:t>
        </w:r>
        <w:r w:rsidR="00924E73">
          <w:rPr>
            <w:noProof/>
            <w:webHidden/>
          </w:rPr>
          <w:fldChar w:fldCharType="end"/>
        </w:r>
      </w:hyperlink>
    </w:p>
    <w:p w14:paraId="7B247C68"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83" w:history="1">
        <w:r w:rsidR="00924E73" w:rsidRPr="006F1FB5">
          <w:rPr>
            <w:rStyle w:val="Hyperlink"/>
            <w:noProof/>
          </w:rPr>
          <w:t>Figure III. 7.14 DODH/Hydroformylation tandem reaction of phenyl-1,2-ethanediol</w:t>
        </w:r>
        <w:r w:rsidR="00924E73">
          <w:rPr>
            <w:noProof/>
            <w:webHidden/>
          </w:rPr>
          <w:tab/>
        </w:r>
        <w:r w:rsidR="00924E73">
          <w:rPr>
            <w:noProof/>
            <w:webHidden/>
          </w:rPr>
          <w:fldChar w:fldCharType="begin"/>
        </w:r>
        <w:r w:rsidR="00924E73">
          <w:rPr>
            <w:noProof/>
            <w:webHidden/>
          </w:rPr>
          <w:instrText xml:space="preserve"> PAGEREF _Toc457670783 \h </w:instrText>
        </w:r>
        <w:r w:rsidR="00924E73">
          <w:rPr>
            <w:noProof/>
            <w:webHidden/>
          </w:rPr>
        </w:r>
        <w:r w:rsidR="00924E73">
          <w:rPr>
            <w:noProof/>
            <w:webHidden/>
          </w:rPr>
          <w:fldChar w:fldCharType="separate"/>
        </w:r>
        <w:r w:rsidR="000A0E3D">
          <w:rPr>
            <w:noProof/>
            <w:webHidden/>
          </w:rPr>
          <w:t>172</w:t>
        </w:r>
        <w:r w:rsidR="00924E73">
          <w:rPr>
            <w:noProof/>
            <w:webHidden/>
          </w:rPr>
          <w:fldChar w:fldCharType="end"/>
        </w:r>
      </w:hyperlink>
    </w:p>
    <w:p w14:paraId="41C58AAE" w14:textId="77777777" w:rsidR="00924E73" w:rsidRDefault="00443010" w:rsidP="00924E73">
      <w:pPr>
        <w:pStyle w:val="TableofFigures"/>
        <w:tabs>
          <w:tab w:val="right" w:leader="dot" w:pos="8486"/>
        </w:tabs>
        <w:spacing w:line="240" w:lineRule="auto"/>
        <w:rPr>
          <w:rFonts w:eastAsiaTheme="minorEastAsia" w:cstheme="minorBidi"/>
          <w:noProof/>
          <w:sz w:val="22"/>
          <w:szCs w:val="22"/>
          <w:lang w:bidi="ar-SA"/>
        </w:rPr>
      </w:pPr>
      <w:hyperlink w:anchor="_Toc457670784" w:history="1">
        <w:r w:rsidR="00924E73" w:rsidRPr="006F1FB5">
          <w:rPr>
            <w:rStyle w:val="Hyperlink"/>
            <w:noProof/>
          </w:rPr>
          <w:t>Figure III. 7.15 DODH/Hydroformylation tandem reaction of cis-1,2-cyclooctane diol</w:t>
        </w:r>
        <w:r w:rsidR="00924E73">
          <w:rPr>
            <w:noProof/>
            <w:webHidden/>
          </w:rPr>
          <w:tab/>
        </w:r>
        <w:r w:rsidR="00924E73">
          <w:rPr>
            <w:noProof/>
            <w:webHidden/>
          </w:rPr>
          <w:fldChar w:fldCharType="begin"/>
        </w:r>
        <w:r w:rsidR="00924E73">
          <w:rPr>
            <w:noProof/>
            <w:webHidden/>
          </w:rPr>
          <w:instrText xml:space="preserve"> PAGEREF _Toc457670784 \h </w:instrText>
        </w:r>
        <w:r w:rsidR="00924E73">
          <w:rPr>
            <w:noProof/>
            <w:webHidden/>
          </w:rPr>
        </w:r>
        <w:r w:rsidR="00924E73">
          <w:rPr>
            <w:noProof/>
            <w:webHidden/>
          </w:rPr>
          <w:fldChar w:fldCharType="separate"/>
        </w:r>
        <w:r w:rsidR="000A0E3D">
          <w:rPr>
            <w:noProof/>
            <w:webHidden/>
          </w:rPr>
          <w:t>173</w:t>
        </w:r>
        <w:r w:rsidR="00924E73">
          <w:rPr>
            <w:noProof/>
            <w:webHidden/>
          </w:rPr>
          <w:fldChar w:fldCharType="end"/>
        </w:r>
      </w:hyperlink>
    </w:p>
    <w:p w14:paraId="52661A70" w14:textId="77777777" w:rsidR="00924E73" w:rsidRDefault="000B3CA9" w:rsidP="00F76147">
      <w:pPr>
        <w:pStyle w:val="NoSpacing"/>
        <w:rPr>
          <w:noProof/>
        </w:rPr>
      </w:pPr>
      <w:r>
        <w:fldChar w:fldCharType="end"/>
      </w:r>
      <w:r w:rsidR="00662CEC">
        <w:fldChar w:fldCharType="begin"/>
      </w:r>
      <w:r w:rsidR="00662CEC">
        <w:instrText xml:space="preserve"> TOC \h \z \c "Figure" </w:instrText>
      </w:r>
      <w:r w:rsidR="00662CEC">
        <w:fldChar w:fldCharType="separate"/>
      </w:r>
    </w:p>
    <w:p w14:paraId="321123BD"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85" w:history="1">
        <w:r w:rsidR="00924E73" w:rsidRPr="008C4C6F">
          <w:rPr>
            <w:rStyle w:val="Hyperlink"/>
            <w:noProof/>
          </w:rPr>
          <w:t>Figure IV.1</w:t>
        </w:r>
        <w:r w:rsidR="00924E73" w:rsidRPr="008C4C6F">
          <w:rPr>
            <w:rStyle w:val="Hyperlink"/>
            <w:rFonts w:cstheme="minorHAnsi"/>
            <w:noProof/>
          </w:rPr>
          <w:t xml:space="preserve"> Hydrodeoxygenation (HDO) and Deoxydehydration (DODH) of alcohols</w:t>
        </w:r>
        <w:r w:rsidR="00924E73">
          <w:rPr>
            <w:noProof/>
            <w:webHidden/>
          </w:rPr>
          <w:tab/>
        </w:r>
        <w:r w:rsidR="00924E73">
          <w:rPr>
            <w:noProof/>
            <w:webHidden/>
          </w:rPr>
          <w:fldChar w:fldCharType="begin"/>
        </w:r>
        <w:r w:rsidR="00924E73">
          <w:rPr>
            <w:noProof/>
            <w:webHidden/>
          </w:rPr>
          <w:instrText xml:space="preserve"> PAGEREF _Toc457670785 \h </w:instrText>
        </w:r>
        <w:r w:rsidR="00924E73">
          <w:rPr>
            <w:noProof/>
            <w:webHidden/>
          </w:rPr>
        </w:r>
        <w:r w:rsidR="00924E73">
          <w:rPr>
            <w:noProof/>
            <w:webHidden/>
          </w:rPr>
          <w:fldChar w:fldCharType="separate"/>
        </w:r>
        <w:r w:rsidR="000A0E3D">
          <w:rPr>
            <w:noProof/>
            <w:webHidden/>
          </w:rPr>
          <w:t>187</w:t>
        </w:r>
        <w:r w:rsidR="00924E73">
          <w:rPr>
            <w:noProof/>
            <w:webHidden/>
          </w:rPr>
          <w:fldChar w:fldCharType="end"/>
        </w:r>
      </w:hyperlink>
    </w:p>
    <w:p w14:paraId="5694D676"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86" w:history="1">
        <w:r w:rsidR="00924E73" w:rsidRPr="008C4C6F">
          <w:rPr>
            <w:rStyle w:val="Hyperlink"/>
            <w:noProof/>
          </w:rPr>
          <w:t xml:space="preserve">Figure IV.2 </w:t>
        </w:r>
        <w:r w:rsidR="00924E73" w:rsidRPr="008C4C6F">
          <w:rPr>
            <w:rStyle w:val="Hyperlink"/>
            <w:rFonts w:cstheme="minorHAnsi"/>
            <w:noProof/>
          </w:rPr>
          <w:t>Deoxygenation (DO) and reductive coupling (RC) of alcohols</w:t>
        </w:r>
        <w:r w:rsidR="00924E73">
          <w:rPr>
            <w:noProof/>
            <w:webHidden/>
          </w:rPr>
          <w:tab/>
        </w:r>
        <w:r w:rsidR="00924E73">
          <w:rPr>
            <w:noProof/>
            <w:webHidden/>
          </w:rPr>
          <w:fldChar w:fldCharType="begin"/>
        </w:r>
        <w:r w:rsidR="00924E73">
          <w:rPr>
            <w:noProof/>
            <w:webHidden/>
          </w:rPr>
          <w:instrText xml:space="preserve"> PAGEREF _Toc457670786 \h </w:instrText>
        </w:r>
        <w:r w:rsidR="00924E73">
          <w:rPr>
            <w:noProof/>
            <w:webHidden/>
          </w:rPr>
        </w:r>
        <w:r w:rsidR="00924E73">
          <w:rPr>
            <w:noProof/>
            <w:webHidden/>
          </w:rPr>
          <w:fldChar w:fldCharType="separate"/>
        </w:r>
        <w:r w:rsidR="000A0E3D">
          <w:rPr>
            <w:noProof/>
            <w:webHidden/>
          </w:rPr>
          <w:t>187</w:t>
        </w:r>
        <w:r w:rsidR="00924E73">
          <w:rPr>
            <w:noProof/>
            <w:webHidden/>
          </w:rPr>
          <w:fldChar w:fldCharType="end"/>
        </w:r>
      </w:hyperlink>
    </w:p>
    <w:p w14:paraId="26F44DAD"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87" w:history="1">
        <w:r w:rsidR="00924E73" w:rsidRPr="008C4C6F">
          <w:rPr>
            <w:rStyle w:val="Hyperlink"/>
            <w:noProof/>
          </w:rPr>
          <w:t xml:space="preserve">Figure IV.3 </w:t>
        </w:r>
        <w:r w:rsidR="00924E73" w:rsidRPr="008C4C6F">
          <w:rPr>
            <w:rStyle w:val="Hyperlink"/>
            <w:rFonts w:cstheme="minorHAnsi"/>
            <w:noProof/>
          </w:rPr>
          <w:t>Other alcohols tested 2, 3 and 4</w:t>
        </w:r>
        <w:r w:rsidR="00924E73">
          <w:rPr>
            <w:noProof/>
            <w:webHidden/>
          </w:rPr>
          <w:tab/>
        </w:r>
        <w:r w:rsidR="00924E73">
          <w:rPr>
            <w:noProof/>
            <w:webHidden/>
          </w:rPr>
          <w:fldChar w:fldCharType="begin"/>
        </w:r>
        <w:r w:rsidR="00924E73">
          <w:rPr>
            <w:noProof/>
            <w:webHidden/>
          </w:rPr>
          <w:instrText xml:space="preserve"> PAGEREF _Toc457670787 \h </w:instrText>
        </w:r>
        <w:r w:rsidR="00924E73">
          <w:rPr>
            <w:noProof/>
            <w:webHidden/>
          </w:rPr>
        </w:r>
        <w:r w:rsidR="00924E73">
          <w:rPr>
            <w:noProof/>
            <w:webHidden/>
          </w:rPr>
          <w:fldChar w:fldCharType="separate"/>
        </w:r>
        <w:r w:rsidR="000A0E3D">
          <w:rPr>
            <w:noProof/>
            <w:webHidden/>
          </w:rPr>
          <w:t>189</w:t>
        </w:r>
        <w:r w:rsidR="00924E73">
          <w:rPr>
            <w:noProof/>
            <w:webHidden/>
          </w:rPr>
          <w:fldChar w:fldCharType="end"/>
        </w:r>
      </w:hyperlink>
    </w:p>
    <w:p w14:paraId="0554B367"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88" w:history="1">
        <w:r w:rsidR="00924E73" w:rsidRPr="008C4C6F">
          <w:rPr>
            <w:rStyle w:val="Hyperlink"/>
            <w:noProof/>
          </w:rPr>
          <w:t xml:space="preserve">Figure IV.4 </w:t>
        </w:r>
        <w:r w:rsidR="00924E73" w:rsidRPr="008C4C6F">
          <w:rPr>
            <w:rStyle w:val="Hyperlink"/>
            <w:rFonts w:cstheme="minorHAnsi"/>
            <w:noProof/>
          </w:rPr>
          <w:t>Possible catalytic cycle for deoxygenation and reductive coupling</w:t>
        </w:r>
        <w:r w:rsidR="00924E73">
          <w:rPr>
            <w:noProof/>
            <w:webHidden/>
          </w:rPr>
          <w:tab/>
        </w:r>
        <w:r w:rsidR="00924E73">
          <w:rPr>
            <w:noProof/>
            <w:webHidden/>
          </w:rPr>
          <w:fldChar w:fldCharType="begin"/>
        </w:r>
        <w:r w:rsidR="00924E73">
          <w:rPr>
            <w:noProof/>
            <w:webHidden/>
          </w:rPr>
          <w:instrText xml:space="preserve"> PAGEREF _Toc457670788 \h </w:instrText>
        </w:r>
        <w:r w:rsidR="00924E73">
          <w:rPr>
            <w:noProof/>
            <w:webHidden/>
          </w:rPr>
        </w:r>
        <w:r w:rsidR="00924E73">
          <w:rPr>
            <w:noProof/>
            <w:webHidden/>
          </w:rPr>
          <w:fldChar w:fldCharType="separate"/>
        </w:r>
        <w:r w:rsidR="000A0E3D">
          <w:rPr>
            <w:noProof/>
            <w:webHidden/>
          </w:rPr>
          <w:t>191</w:t>
        </w:r>
        <w:r w:rsidR="00924E73">
          <w:rPr>
            <w:noProof/>
            <w:webHidden/>
          </w:rPr>
          <w:fldChar w:fldCharType="end"/>
        </w:r>
      </w:hyperlink>
    </w:p>
    <w:p w14:paraId="1D7329D2"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89" w:history="1">
        <w:r w:rsidR="00924E73" w:rsidRPr="008C4C6F">
          <w:rPr>
            <w:rStyle w:val="Hyperlink"/>
            <w:noProof/>
          </w:rPr>
          <w:t>Figure IV.5</w:t>
        </w:r>
        <w:r w:rsidR="00924E73" w:rsidRPr="008C4C6F">
          <w:rPr>
            <w:rStyle w:val="Hyperlink"/>
            <w:rFonts w:cstheme="minorHAnsi"/>
            <w:noProof/>
          </w:rPr>
          <w:t xml:space="preserve"> (Non)Effect of H-Donors on reductive coupling</w:t>
        </w:r>
        <w:r w:rsidR="00924E73">
          <w:rPr>
            <w:noProof/>
            <w:webHidden/>
          </w:rPr>
          <w:tab/>
        </w:r>
        <w:r w:rsidR="00924E73">
          <w:rPr>
            <w:noProof/>
            <w:webHidden/>
          </w:rPr>
          <w:fldChar w:fldCharType="begin"/>
        </w:r>
        <w:r w:rsidR="00924E73">
          <w:rPr>
            <w:noProof/>
            <w:webHidden/>
          </w:rPr>
          <w:instrText xml:space="preserve"> PAGEREF _Toc457670789 \h </w:instrText>
        </w:r>
        <w:r w:rsidR="00924E73">
          <w:rPr>
            <w:noProof/>
            <w:webHidden/>
          </w:rPr>
        </w:r>
        <w:r w:rsidR="00924E73">
          <w:rPr>
            <w:noProof/>
            <w:webHidden/>
          </w:rPr>
          <w:fldChar w:fldCharType="separate"/>
        </w:r>
        <w:r w:rsidR="000A0E3D">
          <w:rPr>
            <w:noProof/>
            <w:webHidden/>
          </w:rPr>
          <w:t>192</w:t>
        </w:r>
        <w:r w:rsidR="00924E73">
          <w:rPr>
            <w:noProof/>
            <w:webHidden/>
          </w:rPr>
          <w:fldChar w:fldCharType="end"/>
        </w:r>
      </w:hyperlink>
    </w:p>
    <w:p w14:paraId="661827FE"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90" w:history="1">
        <w:r w:rsidR="00924E73" w:rsidRPr="008C4C6F">
          <w:rPr>
            <w:rStyle w:val="Hyperlink"/>
            <w:noProof/>
          </w:rPr>
          <w:t xml:space="preserve">Figure IV.6 </w:t>
        </w:r>
        <w:r w:rsidR="00924E73" w:rsidRPr="008C4C6F">
          <w:rPr>
            <w:rStyle w:val="Hyperlink"/>
            <w:rFonts w:cstheme="minorHAnsi"/>
            <w:noProof/>
          </w:rPr>
          <w:t>Calculated energetics of MeReO</w:t>
        </w:r>
        <w:r w:rsidR="00924E73" w:rsidRPr="008C4C6F">
          <w:rPr>
            <w:rStyle w:val="Hyperlink"/>
            <w:rFonts w:cstheme="minorHAnsi"/>
            <w:noProof/>
            <w:vertAlign w:val="subscript"/>
          </w:rPr>
          <w:t>2</w:t>
        </w:r>
        <w:r w:rsidR="00924E73" w:rsidRPr="008C4C6F">
          <w:rPr>
            <w:rStyle w:val="Hyperlink"/>
            <w:rFonts w:cstheme="minorHAnsi"/>
            <w:noProof/>
          </w:rPr>
          <w:t>-promoted alcohol deoxygenation</w:t>
        </w:r>
        <w:r w:rsidR="00924E73">
          <w:rPr>
            <w:noProof/>
            <w:webHidden/>
          </w:rPr>
          <w:tab/>
        </w:r>
        <w:r w:rsidR="00924E73">
          <w:rPr>
            <w:noProof/>
            <w:webHidden/>
          </w:rPr>
          <w:fldChar w:fldCharType="begin"/>
        </w:r>
        <w:r w:rsidR="00924E73">
          <w:rPr>
            <w:noProof/>
            <w:webHidden/>
          </w:rPr>
          <w:instrText xml:space="preserve"> PAGEREF _Toc457670790 \h </w:instrText>
        </w:r>
        <w:r w:rsidR="00924E73">
          <w:rPr>
            <w:noProof/>
            <w:webHidden/>
          </w:rPr>
        </w:r>
        <w:r w:rsidR="00924E73">
          <w:rPr>
            <w:noProof/>
            <w:webHidden/>
          </w:rPr>
          <w:fldChar w:fldCharType="separate"/>
        </w:r>
        <w:r w:rsidR="000A0E3D">
          <w:rPr>
            <w:noProof/>
            <w:webHidden/>
          </w:rPr>
          <w:t>193</w:t>
        </w:r>
        <w:r w:rsidR="00924E73">
          <w:rPr>
            <w:noProof/>
            <w:webHidden/>
          </w:rPr>
          <w:fldChar w:fldCharType="end"/>
        </w:r>
      </w:hyperlink>
    </w:p>
    <w:p w14:paraId="47C318C9"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91" w:history="1">
        <w:r w:rsidR="00924E73" w:rsidRPr="008C4C6F">
          <w:rPr>
            <w:rStyle w:val="Hyperlink"/>
            <w:noProof/>
          </w:rPr>
          <w:t>Figure IV.7 Pre-catalyst IReO</w:t>
        </w:r>
        <w:r w:rsidR="00924E73" w:rsidRPr="008C4C6F">
          <w:rPr>
            <w:rStyle w:val="Hyperlink"/>
            <w:noProof/>
            <w:vertAlign w:val="subscript"/>
          </w:rPr>
          <w:t>2</w:t>
        </w:r>
        <w:r w:rsidR="00924E73" w:rsidRPr="008C4C6F">
          <w:rPr>
            <w:rStyle w:val="Hyperlink"/>
            <w:noProof/>
          </w:rPr>
          <w:t>(PPh</w:t>
        </w:r>
        <w:r w:rsidR="00924E73" w:rsidRPr="008C4C6F">
          <w:rPr>
            <w:rStyle w:val="Hyperlink"/>
            <w:noProof/>
            <w:vertAlign w:val="subscript"/>
          </w:rPr>
          <w:t>3</w:t>
        </w:r>
        <w:r w:rsidR="00924E73" w:rsidRPr="008C4C6F">
          <w:rPr>
            <w:rStyle w:val="Hyperlink"/>
            <w:noProof/>
          </w:rPr>
          <w:t>)</w:t>
        </w:r>
        <w:r w:rsidR="00924E73" w:rsidRPr="008C4C6F">
          <w:rPr>
            <w:rStyle w:val="Hyperlink"/>
            <w:noProof/>
            <w:vertAlign w:val="subscript"/>
          </w:rPr>
          <w:t>2</w:t>
        </w:r>
        <w:r w:rsidR="00924E73">
          <w:rPr>
            <w:noProof/>
            <w:webHidden/>
          </w:rPr>
          <w:tab/>
        </w:r>
        <w:r w:rsidR="00924E73">
          <w:rPr>
            <w:noProof/>
            <w:webHidden/>
          </w:rPr>
          <w:fldChar w:fldCharType="begin"/>
        </w:r>
        <w:r w:rsidR="00924E73">
          <w:rPr>
            <w:noProof/>
            <w:webHidden/>
          </w:rPr>
          <w:instrText xml:space="preserve"> PAGEREF _Toc457670791 \h </w:instrText>
        </w:r>
        <w:r w:rsidR="00924E73">
          <w:rPr>
            <w:noProof/>
            <w:webHidden/>
          </w:rPr>
        </w:r>
        <w:r w:rsidR="00924E73">
          <w:rPr>
            <w:noProof/>
            <w:webHidden/>
          </w:rPr>
          <w:fldChar w:fldCharType="separate"/>
        </w:r>
        <w:r w:rsidR="000A0E3D">
          <w:rPr>
            <w:noProof/>
            <w:webHidden/>
          </w:rPr>
          <w:t>194</w:t>
        </w:r>
        <w:r w:rsidR="00924E73">
          <w:rPr>
            <w:noProof/>
            <w:webHidden/>
          </w:rPr>
          <w:fldChar w:fldCharType="end"/>
        </w:r>
      </w:hyperlink>
    </w:p>
    <w:p w14:paraId="229AA4DF"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92" w:history="1">
        <w:r w:rsidR="00924E73" w:rsidRPr="008C4C6F">
          <w:rPr>
            <w:rStyle w:val="Hyperlink"/>
            <w:noProof/>
          </w:rPr>
          <w:t xml:space="preserve">Figure IV.8 </w:t>
        </w:r>
        <w:r w:rsidR="00924E73" w:rsidRPr="008C4C6F">
          <w:rPr>
            <w:rStyle w:val="Hyperlink"/>
            <w:rFonts w:cstheme="minorHAnsi"/>
            <w:noProof/>
          </w:rPr>
          <w:t>Color changes of the pre-catalyst IReO</w:t>
        </w:r>
        <w:r w:rsidR="00924E73" w:rsidRPr="008C4C6F">
          <w:rPr>
            <w:rStyle w:val="Hyperlink"/>
            <w:rFonts w:cstheme="minorHAnsi"/>
            <w:noProof/>
            <w:vertAlign w:val="subscript"/>
          </w:rPr>
          <w:t>2</w:t>
        </w:r>
        <w:r w:rsidR="00924E73" w:rsidRPr="008C4C6F">
          <w:rPr>
            <w:rStyle w:val="Hyperlink"/>
            <w:rFonts w:cstheme="minorHAnsi"/>
            <w:noProof/>
          </w:rPr>
          <w:t>(PPh</w:t>
        </w:r>
        <w:r w:rsidR="00924E73" w:rsidRPr="008C4C6F">
          <w:rPr>
            <w:rStyle w:val="Hyperlink"/>
            <w:rFonts w:cstheme="minorHAnsi"/>
            <w:noProof/>
            <w:vertAlign w:val="subscript"/>
          </w:rPr>
          <w:t>3</w:t>
        </w:r>
        <w:r w:rsidR="00924E73" w:rsidRPr="008C4C6F">
          <w:rPr>
            <w:rStyle w:val="Hyperlink"/>
            <w:rFonts w:cstheme="minorHAnsi"/>
            <w:noProof/>
          </w:rPr>
          <w:t>)</w:t>
        </w:r>
        <w:r w:rsidR="00924E73" w:rsidRPr="008C4C6F">
          <w:rPr>
            <w:rStyle w:val="Hyperlink"/>
            <w:rFonts w:cstheme="minorHAnsi"/>
            <w:noProof/>
            <w:vertAlign w:val="subscript"/>
          </w:rPr>
          <w:t>2</w:t>
        </w:r>
        <w:r w:rsidR="00924E73" w:rsidRPr="008C4C6F">
          <w:rPr>
            <w:rStyle w:val="Hyperlink"/>
            <w:rFonts w:cstheme="minorHAnsi"/>
            <w:noProof/>
          </w:rPr>
          <w:t xml:space="preserve"> in solution</w:t>
        </w:r>
        <w:r w:rsidR="00924E73">
          <w:rPr>
            <w:noProof/>
            <w:webHidden/>
          </w:rPr>
          <w:tab/>
        </w:r>
        <w:r w:rsidR="00924E73">
          <w:rPr>
            <w:noProof/>
            <w:webHidden/>
          </w:rPr>
          <w:fldChar w:fldCharType="begin"/>
        </w:r>
        <w:r w:rsidR="00924E73">
          <w:rPr>
            <w:noProof/>
            <w:webHidden/>
          </w:rPr>
          <w:instrText xml:space="preserve"> PAGEREF _Toc457670792 \h </w:instrText>
        </w:r>
        <w:r w:rsidR="00924E73">
          <w:rPr>
            <w:noProof/>
            <w:webHidden/>
          </w:rPr>
        </w:r>
        <w:r w:rsidR="00924E73">
          <w:rPr>
            <w:noProof/>
            <w:webHidden/>
          </w:rPr>
          <w:fldChar w:fldCharType="separate"/>
        </w:r>
        <w:r w:rsidR="000A0E3D">
          <w:rPr>
            <w:noProof/>
            <w:webHidden/>
          </w:rPr>
          <w:t>194</w:t>
        </w:r>
        <w:r w:rsidR="00924E73">
          <w:rPr>
            <w:noProof/>
            <w:webHidden/>
          </w:rPr>
          <w:fldChar w:fldCharType="end"/>
        </w:r>
      </w:hyperlink>
    </w:p>
    <w:p w14:paraId="21B3CE4A"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93" w:history="1">
        <w:r w:rsidR="00924E73" w:rsidRPr="008C4C6F">
          <w:rPr>
            <w:rStyle w:val="Hyperlink"/>
            <w:noProof/>
          </w:rPr>
          <w:t xml:space="preserve">Figure IV.9 </w:t>
        </w:r>
        <w:r w:rsidR="00924E73" w:rsidRPr="008C4C6F">
          <w:rPr>
            <w:rStyle w:val="Hyperlink"/>
            <w:rFonts w:cstheme="minorHAnsi"/>
            <w:noProof/>
          </w:rPr>
          <w:t>Pre-catalyst ligand dissociation equilibrium in solution</w:t>
        </w:r>
        <w:r w:rsidR="00924E73">
          <w:rPr>
            <w:noProof/>
            <w:webHidden/>
          </w:rPr>
          <w:tab/>
        </w:r>
        <w:r w:rsidR="00924E73">
          <w:rPr>
            <w:noProof/>
            <w:webHidden/>
          </w:rPr>
          <w:fldChar w:fldCharType="begin"/>
        </w:r>
        <w:r w:rsidR="00924E73">
          <w:rPr>
            <w:noProof/>
            <w:webHidden/>
          </w:rPr>
          <w:instrText xml:space="preserve"> PAGEREF _Toc457670793 \h </w:instrText>
        </w:r>
        <w:r w:rsidR="00924E73">
          <w:rPr>
            <w:noProof/>
            <w:webHidden/>
          </w:rPr>
        </w:r>
        <w:r w:rsidR="00924E73">
          <w:rPr>
            <w:noProof/>
            <w:webHidden/>
          </w:rPr>
          <w:fldChar w:fldCharType="separate"/>
        </w:r>
        <w:r w:rsidR="000A0E3D">
          <w:rPr>
            <w:noProof/>
            <w:webHidden/>
          </w:rPr>
          <w:t>195</w:t>
        </w:r>
        <w:r w:rsidR="00924E73">
          <w:rPr>
            <w:noProof/>
            <w:webHidden/>
          </w:rPr>
          <w:fldChar w:fldCharType="end"/>
        </w:r>
      </w:hyperlink>
    </w:p>
    <w:p w14:paraId="09FDA71B"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94" w:history="1">
        <w:r w:rsidR="00924E73" w:rsidRPr="008C4C6F">
          <w:rPr>
            <w:rStyle w:val="Hyperlink"/>
            <w:noProof/>
          </w:rPr>
          <w:t xml:space="preserve">Figure IV.10 </w:t>
        </w:r>
        <w:r w:rsidR="00924E73" w:rsidRPr="008C4C6F">
          <w:rPr>
            <w:rStyle w:val="Hyperlink"/>
            <w:rFonts w:cstheme="minorHAnsi"/>
            <w:noProof/>
            <w:vertAlign w:val="superscript"/>
          </w:rPr>
          <w:t>1</w:t>
        </w:r>
        <w:r w:rsidR="00924E73" w:rsidRPr="008C4C6F">
          <w:rPr>
            <w:rStyle w:val="Hyperlink"/>
            <w:rFonts w:cstheme="minorHAnsi"/>
            <w:noProof/>
          </w:rPr>
          <w:t xml:space="preserve">H (left) and </w:t>
        </w:r>
        <w:r w:rsidR="00924E73" w:rsidRPr="008C4C6F">
          <w:rPr>
            <w:rStyle w:val="Hyperlink"/>
            <w:rFonts w:cstheme="minorHAnsi"/>
            <w:noProof/>
            <w:vertAlign w:val="superscript"/>
          </w:rPr>
          <w:t>31</w:t>
        </w:r>
        <w:r w:rsidR="00924E73" w:rsidRPr="008C4C6F">
          <w:rPr>
            <w:rStyle w:val="Hyperlink"/>
            <w:rFonts w:cstheme="minorHAnsi"/>
            <w:noProof/>
          </w:rPr>
          <w:t>P (right) NMR spectra of sample B over a month</w:t>
        </w:r>
        <w:r w:rsidR="00924E73">
          <w:rPr>
            <w:noProof/>
            <w:webHidden/>
          </w:rPr>
          <w:tab/>
        </w:r>
        <w:r w:rsidR="00924E73">
          <w:rPr>
            <w:noProof/>
            <w:webHidden/>
          </w:rPr>
          <w:fldChar w:fldCharType="begin"/>
        </w:r>
        <w:r w:rsidR="00924E73">
          <w:rPr>
            <w:noProof/>
            <w:webHidden/>
          </w:rPr>
          <w:instrText xml:space="preserve"> PAGEREF _Toc457670794 \h </w:instrText>
        </w:r>
        <w:r w:rsidR="00924E73">
          <w:rPr>
            <w:noProof/>
            <w:webHidden/>
          </w:rPr>
        </w:r>
        <w:r w:rsidR="00924E73">
          <w:rPr>
            <w:noProof/>
            <w:webHidden/>
          </w:rPr>
          <w:fldChar w:fldCharType="separate"/>
        </w:r>
        <w:r w:rsidR="000A0E3D">
          <w:rPr>
            <w:noProof/>
            <w:webHidden/>
          </w:rPr>
          <w:t>198</w:t>
        </w:r>
        <w:r w:rsidR="00924E73">
          <w:rPr>
            <w:noProof/>
            <w:webHidden/>
          </w:rPr>
          <w:fldChar w:fldCharType="end"/>
        </w:r>
      </w:hyperlink>
    </w:p>
    <w:p w14:paraId="63006F74"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95" w:history="1">
        <w:r w:rsidR="00924E73" w:rsidRPr="008C4C6F">
          <w:rPr>
            <w:rStyle w:val="Hyperlink"/>
            <w:noProof/>
          </w:rPr>
          <w:t xml:space="preserve">Figure IV.11 </w:t>
        </w:r>
        <w:r w:rsidR="00924E73" w:rsidRPr="008C4C6F">
          <w:rPr>
            <w:rStyle w:val="Hyperlink"/>
            <w:rFonts w:cstheme="minorHAnsi"/>
            <w:noProof/>
            <w:vertAlign w:val="superscript"/>
          </w:rPr>
          <w:t>1</w:t>
        </w:r>
        <w:r w:rsidR="00924E73" w:rsidRPr="008C4C6F">
          <w:rPr>
            <w:rStyle w:val="Hyperlink"/>
            <w:rFonts w:cstheme="minorHAnsi"/>
            <w:noProof/>
          </w:rPr>
          <w:t xml:space="preserve">H (left) and </w:t>
        </w:r>
        <w:r w:rsidR="00924E73" w:rsidRPr="008C4C6F">
          <w:rPr>
            <w:rStyle w:val="Hyperlink"/>
            <w:rFonts w:cstheme="minorHAnsi"/>
            <w:noProof/>
            <w:vertAlign w:val="superscript"/>
          </w:rPr>
          <w:t>31</w:t>
        </w:r>
        <w:r w:rsidR="00924E73" w:rsidRPr="008C4C6F">
          <w:rPr>
            <w:rStyle w:val="Hyperlink"/>
            <w:rFonts w:cstheme="minorHAnsi"/>
            <w:noProof/>
          </w:rPr>
          <w:t>P (right) NMR spectra of sample D room temperature to 50</w:t>
        </w:r>
        <w:r w:rsidR="00924E73" w:rsidRPr="008C4C6F">
          <w:rPr>
            <w:rStyle w:val="Hyperlink"/>
            <w:rFonts w:cstheme="minorHAnsi"/>
            <w:noProof/>
            <w:vertAlign w:val="superscript"/>
          </w:rPr>
          <w:t>o</w:t>
        </w:r>
        <w:r w:rsidR="00924E73" w:rsidRPr="008C4C6F">
          <w:rPr>
            <w:rStyle w:val="Hyperlink"/>
            <w:rFonts w:cstheme="minorHAnsi"/>
            <w:noProof/>
          </w:rPr>
          <w:t>C</w:t>
        </w:r>
        <w:r w:rsidR="00924E73">
          <w:rPr>
            <w:noProof/>
            <w:webHidden/>
          </w:rPr>
          <w:tab/>
        </w:r>
        <w:r w:rsidR="00924E73">
          <w:rPr>
            <w:noProof/>
            <w:webHidden/>
          </w:rPr>
          <w:fldChar w:fldCharType="begin"/>
        </w:r>
        <w:r w:rsidR="00924E73">
          <w:rPr>
            <w:noProof/>
            <w:webHidden/>
          </w:rPr>
          <w:instrText xml:space="preserve"> PAGEREF _Toc457670795 \h </w:instrText>
        </w:r>
        <w:r w:rsidR="00924E73">
          <w:rPr>
            <w:noProof/>
            <w:webHidden/>
          </w:rPr>
        </w:r>
        <w:r w:rsidR="00924E73">
          <w:rPr>
            <w:noProof/>
            <w:webHidden/>
          </w:rPr>
          <w:fldChar w:fldCharType="separate"/>
        </w:r>
        <w:r w:rsidR="000A0E3D">
          <w:rPr>
            <w:noProof/>
            <w:webHidden/>
          </w:rPr>
          <w:t>200</w:t>
        </w:r>
        <w:r w:rsidR="00924E73">
          <w:rPr>
            <w:noProof/>
            <w:webHidden/>
          </w:rPr>
          <w:fldChar w:fldCharType="end"/>
        </w:r>
      </w:hyperlink>
    </w:p>
    <w:p w14:paraId="22C09B45"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96" w:history="1">
        <w:r w:rsidR="00924E73" w:rsidRPr="008C4C6F">
          <w:rPr>
            <w:rStyle w:val="Hyperlink"/>
            <w:noProof/>
          </w:rPr>
          <w:t xml:space="preserve">Figure IV.12 </w:t>
        </w:r>
        <w:r w:rsidR="00924E73" w:rsidRPr="008C4C6F">
          <w:rPr>
            <w:rStyle w:val="Hyperlink"/>
            <w:rFonts w:cstheme="minorHAnsi"/>
            <w:noProof/>
          </w:rPr>
          <w:t>Formation of phosphine oxide-rhenium complex</w:t>
        </w:r>
        <w:r w:rsidR="00924E73">
          <w:rPr>
            <w:noProof/>
            <w:webHidden/>
          </w:rPr>
          <w:tab/>
        </w:r>
        <w:r w:rsidR="00924E73">
          <w:rPr>
            <w:noProof/>
            <w:webHidden/>
          </w:rPr>
          <w:fldChar w:fldCharType="begin"/>
        </w:r>
        <w:r w:rsidR="00924E73">
          <w:rPr>
            <w:noProof/>
            <w:webHidden/>
          </w:rPr>
          <w:instrText xml:space="preserve"> PAGEREF _Toc457670796 \h </w:instrText>
        </w:r>
        <w:r w:rsidR="00924E73">
          <w:rPr>
            <w:noProof/>
            <w:webHidden/>
          </w:rPr>
        </w:r>
        <w:r w:rsidR="00924E73">
          <w:rPr>
            <w:noProof/>
            <w:webHidden/>
          </w:rPr>
          <w:fldChar w:fldCharType="separate"/>
        </w:r>
        <w:r w:rsidR="000A0E3D">
          <w:rPr>
            <w:noProof/>
            <w:webHidden/>
          </w:rPr>
          <w:t>201</w:t>
        </w:r>
        <w:r w:rsidR="00924E73">
          <w:rPr>
            <w:noProof/>
            <w:webHidden/>
          </w:rPr>
          <w:fldChar w:fldCharType="end"/>
        </w:r>
      </w:hyperlink>
    </w:p>
    <w:p w14:paraId="52116FA5"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97" w:history="1">
        <w:r w:rsidR="00924E73" w:rsidRPr="008C4C6F">
          <w:rPr>
            <w:rStyle w:val="Hyperlink"/>
            <w:noProof/>
          </w:rPr>
          <w:t xml:space="preserve">Figure IV.13 </w:t>
        </w:r>
        <w:r w:rsidR="00924E73" w:rsidRPr="008C4C6F">
          <w:rPr>
            <w:rStyle w:val="Hyperlink"/>
            <w:rFonts w:cstheme="minorHAnsi"/>
            <w:noProof/>
          </w:rPr>
          <w:t>List of the alcohols studied</w:t>
        </w:r>
        <w:r w:rsidR="00924E73">
          <w:rPr>
            <w:noProof/>
            <w:webHidden/>
          </w:rPr>
          <w:tab/>
        </w:r>
        <w:r w:rsidR="00924E73">
          <w:rPr>
            <w:noProof/>
            <w:webHidden/>
          </w:rPr>
          <w:fldChar w:fldCharType="begin"/>
        </w:r>
        <w:r w:rsidR="00924E73">
          <w:rPr>
            <w:noProof/>
            <w:webHidden/>
          </w:rPr>
          <w:instrText xml:space="preserve"> PAGEREF _Toc457670797 \h </w:instrText>
        </w:r>
        <w:r w:rsidR="00924E73">
          <w:rPr>
            <w:noProof/>
            <w:webHidden/>
          </w:rPr>
        </w:r>
        <w:r w:rsidR="00924E73">
          <w:rPr>
            <w:noProof/>
            <w:webHidden/>
          </w:rPr>
          <w:fldChar w:fldCharType="separate"/>
        </w:r>
        <w:r w:rsidR="000A0E3D">
          <w:rPr>
            <w:noProof/>
            <w:webHidden/>
          </w:rPr>
          <w:t>202</w:t>
        </w:r>
        <w:r w:rsidR="00924E73">
          <w:rPr>
            <w:noProof/>
            <w:webHidden/>
          </w:rPr>
          <w:fldChar w:fldCharType="end"/>
        </w:r>
      </w:hyperlink>
    </w:p>
    <w:p w14:paraId="01F4F505"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98" w:history="1">
        <w:r w:rsidR="00924E73" w:rsidRPr="008C4C6F">
          <w:rPr>
            <w:rStyle w:val="Hyperlink"/>
            <w:noProof/>
          </w:rPr>
          <w:t xml:space="preserve">Figure IV.14 </w:t>
        </w:r>
        <w:r w:rsidR="00924E73" w:rsidRPr="008C4C6F">
          <w:rPr>
            <w:rStyle w:val="Hyperlink"/>
            <w:noProof/>
            <w:vertAlign w:val="superscript"/>
          </w:rPr>
          <w:t>1</w:t>
        </w:r>
        <w:r w:rsidR="00924E73" w:rsidRPr="008C4C6F">
          <w:rPr>
            <w:rStyle w:val="Hyperlink"/>
            <w:noProof/>
          </w:rPr>
          <w:t>H NMR spectra of sample [PhCHCHCH</w:t>
        </w:r>
        <w:r w:rsidR="00924E73" w:rsidRPr="008C4C6F">
          <w:rPr>
            <w:rStyle w:val="Hyperlink"/>
            <w:noProof/>
            <w:vertAlign w:val="subscript"/>
          </w:rPr>
          <w:t>2</w:t>
        </w:r>
        <w:r w:rsidR="00924E73" w:rsidRPr="008C4C6F">
          <w:rPr>
            <w:rStyle w:val="Hyperlink"/>
            <w:noProof/>
          </w:rPr>
          <w:t>OH + 1] (top) and [CH</w:t>
        </w:r>
        <w:r w:rsidR="00924E73" w:rsidRPr="008C4C6F">
          <w:rPr>
            <w:rStyle w:val="Hyperlink"/>
            <w:noProof/>
            <w:vertAlign w:val="subscript"/>
          </w:rPr>
          <w:t>3</w:t>
        </w:r>
        <w:r w:rsidR="00924E73" w:rsidRPr="008C4C6F">
          <w:rPr>
            <w:rStyle w:val="Hyperlink"/>
            <w:noProof/>
          </w:rPr>
          <w:t>CH</w:t>
        </w:r>
        <w:r w:rsidR="00924E73" w:rsidRPr="008C4C6F">
          <w:rPr>
            <w:rStyle w:val="Hyperlink"/>
            <w:noProof/>
            <w:vertAlign w:val="subscript"/>
          </w:rPr>
          <w:t>2</w:t>
        </w:r>
        <w:r w:rsidR="00924E73" w:rsidRPr="008C4C6F">
          <w:rPr>
            <w:rStyle w:val="Hyperlink"/>
            <w:noProof/>
          </w:rPr>
          <w:t>OH + 1] (bottom) with 5:1 ratio of alcohol to rhenium complex</w:t>
        </w:r>
        <w:r w:rsidR="00924E73">
          <w:rPr>
            <w:noProof/>
            <w:webHidden/>
          </w:rPr>
          <w:tab/>
        </w:r>
        <w:r w:rsidR="00924E73">
          <w:rPr>
            <w:noProof/>
            <w:webHidden/>
          </w:rPr>
          <w:fldChar w:fldCharType="begin"/>
        </w:r>
        <w:r w:rsidR="00924E73">
          <w:rPr>
            <w:noProof/>
            <w:webHidden/>
          </w:rPr>
          <w:instrText xml:space="preserve"> PAGEREF _Toc457670798 \h </w:instrText>
        </w:r>
        <w:r w:rsidR="00924E73">
          <w:rPr>
            <w:noProof/>
            <w:webHidden/>
          </w:rPr>
        </w:r>
        <w:r w:rsidR="00924E73">
          <w:rPr>
            <w:noProof/>
            <w:webHidden/>
          </w:rPr>
          <w:fldChar w:fldCharType="separate"/>
        </w:r>
        <w:r w:rsidR="000A0E3D">
          <w:rPr>
            <w:noProof/>
            <w:webHidden/>
          </w:rPr>
          <w:t>203</w:t>
        </w:r>
        <w:r w:rsidR="00924E73">
          <w:rPr>
            <w:noProof/>
            <w:webHidden/>
          </w:rPr>
          <w:fldChar w:fldCharType="end"/>
        </w:r>
      </w:hyperlink>
    </w:p>
    <w:p w14:paraId="2D687FC2"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799" w:history="1">
        <w:r w:rsidR="00924E73" w:rsidRPr="008C4C6F">
          <w:rPr>
            <w:rStyle w:val="Hyperlink"/>
            <w:noProof/>
          </w:rPr>
          <w:t>Figure IV.15 Potential complexes formed with alcohols</w:t>
        </w:r>
        <w:r w:rsidR="00924E73">
          <w:rPr>
            <w:noProof/>
            <w:webHidden/>
          </w:rPr>
          <w:tab/>
        </w:r>
        <w:r w:rsidR="00924E73">
          <w:rPr>
            <w:noProof/>
            <w:webHidden/>
          </w:rPr>
          <w:fldChar w:fldCharType="begin"/>
        </w:r>
        <w:r w:rsidR="00924E73">
          <w:rPr>
            <w:noProof/>
            <w:webHidden/>
          </w:rPr>
          <w:instrText xml:space="preserve"> PAGEREF _Toc457670799 \h </w:instrText>
        </w:r>
        <w:r w:rsidR="00924E73">
          <w:rPr>
            <w:noProof/>
            <w:webHidden/>
          </w:rPr>
        </w:r>
        <w:r w:rsidR="00924E73">
          <w:rPr>
            <w:noProof/>
            <w:webHidden/>
          </w:rPr>
          <w:fldChar w:fldCharType="separate"/>
        </w:r>
        <w:r w:rsidR="000A0E3D">
          <w:rPr>
            <w:noProof/>
            <w:webHidden/>
          </w:rPr>
          <w:t>204</w:t>
        </w:r>
        <w:r w:rsidR="00924E73">
          <w:rPr>
            <w:noProof/>
            <w:webHidden/>
          </w:rPr>
          <w:fldChar w:fldCharType="end"/>
        </w:r>
      </w:hyperlink>
    </w:p>
    <w:p w14:paraId="1CF9FF23"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800" w:history="1">
        <w:r w:rsidR="00924E73" w:rsidRPr="008C4C6F">
          <w:rPr>
            <w:rStyle w:val="Hyperlink"/>
            <w:noProof/>
          </w:rPr>
          <w:t>Figure IV.16 Reductive coupling of benzhydrol in chlorobenzene</w:t>
        </w:r>
        <w:r w:rsidR="00924E73">
          <w:rPr>
            <w:noProof/>
            <w:webHidden/>
          </w:rPr>
          <w:tab/>
        </w:r>
        <w:r w:rsidR="00924E73">
          <w:rPr>
            <w:noProof/>
            <w:webHidden/>
          </w:rPr>
          <w:fldChar w:fldCharType="begin"/>
        </w:r>
        <w:r w:rsidR="00924E73">
          <w:rPr>
            <w:noProof/>
            <w:webHidden/>
          </w:rPr>
          <w:instrText xml:space="preserve"> PAGEREF _Toc457670800 \h </w:instrText>
        </w:r>
        <w:r w:rsidR="00924E73">
          <w:rPr>
            <w:noProof/>
            <w:webHidden/>
          </w:rPr>
        </w:r>
        <w:r w:rsidR="00924E73">
          <w:rPr>
            <w:noProof/>
            <w:webHidden/>
          </w:rPr>
          <w:fldChar w:fldCharType="separate"/>
        </w:r>
        <w:r w:rsidR="000A0E3D">
          <w:rPr>
            <w:noProof/>
            <w:webHidden/>
          </w:rPr>
          <w:t>206</w:t>
        </w:r>
        <w:r w:rsidR="00924E73">
          <w:rPr>
            <w:noProof/>
            <w:webHidden/>
          </w:rPr>
          <w:fldChar w:fldCharType="end"/>
        </w:r>
      </w:hyperlink>
    </w:p>
    <w:p w14:paraId="3DBD9B09"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801" w:history="1">
        <w:r w:rsidR="00924E73" w:rsidRPr="008C4C6F">
          <w:rPr>
            <w:rStyle w:val="Hyperlink"/>
            <w:noProof/>
          </w:rPr>
          <w:t>Figure IV.17 Kinetic plot 1</w:t>
        </w:r>
        <w:r w:rsidR="00924E73">
          <w:rPr>
            <w:noProof/>
            <w:webHidden/>
          </w:rPr>
          <w:tab/>
        </w:r>
        <w:r w:rsidR="00924E73">
          <w:rPr>
            <w:noProof/>
            <w:webHidden/>
          </w:rPr>
          <w:fldChar w:fldCharType="begin"/>
        </w:r>
        <w:r w:rsidR="00924E73">
          <w:rPr>
            <w:noProof/>
            <w:webHidden/>
          </w:rPr>
          <w:instrText xml:space="preserve"> PAGEREF _Toc457670801 \h </w:instrText>
        </w:r>
        <w:r w:rsidR="00924E73">
          <w:rPr>
            <w:noProof/>
            <w:webHidden/>
          </w:rPr>
        </w:r>
        <w:r w:rsidR="00924E73">
          <w:rPr>
            <w:noProof/>
            <w:webHidden/>
          </w:rPr>
          <w:fldChar w:fldCharType="separate"/>
        </w:r>
        <w:r w:rsidR="000A0E3D">
          <w:rPr>
            <w:noProof/>
            <w:webHidden/>
          </w:rPr>
          <w:t>207</w:t>
        </w:r>
        <w:r w:rsidR="00924E73">
          <w:rPr>
            <w:noProof/>
            <w:webHidden/>
          </w:rPr>
          <w:fldChar w:fldCharType="end"/>
        </w:r>
      </w:hyperlink>
    </w:p>
    <w:p w14:paraId="2DF18063"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802" w:history="1">
        <w:r w:rsidR="00924E73" w:rsidRPr="008C4C6F">
          <w:rPr>
            <w:rStyle w:val="Hyperlink"/>
            <w:noProof/>
          </w:rPr>
          <w:t>Figure IV.18 Kinetic plot 2</w:t>
        </w:r>
        <w:r w:rsidR="00924E73">
          <w:rPr>
            <w:noProof/>
            <w:webHidden/>
          </w:rPr>
          <w:tab/>
        </w:r>
        <w:r w:rsidR="00924E73">
          <w:rPr>
            <w:noProof/>
            <w:webHidden/>
          </w:rPr>
          <w:fldChar w:fldCharType="begin"/>
        </w:r>
        <w:r w:rsidR="00924E73">
          <w:rPr>
            <w:noProof/>
            <w:webHidden/>
          </w:rPr>
          <w:instrText xml:space="preserve"> PAGEREF _Toc457670802 \h </w:instrText>
        </w:r>
        <w:r w:rsidR="00924E73">
          <w:rPr>
            <w:noProof/>
            <w:webHidden/>
          </w:rPr>
        </w:r>
        <w:r w:rsidR="00924E73">
          <w:rPr>
            <w:noProof/>
            <w:webHidden/>
          </w:rPr>
          <w:fldChar w:fldCharType="separate"/>
        </w:r>
        <w:r w:rsidR="000A0E3D">
          <w:rPr>
            <w:noProof/>
            <w:webHidden/>
          </w:rPr>
          <w:t>208</w:t>
        </w:r>
        <w:r w:rsidR="00924E73">
          <w:rPr>
            <w:noProof/>
            <w:webHidden/>
          </w:rPr>
          <w:fldChar w:fldCharType="end"/>
        </w:r>
      </w:hyperlink>
    </w:p>
    <w:p w14:paraId="24D720D2"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803" w:history="1">
        <w:r w:rsidR="00924E73" w:rsidRPr="008C4C6F">
          <w:rPr>
            <w:rStyle w:val="Hyperlink"/>
            <w:noProof/>
          </w:rPr>
          <w:t>Figure IV.19 Kinetic plot 3</w:t>
        </w:r>
        <w:r w:rsidR="00924E73">
          <w:rPr>
            <w:noProof/>
            <w:webHidden/>
          </w:rPr>
          <w:tab/>
        </w:r>
        <w:r w:rsidR="00924E73">
          <w:rPr>
            <w:noProof/>
            <w:webHidden/>
          </w:rPr>
          <w:fldChar w:fldCharType="begin"/>
        </w:r>
        <w:r w:rsidR="00924E73">
          <w:rPr>
            <w:noProof/>
            <w:webHidden/>
          </w:rPr>
          <w:instrText xml:space="preserve"> PAGEREF _Toc457670803 \h </w:instrText>
        </w:r>
        <w:r w:rsidR="00924E73">
          <w:rPr>
            <w:noProof/>
            <w:webHidden/>
          </w:rPr>
        </w:r>
        <w:r w:rsidR="00924E73">
          <w:rPr>
            <w:noProof/>
            <w:webHidden/>
          </w:rPr>
          <w:fldChar w:fldCharType="separate"/>
        </w:r>
        <w:r w:rsidR="000A0E3D">
          <w:rPr>
            <w:noProof/>
            <w:webHidden/>
          </w:rPr>
          <w:t>209</w:t>
        </w:r>
        <w:r w:rsidR="00924E73">
          <w:rPr>
            <w:noProof/>
            <w:webHidden/>
          </w:rPr>
          <w:fldChar w:fldCharType="end"/>
        </w:r>
      </w:hyperlink>
    </w:p>
    <w:p w14:paraId="6C12DD5F"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804" w:history="1">
        <w:r w:rsidR="00924E73" w:rsidRPr="008C4C6F">
          <w:rPr>
            <w:rStyle w:val="Hyperlink"/>
            <w:noProof/>
          </w:rPr>
          <w:t>Figure IV.20 Kinetic plot 4</w:t>
        </w:r>
        <w:r w:rsidR="00924E73">
          <w:rPr>
            <w:noProof/>
            <w:webHidden/>
          </w:rPr>
          <w:tab/>
        </w:r>
        <w:r w:rsidR="00924E73">
          <w:rPr>
            <w:noProof/>
            <w:webHidden/>
          </w:rPr>
          <w:fldChar w:fldCharType="begin"/>
        </w:r>
        <w:r w:rsidR="00924E73">
          <w:rPr>
            <w:noProof/>
            <w:webHidden/>
          </w:rPr>
          <w:instrText xml:space="preserve"> PAGEREF _Toc457670804 \h </w:instrText>
        </w:r>
        <w:r w:rsidR="00924E73">
          <w:rPr>
            <w:noProof/>
            <w:webHidden/>
          </w:rPr>
        </w:r>
        <w:r w:rsidR="00924E73">
          <w:rPr>
            <w:noProof/>
            <w:webHidden/>
          </w:rPr>
          <w:fldChar w:fldCharType="separate"/>
        </w:r>
        <w:r w:rsidR="000A0E3D">
          <w:rPr>
            <w:noProof/>
            <w:webHidden/>
          </w:rPr>
          <w:t>210</w:t>
        </w:r>
        <w:r w:rsidR="00924E73">
          <w:rPr>
            <w:noProof/>
            <w:webHidden/>
          </w:rPr>
          <w:fldChar w:fldCharType="end"/>
        </w:r>
      </w:hyperlink>
    </w:p>
    <w:p w14:paraId="2AC3717C"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805" w:history="1">
        <w:r w:rsidR="00924E73" w:rsidRPr="008C4C6F">
          <w:rPr>
            <w:rStyle w:val="Hyperlink"/>
            <w:noProof/>
          </w:rPr>
          <w:t>Figure IV.21 Kinetic plot 5</w:t>
        </w:r>
        <w:r w:rsidR="00924E73">
          <w:rPr>
            <w:noProof/>
            <w:webHidden/>
          </w:rPr>
          <w:tab/>
        </w:r>
        <w:r w:rsidR="00924E73">
          <w:rPr>
            <w:noProof/>
            <w:webHidden/>
          </w:rPr>
          <w:fldChar w:fldCharType="begin"/>
        </w:r>
        <w:r w:rsidR="00924E73">
          <w:rPr>
            <w:noProof/>
            <w:webHidden/>
          </w:rPr>
          <w:instrText xml:space="preserve"> PAGEREF _Toc457670805 \h </w:instrText>
        </w:r>
        <w:r w:rsidR="00924E73">
          <w:rPr>
            <w:noProof/>
            <w:webHidden/>
          </w:rPr>
        </w:r>
        <w:r w:rsidR="00924E73">
          <w:rPr>
            <w:noProof/>
            <w:webHidden/>
          </w:rPr>
          <w:fldChar w:fldCharType="separate"/>
        </w:r>
        <w:r w:rsidR="000A0E3D">
          <w:rPr>
            <w:noProof/>
            <w:webHidden/>
          </w:rPr>
          <w:t>212</w:t>
        </w:r>
        <w:r w:rsidR="00924E73">
          <w:rPr>
            <w:noProof/>
            <w:webHidden/>
          </w:rPr>
          <w:fldChar w:fldCharType="end"/>
        </w:r>
      </w:hyperlink>
    </w:p>
    <w:p w14:paraId="26E57226"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806" w:history="1">
        <w:r w:rsidR="00924E73" w:rsidRPr="008C4C6F">
          <w:rPr>
            <w:rStyle w:val="Hyperlink"/>
            <w:noProof/>
          </w:rPr>
          <w:t>Figure IV.22 Kinetic plot 6</w:t>
        </w:r>
        <w:r w:rsidR="00924E73">
          <w:rPr>
            <w:noProof/>
            <w:webHidden/>
          </w:rPr>
          <w:tab/>
        </w:r>
        <w:r w:rsidR="00924E73">
          <w:rPr>
            <w:noProof/>
            <w:webHidden/>
          </w:rPr>
          <w:fldChar w:fldCharType="begin"/>
        </w:r>
        <w:r w:rsidR="00924E73">
          <w:rPr>
            <w:noProof/>
            <w:webHidden/>
          </w:rPr>
          <w:instrText xml:space="preserve"> PAGEREF _Toc457670806 \h </w:instrText>
        </w:r>
        <w:r w:rsidR="00924E73">
          <w:rPr>
            <w:noProof/>
            <w:webHidden/>
          </w:rPr>
        </w:r>
        <w:r w:rsidR="00924E73">
          <w:rPr>
            <w:noProof/>
            <w:webHidden/>
          </w:rPr>
          <w:fldChar w:fldCharType="separate"/>
        </w:r>
        <w:r w:rsidR="000A0E3D">
          <w:rPr>
            <w:noProof/>
            <w:webHidden/>
          </w:rPr>
          <w:t>214</w:t>
        </w:r>
        <w:r w:rsidR="00924E73">
          <w:rPr>
            <w:noProof/>
            <w:webHidden/>
          </w:rPr>
          <w:fldChar w:fldCharType="end"/>
        </w:r>
      </w:hyperlink>
    </w:p>
    <w:p w14:paraId="4B58D5F3"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807" w:history="1">
        <w:r w:rsidR="00924E73" w:rsidRPr="008C4C6F">
          <w:rPr>
            <w:rStyle w:val="Hyperlink"/>
            <w:noProof/>
          </w:rPr>
          <w:t xml:space="preserve">Figure IV.23 </w:t>
        </w:r>
        <w:r w:rsidR="00924E73" w:rsidRPr="008C4C6F">
          <w:rPr>
            <w:rStyle w:val="Hyperlink"/>
            <w:rFonts w:cstheme="minorHAnsi"/>
            <w:noProof/>
          </w:rPr>
          <w:t>DFT study of the IReO</w:t>
        </w:r>
        <w:r w:rsidR="00924E73" w:rsidRPr="008C4C6F">
          <w:rPr>
            <w:rStyle w:val="Hyperlink"/>
            <w:rFonts w:cstheme="minorHAnsi"/>
            <w:noProof/>
            <w:vertAlign w:val="subscript"/>
          </w:rPr>
          <w:t>2</w:t>
        </w:r>
        <w:r w:rsidR="00924E73" w:rsidRPr="008C4C6F">
          <w:rPr>
            <w:rStyle w:val="Hyperlink"/>
            <w:rFonts w:cstheme="minorHAnsi"/>
            <w:noProof/>
          </w:rPr>
          <w:t>(PPh</w:t>
        </w:r>
        <w:r w:rsidR="00924E73" w:rsidRPr="008C4C6F">
          <w:rPr>
            <w:rStyle w:val="Hyperlink"/>
            <w:rFonts w:cstheme="minorHAnsi"/>
            <w:noProof/>
            <w:vertAlign w:val="subscript"/>
          </w:rPr>
          <w:t>3</w:t>
        </w:r>
        <w:r w:rsidR="00924E73" w:rsidRPr="008C4C6F">
          <w:rPr>
            <w:rStyle w:val="Hyperlink"/>
            <w:rFonts w:cstheme="minorHAnsi"/>
            <w:noProof/>
          </w:rPr>
          <w:t>)</w:t>
        </w:r>
        <w:r w:rsidR="00924E73" w:rsidRPr="008C4C6F">
          <w:rPr>
            <w:rStyle w:val="Hyperlink"/>
            <w:rFonts w:cstheme="minorHAnsi"/>
            <w:noProof/>
            <w:vertAlign w:val="subscript"/>
          </w:rPr>
          <w:t>2</w:t>
        </w:r>
        <w:r w:rsidR="00924E73" w:rsidRPr="008C4C6F">
          <w:rPr>
            <w:rStyle w:val="Hyperlink"/>
            <w:rFonts w:cstheme="minorHAnsi"/>
            <w:noProof/>
          </w:rPr>
          <w:t xml:space="preserve"> catalyzed reductive coupling </w:t>
        </w:r>
        <w:r w:rsidR="00924E73" w:rsidRPr="008C4C6F">
          <w:rPr>
            <w:rStyle w:val="Hyperlink"/>
            <w:rFonts w:cstheme="minorHAnsi"/>
            <w:i/>
            <w:noProof/>
          </w:rPr>
          <w:t>(by Dr. Nicholas)</w:t>
        </w:r>
        <w:r w:rsidR="00924E73">
          <w:rPr>
            <w:noProof/>
            <w:webHidden/>
          </w:rPr>
          <w:tab/>
        </w:r>
        <w:r w:rsidR="00924E73">
          <w:rPr>
            <w:noProof/>
            <w:webHidden/>
          </w:rPr>
          <w:fldChar w:fldCharType="begin"/>
        </w:r>
        <w:r w:rsidR="00924E73">
          <w:rPr>
            <w:noProof/>
            <w:webHidden/>
          </w:rPr>
          <w:instrText xml:space="preserve"> PAGEREF _Toc457670807 \h </w:instrText>
        </w:r>
        <w:r w:rsidR="00924E73">
          <w:rPr>
            <w:noProof/>
            <w:webHidden/>
          </w:rPr>
        </w:r>
        <w:r w:rsidR="00924E73">
          <w:rPr>
            <w:noProof/>
            <w:webHidden/>
          </w:rPr>
          <w:fldChar w:fldCharType="separate"/>
        </w:r>
        <w:r w:rsidR="000A0E3D">
          <w:rPr>
            <w:noProof/>
            <w:webHidden/>
          </w:rPr>
          <w:t>216</w:t>
        </w:r>
        <w:r w:rsidR="00924E73">
          <w:rPr>
            <w:noProof/>
            <w:webHidden/>
          </w:rPr>
          <w:fldChar w:fldCharType="end"/>
        </w:r>
      </w:hyperlink>
    </w:p>
    <w:p w14:paraId="2A14A352"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808" w:history="1">
        <w:r w:rsidR="00924E73" w:rsidRPr="008C4C6F">
          <w:rPr>
            <w:rStyle w:val="Hyperlink"/>
            <w:noProof/>
          </w:rPr>
          <w:t xml:space="preserve">Figure IV.24 </w:t>
        </w:r>
        <w:r w:rsidR="00924E73" w:rsidRPr="008C4C6F">
          <w:rPr>
            <w:rStyle w:val="Hyperlink"/>
            <w:rFonts w:cstheme="minorHAnsi"/>
            <w:noProof/>
          </w:rPr>
          <w:t>List of reactive alcohol in reductive coupling reaction</w:t>
        </w:r>
        <w:r w:rsidR="00924E73">
          <w:rPr>
            <w:noProof/>
            <w:webHidden/>
          </w:rPr>
          <w:tab/>
        </w:r>
        <w:r w:rsidR="00924E73">
          <w:rPr>
            <w:noProof/>
            <w:webHidden/>
          </w:rPr>
          <w:fldChar w:fldCharType="begin"/>
        </w:r>
        <w:r w:rsidR="00924E73">
          <w:rPr>
            <w:noProof/>
            <w:webHidden/>
          </w:rPr>
          <w:instrText xml:space="preserve"> PAGEREF _Toc457670808 \h </w:instrText>
        </w:r>
        <w:r w:rsidR="00924E73">
          <w:rPr>
            <w:noProof/>
            <w:webHidden/>
          </w:rPr>
        </w:r>
        <w:r w:rsidR="00924E73">
          <w:rPr>
            <w:noProof/>
            <w:webHidden/>
          </w:rPr>
          <w:fldChar w:fldCharType="separate"/>
        </w:r>
        <w:r w:rsidR="000A0E3D">
          <w:rPr>
            <w:noProof/>
            <w:webHidden/>
          </w:rPr>
          <w:t>217</w:t>
        </w:r>
        <w:r w:rsidR="00924E73">
          <w:rPr>
            <w:noProof/>
            <w:webHidden/>
          </w:rPr>
          <w:fldChar w:fldCharType="end"/>
        </w:r>
      </w:hyperlink>
    </w:p>
    <w:p w14:paraId="74CA44AC"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809" w:history="1">
        <w:r w:rsidR="00924E73" w:rsidRPr="008C4C6F">
          <w:rPr>
            <w:rStyle w:val="Hyperlink"/>
            <w:noProof/>
          </w:rPr>
          <w:t xml:space="preserve">Figure IV.25 </w:t>
        </w:r>
        <w:r w:rsidR="00924E73" w:rsidRPr="008C4C6F">
          <w:rPr>
            <w:rStyle w:val="Hyperlink"/>
            <w:rFonts w:cstheme="minorHAnsi"/>
            <w:noProof/>
          </w:rPr>
          <w:t>Pre-catalyst A to active catalyst A’ equilibrium</w:t>
        </w:r>
        <w:r w:rsidR="00924E73">
          <w:rPr>
            <w:noProof/>
            <w:webHidden/>
          </w:rPr>
          <w:tab/>
        </w:r>
        <w:r w:rsidR="00924E73">
          <w:rPr>
            <w:noProof/>
            <w:webHidden/>
          </w:rPr>
          <w:fldChar w:fldCharType="begin"/>
        </w:r>
        <w:r w:rsidR="00924E73">
          <w:rPr>
            <w:noProof/>
            <w:webHidden/>
          </w:rPr>
          <w:instrText xml:space="preserve"> PAGEREF _Toc457670809 \h </w:instrText>
        </w:r>
        <w:r w:rsidR="00924E73">
          <w:rPr>
            <w:noProof/>
            <w:webHidden/>
          </w:rPr>
        </w:r>
        <w:r w:rsidR="00924E73">
          <w:rPr>
            <w:noProof/>
            <w:webHidden/>
          </w:rPr>
          <w:fldChar w:fldCharType="separate"/>
        </w:r>
        <w:r w:rsidR="000A0E3D">
          <w:rPr>
            <w:noProof/>
            <w:webHidden/>
          </w:rPr>
          <w:t>218</w:t>
        </w:r>
        <w:r w:rsidR="00924E73">
          <w:rPr>
            <w:noProof/>
            <w:webHidden/>
          </w:rPr>
          <w:fldChar w:fldCharType="end"/>
        </w:r>
      </w:hyperlink>
    </w:p>
    <w:p w14:paraId="0EB96A0E"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810" w:history="1">
        <w:r w:rsidR="00924E73" w:rsidRPr="008C4C6F">
          <w:rPr>
            <w:rStyle w:val="Hyperlink"/>
            <w:noProof/>
          </w:rPr>
          <w:t xml:space="preserve">Figure IV.26 </w:t>
        </w:r>
        <w:r w:rsidR="00924E73" w:rsidRPr="008C4C6F">
          <w:rPr>
            <w:rStyle w:val="Hyperlink"/>
            <w:rFonts w:cstheme="minorHAnsi"/>
            <w:noProof/>
          </w:rPr>
          <w:t>Alcohol coordination forming to species B</w:t>
        </w:r>
        <w:r w:rsidR="00924E73" w:rsidRPr="008C4C6F">
          <w:rPr>
            <w:rStyle w:val="Hyperlink"/>
            <w:rFonts w:cstheme="minorHAnsi"/>
            <w:noProof/>
            <w:vertAlign w:val="subscript"/>
          </w:rPr>
          <w:t>1</w:t>
        </w:r>
        <w:r w:rsidR="00924E73" w:rsidRPr="008C4C6F">
          <w:rPr>
            <w:rStyle w:val="Hyperlink"/>
            <w:rFonts w:cstheme="minorHAnsi"/>
            <w:noProof/>
          </w:rPr>
          <w:t xml:space="preserve"> and B</w:t>
        </w:r>
        <w:r w:rsidR="00924E73" w:rsidRPr="008C4C6F">
          <w:rPr>
            <w:rStyle w:val="Hyperlink"/>
            <w:rFonts w:cstheme="minorHAnsi"/>
            <w:noProof/>
            <w:vertAlign w:val="subscript"/>
          </w:rPr>
          <w:t>2</w:t>
        </w:r>
        <w:r w:rsidR="00924E73">
          <w:rPr>
            <w:noProof/>
            <w:webHidden/>
          </w:rPr>
          <w:tab/>
        </w:r>
        <w:r w:rsidR="00924E73">
          <w:rPr>
            <w:noProof/>
            <w:webHidden/>
          </w:rPr>
          <w:fldChar w:fldCharType="begin"/>
        </w:r>
        <w:r w:rsidR="00924E73">
          <w:rPr>
            <w:noProof/>
            <w:webHidden/>
          </w:rPr>
          <w:instrText xml:space="preserve"> PAGEREF _Toc457670810 \h </w:instrText>
        </w:r>
        <w:r w:rsidR="00924E73">
          <w:rPr>
            <w:noProof/>
            <w:webHidden/>
          </w:rPr>
        </w:r>
        <w:r w:rsidR="00924E73">
          <w:rPr>
            <w:noProof/>
            <w:webHidden/>
          </w:rPr>
          <w:fldChar w:fldCharType="separate"/>
        </w:r>
        <w:r w:rsidR="000A0E3D">
          <w:rPr>
            <w:noProof/>
            <w:webHidden/>
          </w:rPr>
          <w:t>218</w:t>
        </w:r>
        <w:r w:rsidR="00924E73">
          <w:rPr>
            <w:noProof/>
            <w:webHidden/>
          </w:rPr>
          <w:fldChar w:fldCharType="end"/>
        </w:r>
      </w:hyperlink>
    </w:p>
    <w:p w14:paraId="7A266064"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811" w:history="1">
        <w:r w:rsidR="00924E73" w:rsidRPr="008C4C6F">
          <w:rPr>
            <w:rStyle w:val="Hyperlink"/>
            <w:noProof/>
          </w:rPr>
          <w:t xml:space="preserve">Figure IV.27 </w:t>
        </w:r>
        <w:r w:rsidR="00924E73" w:rsidRPr="008C4C6F">
          <w:rPr>
            <w:rStyle w:val="Hyperlink"/>
            <w:rFonts w:cstheme="minorHAnsi"/>
            <w:noProof/>
          </w:rPr>
          <w:t>Possible equilibrium between a mono (B</w:t>
        </w:r>
        <w:r w:rsidR="00924E73" w:rsidRPr="008C4C6F">
          <w:rPr>
            <w:rStyle w:val="Hyperlink"/>
            <w:rFonts w:cstheme="minorHAnsi"/>
            <w:noProof/>
            <w:vertAlign w:val="subscript"/>
          </w:rPr>
          <w:t>2</w:t>
        </w:r>
        <w:r w:rsidR="00924E73" w:rsidRPr="008C4C6F">
          <w:rPr>
            <w:rStyle w:val="Hyperlink"/>
            <w:rFonts w:cstheme="minorHAnsi"/>
            <w:noProof/>
          </w:rPr>
          <w:t>) and bis (C) alkoxy rhenium complex.</w:t>
        </w:r>
        <w:r w:rsidR="00924E73">
          <w:rPr>
            <w:noProof/>
            <w:webHidden/>
          </w:rPr>
          <w:tab/>
        </w:r>
        <w:r w:rsidR="00924E73">
          <w:rPr>
            <w:noProof/>
            <w:webHidden/>
          </w:rPr>
          <w:fldChar w:fldCharType="begin"/>
        </w:r>
        <w:r w:rsidR="00924E73">
          <w:rPr>
            <w:noProof/>
            <w:webHidden/>
          </w:rPr>
          <w:instrText xml:space="preserve"> PAGEREF _Toc457670811 \h </w:instrText>
        </w:r>
        <w:r w:rsidR="00924E73">
          <w:rPr>
            <w:noProof/>
            <w:webHidden/>
          </w:rPr>
        </w:r>
        <w:r w:rsidR="00924E73">
          <w:rPr>
            <w:noProof/>
            <w:webHidden/>
          </w:rPr>
          <w:fldChar w:fldCharType="separate"/>
        </w:r>
        <w:r w:rsidR="000A0E3D">
          <w:rPr>
            <w:noProof/>
            <w:webHidden/>
          </w:rPr>
          <w:t>219</w:t>
        </w:r>
        <w:r w:rsidR="00924E73">
          <w:rPr>
            <w:noProof/>
            <w:webHidden/>
          </w:rPr>
          <w:fldChar w:fldCharType="end"/>
        </w:r>
      </w:hyperlink>
    </w:p>
    <w:p w14:paraId="2D4CDD35"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812" w:history="1">
        <w:r w:rsidR="00924E73" w:rsidRPr="008C4C6F">
          <w:rPr>
            <w:rStyle w:val="Hyperlink"/>
            <w:noProof/>
          </w:rPr>
          <w:t>Figure IV.29 Possible formation of Re-alkyl complexes F and F’</w:t>
        </w:r>
        <w:r w:rsidR="00924E73">
          <w:rPr>
            <w:noProof/>
            <w:webHidden/>
          </w:rPr>
          <w:tab/>
        </w:r>
        <w:r w:rsidR="00924E73">
          <w:rPr>
            <w:noProof/>
            <w:webHidden/>
          </w:rPr>
          <w:fldChar w:fldCharType="begin"/>
        </w:r>
        <w:r w:rsidR="00924E73">
          <w:rPr>
            <w:noProof/>
            <w:webHidden/>
          </w:rPr>
          <w:instrText xml:space="preserve"> PAGEREF _Toc457670812 \h </w:instrText>
        </w:r>
        <w:r w:rsidR="00924E73">
          <w:rPr>
            <w:noProof/>
            <w:webHidden/>
          </w:rPr>
        </w:r>
        <w:r w:rsidR="00924E73">
          <w:rPr>
            <w:noProof/>
            <w:webHidden/>
          </w:rPr>
          <w:fldChar w:fldCharType="separate"/>
        </w:r>
        <w:r w:rsidR="000A0E3D">
          <w:rPr>
            <w:noProof/>
            <w:webHidden/>
          </w:rPr>
          <w:t>220</w:t>
        </w:r>
        <w:r w:rsidR="00924E73">
          <w:rPr>
            <w:noProof/>
            <w:webHidden/>
          </w:rPr>
          <w:fldChar w:fldCharType="end"/>
        </w:r>
      </w:hyperlink>
    </w:p>
    <w:p w14:paraId="78CEFDE9"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813" w:history="1">
        <w:r w:rsidR="00924E73" w:rsidRPr="008C4C6F">
          <w:rPr>
            <w:rStyle w:val="Hyperlink"/>
            <w:noProof/>
          </w:rPr>
          <w:t xml:space="preserve">Figure IV.30 </w:t>
        </w:r>
        <w:r w:rsidR="00924E73" w:rsidRPr="008C4C6F">
          <w:rPr>
            <w:rStyle w:val="Hyperlink"/>
            <w:rFonts w:cstheme="minorHAnsi"/>
            <w:noProof/>
          </w:rPr>
          <w:t>Possible formation of rhenium hydride intermediate E</w:t>
        </w:r>
        <w:r w:rsidR="00924E73">
          <w:rPr>
            <w:noProof/>
            <w:webHidden/>
          </w:rPr>
          <w:tab/>
        </w:r>
        <w:r w:rsidR="00924E73">
          <w:rPr>
            <w:noProof/>
            <w:webHidden/>
          </w:rPr>
          <w:fldChar w:fldCharType="begin"/>
        </w:r>
        <w:r w:rsidR="00924E73">
          <w:rPr>
            <w:noProof/>
            <w:webHidden/>
          </w:rPr>
          <w:instrText xml:space="preserve"> PAGEREF _Toc457670813 \h </w:instrText>
        </w:r>
        <w:r w:rsidR="00924E73">
          <w:rPr>
            <w:noProof/>
            <w:webHidden/>
          </w:rPr>
        </w:r>
        <w:r w:rsidR="00924E73">
          <w:rPr>
            <w:noProof/>
            <w:webHidden/>
          </w:rPr>
          <w:fldChar w:fldCharType="separate"/>
        </w:r>
        <w:r w:rsidR="000A0E3D">
          <w:rPr>
            <w:noProof/>
            <w:webHidden/>
          </w:rPr>
          <w:t>221</w:t>
        </w:r>
        <w:r w:rsidR="00924E73">
          <w:rPr>
            <w:noProof/>
            <w:webHidden/>
          </w:rPr>
          <w:fldChar w:fldCharType="end"/>
        </w:r>
      </w:hyperlink>
    </w:p>
    <w:p w14:paraId="37EFD4AC"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814" w:history="1">
        <w:r w:rsidR="00924E73" w:rsidRPr="008C4C6F">
          <w:rPr>
            <w:rStyle w:val="Hyperlink"/>
            <w:noProof/>
          </w:rPr>
          <w:t xml:space="preserve">Figure IV.31 </w:t>
        </w:r>
        <w:r w:rsidR="00924E73" w:rsidRPr="008C4C6F">
          <w:rPr>
            <w:rStyle w:val="Hyperlink"/>
            <w:rFonts w:cstheme="minorHAnsi"/>
            <w:noProof/>
          </w:rPr>
          <w:t>Formation of PPh</w:t>
        </w:r>
        <w:r w:rsidR="00924E73" w:rsidRPr="008C4C6F">
          <w:rPr>
            <w:rStyle w:val="Hyperlink"/>
            <w:rFonts w:cstheme="minorHAnsi"/>
            <w:noProof/>
            <w:vertAlign w:val="subscript"/>
          </w:rPr>
          <w:t>3</w:t>
        </w:r>
        <w:r w:rsidR="00924E73" w:rsidRPr="008C4C6F">
          <w:rPr>
            <w:rStyle w:val="Hyperlink"/>
            <w:rFonts w:cstheme="minorHAnsi"/>
            <w:noProof/>
          </w:rPr>
          <w:t>-Re-OPPh</w:t>
        </w:r>
        <w:r w:rsidR="00924E73" w:rsidRPr="008C4C6F">
          <w:rPr>
            <w:rStyle w:val="Hyperlink"/>
            <w:rFonts w:cstheme="minorHAnsi"/>
            <w:noProof/>
            <w:vertAlign w:val="subscript"/>
          </w:rPr>
          <w:t>3</w:t>
        </w:r>
        <w:r w:rsidR="00924E73" w:rsidRPr="008C4C6F">
          <w:rPr>
            <w:rStyle w:val="Hyperlink"/>
            <w:rFonts w:cstheme="minorHAnsi"/>
            <w:noProof/>
          </w:rPr>
          <w:t xml:space="preserve"> D rhenium complex</w:t>
        </w:r>
        <w:r w:rsidR="00924E73">
          <w:rPr>
            <w:noProof/>
            <w:webHidden/>
          </w:rPr>
          <w:tab/>
        </w:r>
        <w:r w:rsidR="00924E73">
          <w:rPr>
            <w:noProof/>
            <w:webHidden/>
          </w:rPr>
          <w:fldChar w:fldCharType="begin"/>
        </w:r>
        <w:r w:rsidR="00924E73">
          <w:rPr>
            <w:noProof/>
            <w:webHidden/>
          </w:rPr>
          <w:instrText xml:space="preserve"> PAGEREF _Toc457670814 \h </w:instrText>
        </w:r>
        <w:r w:rsidR="00924E73">
          <w:rPr>
            <w:noProof/>
            <w:webHidden/>
          </w:rPr>
        </w:r>
        <w:r w:rsidR="00924E73">
          <w:rPr>
            <w:noProof/>
            <w:webHidden/>
          </w:rPr>
          <w:fldChar w:fldCharType="separate"/>
        </w:r>
        <w:r w:rsidR="000A0E3D">
          <w:rPr>
            <w:noProof/>
            <w:webHidden/>
          </w:rPr>
          <w:t>222</w:t>
        </w:r>
        <w:r w:rsidR="00924E73">
          <w:rPr>
            <w:noProof/>
            <w:webHidden/>
          </w:rPr>
          <w:fldChar w:fldCharType="end"/>
        </w:r>
      </w:hyperlink>
    </w:p>
    <w:p w14:paraId="06BE9C3C"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815" w:history="1">
        <w:r w:rsidR="00924E73" w:rsidRPr="008C4C6F">
          <w:rPr>
            <w:rStyle w:val="Hyperlink"/>
            <w:noProof/>
          </w:rPr>
          <w:t xml:space="preserve">Figure IV.32 </w:t>
        </w:r>
        <w:r w:rsidR="00924E73" w:rsidRPr="008C4C6F">
          <w:rPr>
            <w:rStyle w:val="Hyperlink"/>
            <w:rFonts w:cstheme="minorHAnsi"/>
            <w:noProof/>
          </w:rPr>
          <w:t>Possible mechanistic pathway</w:t>
        </w:r>
        <w:r w:rsidR="00924E73">
          <w:rPr>
            <w:noProof/>
            <w:webHidden/>
          </w:rPr>
          <w:tab/>
        </w:r>
        <w:r w:rsidR="00924E73">
          <w:rPr>
            <w:noProof/>
            <w:webHidden/>
          </w:rPr>
          <w:fldChar w:fldCharType="begin"/>
        </w:r>
        <w:r w:rsidR="00924E73">
          <w:rPr>
            <w:noProof/>
            <w:webHidden/>
          </w:rPr>
          <w:instrText xml:space="preserve"> PAGEREF _Toc457670815 \h </w:instrText>
        </w:r>
        <w:r w:rsidR="00924E73">
          <w:rPr>
            <w:noProof/>
            <w:webHidden/>
          </w:rPr>
        </w:r>
        <w:r w:rsidR="00924E73">
          <w:rPr>
            <w:noProof/>
            <w:webHidden/>
          </w:rPr>
          <w:fldChar w:fldCharType="separate"/>
        </w:r>
        <w:r w:rsidR="000A0E3D">
          <w:rPr>
            <w:noProof/>
            <w:webHidden/>
          </w:rPr>
          <w:t>224</w:t>
        </w:r>
        <w:r w:rsidR="00924E73">
          <w:rPr>
            <w:noProof/>
            <w:webHidden/>
          </w:rPr>
          <w:fldChar w:fldCharType="end"/>
        </w:r>
      </w:hyperlink>
    </w:p>
    <w:p w14:paraId="597C63CA" w14:textId="77777777" w:rsidR="00924E73" w:rsidRDefault="00443010">
      <w:pPr>
        <w:pStyle w:val="TableofFigures"/>
        <w:tabs>
          <w:tab w:val="right" w:leader="dot" w:pos="8486"/>
        </w:tabs>
        <w:rPr>
          <w:rFonts w:eastAsiaTheme="minorEastAsia" w:cstheme="minorBidi"/>
          <w:noProof/>
          <w:sz w:val="22"/>
          <w:szCs w:val="22"/>
          <w:lang w:bidi="ar-SA"/>
        </w:rPr>
      </w:pPr>
      <w:hyperlink w:anchor="_Toc457670816" w:history="1">
        <w:r w:rsidR="00924E73" w:rsidRPr="008C4C6F">
          <w:rPr>
            <w:rStyle w:val="Hyperlink"/>
            <w:noProof/>
          </w:rPr>
          <w:t xml:space="preserve">Figure IV.33 </w:t>
        </w:r>
        <w:r w:rsidR="00924E73" w:rsidRPr="008C4C6F">
          <w:rPr>
            <w:rStyle w:val="Hyperlink"/>
            <w:rFonts w:cstheme="minorHAnsi"/>
            <w:noProof/>
          </w:rPr>
          <w:t>Reductive coupling of (R)-1-phenylethanol</w:t>
        </w:r>
        <w:r w:rsidR="00924E73">
          <w:rPr>
            <w:noProof/>
            <w:webHidden/>
          </w:rPr>
          <w:tab/>
        </w:r>
        <w:r w:rsidR="00924E73">
          <w:rPr>
            <w:noProof/>
            <w:webHidden/>
          </w:rPr>
          <w:fldChar w:fldCharType="begin"/>
        </w:r>
        <w:r w:rsidR="00924E73">
          <w:rPr>
            <w:noProof/>
            <w:webHidden/>
          </w:rPr>
          <w:instrText xml:space="preserve"> PAGEREF _Toc457670816 \h </w:instrText>
        </w:r>
        <w:r w:rsidR="00924E73">
          <w:rPr>
            <w:noProof/>
            <w:webHidden/>
          </w:rPr>
        </w:r>
        <w:r w:rsidR="00924E73">
          <w:rPr>
            <w:noProof/>
            <w:webHidden/>
          </w:rPr>
          <w:fldChar w:fldCharType="separate"/>
        </w:r>
        <w:r w:rsidR="000A0E3D">
          <w:rPr>
            <w:noProof/>
            <w:webHidden/>
          </w:rPr>
          <w:t>225</w:t>
        </w:r>
        <w:r w:rsidR="00924E73">
          <w:rPr>
            <w:noProof/>
            <w:webHidden/>
          </w:rPr>
          <w:fldChar w:fldCharType="end"/>
        </w:r>
      </w:hyperlink>
    </w:p>
    <w:p w14:paraId="140D2CDA" w14:textId="77777777" w:rsidR="000B3CA9" w:rsidRDefault="00662CEC" w:rsidP="00F76147">
      <w:pPr>
        <w:pStyle w:val="NoSpacing"/>
      </w:pPr>
      <w:r>
        <w:fldChar w:fldCharType="end"/>
      </w:r>
    </w:p>
    <w:p w14:paraId="061AFF9D" w14:textId="4CD4B99A" w:rsidR="00DA1971" w:rsidRDefault="00DA1971" w:rsidP="00657AEF">
      <w:pPr>
        <w:pStyle w:val="Style1"/>
        <w:ind w:left="0"/>
      </w:pPr>
      <w:r>
        <w:br w:type="page"/>
      </w:r>
      <w:bookmarkStart w:id="3" w:name="_Toc310579467"/>
      <w:r>
        <w:t>Abstract</w:t>
      </w:r>
      <w:bookmarkEnd w:id="3"/>
    </w:p>
    <w:p w14:paraId="54CCCFF3" w14:textId="20B6C8A5" w:rsidR="00AC501F" w:rsidRPr="005B4D0D" w:rsidRDefault="00AC501F" w:rsidP="005B4D0D">
      <w:pPr>
        <w:ind w:firstLine="360"/>
        <w:jc w:val="both"/>
        <w:rPr>
          <w:rFonts w:cstheme="minorHAnsi"/>
          <w:color w:val="000000" w:themeColor="text1"/>
        </w:rPr>
      </w:pPr>
      <w:r>
        <w:rPr>
          <w:rFonts w:cstheme="minorHAnsi"/>
        </w:rPr>
        <w:t>One of the challenge</w:t>
      </w:r>
      <w:r w:rsidR="001615F0">
        <w:rPr>
          <w:rFonts w:cstheme="minorHAnsi"/>
        </w:rPr>
        <w:t>s</w:t>
      </w:r>
      <w:r>
        <w:rPr>
          <w:rFonts w:cstheme="minorHAnsi"/>
        </w:rPr>
        <w:t xml:space="preserve"> for t</w:t>
      </w:r>
      <w:r w:rsidR="00445BBF">
        <w:rPr>
          <w:rFonts w:cstheme="minorHAnsi"/>
        </w:rPr>
        <w:t xml:space="preserve">he future is to find alternative </w:t>
      </w:r>
      <w:r w:rsidR="001615F0">
        <w:rPr>
          <w:rFonts w:cstheme="minorHAnsi"/>
        </w:rPr>
        <w:t xml:space="preserve">energy and chemical </w:t>
      </w:r>
      <w:r w:rsidR="00445BBF">
        <w:rPr>
          <w:rFonts w:cstheme="minorHAnsi"/>
        </w:rPr>
        <w:t>resources to petrol. B</w:t>
      </w:r>
      <w:r w:rsidR="001615F0">
        <w:rPr>
          <w:rFonts w:cstheme="minorHAnsi"/>
        </w:rPr>
        <w:t>iomass-derived feedstocks offer</w:t>
      </w:r>
      <w:r w:rsidR="00445BBF">
        <w:rPr>
          <w:rFonts w:cstheme="minorHAnsi"/>
        </w:rPr>
        <w:t xml:space="preserve"> a renewable source of </w:t>
      </w:r>
      <w:r w:rsidRPr="00E47369">
        <w:rPr>
          <w:rFonts w:cstheme="minorHAnsi"/>
        </w:rPr>
        <w:t xml:space="preserve">highly oxygenated </w:t>
      </w:r>
      <w:r w:rsidR="005B4D0D">
        <w:rPr>
          <w:rFonts w:cstheme="minorHAnsi"/>
        </w:rPr>
        <w:t>molecule</w:t>
      </w:r>
      <w:r w:rsidR="00445BBF">
        <w:rPr>
          <w:rFonts w:cstheme="minorHAnsi"/>
        </w:rPr>
        <w:t>s.</w:t>
      </w:r>
      <w:r w:rsidR="005B4D0D">
        <w:rPr>
          <w:rFonts w:cstheme="minorHAnsi"/>
          <w:color w:val="000000" w:themeColor="text1"/>
        </w:rPr>
        <w:t xml:space="preserve"> Recent c</w:t>
      </w:r>
      <w:r w:rsidRPr="00E47369">
        <w:rPr>
          <w:rFonts w:cstheme="minorHAnsi"/>
          <w:color w:val="000000" w:themeColor="text1"/>
        </w:rPr>
        <w:t>hemical processes for the efficient and selective deoxygenation and refunctionalization of these renewable chemical resources</w:t>
      </w:r>
      <w:r w:rsidR="005B4D0D">
        <w:rPr>
          <w:rFonts w:cstheme="minorHAnsi"/>
          <w:color w:val="000000" w:themeColor="text1"/>
        </w:rPr>
        <w:t xml:space="preserve"> </w:t>
      </w:r>
      <w:r w:rsidR="001615F0">
        <w:rPr>
          <w:rFonts w:cstheme="minorHAnsi"/>
          <w:color w:val="000000" w:themeColor="text1"/>
        </w:rPr>
        <w:t>are being</w:t>
      </w:r>
      <w:r w:rsidR="005B4D0D">
        <w:rPr>
          <w:rFonts w:cstheme="minorHAnsi"/>
          <w:color w:val="000000" w:themeColor="text1"/>
        </w:rPr>
        <w:t xml:space="preserve"> developed such as: dehydration, deoxygenation and deoxydehydration (DODH)</w:t>
      </w:r>
      <w:r w:rsidRPr="00E47369">
        <w:rPr>
          <w:rFonts w:cstheme="minorHAnsi"/>
          <w:color w:val="000000" w:themeColor="text1"/>
        </w:rPr>
        <w:t>.</w:t>
      </w:r>
      <w:r w:rsidRPr="00E47369">
        <w:rPr>
          <w:rFonts w:cstheme="minorHAnsi"/>
          <w:color w:val="000000" w:themeColor="text1"/>
        </w:rPr>
        <w:fldChar w:fldCharType="begin"/>
      </w:r>
      <w:r w:rsidRPr="00E47369">
        <w:rPr>
          <w:rFonts w:cstheme="minorHAnsi"/>
          <w:color w:val="000000" w:themeColor="text1"/>
        </w:rPr>
        <w:instrText xml:space="preserve"> ADDIN ZOTERO_ITEM CSL_CITATION {"citationID":"IiAFZkmY","properties":{"formattedCitation":"{\\rtf \\super 1\\uc0\\u8211{}4\\nosupersub{}}","plainCitation":"1–4"},"citationItems":[{"id":382,"uris":["http://zotero.org/users/1624234/items/RJ5NIF42"],"uri":["http://zotero.org/users/1624234/items/RJ5NIF42"],"itemData":{"id":382,"type":"article-journal","title":"Chemical Routes for the Transformation of Biomass into Chemicals","container-title":"Chemical Reviews","page":"2411-2502","volume":"107","issue":"6","source":"ACS Publications","DOI":"10.1021/cr050989d","ISSN":"0009-2665","journalAbbreviation":"Chem. Rev.","author":[{"family":"Corma","given":"Avelino"},{"family":"Iborra","given":"Sara"},{"family":"Velty","given":"Alexandra"}],"issued":{"date-parts":[["2007"]]}},"label":"page"},{"id":335,"uris":["http://zotero.org/users/1624234/items/NHMFHAF7"],"uri":["http://zotero.org/users/1624234/items/NHMFHAF7"],"itemData":{"id":335,"type":"article-journal","title":"Synthesis of Transportation Fuels from Biomass:  Chemistry, Catalysts, and Engineering","container-title":"Chemical Reviews","page":"4044-4098","volume":"106","issue":"9","source":"ACS Publications","DOI":"10.1021/cr068360d","ISSN":"0009-2665","shortTitle":"Synthesis of Transportation Fuels from Biomass","journalAbbreviation":"Chem. Rev.","author":[{"family":"Huber","given":"George W."},{"family":"Iborra","given":"Sara"},{"family":"Corma","given":"Avelino"}],"issued":{"date-parts":[["2006"]]}},"label":"page"},{"id":170,"uris":["http://zotero.org/users/1624234/items/BEEBPN7S"],"uri":["http://zotero.org/users/1624234/items/BEEBPN7S"],"itemData":{"id":170,"type":"article-journal","title":"Liquid-Phase Catalytic Processing of Biomass-Derived Oxygenated Hydrocarbons to Fuels and Chemicals","container-title":"Angewandte Chemie International Edition","page":"7164-7183","volume":"46","issue":"38","source":"Wiley Online Library","abstract":"Biomass has the potential to serve as a sustainable source of energy and organic carbon for our industrialized society. The focus of this Review is to present an overview of chemical catalytic transformations of biomass-derived oxygenated feedstocks (primarily sugars and sugar-alcohols) in the liquid phase to value-added chemicals and fuels, with specific examples emphasizing the development of catalytic processes based on an understanding of the fundamental reaction chemistry. The key reactions involved in the processing of biomass are hydrolysis, dehydration, isomerization, aldol condensation, reforming, hydrogenation, and oxidation. Further, it is discussed how ideas based on fundamental chemical and catalytic concepts lead to strategies for the control of reaction pathways and process conditions to produce H2/CO2 or H2/CO gas mixtures by aqueous-phase reforming, to produce furan compounds by selective dehydration of carbohydrates, and to produce liquid alkanes by the combination of aldol condensation and dehydration/hydrogenation processes.","DOI":"10.1002/anie.200604274","ISSN":"1521-3773","journalAbbreviation":"Angewandte Chemie International Edition","language":"en","author":[{"family":"Chheda","given":"Juben N."},{"family":"Huber","given":"George W."},{"family":"Dumesic","given":"James A."}],"issued":{"date-parts":[["2007"]]}},"label":"page"},{"id":1573,"uris":["http://zotero.org/users/1624234/items/G9DWX8AF"],"uri":["http://zotero.org/users/1624234/items/G9DWX8AF"],"itemData":{"id":1573,"type":"article","title":"Top Value Added Chemicals from Biomass: Volume I - Results of Screening for Potential Candidates from Sugars and Synthesis Gas","URL":"http://www.nrel.gov/docs/fy04osti/35523.pdf","accessed":{"date-parts":[["2016",4,14]]}},"label":"page"}],"schema":"https://github.com/citation-style-language/schema/raw/master/csl-citation.json"} </w:instrText>
      </w:r>
      <w:r w:rsidRPr="00E47369">
        <w:rPr>
          <w:rFonts w:cstheme="minorHAnsi"/>
          <w:color w:val="000000" w:themeColor="text1"/>
        </w:rPr>
        <w:fldChar w:fldCharType="end"/>
      </w:r>
      <w:r w:rsidR="005B4D0D">
        <w:rPr>
          <w:rFonts w:cstheme="minorHAnsi"/>
          <w:color w:val="000000" w:themeColor="text1"/>
        </w:rPr>
        <w:t xml:space="preserve"> The </w:t>
      </w:r>
      <w:r w:rsidR="00370BE7">
        <w:rPr>
          <w:rFonts w:cstheme="minorHAnsi"/>
          <w:color w:val="000000" w:themeColor="text1"/>
        </w:rPr>
        <w:t xml:space="preserve">latter </w:t>
      </w:r>
      <w:r w:rsidR="005B4D0D">
        <w:rPr>
          <w:rFonts w:cstheme="minorHAnsi"/>
        </w:rPr>
        <w:t>is the</w:t>
      </w:r>
      <w:r w:rsidRPr="00E47369">
        <w:rPr>
          <w:rFonts w:cstheme="minorHAnsi"/>
        </w:rPr>
        <w:t xml:space="preserve"> </w:t>
      </w:r>
      <w:r w:rsidR="005B4D0D" w:rsidRPr="00E47369">
        <w:rPr>
          <w:rFonts w:cstheme="minorHAnsi"/>
        </w:rPr>
        <w:t xml:space="preserve">removal </w:t>
      </w:r>
      <w:r w:rsidR="005B4D0D">
        <w:rPr>
          <w:rFonts w:cstheme="minorHAnsi"/>
        </w:rPr>
        <w:t xml:space="preserve">of </w:t>
      </w:r>
      <w:r w:rsidRPr="00E47369">
        <w:rPr>
          <w:rFonts w:cstheme="minorHAnsi"/>
        </w:rPr>
        <w:t xml:space="preserve">vicinal OH </w:t>
      </w:r>
      <w:r w:rsidR="001615F0">
        <w:rPr>
          <w:rFonts w:cstheme="minorHAnsi"/>
        </w:rPr>
        <w:t xml:space="preserve">groups </w:t>
      </w:r>
      <w:r w:rsidR="005B4D0D">
        <w:rPr>
          <w:rFonts w:cstheme="minorHAnsi"/>
        </w:rPr>
        <w:t>and</w:t>
      </w:r>
      <w:r w:rsidRPr="00E47369">
        <w:rPr>
          <w:rFonts w:cstheme="minorHAnsi"/>
        </w:rPr>
        <w:t xml:space="preserve"> the formation of C-C unsaturation</w:t>
      </w:r>
      <w:r w:rsidR="005B4D0D">
        <w:rPr>
          <w:rFonts w:cstheme="minorHAnsi"/>
        </w:rPr>
        <w:t xml:space="preserve"> producing</w:t>
      </w:r>
      <w:r w:rsidRPr="00E47369">
        <w:rPr>
          <w:rFonts w:cstheme="minorHAnsi"/>
        </w:rPr>
        <w:t xml:space="preserve"> value-added unsaturated products that </w:t>
      </w:r>
      <w:r w:rsidR="00A932BC">
        <w:rPr>
          <w:rFonts w:cstheme="minorHAnsi"/>
        </w:rPr>
        <w:t xml:space="preserve">find uses </w:t>
      </w:r>
      <w:r w:rsidRPr="00E47369">
        <w:rPr>
          <w:rFonts w:cstheme="minorHAnsi"/>
        </w:rPr>
        <w:t xml:space="preserve">as laboratory and industrial intermediates and end-products. </w:t>
      </w:r>
    </w:p>
    <w:p w14:paraId="505273AB" w14:textId="62DC18CE" w:rsidR="00AC501F" w:rsidRDefault="00A932BC" w:rsidP="00605603">
      <w:pPr>
        <w:ind w:firstLine="360"/>
        <w:jc w:val="both"/>
      </w:pPr>
      <w:r>
        <w:t>Chapter II</w:t>
      </w:r>
      <w:r w:rsidR="00605603">
        <w:t xml:space="preserve"> report</w:t>
      </w:r>
      <w:r w:rsidR="001615F0">
        <w:t>s</w:t>
      </w:r>
      <w:r w:rsidR="00605603">
        <w:t xml:space="preserve"> the study of a new class of reducing agent for the DODH reaction: </w:t>
      </w:r>
      <w:r w:rsidR="00405E39">
        <w:t>hydroaromatics</w:t>
      </w:r>
      <w:r w:rsidR="00605603">
        <w:t xml:space="preserve">. In this study we tested the activity as DODH reducing agent </w:t>
      </w:r>
      <w:r w:rsidR="001615F0">
        <w:t>with a range of</w:t>
      </w:r>
      <w:r w:rsidR="00605603">
        <w:t xml:space="preserve"> hydroaromatics. We found several to be reactive and providing good yield</w:t>
      </w:r>
      <w:r w:rsidR="001615F0">
        <w:t>s</w:t>
      </w:r>
      <w:r w:rsidR="00605603">
        <w:t>. Two of them were found to not only be good DODH reducing agent</w:t>
      </w:r>
      <w:r w:rsidR="001615F0">
        <w:t>s</w:t>
      </w:r>
      <w:r w:rsidR="00605603">
        <w:t xml:space="preserve"> </w:t>
      </w:r>
      <w:r w:rsidR="00405E39">
        <w:t xml:space="preserve">but also </w:t>
      </w:r>
      <w:r w:rsidR="00605603">
        <w:t>to involve the alkene product in a cycloaddition. Indoline was found to be the most reactive of all and could be appl</w:t>
      </w:r>
      <w:r w:rsidR="001615F0">
        <w:t>ied</w:t>
      </w:r>
      <w:r w:rsidR="00605603">
        <w:t xml:space="preserve"> to a larger survey of diol</w:t>
      </w:r>
      <w:r w:rsidR="001615F0">
        <w:t>s</w:t>
      </w:r>
      <w:r w:rsidR="00605603">
        <w:t>. This superior reactivity of indol</w:t>
      </w:r>
      <w:r w:rsidR="00686DC2">
        <w:t>ine</w:t>
      </w:r>
      <w:r w:rsidR="00605603">
        <w:t xml:space="preserve"> </w:t>
      </w:r>
      <w:r w:rsidR="0093733C">
        <w:t xml:space="preserve">was explained by the formation of indoline-rhenium complex which was isolated and </w:t>
      </w:r>
      <w:r w:rsidR="001615F0">
        <w:t xml:space="preserve">its structure was </w:t>
      </w:r>
      <w:r w:rsidR="0093733C">
        <w:t>solved with a</w:t>
      </w:r>
      <w:r w:rsidR="001615F0">
        <w:t>n</w:t>
      </w:r>
      <w:r w:rsidR="0093733C">
        <w:t xml:space="preserve"> X-ray crystal structure. </w:t>
      </w:r>
    </w:p>
    <w:p w14:paraId="062C5186" w14:textId="7595DD79" w:rsidR="00AC501F" w:rsidRDefault="00A932BC" w:rsidP="0093733C">
      <w:pPr>
        <w:ind w:firstLine="360"/>
        <w:jc w:val="both"/>
      </w:pPr>
      <w:r>
        <w:t>Chapter III</w:t>
      </w:r>
      <w:r w:rsidR="0093733C">
        <w:t xml:space="preserve"> covers the efforts </w:t>
      </w:r>
      <w:r>
        <w:t xml:space="preserve">we </w:t>
      </w:r>
      <w:r w:rsidR="0093733C">
        <w:t xml:space="preserve">made in the </w:t>
      </w:r>
      <w:r>
        <w:t>develop</w:t>
      </w:r>
      <w:r w:rsidR="001615F0">
        <w:t>ment of</w:t>
      </w:r>
      <w:r w:rsidR="0093733C">
        <w:t xml:space="preserve"> DODH/C-C bond formation tandem reactions. The concept of these tandem reactions was to have the DODH reaction directly followed by a C-C bond reactions such as: </w:t>
      </w:r>
      <w:r w:rsidR="0093733C" w:rsidRPr="0093733C">
        <w:t>Hetero Diels Alder, Allylation, Hydro</w:t>
      </w:r>
      <w:r w:rsidR="001615F0">
        <w:t>ac</w:t>
      </w:r>
      <w:r w:rsidR="0093733C" w:rsidRPr="0093733C">
        <w:t>ylation, Heck, Hydroformylation</w:t>
      </w:r>
      <w:r>
        <w:t>, Alkene metathesis</w:t>
      </w:r>
      <w:r w:rsidR="0093733C" w:rsidRPr="0093733C">
        <w:t xml:space="preserve"> and Wittig reactions</w:t>
      </w:r>
      <w:r w:rsidR="0093733C">
        <w:t xml:space="preserve">. </w:t>
      </w:r>
      <w:r>
        <w:t xml:space="preserve">The </w:t>
      </w:r>
      <w:r w:rsidR="00A14820">
        <w:t xml:space="preserve">compatibility of reagents and reaction conditions </w:t>
      </w:r>
      <w:r>
        <w:t>was the most</w:t>
      </w:r>
      <w:r w:rsidR="00A14820">
        <w:t xml:space="preserve"> challenging</w:t>
      </w:r>
      <w:r>
        <w:t xml:space="preserve"> part of these tandem reactions</w:t>
      </w:r>
      <w:r w:rsidR="00A14820">
        <w:t xml:space="preserve">. </w:t>
      </w:r>
      <w:r>
        <w:t xml:space="preserve">From all </w:t>
      </w:r>
      <w:r w:rsidR="00B738A4">
        <w:t xml:space="preserve">these </w:t>
      </w:r>
      <w:r>
        <w:t>we found</w:t>
      </w:r>
      <w:r w:rsidR="00B738A4">
        <w:t xml:space="preserve"> some</w:t>
      </w:r>
      <w:r>
        <w:t xml:space="preserve"> </w:t>
      </w:r>
      <w:r w:rsidR="00A14820">
        <w:t>compromise</w:t>
      </w:r>
      <w:r w:rsidR="00B738A4">
        <w:t>s</w:t>
      </w:r>
      <w:r w:rsidR="00A14820">
        <w:t xml:space="preserve"> </w:t>
      </w:r>
      <w:r w:rsidR="00B738A4">
        <w:t>between each of the side</w:t>
      </w:r>
      <w:r w:rsidR="00C416AF">
        <w:t>s</w:t>
      </w:r>
      <w:r w:rsidR="00B738A4">
        <w:t xml:space="preserve"> of the tandem</w:t>
      </w:r>
      <w:r w:rsidR="00C416AF">
        <w:t xml:space="preserve"> reactions</w:t>
      </w:r>
      <w:r w:rsidR="00B738A4">
        <w:t xml:space="preserve"> and could observe </w:t>
      </w:r>
      <w:r w:rsidR="00A14820">
        <w:t>DODH/C-C bond forming tandem reaction</w:t>
      </w:r>
      <w:r w:rsidR="00B738A4">
        <w:t>s</w:t>
      </w:r>
      <w:r w:rsidR="00A14820">
        <w:t>.</w:t>
      </w:r>
    </w:p>
    <w:p w14:paraId="6D403275" w14:textId="16B2C8C9" w:rsidR="0093733C" w:rsidRDefault="00A14820" w:rsidP="00A14820">
      <w:pPr>
        <w:ind w:firstLine="360"/>
        <w:jc w:val="both"/>
      </w:pPr>
      <w:r>
        <w:t>The last chapter cover</w:t>
      </w:r>
      <w:r w:rsidR="001615F0">
        <w:t>s</w:t>
      </w:r>
      <w:r>
        <w:t xml:space="preserve"> the mechanistic study of </w:t>
      </w:r>
      <w:r w:rsidR="00B738A4">
        <w:t>IReO</w:t>
      </w:r>
      <w:r w:rsidR="00B738A4" w:rsidRPr="00A14820">
        <w:rPr>
          <w:vertAlign w:val="subscript"/>
        </w:rPr>
        <w:t>2</w:t>
      </w:r>
      <w:r w:rsidR="00B738A4">
        <w:t>(PPh</w:t>
      </w:r>
      <w:r w:rsidR="00B738A4" w:rsidRPr="00A14820">
        <w:rPr>
          <w:vertAlign w:val="subscript"/>
        </w:rPr>
        <w:t>3</w:t>
      </w:r>
      <w:r w:rsidR="00B738A4">
        <w:t>)</w:t>
      </w:r>
      <w:r w:rsidR="00B738A4" w:rsidRPr="00A14820">
        <w:rPr>
          <w:vertAlign w:val="subscript"/>
        </w:rPr>
        <w:t>2</w:t>
      </w:r>
      <w:r w:rsidR="00B738A4" w:rsidRPr="00B738A4">
        <w:t xml:space="preserve"> </w:t>
      </w:r>
      <w:r>
        <w:t>catalyzed reductive coupling of activated alcohol</w:t>
      </w:r>
      <w:r w:rsidR="00C416AF">
        <w:t>s</w:t>
      </w:r>
      <w:r>
        <w:t>. In this reaction activated alcohols form alk</w:t>
      </w:r>
      <w:r w:rsidR="001615F0">
        <w:t>ane</w:t>
      </w:r>
      <w:r>
        <w:t xml:space="preserve"> dimers. Stoichiometric, kinetic and computational</w:t>
      </w:r>
      <w:r w:rsidR="00A932BC">
        <w:t xml:space="preserve"> (</w:t>
      </w:r>
      <w:r w:rsidR="00A932BC" w:rsidRPr="00A932BC">
        <w:rPr>
          <w:i/>
        </w:rPr>
        <w:t>by K. Nicholas</w:t>
      </w:r>
      <w:r w:rsidR="00A932BC">
        <w:t>)</w:t>
      </w:r>
      <w:r>
        <w:t xml:space="preserve"> studies were conducted </w:t>
      </w:r>
      <w:r w:rsidR="00A932BC">
        <w:t xml:space="preserve">to find and support potential catalyst intermediates. </w:t>
      </w:r>
      <w:r w:rsidR="00B738A4">
        <w:t xml:space="preserve">Combining the information from each of these studies we could propose a </w:t>
      </w:r>
      <w:r w:rsidR="001615F0">
        <w:t xml:space="preserve">potential </w:t>
      </w:r>
      <w:r w:rsidR="00B738A4">
        <w:t xml:space="preserve">catalytic cycle. </w:t>
      </w:r>
    </w:p>
    <w:p w14:paraId="52DC95DC" w14:textId="77777777" w:rsidR="0093733C" w:rsidRDefault="0093733C" w:rsidP="00DA1971"/>
    <w:p w14:paraId="736DED5D" w14:textId="77777777" w:rsidR="00AC501F" w:rsidRDefault="00AC501F" w:rsidP="00DA1971">
      <w:pPr>
        <w:sectPr w:rsidR="00AC501F" w:rsidSect="00775701">
          <w:footerReference w:type="default" r:id="rId8"/>
          <w:pgSz w:w="12240" w:h="15840" w:code="1"/>
          <w:pgMar w:top="1440" w:right="1440" w:bottom="1440" w:left="2304" w:header="720" w:footer="720" w:gutter="0"/>
          <w:pgNumType w:fmt="lowerRoman" w:start="4"/>
          <w:cols w:space="720"/>
          <w:docGrid w:linePitch="360"/>
        </w:sectPr>
      </w:pPr>
    </w:p>
    <w:p w14:paraId="5B37FDD2" w14:textId="77777777" w:rsidR="00472DCD" w:rsidRPr="00E47369" w:rsidRDefault="00216D29" w:rsidP="00472DCD">
      <w:pPr>
        <w:pStyle w:val="Heading1"/>
        <w:rPr>
          <w:rFonts w:asciiTheme="minorHAnsi" w:hAnsiTheme="minorHAnsi" w:cstheme="minorHAnsi"/>
        </w:rPr>
      </w:pPr>
      <w:bookmarkStart w:id="4" w:name="_Toc458938270"/>
      <w:r w:rsidRPr="00E47369">
        <w:rPr>
          <w:rFonts w:asciiTheme="minorHAnsi" w:hAnsiTheme="minorHAnsi" w:cstheme="minorHAnsi"/>
        </w:rPr>
        <w:t>Introduction to and Background of the Deoxydehydration Reaction</w:t>
      </w:r>
      <w:bookmarkEnd w:id="4"/>
    </w:p>
    <w:p w14:paraId="0E115701" w14:textId="77777777" w:rsidR="00216D29" w:rsidRPr="00E47369" w:rsidRDefault="00216D29" w:rsidP="00BA0582">
      <w:pPr>
        <w:pStyle w:val="Heading2"/>
      </w:pPr>
      <w:bookmarkStart w:id="5" w:name="_Toc458938271"/>
      <w:r w:rsidRPr="00E47369">
        <w:t>Introduction</w:t>
      </w:r>
      <w:bookmarkEnd w:id="5"/>
    </w:p>
    <w:p w14:paraId="4A43828D" w14:textId="77777777" w:rsidR="00216D29" w:rsidRDefault="00216D29" w:rsidP="00FE05A3">
      <w:pPr>
        <w:ind w:firstLine="360"/>
        <w:jc w:val="both"/>
        <w:rPr>
          <w:rFonts w:cstheme="minorHAnsi"/>
        </w:rPr>
      </w:pPr>
      <w:r w:rsidRPr="00E47369">
        <w:rPr>
          <w:rFonts w:cstheme="minorHAnsi"/>
        </w:rPr>
        <w:t xml:space="preserve">The highly oxygenated nature of biomass-derived feedstocks has stimulated the discovery and development </w:t>
      </w:r>
      <w:r w:rsidRPr="00E47369">
        <w:rPr>
          <w:rFonts w:cstheme="minorHAnsi"/>
          <w:color w:val="000000" w:themeColor="text1"/>
        </w:rPr>
        <w:t>of new chemical processes for the efficient and selective deoxygenation and refunctionalization of these renewable chemical resources.</w:t>
      </w:r>
      <w:r w:rsidRPr="00E47369">
        <w:rPr>
          <w:rFonts w:cstheme="minorHAnsi"/>
          <w:color w:val="000000" w:themeColor="text1"/>
        </w:rPr>
        <w:fldChar w:fldCharType="begin"/>
      </w:r>
      <w:r w:rsidR="00E04778">
        <w:rPr>
          <w:rFonts w:cstheme="minorHAnsi"/>
          <w:color w:val="000000" w:themeColor="text1"/>
        </w:rPr>
        <w:instrText xml:space="preserve"> ADDIN ZOTERO_ITEM CSL_CITATION {"citationID":"GH1YU6jU","properties":{"formattedCitation":"{\\rtf \\super 1\\uc0\\u8211{}4\\nosupersub{}}","plainCitation":"1–4"},"citationItems":[{"id":382,"uris":["http://zotero.org/users/1624234/items/RJ5NIF42"],"uri":["http://zotero.org/users/1624234/items/RJ5NIF42"],"itemData":{"id":382,"type":"article-journal","title":"Chemical Routes for the Transformation of Biomass into Chemicals","container-title":"Chemical Reviews","page":"2411-2502","volume":"107","issue":"6","source":"ACS Publications","DOI":"10.1021/cr050989d","ISSN":"0009-2665","journalAbbreviation":"Chem. Rev.","author":[{"family":"Corma","given":"Avelino"},{"family":"Iborra","given":"Sara"},{"family":"Velty","given":"Alexandra"}],"issued":{"date-parts":[["2007"]]}},"label":"page"},{"id":335,"uris":["http://zotero.org/users/1624234/items/NHMFHAF7"],"uri":["http://zotero.org/users/1624234/items/NHMFHAF7"],"itemData":{"id":335,"type":"article-journal","title":"Synthesis of Transportation Fuels from Biomass:  Chemistry, Catalysts, and Engineering","container-title":"Chemical Reviews","page":"4044-4098","volume":"106","issue":"9","source":"ACS Publications","DOI":"10.1021/cr068360d","ISSN":"0009-2665","shortTitle":"Synthesis of Transportation Fuels from Biomass","journalAbbreviation":"Chem. Rev.","author":[{"family":"Huber","given":"George W."},{"family":"Iborra","given":"Sara"},{"family":"Corma","given":"Avelino"}],"issued":{"date-parts":[["2006"]]}},"label":"page"},{"id":170,"uris":["http://zotero.org/users/1624234/items/BEEBPN7S"],"uri":["http://zotero.org/users/1624234/items/BEEBPN7S"],"itemData":{"id":170,"type":"article-journal","title":"Liquid-Phase Catalytic Processing of Biomass-Derived Oxygenated Hydrocarbons to Fuels and Chemicals","container-title":"Angewandte Chemie International Edition","page":"7164-7183","volume":"46","issue":"38","source":"Wiley Online Library","abstract":"Biomass has the potential to serve as a sustainable source of energy and organic carbon for our industrialized society. The focus of this Review is to present an overview of chemical catalytic transformations of biomass-derived oxygenated feedstocks (primarily sugars and sugar-alcohols) in the liquid phase to value-added chemicals and fuels, with specific examples emphasizing the development of catalytic processes based on an understanding of the fundamental reaction chemistry. The key reactions involved in the processing of biomass are hydrolysis, dehydration, isomerization, aldol condensation, reforming, hydrogenation, and oxidation. Further, it is discussed how ideas based on fundamental chemical and catalytic concepts lead to strategies for the control of reaction pathways and process conditions to produce H2/CO2 or H2/CO gas mixtures by aqueous-phase reforming, to produce furan compounds by selective dehydration of carbohydrates, and to produce liquid alkanes by the combination of aldol condensation and dehydration/hydrogenation processes.","DOI":"10.1002/anie.200604274","ISSN":"1521-3773","journalAbbreviation":"Angewandte Chemie International Edition","language":"en","author":[{"family":"Chheda","given":"Juben N."},{"family":"Huber","given":"George W."},{"family":"Dumesic","given":"James A."}],"issued":{"date-parts":[["2007"]]}},"label":"page"},{"id":1573,"uris":["http://zotero.org/users/1624234/items/G9DWX8AF"],"uri":["http://zotero.org/users/1624234/items/G9DWX8AF"],"itemData":{"id":1573,"type":"article","title":"Top Value Added Chemicals from Biomass: Volume I - Results of Screening for Potential Candidates from Sugars and Synthesis Gas","URL":"http://www.nrel.gov/docs/fy04osti/35523.pdf","accessed":{"date-parts":[["2016",4,14]]}},"label":"page"}],"schema":"https://github.com/citation-style-language/schema/raw/master/csl-citation.json"} </w:instrText>
      </w:r>
      <w:r w:rsidRPr="00E47369">
        <w:rPr>
          <w:rFonts w:cstheme="minorHAnsi"/>
          <w:color w:val="000000" w:themeColor="text1"/>
        </w:rPr>
        <w:fldChar w:fldCharType="separate"/>
      </w:r>
      <w:r w:rsidRPr="00E47369">
        <w:rPr>
          <w:rFonts w:cstheme="minorHAnsi"/>
          <w:sz w:val="22"/>
          <w:vertAlign w:val="superscript"/>
        </w:rPr>
        <w:t>1–4</w:t>
      </w:r>
      <w:r w:rsidRPr="00E47369">
        <w:rPr>
          <w:rFonts w:cstheme="minorHAnsi"/>
          <w:color w:val="000000" w:themeColor="text1"/>
        </w:rPr>
        <w:fldChar w:fldCharType="end"/>
      </w:r>
      <w:r w:rsidRPr="00E47369">
        <w:rPr>
          <w:rFonts w:cstheme="minorHAnsi"/>
          <w:color w:val="000000" w:themeColor="text1"/>
        </w:rPr>
        <w:t xml:space="preserve"> Cellulose, carbohydrates and hydrolyzed plant oils are polyhydroxylated materials (polyols) and methods for their partial deoxygenation have largely focused on their dehydration</w:t>
      </w:r>
      <w:r w:rsidRPr="00E47369">
        <w:rPr>
          <w:rFonts w:cstheme="minorHAnsi"/>
        </w:rPr>
        <w:t xml:space="preserve"> reactions (</w:t>
      </w:r>
      <w:r w:rsidR="00651D27" w:rsidRPr="00E47369">
        <w:rPr>
          <w:rFonts w:cstheme="minorHAnsi"/>
        </w:rPr>
        <w:fldChar w:fldCharType="begin"/>
      </w:r>
      <w:r w:rsidR="00651D27" w:rsidRPr="00E47369">
        <w:rPr>
          <w:rFonts w:cstheme="minorHAnsi"/>
        </w:rPr>
        <w:instrText xml:space="preserve"> REF _Ref449640971 \h </w:instrText>
      </w:r>
      <w:r w:rsidR="003E463F" w:rsidRPr="00E47369">
        <w:rPr>
          <w:rFonts w:cstheme="minorHAnsi"/>
        </w:rPr>
        <w:instrText xml:space="preserve"> \* MERGEFORMAT </w:instrText>
      </w:r>
      <w:r w:rsidR="00651D27" w:rsidRPr="00E47369">
        <w:rPr>
          <w:rFonts w:cstheme="minorHAnsi"/>
        </w:rPr>
      </w:r>
      <w:r w:rsidR="00651D27" w:rsidRPr="00E47369">
        <w:rPr>
          <w:rFonts w:cstheme="minorHAnsi"/>
        </w:rPr>
        <w:fldChar w:fldCharType="separate"/>
      </w:r>
      <w:r w:rsidR="000A0E3D" w:rsidRPr="000A0E3D">
        <w:rPr>
          <w:rFonts w:cstheme="minorHAnsi"/>
        </w:rPr>
        <w:t xml:space="preserve">Figure I. </w:t>
      </w:r>
      <w:r w:rsidR="000A0E3D" w:rsidRPr="000A0E3D">
        <w:rPr>
          <w:rFonts w:cstheme="minorHAnsi"/>
          <w:noProof/>
        </w:rPr>
        <w:t>1.1</w:t>
      </w:r>
      <w:r w:rsidR="00651D27" w:rsidRPr="00E47369">
        <w:rPr>
          <w:rFonts w:cstheme="minorHAnsi"/>
        </w:rPr>
        <w:fldChar w:fldCharType="end"/>
      </w:r>
      <w:r w:rsidRPr="00E47369">
        <w:rPr>
          <w:rFonts w:cstheme="minorHAnsi"/>
        </w:rPr>
        <w:t>).</w:t>
      </w:r>
      <w:r w:rsidRPr="00E47369">
        <w:rPr>
          <w:rFonts w:cstheme="minorHAnsi"/>
        </w:rPr>
        <w:fldChar w:fldCharType="begin"/>
      </w:r>
      <w:r w:rsidR="006D0CD6" w:rsidRPr="00E47369">
        <w:rPr>
          <w:rFonts w:cstheme="minorHAnsi"/>
        </w:rPr>
        <w:instrText xml:space="preserve"> ADDIN ZOTERO_ITEM CSL_CITATION {"citationID":"v27eu32ae","properties":{"formattedCitation":"{\\rtf \\super 5\\uc0\\u8211{}9\\nosupersub{}}","plainCitation":"5–9"},"citationItems":[{"id":485,"uris":["http://zotero.org/users/1624234/items/ZJ9FI2IM"],"uri":["http://zotero.org/users/1624234/items/ZJ9FI2IM"],"itemData":{"id":485,"type":"article-journal","title":"Heterogeneous acid-catalysts for the production of furan-derived compounds (furfural and hydroxymethylfurfural) from renewable carbohydrates: A review","container-title":"Catalysis Today","collection-title":"Special Issue of the 2nd International Congress on Catalysis for Biorefineries (CatBior 2013)","page":"42-58","volume":"234","source":"ScienceDirect","abstract":"The production of value-added chemicals from renewable sources, such as biomass-derived carbohydrates, is an emerging field. The amount of publications in the field of pentose and hexose conversion to furfural and hydroxymethylfurfural has considerably increased in the recent years. Most of these studies focus on using heterogeneous acid-catalysts to selectively convert these carbohydrates into the desired products at optimized yields. This review aims to summarize the most significant studies reporting the conversion of C5 and C6 carbohydrates using different structured materials. The final goal is to provide with a general overview of the broad spectrum of heterogeneous catalysts studies and the correlation between their physicochemical properties, with a special attention on the pore structure, and the catalytic activity under different reaction conditions, such as solvents or temperature. In the case of furfural, as it is already a commercial product, a short overview of the manufacturing process and the current improvements will also be given. The future studies reporting the carbohydrate dehydration reactions to furfural and HMF could take advantage of this study to select the physicochemical properties of the catalysts required to achieve their specific goals.","DOI":"10.1016/j.cattod.2013.11.027","ISSN":"0920-5861","shortTitle":"Heterogeneous acid-catalysts for the production of furan-derived compounds (furfural and hydroxymethylfurfural) from renewable carbohydrates","journalAbbreviation":"Catalysis Today","author":[{"family":"Agirrezabal-Telleria","given":"I."},{"family":"Gandarias","given":"I."},{"family":"Arias","given":"P. L."}],"issued":{"date-parts":[["2014",10,1]]}}},{"id":250,"uris":["http://zotero.org/users/1624234/items/H4P6XN6N"],"uri":["http://zotero.org/users/1624234/items/H4P6XN6N"],"itemData":{"id":250,"type":"article-journal","title":"Towards the Efficient, Total Glycan Utilization of Biomass","container-title":"ChemSusChem","page":"423-426","volume":"2","issue":"5","source":"Wiley Online Library","abstract":"From biomass to mass transportation: Waste biomass (newspaper, corn stover, straw, and wood) is converted into biofuel precursors and value-added products in excellent yield using a simple, inexpensive process involving concurrent hydrolysis, dehydration, and substitution reactions in a biphasic reactor. The hemicellulose fraction of these substrates is simultaneously converted into furfural, and together these constitute an efficient means for the total exploitation of the carbohydrate content of biomass.","DOI":"10.1002/cssc.200900071","ISSN":"1864-564X","journalAbbreviation":"ChemSusChem","language":"en","author":[{"family":"Mascal","given":"Mark"},{"family":"Nikitin","given":"Edward B."}],"issued":{"date-parts":[["2009"]]}}},{"id":175,"uris":["http://zotero.org/users/1624234/items/BRG936W4"],"uri":["http://zotero.org/users/1624234/items/BRG936W4"],"itemData":{"id":175,"type":"article-journal","title":"One-Step Catalytic Transformation of Carbohydrates and Cellulosic Biomass to 2,5-Dimethyltetrahydrofuran for Liquid Fuels","container-title":"ChemSusChem","page":"597-603","volume":"3","issue":"5","source":"Wiley Online Library","abstract":"Existing technologies to produce liquid fuels from biomass are typically energy-intensive, multistep processes. Many of these processes use edible biomass as starting material. Carbohydrates, such as mono- and polysaccharides and cellulose, typically constitute 50–80 % of plant biomass. Herein, we report that hexose from a wide range of biomass-derived carbohydrates, cellulose, and even raw lignocellulose (e.g., corn stover) can be converted into 2,5-dimethyltetrahydrofuran (DMTHF) in one step, in good yields and under mild conditions in water. Under the same conditions, 2-methyltetrahydrofuran is formed from pentose. The reaction employs a soluble rhodium catalyst, dihydrogen, and HI/HCl+NaI. The catalytic system is robust and can be recycled repeatedly without loss of activity. DMTHF is superior to ethanol and has many of the desirable properties currently found in typical petroleum-derived transportation fuels.","DOI":"10.1002/cssc.200900285","ISSN":"1864-564X","journalAbbreviation":"ChemSusChem","language":"en","author":[{"family":"Yang","given":"Weiran"},{"family":"Sen","given":"Ayusman"}],"issued":{"date-parts":[["2010"]]}}},{"id":471,"uris":["http://zotero.org/users/1624234/items/XN5W9B9U"],"uri":["http://zotero.org/users/1624234/items/XN5W9B9U"],"itemData":{"id":471,"type":"article-journal","title":"Dramatic Advancements in the Saccharide to 5-(Chloromethyl)furfural Conversion Reaction","container-title":"ChemSusChem","page":"859-861","volume":"2","issue":"9","source":"Wiley Online Library","DOI":"10.1002/cssc.200900136","ISSN":"1864-564X","journalAbbreviation":"ChemSusChem","language":"en","author":[{"family":"Mascal","given":"Mark"},{"family":"Nikitin","given":"Edward B."}],"issued":{"date-parts":[["2009"]]}}},{"id":231,"uris":["http://zotero.org/users/1624234/items/FP7TX9ZP"],"uri":["http://zotero.org/users/1624234/items/FP7TX9ZP"],"itemData":{"id":231,"type":"article-journal","title":"Simple Chemical Transformation of Lignocellulosic Biomass into Furans for Fuels and Chemicals","container-title":"Journal of the American Chemical Society","page":"1979-1985","volume":"131","issue":"5","source":"ACS Publications","abstract":"Lignocellulosic biomass is a plentiful and renewable resource for fuels and chemicals. Despite this potential, nearly all renewable fuels and chemicals are now produced from edible resources, such as starch, sugars, and oils; the challenges imposed by notoriously recalcitrant and heterogeneous lignocellulosic feedstocks have made their production from nonfood biomass inefficient and uneconomical. Here, we report that N,N-dimethylacetamide (DMA) containing lithium chloride (LiCl) is a privileged solvent that enables the synthesis of the renewable platform chemical 5-hydroxymethylfurfural (HMF) in a single step and unprecedented yield from untreated lignocellulosic biomass, as well as from purified cellulose, glucose, and fructose. The conversion of cellulose into HMF is unabated by the presence of other biomass components, such as lignin and protein. Mechanistic analyses reveal that loosely ion-paired halide ions in DMA?LiCl are critical for the remarkable rapidity (1?5 h) and yield (up to 92%) of this low-temperature (≤140 °C) process. The simplicity of this chemical transformation of lignocellulose contrasts markedly with the complexity of extant bioprocesses and provides a new paradigm for the use of biomass as a raw material for a renewable energy and chemical industries.","DOI":"10.1021/ja808537j","ISSN":"0002-7863","journalAbbreviation":"J. Am. Chem. Soc.","author":[{"family":"Binder","given":"Joseph B."},{"family":"Raines","given":"Ronald T."}],"issued":{"date-parts":[["2009"]]}}}],"schema":"https://github.com/citation-style-language/schema/raw/master/csl-citation.json"} </w:instrText>
      </w:r>
      <w:r w:rsidRPr="00E47369">
        <w:rPr>
          <w:rFonts w:cstheme="minorHAnsi"/>
        </w:rPr>
        <w:fldChar w:fldCharType="separate"/>
      </w:r>
      <w:r w:rsidRPr="00E47369">
        <w:rPr>
          <w:rFonts w:cstheme="minorHAnsi"/>
          <w:sz w:val="22"/>
          <w:vertAlign w:val="superscript"/>
        </w:rPr>
        <w:t>5–9</w:t>
      </w:r>
      <w:r w:rsidRPr="00E47369">
        <w:rPr>
          <w:rFonts w:cstheme="minorHAnsi"/>
        </w:rPr>
        <w:fldChar w:fldCharType="end"/>
      </w:r>
      <w:r w:rsidRPr="00E47369">
        <w:rPr>
          <w:rFonts w:cstheme="minorHAnsi"/>
        </w:rPr>
        <w:t xml:space="preserve"> More recently, reductive processes for oxygen removal have garnered increasing attention. These approaches include catalytic hydrodeoxygenation, which replaces C-O bonds with C-H bonds</w:t>
      </w:r>
      <w:r w:rsidRPr="00E47369">
        <w:rPr>
          <w:rFonts w:cstheme="minorHAnsi"/>
        </w:rPr>
        <w:fldChar w:fldCharType="begin"/>
      </w:r>
      <w:r w:rsidR="006D0CD6" w:rsidRPr="00E47369">
        <w:rPr>
          <w:rFonts w:cstheme="minorHAnsi"/>
        </w:rPr>
        <w:instrText xml:space="preserve"> ADDIN ZOTERO_ITEM CSL_CITATION {"citationID":"1v8cv71iop","properties":{"formattedCitation":"{\\rtf \\super 10\\uc0\\u8211{}13\\nosupersub{}}","plainCitation":"10–13"},"citationItems":[{"id":487,"uris":["http://zotero.org/users/1624234/items/ZR7JH632"],"uri":["http://zotero.org/users/1624234/items/ZR7JH632"],"itemData":{"id":487,"type":"article-journal","title":"Hydrogenolysis Goes Bio: From Carbohydrates and Sugar Alcohols to Platform Chemicals","container-title":"Angewandte Chemie International Edition","page":"2564-2601","volume":"51","issue":"11","source":"Wiley Online Library","abstract":"In view of the diminishing oil resources and the ongoing climate change, the use of efficient and environmentally benign technologies for the utilization of renewable resources has become indispensible. Therein, hydrogenolysis reactions offer a promising possibility for future biorefinery concepts. These reactions result in the cleavage of CC and CO bonds by hydrogen and allow direct access to valuable platform chemicals already integrated in today’s value chains. Thus, hydrogenolysis bears the potential to bridge currently available technologies and future biomass-based refinery concepts. This Review highlights past and present developments in this field, with special emphasis on the direct utilization of cellulosic feedstocks.","DOI":"10.1002/anie.201105125","ISSN":"1521-3773","shortTitle":"Hydrogenolysis Goes Bio","journalAbbreviation":"Angew. Chem. Int. Ed.","language":"en","author":[{"family":"Ruppert","given":"Agnieszka M."},{"family":"Weinberg","given":"Kamil"},{"family":"Palkovits","given":"Regina"}],"issued":{"date-parts":[["2012"]]}}},{"id":262,"uris":["http://zotero.org/users/1624234/items/I5VHSRIF"],"uri":["http://zotero.org/users/1624234/items/I5VHSRIF"],"itemData":{"id":262,"type":"article-journal","title":"Conversion of Cellulose into Sorbitol over Carbon Nanotube-Supported Ruthenium Catalyst","container-title":"Catalysis Letters","page":"167-174","volume":"133","issue":"1-2","source":"link.springer.com","abstract":"Cellulose samples with different crystallinities (33–85%) were prepared by treating a commercial cellulose (crystalline, 85%) with phosphoric acid under different conditions. Supported Fe, Co, Ni, Pd, Pt, Rh, Ru, Ir, Ag, and Au catalysts were examined for the conversion of cellulose with a crystallinity of 33% in water medium in the presence of hydrogen, and Ru was found to be the most effective catalyst for the formation of sorbitol. We demonstrated that carbon nanotubes (CNTs) were the most efficient support of Ru for cellulose conversion, and the mean size of Ru nanoparticles over CNT was ~8.8 nm. NH3-TPD and H2-TPD characterizations suggest that plenty of acid sites and unique hydrogen species over the Ru/CNT are important for sorbitol formation through hydrolysis and hydrogenation of cellulose. A 40% yield of hexitols (including 36% of sorbitol) could be achieved over the Ru/CNT catalyst for the conversion of the commercial cellulose (crystalline, 85%), and this yield was the highest one reported to date for the direct conversion of cellulose into sugar alcohols.","DOI":"10.1007/s10562-009-0136-3","ISSN":"1011-372X, 1572-879X","journalAbbreviation":"Catal Lett","language":"en","author":[{"family":"Deng","given":"Weiping"},{"family":"Tan","given":"Xuesong"},{"family":"Fang","given":"Wenhao"},{"family":"Zhang","given":"Qinghong"},{"family":"Wang","given":"Ye"}],"issued":{"date-parts":[["2009",11,1]]}}},{"id":137,"uris":["http://zotero.org/users/1624234/items/8QH5AAB6"],"uri":["http://zotero.org/users/1624234/items/8QH5AAB6"],"itemData":{"id":137,"type":"article-journal","title":"One-Step Conversion of Cellobiose to C6-Alcohols Using a Ruthenium Nanocluster Catalyst","container-title":"Journal of the American Chemical Society","page":"8714-8715","volume":"128","issue":"27","source":"ACS Publications","abstract":"The one-step conversion of cellulose to C6-alcohols via green and energy efficient approaches has, as far as we are aware, not been reported. Such a process presents a considerable challenge, the two key problems being (1) finding a suitable solvent that dissolves the cellulose, and (2) the development of advanced catalytic chemistry for selective cleavage of the COC bonds (glycosidic bonds) connecting glucose residues. The dissolution of cellulose has been recently realized by using ionic liquids as green solvents; there is still no efficient method, such as selective hydrogenation, for the precise COC cleavage under mild conditions, however. Cellobiose is a glucose dimer connected by a glycosidic bond and represents the simplest model molecule for cellulose. We disclose in this communication that the one-step conversion of cellobiose to C6-alcohols can be realized by selectively breaking the COC bonds via selective hydrogenation using a water-soluble ruthenium nanocluster catalyst under 40 bar H2 pressure.","DOI":"10.1021/ja062468t","ISSN":"0002-7863","journalAbbreviation":"J. Am. Chem. Soc.","author":[{"family":"Yan","given":"Ning"},{"family":"Zhao","given":"Chen"},{"family":"Luo","given":"Chen"},{"family":"Dyson","given":"Paul J."},{"family":"Liu","given":"Haichao"},{"family":"Kou","given":"Yuan"}],"issued":{"date-parts":[["2006"]]}}},{"id":329,"uris":["http://zotero.org/users/1624234/items/N8DRCQNF"],"uri":["http://zotero.org/users/1624234/items/N8DRCQNF"],"itemData":{"id":329,"type":"article-journal","title":"Catalytic Deoxygenation of 1,2-Propanediol to Give n-Propanol","container-title":"Advanced Synthesis &amp; Catalysis","page":"789-800","volume":"351","issue":"5","source":"Wiley Online Library","abstract":"Deoxygenation of 1,2-propanediol (1.0 M in sulfolane) catalyzed by bis(dicarbonyl)(μ-hydrido)(pentamethylcyclopentadiene)ruthenium trifluoromethanesulfonate ({[Cp*Ru(CO)2]2(μ-H)}+OTf−) (0.5 mol%) at 110 °C under hydrogen (750 psi) in the presence of trifluoromethanesulfonic acid (HOTf) (60 mM) gives n-propanol as the major product, indicating high selectivity for deoxygenation of the internal hydroxy group over the terminal hydroxy group of the diol. The deoxygenation of 1,2-propanediol is strongly influenced by the concentration of acid, giving faster rates and proceeding to higher conversions as the concentration of HOTf is increased. Propionaldehyde was observed as an intermediate, being formed through acid-catalyzed dehydration of 1,2-propanediol. This aldehyde is hydrogenated to n-propanol through an ionic pathway involving protonation of the aldehyde, followed by hydride transfer from the neutral hydride, dicarbonyl(pentamethylcyclopentadiene)ruthenium hydride [Cp*Ru(CO)2H]. The proposed mechanism for the deoxygenation/hydrogenation reaction involves formation of a highly acidic dihydrogen complex [Cp*Ru(CO)2(η2-H2)]+ OTf−.","DOI":"10.1002/adsc.200800685","ISSN":"1615-4169","journalAbbreviation":"Adv. Synth. Catal.","language":"en","author":[{"family":"Schlaf","given":"Marcel"},{"family":"Ghosh","given":"Prasenjit"},{"family":"Fagan","given":"Paul J."},{"family":"Hauptman","given":"Elisabeth"},{"family":"Bullock","given":"R. Morris"}],"issued":{"date-parts":[["2009"]]}}}],"schema":"https://github.com/citation-style-language/schema/raw/master/csl-citation.json"} </w:instrText>
      </w:r>
      <w:r w:rsidRPr="00E47369">
        <w:rPr>
          <w:rFonts w:cstheme="minorHAnsi"/>
        </w:rPr>
        <w:fldChar w:fldCharType="separate"/>
      </w:r>
      <w:r w:rsidRPr="00E47369">
        <w:rPr>
          <w:rFonts w:cstheme="minorHAnsi"/>
          <w:sz w:val="22"/>
          <w:vertAlign w:val="superscript"/>
        </w:rPr>
        <w:t>10–13</w:t>
      </w:r>
      <w:r w:rsidRPr="00E47369">
        <w:rPr>
          <w:rFonts w:cstheme="minorHAnsi"/>
        </w:rPr>
        <w:fldChar w:fldCharType="end"/>
      </w:r>
      <w:r w:rsidRPr="00E47369">
        <w:rPr>
          <w:rFonts w:cstheme="minorHAnsi"/>
        </w:rPr>
        <w:t>, and deoxydehydration (DODH), which effects vicinal OH removal with the formation of C-C unsaturation. It produces value-added unsaturated products that have widespread use as laboratory and industrial intermediates and end-products. The development of the DODH reaction is thoroughly reviewed in this chapter.</w:t>
      </w:r>
      <w:r w:rsidRPr="00E47369">
        <w:rPr>
          <w:rFonts w:cstheme="minorHAnsi"/>
        </w:rPr>
        <w:fldChar w:fldCharType="begin"/>
      </w:r>
      <w:r w:rsidR="006D0CD6" w:rsidRPr="00E47369">
        <w:rPr>
          <w:rFonts w:cstheme="minorHAnsi"/>
        </w:rPr>
        <w:instrText xml:space="preserve"> ADDIN ZOTERO_ITEM CSL_CITATION {"citationID":"c4LyMVK8","properties":{"formattedCitation":"{\\rtf \\super 14\\uc0\\u8211{}18\\nosupersub{}}","plainCitation":"14–18"},"citationItems":[{"id":328,"uris":["http://zotero.org/users/1624234/items/N5GHT57H"],"uri":["http://zotero.org/users/1624234/items/N5GHT57H"],"itemData":{"id":328,"type":"article-journal","title":"Catalytic Deoxygenation of Carbohydrate Renewable Resources","container-title":"ChemCatChem","page":"680–682","volume":"5","issue":"3","source":"Wiley Online Library","DOI":"10.1002/cctc.201200796","ISSN":"1867-3899","language":"en","author":[{"family":"Metzger","given":"Jürgen O."}],"issued":{"date-parts":[["2013"]]}}},{"id":71,"uris":["http://zotero.org/users/1624234/items/5JCZJKF9"],"uri":["http://zotero.org/users/1624234/items/5JCZJKF9"],"itemData":{"id":71,"type":"chapter","title":"Deoxydehydration of Polyols","container-title":"Selective Catalysis for Renewable Feedstocks and Chemicals","collection-title":"Topics in Current Chemistry","collection-number":"353","publisher":"Springer International Publishing","page":"163-184","source":"link.springer.com","abstract":"The development of sustainable chemical processes for the conversion of highly oxygenated biomass feedstocks to chemical products requires efficient and selective processes for partial oxygen removal and refunctionalization. Here we review the development of the deoxydehydration (DODH) reaction, which converts vicinal diols (glycols) to olefins. Uncatalyzed deoxygenative eliminations were first established. The catalyzed DODH reactions have largely employed oxo-rhenium catalysts and a variety of reductants, including PR3, dihydrogen, sulfite, and alcohols. A variety of glycol and biomass-derived polyol substrates undergo the DODH reaction in moderate to good efficiency, regioselectively, and stereoselectively. Observations regarding selectivity, mechanistic probes, and computational studies support the general operation of a catalytic process involving three basic stages: glycol condensation to an M-glycolate, reduction of the oxo-metal, glycol condensation to produce a metal-glycolate, and alkene extrusion from the reduced metal-glycolate. Recent practical developments include the discovery of non-precious V- and Mo-oxo DODH catalysis.","URL":"http://link.springer.com/chapter/10.1007/128_2014_537","ISBN":"978-3-319-08653-8","language":"en","author":[{"family":"Boucher-Jacobs","given":"Camille"},{"family":"Nicholas","given":"Kenneth M."}],"editor":[{"family":"Nicholas","given":"Kenneth M."}],"issued":{"date-parts":[["2014",1,1]]},"accessed":{"date-parts":[["2014",10,31]]}}},{"id":445,"uris":["http://zotero.org/users/1624234/items/WEIZF2HR"],"uri":["http://zotero.org/users/1624234/items/WEIZF2HR"],"itemData":{"id":445,"type":"article-journal","title":"Rhenium-Catalyzed Deoxydehydration of Diols and Polyols","container-title":"ChemSusChem","page":"767-775","volume":"8","issue":"5","source":"Wiley Online Library","abstract":"The substitution of platform chemicals of fossil origin by biomass-derived analogues requires the development of chemical transformations capable of reducing the very high oxygen content of biomass. One such reaction, which has received increasing attention within the past five years, is the rhenium-catalyzed deoxydehydration (DODH) of a vicinal diol into an alkene; this is a model system for abundant polyols like glycerol and sugar alcohols. The present contribution includes a review of early investigations of stoichiometric reactions involving rhenium, diols, and alkenes followed by a discussion of the various catalytic systems that have been developed with emphasis on the nature of the reductant, the substrate scope, and mechanistic investigations.","DOI":"10.1002/cssc.201402987","ISSN":"1864-564X","journalAbbreviation":"ChemSusChem","language":"en","author":[{"family":"Dethlefsen","given":"Johannes R."},{"family":"Fristrup","given":"Peter"}],"issued":{"date-parts":[["2015",3,1]]}}},{"id":284,"uris":["http://zotero.org/users/1624234/items/JNCMEZFV"],"uri":["http://zotero.org/users/1624234/items/JNCMEZFV"],"itemData":{"id":284,"type":"article-journal","title":"Rhenium-Catalyzed Dehydration and Deoxydehydration of Alcohols and Polyols: Opportunities for the Formation of Olefins from Biomass","container-title":"ACS Catalysis","page":"281-300","volume":"5","issue":"1","source":"ACS Publications","abstract":"In view of the depletion of petroleum oils, new synthetic routes for the sustainable production of chemicals, fuels, and energy from renewable biomass sources are currently widely investigated. In particular, nonedible sugars and polyols are promising starting materials to produce olefins by dehydration, deoxygenation, or deoxydehydration (DODH) of these poly vicinal alcohols. In this perspective, we highlight the recent evolution of rhenium-catalyzed dehydration and DODH of biomass-derived alcohols and polyols to obtain olefins. Improving over the classical acid-catalyzed dehydration reaction, rhenium-mediated systems are very selective and more active to provide high yields of olefin products, but dehydration alone cannot be used to fully defunctionalize sugars. This issue is addressed by a growing research effort in the field of Re-catalyzed DODH, which allows complete dehydroxylation to form olefins in high yield. Recent developments in this field include the development of new molecular rhenium catalysts, the application of cheaper and more available reductants, and a growing mechanistic understanding owing to both experimental and computational studies. Finally, recent efforts to move beyond rhenium toward cheaper metals (Mo, V) are discussed.","DOI":"10.1021/cs501511x","shortTitle":"Rhenium-Catalyzed Dehydration and Deoxydehydration of Alcohols and Polyols","journalAbbreviation":"ACS Catal.","author":[{"family":"Raju","given":"Suresh"},{"family":"Moret","given":"Marc-Etienne"},{"family":"Klein Gebbink","given":"Robertus J. M."}],"issued":{"date-parts":[["2015"]]}}},{"id":1592,"uris":["http://zotero.org/users/1624234/items/84JXMPNR"],"uri":["http://zotero.org/users/1624234/items/84JXMPNR"],"itemData":{"id":1592,"type":"chapter","title":"Deoxydehydration (DODH) of Biomass-Derived Molecules","container-title":"Reaction Pathways and Mechanisms in Thermocatalytic Biomass Conversion II","collection-title":"Green Chemistry and Sustainable Technology","publisher":"Springer Singapore","page":"1-11","source":"link.springer.com","abstract":"Deoxygenation of vicinal diols and polyols, common moieties in biomass-derived molecules, represents an important chemical pathway for making chemicals from renewable biomass resources. Catalytic deoxydehydration (DODH) is a promising deoxygenation reaction that removes two adjacent hydroxyl (−OH) groups from vicinal diols in one step to generate alkenes. Since the first catalytic DODH with Cp*Re(O)3 report by Cook and Andrews in 1996, a number of metal complexes based on rhenium, ruthenium, vanadium, and molybdenum have been investigated. High-valent oxorhenium complexes are among the most efficient catalysts for DODH reactions and have been studied using various reductants including organic phosphines, molecular hydrogen (H2), sulfite, and alcohols. These complexes exhibit intriguing oxophilic performance, which facilitates selective C-O bond cleavage of polyols. A flurry of investigations have appeared in the literature over the past few years on the scope and mechanism of the DODH reaction in the context of biomass conversion and sustainable chemistry. In this chapter, we briefly review the development of DODH reactions with a focus on homogenous Re-catalyzed transformations. Several heterogeneous and other metal catalysts are included for comparison.","URL":"http://link.springer.com/chapter/10.1007/978-981-287-769-7_1","ISBN":"978-981-287-768-0","note":"DOI: 10.1007/978-981-287-769-7_1","language":"en","author":[{"family":"Liu","given":"Shuo"},{"family":"Yi","given":"Jing"},{"family":"Abu-Omar","given":"Mahdi M."}],"editor":[{"family":"Schlaf","given":"Marcel"},{"family":"Zhang","given":"Z. Conrad"}],"issued":{"date-parts":[["2016"]]},"accessed":{"date-parts":[["2016",4,19]]}}}],"schema":"https://github.com/citation-style-language/schema/raw/master/csl-citation.json"} </w:instrText>
      </w:r>
      <w:r w:rsidRPr="00E47369">
        <w:rPr>
          <w:rFonts w:cstheme="minorHAnsi"/>
        </w:rPr>
        <w:fldChar w:fldCharType="separate"/>
      </w:r>
      <w:r w:rsidRPr="00E47369">
        <w:rPr>
          <w:rFonts w:cstheme="minorHAnsi"/>
          <w:sz w:val="22"/>
          <w:vertAlign w:val="superscript"/>
        </w:rPr>
        <w:t>14–18</w:t>
      </w:r>
      <w:r w:rsidRPr="00E47369">
        <w:rPr>
          <w:rFonts w:cstheme="minorHAnsi"/>
        </w:rPr>
        <w:fldChar w:fldCharType="end"/>
      </w:r>
    </w:p>
    <w:p w14:paraId="1AF4361D" w14:textId="77777777" w:rsidR="00EB795B" w:rsidRPr="00E47369" w:rsidRDefault="00EB795B" w:rsidP="003E463F">
      <w:pPr>
        <w:jc w:val="both"/>
        <w:rPr>
          <w:rFonts w:cstheme="minorHAnsi"/>
        </w:rPr>
      </w:pPr>
    </w:p>
    <w:p w14:paraId="25CCB6AD" w14:textId="77777777" w:rsidR="00651D27" w:rsidRPr="00E47369" w:rsidRDefault="00216D29" w:rsidP="003E463F">
      <w:pPr>
        <w:keepNext/>
        <w:jc w:val="center"/>
        <w:rPr>
          <w:rFonts w:cstheme="minorHAnsi"/>
        </w:rPr>
      </w:pPr>
      <w:r w:rsidRPr="00E47369">
        <w:rPr>
          <w:rFonts w:cstheme="minorHAnsi"/>
          <w:noProof/>
          <w:lang w:bidi="ar-SA"/>
        </w:rPr>
        <w:drawing>
          <wp:inline distT="0" distB="0" distL="0" distR="0" wp14:anchorId="0F6B63EA" wp14:editId="25E4BCAF">
            <wp:extent cx="5057991" cy="1915120"/>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eme 1.eps"/>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60942" cy="1916237"/>
                    </a:xfrm>
                    <a:prstGeom prst="rect">
                      <a:avLst/>
                    </a:prstGeom>
                  </pic:spPr>
                </pic:pic>
              </a:graphicData>
            </a:graphic>
          </wp:inline>
        </w:drawing>
      </w:r>
    </w:p>
    <w:p w14:paraId="3988D0E8" w14:textId="77777777" w:rsidR="00216D29" w:rsidRPr="00323B06" w:rsidRDefault="00651D27" w:rsidP="00323B06">
      <w:pPr>
        <w:pStyle w:val="Caption"/>
      </w:pPr>
      <w:bookmarkStart w:id="6" w:name="_Ref449640971"/>
      <w:bookmarkStart w:id="7" w:name="_Ref449640954"/>
      <w:bookmarkStart w:id="8" w:name="_Toc457670505"/>
      <w:r w:rsidRPr="00323B06">
        <w:t xml:space="preserve">Figure I. </w:t>
      </w:r>
      <w:r w:rsidR="00443010">
        <w:fldChar w:fldCharType="begin"/>
      </w:r>
      <w:r w:rsidR="00443010">
        <w:instrText xml:space="preserve"> STYLEREF 2 \s </w:instrText>
      </w:r>
      <w:r w:rsidR="00443010">
        <w:fldChar w:fldCharType="separate"/>
      </w:r>
      <w:r w:rsidR="000A0E3D">
        <w:rPr>
          <w:noProof/>
        </w:rPr>
        <w:t>1</w:t>
      </w:r>
      <w:r w:rsidR="00443010">
        <w:rPr>
          <w:noProof/>
        </w:rPr>
        <w:fldChar w:fldCharType="end"/>
      </w:r>
      <w:r w:rsidR="00D4424C" w:rsidRPr="00323B06">
        <w:t>.</w:t>
      </w:r>
      <w:r w:rsidR="00443010">
        <w:fldChar w:fldCharType="begin"/>
      </w:r>
      <w:r w:rsidR="00443010">
        <w:instrText xml:space="preserve"> SEQ Figure_I. \* ARABIC \s 2 </w:instrText>
      </w:r>
      <w:r w:rsidR="00443010">
        <w:fldChar w:fldCharType="separate"/>
      </w:r>
      <w:r w:rsidR="000A0E3D">
        <w:rPr>
          <w:noProof/>
        </w:rPr>
        <w:t>1</w:t>
      </w:r>
      <w:r w:rsidR="00443010">
        <w:rPr>
          <w:noProof/>
        </w:rPr>
        <w:fldChar w:fldCharType="end"/>
      </w:r>
      <w:bookmarkEnd w:id="6"/>
      <w:r w:rsidRPr="00323B06">
        <w:t xml:space="preserve"> </w:t>
      </w:r>
      <w:r w:rsidR="00F058F0" w:rsidRPr="00323B06">
        <w:t xml:space="preserve">Biomass </w:t>
      </w:r>
      <w:r w:rsidR="001615F0">
        <w:t>t</w:t>
      </w:r>
      <w:r w:rsidR="00F058F0" w:rsidRPr="00323B06">
        <w:t xml:space="preserve">ransformation </w:t>
      </w:r>
      <w:r w:rsidR="001615F0">
        <w:t>p</w:t>
      </w:r>
      <w:r w:rsidR="00F058F0" w:rsidRPr="00323B06">
        <w:t>rocess</w:t>
      </w:r>
      <w:bookmarkEnd w:id="7"/>
      <w:bookmarkEnd w:id="8"/>
    </w:p>
    <w:p w14:paraId="50C327C0" w14:textId="77777777" w:rsidR="00216D29" w:rsidRPr="00E47369" w:rsidRDefault="00216D29" w:rsidP="003E463F">
      <w:pPr>
        <w:jc w:val="center"/>
        <w:rPr>
          <w:rFonts w:cstheme="minorHAnsi"/>
        </w:rPr>
      </w:pPr>
    </w:p>
    <w:p w14:paraId="69D8D7ED" w14:textId="77777777" w:rsidR="00216D29" w:rsidRPr="00E47369" w:rsidRDefault="00216D29" w:rsidP="00BA0582">
      <w:pPr>
        <w:pStyle w:val="Heading2"/>
      </w:pPr>
      <w:bookmarkStart w:id="9" w:name="_Toc458938272"/>
      <w:r w:rsidRPr="00E47369">
        <w:t>Uncatalyzed Didehydroxylation of Glycols</w:t>
      </w:r>
      <w:bookmarkEnd w:id="9"/>
    </w:p>
    <w:p w14:paraId="3EE07D82" w14:textId="77777777" w:rsidR="00216D29" w:rsidRDefault="00216D29" w:rsidP="00FE05A3">
      <w:pPr>
        <w:ind w:firstLine="450"/>
        <w:jc w:val="both"/>
        <w:rPr>
          <w:rFonts w:cstheme="minorHAnsi"/>
        </w:rPr>
      </w:pPr>
      <w:r w:rsidRPr="00E47369">
        <w:rPr>
          <w:rFonts w:cstheme="minorHAnsi"/>
          <w:color w:val="000000" w:themeColor="text1"/>
        </w:rPr>
        <w:t>The earliest reported methods for vicinal dehydroxylation of glycols involved a two-stage process beginning with their acid-catalyzed condensation with ortho-esters (</w:t>
      </w:r>
      <w:r w:rsidR="00651D27" w:rsidRPr="00E47369">
        <w:rPr>
          <w:rFonts w:cstheme="minorHAnsi"/>
          <w:color w:val="000000" w:themeColor="text1"/>
        </w:rPr>
        <w:fldChar w:fldCharType="begin"/>
      </w:r>
      <w:r w:rsidR="00651D27" w:rsidRPr="00E47369">
        <w:rPr>
          <w:rFonts w:cstheme="minorHAnsi"/>
          <w:color w:val="000000" w:themeColor="text1"/>
        </w:rPr>
        <w:instrText xml:space="preserve"> REF _Ref449641195 \h </w:instrText>
      </w:r>
      <w:r w:rsidR="003E463F" w:rsidRPr="00E47369">
        <w:rPr>
          <w:rFonts w:cstheme="minorHAnsi"/>
          <w:color w:val="000000" w:themeColor="text1"/>
        </w:rPr>
        <w:instrText xml:space="preserve"> \* MERGEFORMAT </w:instrText>
      </w:r>
      <w:r w:rsidR="00651D27" w:rsidRPr="00E47369">
        <w:rPr>
          <w:rFonts w:cstheme="minorHAnsi"/>
          <w:color w:val="000000" w:themeColor="text1"/>
        </w:rPr>
      </w:r>
      <w:r w:rsidR="00651D27" w:rsidRPr="00E47369">
        <w:rPr>
          <w:rFonts w:cstheme="minorHAnsi"/>
          <w:color w:val="000000" w:themeColor="text1"/>
        </w:rPr>
        <w:fldChar w:fldCharType="separate"/>
      </w:r>
      <w:r w:rsidR="000A0E3D" w:rsidRPr="000A0E3D">
        <w:rPr>
          <w:rFonts w:cstheme="minorHAnsi"/>
        </w:rPr>
        <w:t xml:space="preserve">Figure I. </w:t>
      </w:r>
      <w:r w:rsidR="000A0E3D" w:rsidRPr="000A0E3D">
        <w:rPr>
          <w:rFonts w:cstheme="minorHAnsi"/>
          <w:noProof/>
        </w:rPr>
        <w:t>2.1</w:t>
      </w:r>
      <w:r w:rsidR="00651D27" w:rsidRPr="00E47369">
        <w:rPr>
          <w:rFonts w:cstheme="minorHAnsi"/>
          <w:color w:val="000000" w:themeColor="text1"/>
        </w:rPr>
        <w:fldChar w:fldCharType="end"/>
      </w:r>
      <w:r w:rsidRPr="00E47369">
        <w:rPr>
          <w:rFonts w:cstheme="minorHAnsi"/>
          <w:color w:val="000000" w:themeColor="text1"/>
        </w:rPr>
        <w:t>) to form dioxolanes that are subsequently thermolyzed (180-200</w:t>
      </w:r>
      <w:r w:rsidRPr="00E47369">
        <w:rPr>
          <w:rFonts w:cstheme="minorHAnsi"/>
          <w:color w:val="000000" w:themeColor="text1"/>
          <w:vertAlign w:val="superscript"/>
        </w:rPr>
        <w:t>o</w:t>
      </w:r>
      <w:r w:rsidRPr="00E47369">
        <w:rPr>
          <w:rFonts w:cstheme="minorHAnsi"/>
          <w:color w:val="000000" w:themeColor="text1"/>
        </w:rPr>
        <w:t>C)</w:t>
      </w:r>
      <w:r w:rsidRPr="00E47369">
        <w:rPr>
          <w:rFonts w:cstheme="minorHAnsi"/>
          <w:color w:val="000000" w:themeColor="text1"/>
        </w:rPr>
        <w:fldChar w:fldCharType="begin"/>
      </w:r>
      <w:r w:rsidR="006D0CD6" w:rsidRPr="00E47369">
        <w:rPr>
          <w:rFonts w:cstheme="minorHAnsi"/>
          <w:color w:val="000000" w:themeColor="text1"/>
        </w:rPr>
        <w:instrText xml:space="preserve"> ADDIN ZOTERO_ITEM CSL_CITATION {"citationID":"23578rae80","properties":{"formattedCitation":"{\\rtf \\super 19\\nosupersub{}}","plainCitation":"19"},"citationItems":[{"id":273,"uris":["http://zotero.org/users/1624234/items/IMBGZZMA"],"uri":["http://zotero.org/users/1624234/items/IMBGZZMA"],"itemData":{"id":273,"type":"article-journal","title":"Derivatives of orthoacids. II. The preparation of olefins from 1,2-diols","container-title":"Australian Journal of Chemistry","page":"1392-1398","volume":"17","issue":"12","source":"CSIRO Publishing","abstract":"Ethyl orthoformate reacted with pinacol to form 2-ethoxy-4,4,5,5-tetramethyl-1,3-dioxolan (I) which decomposed on heating to yield ethanol, carbon dioxide, and 2,3-dimethylbut-2-ene. When subjected to the same reaction sequence diethyl- D-tartrate, diethyl-meso-tartrate, meso-1,2-diphenylethane-1,2-diol, and cis-cyclo-hexane-1,2-dial underwent specific cis-elimination to yield diethyl fumarate, diethyl maleate, cis-stilbene, and cyclohexane respectively. Glycerol, butane-1,2,4-trial, and pentane-1,2,5-triol formed polymers which decomposed to yield allyl alcohol, but-1-en-4-ol, and pent-1-en-5-ol respectively.  Pyrolysis of the monoformyl esters of cis-cyclohexane-1,2-diol, glycerol, butane-1,2,4-triol, and pentane-l,2,5-trio1 gave the respective products enumerated above whereas the monoformyl ester of pinacol yielded pinacolone.  When compound (I) was heated in the presence of p-toluenesulphonic acid it gave ethyl formate, pinacolone, 2,3-dimethylbutadiene, and water.","journalAbbreviation":"Aust. J. Chem.","author":[{"family":"Crank","given":"G"},{"family":"Eastwood","given":"FW"}],"issued":{"date-parts":[["1964",1,1]]}}}],"schema":"https://github.com/citation-style-language/schema/raw/master/csl-citation.json"} </w:instrText>
      </w:r>
      <w:r w:rsidRPr="00E47369">
        <w:rPr>
          <w:rFonts w:cstheme="minorHAnsi"/>
          <w:color w:val="000000" w:themeColor="text1"/>
        </w:rPr>
        <w:fldChar w:fldCharType="separate"/>
      </w:r>
      <w:r w:rsidRPr="00E47369">
        <w:rPr>
          <w:rFonts w:cstheme="minorHAnsi"/>
          <w:sz w:val="22"/>
          <w:vertAlign w:val="superscript"/>
        </w:rPr>
        <w:t>19</w:t>
      </w:r>
      <w:r w:rsidRPr="00E47369">
        <w:rPr>
          <w:rFonts w:cstheme="minorHAnsi"/>
          <w:color w:val="000000" w:themeColor="text1"/>
        </w:rPr>
        <w:fldChar w:fldCharType="end"/>
      </w:r>
      <w:r w:rsidRPr="00E47369">
        <w:rPr>
          <w:rFonts w:cstheme="minorHAnsi"/>
          <w:color w:val="000000" w:themeColor="text1"/>
        </w:rPr>
        <w:t xml:space="preserve"> or heated with acetic anhydride (140</w:t>
      </w:r>
      <w:r w:rsidRPr="00E47369">
        <w:rPr>
          <w:rFonts w:cstheme="minorHAnsi"/>
          <w:color w:val="000000" w:themeColor="text1"/>
          <w:vertAlign w:val="superscript"/>
        </w:rPr>
        <w:t>o</w:t>
      </w:r>
      <w:r w:rsidRPr="00E47369">
        <w:rPr>
          <w:rFonts w:cstheme="minorHAnsi"/>
          <w:color w:val="000000" w:themeColor="text1"/>
        </w:rPr>
        <w:t>C)</w:t>
      </w:r>
      <w:r w:rsidRPr="00E47369">
        <w:rPr>
          <w:rFonts w:cstheme="minorHAnsi"/>
          <w:color w:val="000000" w:themeColor="text1"/>
        </w:rPr>
        <w:fldChar w:fldCharType="begin"/>
      </w:r>
      <w:r w:rsidR="006D0CD6" w:rsidRPr="00E47369">
        <w:rPr>
          <w:rFonts w:cstheme="minorHAnsi"/>
          <w:color w:val="000000" w:themeColor="text1"/>
        </w:rPr>
        <w:instrText xml:space="preserve"> ADDIN ZOTERO_ITEM CSL_CITATION {"citationID":"16d2kpclgv","properties":{"formattedCitation":"{\\rtf \\super 20\\nosupersub{}}","plainCitation":"20"},"citationItems":[{"id":274,"uris":["http://zotero.org/users/1624234/items/IQJSEBIC"],"uri":["http://zotero.org/users/1624234/items/IQJSEBIC"],"itemData":{"id":274,"type":"article-journal","title":"A Mild and Stereospecific Conversion of Vicinal Diols into Olefins Via 2-Methoxy-1,3-Dioxolane Derivatives","container-title":"Chemistry Letters","page":"879-882","volume":"15","issue":"6","source":"J-Stage","abstract":"An efficient and practical method for the stereospecific synthesis of olefins from vicinal diols via the corresponding 2-methoxy-1,3-dioxolanes is reported.","DOI":"10.1246/cl.1986.879","author":[{"family":"Ando","given":"Masayoshi"},{"family":"Ohhara","given":"Hiroshi"},{"family":"Takase","given":"Kahei"}],"issued":{"date-parts":[["1986"]]}}}],"schema":"https://github.com/citation-style-language/schema/raw/master/csl-citation.json"} </w:instrText>
      </w:r>
      <w:r w:rsidRPr="00E47369">
        <w:rPr>
          <w:rFonts w:cstheme="minorHAnsi"/>
          <w:color w:val="000000" w:themeColor="text1"/>
        </w:rPr>
        <w:fldChar w:fldCharType="separate"/>
      </w:r>
      <w:r w:rsidRPr="00E47369">
        <w:rPr>
          <w:rFonts w:cstheme="minorHAnsi"/>
          <w:sz w:val="22"/>
          <w:vertAlign w:val="superscript"/>
        </w:rPr>
        <w:t>20</w:t>
      </w:r>
      <w:r w:rsidRPr="00E47369">
        <w:rPr>
          <w:rFonts w:cstheme="minorHAnsi"/>
          <w:color w:val="000000" w:themeColor="text1"/>
        </w:rPr>
        <w:fldChar w:fldCharType="end"/>
      </w:r>
      <w:r w:rsidRPr="00E47369">
        <w:rPr>
          <w:rFonts w:cstheme="minorHAnsi"/>
          <w:color w:val="000000" w:themeColor="text1"/>
        </w:rPr>
        <w:t xml:space="preserve"> to produce olefins. These </w:t>
      </w:r>
      <w:r w:rsidRPr="00E47369">
        <w:rPr>
          <w:rFonts w:cstheme="minorHAnsi"/>
        </w:rPr>
        <w:t>reactions provide moderate to good yields of olefins (40-95%) for a variety of glycols. The reactions are highly regioselective, locating the C-C unsaturation between the hydroxyl-bearing carbons (i.e. no double bond isomerization) and stereospecific, resulting from a syn-elimination process. Co-products of these processes include carbon dioxide, alcohols and, in the latter case, acetic acid; hence the process is neither atom-economical nor carbon-neutral.</w:t>
      </w:r>
    </w:p>
    <w:p w14:paraId="453BB8F8" w14:textId="77777777" w:rsidR="00EB795B" w:rsidRPr="00E47369" w:rsidRDefault="00EB795B" w:rsidP="003E463F">
      <w:pPr>
        <w:ind w:firstLine="720"/>
        <w:jc w:val="both"/>
        <w:rPr>
          <w:rFonts w:cstheme="minorHAnsi"/>
        </w:rPr>
      </w:pPr>
    </w:p>
    <w:p w14:paraId="1F33ECA5" w14:textId="77777777" w:rsidR="00651D27" w:rsidRPr="00E47369" w:rsidRDefault="001615F0" w:rsidP="002774E4">
      <w:pPr>
        <w:keepNext/>
        <w:jc w:val="center"/>
        <w:rPr>
          <w:rFonts w:cstheme="minorHAnsi"/>
        </w:rPr>
      </w:pPr>
      <w:r w:rsidRPr="00E47369">
        <w:rPr>
          <w:rFonts w:cstheme="minorHAnsi"/>
        </w:rPr>
        <w:object w:dxaOrig="5702" w:dyaOrig="1795" w14:anchorId="532753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3.25pt;height:87.8pt" o:ole="">
            <v:imagedata r:id="rId10" o:title=""/>
          </v:shape>
          <o:OLEObject Type="Embed" ProgID="ChemDraw.Document.6.0" ShapeID="_x0000_i1025" DrawAspect="Content" ObjectID="_1532784879" r:id="rId11"/>
        </w:object>
      </w:r>
    </w:p>
    <w:p w14:paraId="260A34A9" w14:textId="77777777" w:rsidR="00216D29" w:rsidRPr="00323B06" w:rsidRDefault="00651D27" w:rsidP="00323B06">
      <w:pPr>
        <w:pStyle w:val="Caption"/>
      </w:pPr>
      <w:bookmarkStart w:id="10" w:name="_Ref449641195"/>
      <w:bookmarkStart w:id="11" w:name="_Toc457670506"/>
      <w:r w:rsidRPr="00323B06">
        <w:t xml:space="preserve">Figure I. </w:t>
      </w:r>
      <w:r w:rsidR="00443010">
        <w:fldChar w:fldCharType="begin"/>
      </w:r>
      <w:r w:rsidR="00443010">
        <w:instrText xml:space="preserve"> STYLEREF 2 \s </w:instrText>
      </w:r>
      <w:r w:rsidR="00443010">
        <w:fldChar w:fldCharType="separate"/>
      </w:r>
      <w:r w:rsidR="000A0E3D">
        <w:rPr>
          <w:noProof/>
        </w:rPr>
        <w:t>2</w:t>
      </w:r>
      <w:r w:rsidR="00443010">
        <w:rPr>
          <w:noProof/>
        </w:rPr>
        <w:fldChar w:fldCharType="end"/>
      </w:r>
      <w:r w:rsidR="00374955" w:rsidRPr="00323B06">
        <w:t>.</w:t>
      </w:r>
      <w:r w:rsidR="00443010">
        <w:fldChar w:fldCharType="begin"/>
      </w:r>
      <w:r w:rsidR="00443010">
        <w:instrText xml:space="preserve"> SEQ Figure_I. \* ARABIC \s 2 </w:instrText>
      </w:r>
      <w:r w:rsidR="00443010">
        <w:fldChar w:fldCharType="separate"/>
      </w:r>
      <w:r w:rsidR="000A0E3D">
        <w:rPr>
          <w:noProof/>
        </w:rPr>
        <w:t>1</w:t>
      </w:r>
      <w:r w:rsidR="00443010">
        <w:rPr>
          <w:noProof/>
        </w:rPr>
        <w:fldChar w:fldCharType="end"/>
      </w:r>
      <w:bookmarkEnd w:id="10"/>
      <w:r w:rsidRPr="00323B06">
        <w:t xml:space="preserve"> </w:t>
      </w:r>
      <w:r w:rsidR="00216D29" w:rsidRPr="00323B06">
        <w:t xml:space="preserve">Two </w:t>
      </w:r>
      <w:r w:rsidR="001615F0">
        <w:t>s</w:t>
      </w:r>
      <w:r w:rsidR="00216D29" w:rsidRPr="00323B06">
        <w:t xml:space="preserve">teps </w:t>
      </w:r>
      <w:r w:rsidR="001615F0">
        <w:t>u</w:t>
      </w:r>
      <w:r w:rsidR="00216D29" w:rsidRPr="00323B06">
        <w:t xml:space="preserve">ncatalyzed </w:t>
      </w:r>
      <w:r w:rsidR="001615F0">
        <w:t>d</w:t>
      </w:r>
      <w:r w:rsidR="00216D29" w:rsidRPr="00323B06">
        <w:t xml:space="preserve">idehydroxylation of </w:t>
      </w:r>
      <w:r w:rsidR="001615F0">
        <w:t>g</w:t>
      </w:r>
      <w:r w:rsidR="00216D29" w:rsidRPr="00323B06">
        <w:t>lycols</w:t>
      </w:r>
      <w:bookmarkEnd w:id="11"/>
    </w:p>
    <w:p w14:paraId="7092EC24" w14:textId="77777777" w:rsidR="00536AE9" w:rsidRPr="00E47369" w:rsidRDefault="00536AE9" w:rsidP="00536AE9">
      <w:pPr>
        <w:rPr>
          <w:rFonts w:cstheme="minorHAnsi"/>
        </w:rPr>
      </w:pPr>
    </w:p>
    <w:p w14:paraId="4F7A1C7C" w14:textId="77777777" w:rsidR="00216D29" w:rsidRPr="00E47369" w:rsidRDefault="00216D29" w:rsidP="00FE05A3">
      <w:pPr>
        <w:ind w:firstLine="360"/>
        <w:jc w:val="both"/>
        <w:rPr>
          <w:rFonts w:cstheme="minorHAnsi"/>
        </w:rPr>
      </w:pPr>
      <w:r w:rsidRPr="00E47369">
        <w:rPr>
          <w:rFonts w:cstheme="minorHAnsi"/>
        </w:rPr>
        <w:t>A renewed interest in the glycol-to-olefin conversion was highlighted by the Bergman-Ellman team who reported a single-stage process involving high temperature reactions between glycols and polyols with formic acid as a reductant (</w:t>
      </w:r>
      <w:r w:rsidR="00915118" w:rsidRPr="00E47369">
        <w:rPr>
          <w:rFonts w:cstheme="minorHAnsi"/>
        </w:rPr>
        <w:fldChar w:fldCharType="begin"/>
      </w:r>
      <w:r w:rsidR="00915118" w:rsidRPr="00E47369">
        <w:rPr>
          <w:rFonts w:cstheme="minorHAnsi"/>
        </w:rPr>
        <w:instrText xml:space="preserve"> REF _Ref449706603 \h </w:instrText>
      </w:r>
      <w:r w:rsidR="003E463F" w:rsidRPr="00E47369">
        <w:rPr>
          <w:rFonts w:cstheme="minorHAnsi"/>
        </w:rPr>
        <w:instrText xml:space="preserve"> \* MERGEFORMAT </w:instrText>
      </w:r>
      <w:r w:rsidR="00915118" w:rsidRPr="00E47369">
        <w:rPr>
          <w:rFonts w:cstheme="minorHAnsi"/>
        </w:rPr>
      </w:r>
      <w:r w:rsidR="00915118" w:rsidRPr="00E47369">
        <w:rPr>
          <w:rFonts w:cstheme="minorHAnsi"/>
        </w:rPr>
        <w:fldChar w:fldCharType="separate"/>
      </w:r>
      <w:r w:rsidR="000A0E3D" w:rsidRPr="000A0E3D">
        <w:rPr>
          <w:rFonts w:cstheme="minorHAnsi"/>
        </w:rPr>
        <w:t xml:space="preserve">Figure I. </w:t>
      </w:r>
      <w:r w:rsidR="000A0E3D" w:rsidRPr="000A0E3D">
        <w:rPr>
          <w:rFonts w:cstheme="minorHAnsi"/>
          <w:noProof/>
        </w:rPr>
        <w:t>2.2</w:t>
      </w:r>
      <w:r w:rsidR="00915118" w:rsidRPr="00E47369">
        <w:rPr>
          <w:rFonts w:cstheme="minorHAnsi"/>
        </w:rPr>
        <w:fldChar w:fldCharType="end"/>
      </w:r>
      <w:r w:rsidRPr="00E47369">
        <w:rPr>
          <w:rFonts w:cstheme="minorHAnsi"/>
        </w:rPr>
        <w:t>).</w:t>
      </w:r>
      <w:r w:rsidRPr="00E47369">
        <w:rPr>
          <w:rFonts w:cstheme="minorHAnsi"/>
        </w:rPr>
        <w:fldChar w:fldCharType="begin"/>
      </w:r>
      <w:r w:rsidR="006D0CD6" w:rsidRPr="00E47369">
        <w:rPr>
          <w:rFonts w:cstheme="minorHAnsi"/>
        </w:rPr>
        <w:instrText xml:space="preserve"> ADDIN ZOTERO_ITEM CSL_CITATION {"citationID":"25tl1vqtq3","properties":{"formattedCitation":"{\\rtf \\super 21,22\\nosupersub{}}","plainCitation":"21,22"},"citationItems":[{"id":391,"uris":["http://zotero.org/users/1624234/items/SCTEIVI8"],"uri":["http://zotero.org/users/1624234/items/SCTEIVI8"],"itemData":{"id":391,"type":"patent","title":"Method of Converting a Polyol to an Olefin","publisher-place":"US","event-place":"US","abstract":"A method of preparing an olefin comprising: reacting a polyol in the presence of a carboxylic acid, such that an olefin is produced by the deoxygenation of the polyol. The reacting step can comprise (a) providing a composition comprising the polyol, (b) heating the composition, and (c) introducing the carboxylic acid to the composition wherein the introducing step occurs prior to, at the same time as, or subsequent to the heating step. In one embodiment, the polyol is glycerol, the carboxylic acid is formic acid, and the olefin is allyl alcohol, which is produced at a yield of about 80% or greater.","URL":"http://www.patentlens.net/patentlens/patent/US_2009_0287004_A1/en/","call-number":"C07C 1/207; C07C 29/00; C07C 51/00; C07D 307/06","note":"549508; 562493; 568876; 585638","number":"US 2009/0287004 A1","author":[{"family":"Bergman","given":"Robert G."},{"family":"Ellman","given":"Jonathan A."},{"family":"Arceo Rebollo","given":"Elena"},{"family":"Marsden","given":"Peter C."}],"issued":{"date-parts":[["2009",11,19]]},"accessed":{"date-parts":[["2013",10,14]]}}},{"id":163,"uris":["http://zotero.org/users/1624234/items/AMGZ8V3E"],"uri":["http://zotero.org/users/1624234/items/AMGZ8V3E"],"itemData":{"id":163,"type":"article-journal","title":"An efficient didehydroxylation method for the biomass-derived polyols glycerol and erythritol. Mechanistic studies of a formic acid-mediated deoxygenation","container-title":"Chemical Communications","page":"3357","issue":"23","source":"CrossRef","DOI":"10.1039/b907746d","ISSN":"1359-7345, 1364-548X","author":[{"family":"Arceo","given":"Elena"},{"family":"Marsden","given":"Peter"},{"family":"Bergman","given":"Robert G."},{"family":"Ellman","given":"Jonathan A."}],"issued":{"date-parts":[["2009"]]}}}],"schema":"https://github.com/citation-style-language/schema/raw/master/csl-citation.json"} </w:instrText>
      </w:r>
      <w:r w:rsidRPr="00E47369">
        <w:rPr>
          <w:rFonts w:cstheme="minorHAnsi"/>
        </w:rPr>
        <w:fldChar w:fldCharType="separate"/>
      </w:r>
      <w:r w:rsidRPr="00E47369">
        <w:rPr>
          <w:rFonts w:cstheme="minorHAnsi"/>
          <w:sz w:val="22"/>
          <w:vertAlign w:val="superscript"/>
        </w:rPr>
        <w:t>21,22</w:t>
      </w:r>
      <w:r w:rsidRPr="00E47369">
        <w:rPr>
          <w:rFonts w:cstheme="minorHAnsi"/>
        </w:rPr>
        <w:fldChar w:fldCharType="end"/>
      </w:r>
      <w:r w:rsidRPr="00E47369">
        <w:rPr>
          <w:rFonts w:cstheme="minorHAnsi"/>
        </w:rPr>
        <w:t xml:space="preserve"> Water and carbon dioxide are the co-products of these transformations, hence the process is not carbon-neutral. When heated at 230-240</w:t>
      </w:r>
      <w:r w:rsidRPr="00E47369">
        <w:rPr>
          <w:rFonts w:cstheme="minorHAnsi"/>
          <w:vertAlign w:val="superscript"/>
        </w:rPr>
        <w:t>o</w:t>
      </w:r>
      <w:r w:rsidRPr="00E47369">
        <w:rPr>
          <w:rFonts w:cstheme="minorHAnsi"/>
        </w:rPr>
        <w:t xml:space="preserve">C under a stream </w:t>
      </w:r>
      <w:r w:rsidRPr="00E47369">
        <w:rPr>
          <w:rFonts w:cstheme="minorHAnsi"/>
          <w:color w:val="000000" w:themeColor="text1"/>
        </w:rPr>
        <w:t>of nitrogen, unsaturated products were produced in high yields if distilled as they are formed; 80-90% yields were obtained with simple glycols and glycerol. Erythritol was converted to 2,5-dihydrofuran in moderate</w:t>
      </w:r>
      <w:r w:rsidRPr="00E47369">
        <w:rPr>
          <w:rFonts w:cstheme="minorHAnsi"/>
        </w:rPr>
        <w:t xml:space="preserve"> yield, presumably via dehydration to 3,4-dihydroxyfuran followed by didehydroxylation (</w:t>
      </w:r>
      <w:r w:rsidR="00915118" w:rsidRPr="00E47369">
        <w:rPr>
          <w:rFonts w:cstheme="minorHAnsi"/>
        </w:rPr>
        <w:fldChar w:fldCharType="begin"/>
      </w:r>
      <w:r w:rsidR="00915118" w:rsidRPr="00E47369">
        <w:rPr>
          <w:rFonts w:cstheme="minorHAnsi"/>
        </w:rPr>
        <w:instrText xml:space="preserve"> REF _Ref449706677 \h </w:instrText>
      </w:r>
      <w:r w:rsidR="003E463F" w:rsidRPr="00E47369">
        <w:rPr>
          <w:rFonts w:cstheme="minorHAnsi"/>
        </w:rPr>
        <w:instrText xml:space="preserve"> \* MERGEFORMAT </w:instrText>
      </w:r>
      <w:r w:rsidR="00915118" w:rsidRPr="00E47369">
        <w:rPr>
          <w:rFonts w:cstheme="minorHAnsi"/>
        </w:rPr>
      </w:r>
      <w:r w:rsidR="00915118" w:rsidRPr="00E47369">
        <w:rPr>
          <w:rFonts w:cstheme="minorHAnsi"/>
        </w:rPr>
        <w:fldChar w:fldCharType="separate"/>
      </w:r>
      <w:r w:rsidR="000A0E3D" w:rsidRPr="000A0E3D">
        <w:rPr>
          <w:rFonts w:cstheme="minorHAnsi"/>
        </w:rPr>
        <w:t xml:space="preserve">Figure I. </w:t>
      </w:r>
      <w:r w:rsidR="000A0E3D" w:rsidRPr="000A0E3D">
        <w:rPr>
          <w:rFonts w:cstheme="minorHAnsi"/>
          <w:noProof/>
        </w:rPr>
        <w:t>2.3</w:t>
      </w:r>
      <w:r w:rsidR="00915118" w:rsidRPr="00E47369">
        <w:rPr>
          <w:rFonts w:cstheme="minorHAnsi"/>
        </w:rPr>
        <w:fldChar w:fldCharType="end"/>
      </w:r>
      <w:r w:rsidRPr="00E47369">
        <w:rPr>
          <w:rFonts w:cstheme="minorHAnsi"/>
        </w:rPr>
        <w:t>). In their patent several other natural polyols were claimed as substrates; the cyclohexane derivatives, quinic and shikimic acids, were both largely converted to benzoic acid, the result of exhaustive dehydration/dehydroxylation. Reactivity studies with diastereomeric decane-3,4-diols demonstrated a stereospecific syn-elimination process. This feature, together with isotopic labeling experiments, supports a proposed mechanism involving an intermediate orthoester-carbocation.</w:t>
      </w:r>
    </w:p>
    <w:p w14:paraId="1AA3A12F" w14:textId="77777777" w:rsidR="00536AE9" w:rsidRPr="00E47369" w:rsidRDefault="00536AE9" w:rsidP="003E463F">
      <w:pPr>
        <w:jc w:val="both"/>
        <w:rPr>
          <w:rFonts w:cstheme="minorHAnsi"/>
        </w:rPr>
      </w:pPr>
    </w:p>
    <w:p w14:paraId="126B3D47" w14:textId="77777777" w:rsidR="00D3498A" w:rsidRPr="00E47369" w:rsidRDefault="00216D29" w:rsidP="003E463F">
      <w:pPr>
        <w:keepNext/>
        <w:jc w:val="center"/>
        <w:rPr>
          <w:rFonts w:cstheme="minorHAnsi"/>
        </w:rPr>
      </w:pPr>
      <w:r w:rsidRPr="00E47369">
        <w:rPr>
          <w:rFonts w:cstheme="minorHAnsi"/>
        </w:rPr>
        <w:object w:dxaOrig="4133" w:dyaOrig="1073" w14:anchorId="26C0EB7C">
          <v:shape id="_x0000_i1026" type="#_x0000_t75" style="width:204.9pt;height:56.2pt" o:ole="">
            <v:imagedata r:id="rId12" o:title=""/>
          </v:shape>
          <o:OLEObject Type="Embed" ProgID="ChemDraw.Document.6.0" ShapeID="_x0000_i1026" DrawAspect="Content" ObjectID="_1532784880" r:id="rId13"/>
        </w:object>
      </w:r>
    </w:p>
    <w:p w14:paraId="371A7EEC" w14:textId="77777777" w:rsidR="00216D29" w:rsidRPr="00323B06" w:rsidRDefault="00D3498A" w:rsidP="00323B06">
      <w:pPr>
        <w:pStyle w:val="Caption"/>
      </w:pPr>
      <w:bookmarkStart w:id="12" w:name="_Ref449706603"/>
      <w:bookmarkStart w:id="13" w:name="_Ref449706598"/>
      <w:bookmarkStart w:id="14" w:name="_Toc457670507"/>
      <w:r w:rsidRPr="00323B06">
        <w:t xml:space="preserve">Figure I. </w:t>
      </w:r>
      <w:r w:rsidR="00443010">
        <w:fldChar w:fldCharType="begin"/>
      </w:r>
      <w:r w:rsidR="00443010">
        <w:instrText xml:space="preserve"> STYLEREF 2 \s </w:instrText>
      </w:r>
      <w:r w:rsidR="00443010">
        <w:fldChar w:fldCharType="separate"/>
      </w:r>
      <w:r w:rsidR="000A0E3D">
        <w:rPr>
          <w:noProof/>
        </w:rPr>
        <w:t>2</w:t>
      </w:r>
      <w:r w:rsidR="00443010">
        <w:rPr>
          <w:noProof/>
        </w:rPr>
        <w:fldChar w:fldCharType="end"/>
      </w:r>
      <w:r w:rsidR="0081532D" w:rsidRPr="00323B06">
        <w:t>.</w:t>
      </w:r>
      <w:r w:rsidR="00443010">
        <w:fldChar w:fldCharType="begin"/>
      </w:r>
      <w:r w:rsidR="00443010">
        <w:instrText xml:space="preserve"> SEQ Figure_I. \* ARABIC \s 2 </w:instrText>
      </w:r>
      <w:r w:rsidR="00443010">
        <w:fldChar w:fldCharType="separate"/>
      </w:r>
      <w:r w:rsidR="000A0E3D">
        <w:rPr>
          <w:noProof/>
        </w:rPr>
        <w:t>2</w:t>
      </w:r>
      <w:r w:rsidR="00443010">
        <w:rPr>
          <w:noProof/>
        </w:rPr>
        <w:fldChar w:fldCharType="end"/>
      </w:r>
      <w:bookmarkEnd w:id="12"/>
      <w:r w:rsidRPr="00323B06">
        <w:t xml:space="preserve"> </w:t>
      </w:r>
      <w:r w:rsidR="00216D29" w:rsidRPr="00323B06">
        <w:t>General reaction equation of one step uncatalyzed didehydroxylation</w:t>
      </w:r>
      <w:bookmarkEnd w:id="13"/>
      <w:bookmarkEnd w:id="14"/>
    </w:p>
    <w:p w14:paraId="0E83EB12" w14:textId="77777777" w:rsidR="00536AE9" w:rsidRPr="00E47369" w:rsidRDefault="00536AE9" w:rsidP="00536AE9">
      <w:pPr>
        <w:rPr>
          <w:rFonts w:cstheme="minorHAnsi"/>
        </w:rPr>
      </w:pPr>
    </w:p>
    <w:p w14:paraId="75DDC204" w14:textId="77777777" w:rsidR="00915118" w:rsidRPr="00E47369" w:rsidRDefault="00216D29" w:rsidP="003E463F">
      <w:pPr>
        <w:keepNext/>
        <w:jc w:val="center"/>
        <w:rPr>
          <w:rFonts w:cstheme="minorHAnsi"/>
        </w:rPr>
      </w:pPr>
      <w:r w:rsidRPr="00E47369">
        <w:rPr>
          <w:rFonts w:cstheme="minorHAnsi"/>
        </w:rPr>
        <w:object w:dxaOrig="6273" w:dyaOrig="4632" w14:anchorId="5216C844">
          <v:shape id="_x0000_i1027" type="#_x0000_t75" style="width:272.2pt;height:204.15pt" o:ole="">
            <v:imagedata r:id="rId14" o:title=""/>
          </v:shape>
          <o:OLEObject Type="Embed" ProgID="ChemDraw.Document.6.0" ShapeID="_x0000_i1027" DrawAspect="Content" ObjectID="_1532784881" r:id="rId15"/>
        </w:object>
      </w:r>
    </w:p>
    <w:p w14:paraId="5769014C" w14:textId="77777777" w:rsidR="00216D29" w:rsidRPr="00323B06" w:rsidRDefault="00915118" w:rsidP="00323B06">
      <w:pPr>
        <w:pStyle w:val="Caption"/>
      </w:pPr>
      <w:bookmarkStart w:id="15" w:name="_Ref449706677"/>
      <w:bookmarkStart w:id="16" w:name="_Toc457670508"/>
      <w:r w:rsidRPr="00323B06">
        <w:t xml:space="preserve">Figure I. </w:t>
      </w:r>
      <w:r w:rsidR="00443010">
        <w:fldChar w:fldCharType="begin"/>
      </w:r>
      <w:r w:rsidR="00443010">
        <w:instrText xml:space="preserve"> STYLEREF 2 \s </w:instrText>
      </w:r>
      <w:r w:rsidR="00443010">
        <w:fldChar w:fldCharType="separate"/>
      </w:r>
      <w:r w:rsidR="000A0E3D">
        <w:rPr>
          <w:noProof/>
        </w:rPr>
        <w:t>2</w:t>
      </w:r>
      <w:r w:rsidR="00443010">
        <w:rPr>
          <w:noProof/>
        </w:rPr>
        <w:fldChar w:fldCharType="end"/>
      </w:r>
      <w:r w:rsidR="0081532D" w:rsidRPr="00323B06">
        <w:t>.</w:t>
      </w:r>
      <w:r w:rsidR="00443010">
        <w:fldChar w:fldCharType="begin"/>
      </w:r>
      <w:r w:rsidR="00443010">
        <w:instrText xml:space="preserve"> SEQ Figure_I. \* ARABIC \s 2 </w:instrText>
      </w:r>
      <w:r w:rsidR="00443010">
        <w:fldChar w:fldCharType="separate"/>
      </w:r>
      <w:r w:rsidR="000A0E3D">
        <w:rPr>
          <w:noProof/>
        </w:rPr>
        <w:t>3</w:t>
      </w:r>
      <w:r w:rsidR="00443010">
        <w:rPr>
          <w:noProof/>
        </w:rPr>
        <w:fldChar w:fldCharType="end"/>
      </w:r>
      <w:bookmarkEnd w:id="15"/>
      <w:r w:rsidRPr="00323B06">
        <w:t xml:space="preserve"> </w:t>
      </w:r>
      <w:r w:rsidR="00216D29" w:rsidRPr="00323B06">
        <w:t>Substrate scope of one step uncatalyzed didehydroxylation diols</w:t>
      </w:r>
      <w:bookmarkEnd w:id="16"/>
    </w:p>
    <w:p w14:paraId="7263A589" w14:textId="77777777" w:rsidR="00536AE9" w:rsidRPr="00E47369" w:rsidRDefault="00536AE9" w:rsidP="00536AE9">
      <w:pPr>
        <w:rPr>
          <w:rFonts w:cstheme="minorHAnsi"/>
        </w:rPr>
      </w:pPr>
    </w:p>
    <w:p w14:paraId="73D26C4E" w14:textId="77777777" w:rsidR="00216D29" w:rsidRPr="00E47369" w:rsidRDefault="00216D29" w:rsidP="00BA0582">
      <w:pPr>
        <w:pStyle w:val="Heading2"/>
      </w:pPr>
      <w:bookmarkStart w:id="17" w:name="_Toc458938273"/>
      <w:r w:rsidRPr="00E47369">
        <w:t>Oxo-Metal Promoted and Catalyzed Deoxydehydration</w:t>
      </w:r>
      <w:bookmarkEnd w:id="17"/>
    </w:p>
    <w:p w14:paraId="6A91F022" w14:textId="77777777" w:rsidR="00216D29" w:rsidRPr="00E47369" w:rsidRDefault="00216D29" w:rsidP="000351A7">
      <w:pPr>
        <w:pStyle w:val="Heading3"/>
      </w:pPr>
      <w:bookmarkStart w:id="18" w:name="_Toc458938274"/>
      <w:r w:rsidRPr="00E47369">
        <w:t>ReOx-based catalysts</w:t>
      </w:r>
      <w:bookmarkEnd w:id="18"/>
    </w:p>
    <w:p w14:paraId="7BB635AB" w14:textId="77777777" w:rsidR="00216D29" w:rsidRPr="00E47369" w:rsidRDefault="00216D29" w:rsidP="006042D0">
      <w:pPr>
        <w:pStyle w:val="Heading41"/>
        <w:rPr>
          <w:rFonts w:cstheme="minorHAnsi"/>
        </w:rPr>
      </w:pPr>
      <w:r w:rsidRPr="00E47369">
        <w:rPr>
          <w:rFonts w:cstheme="minorHAnsi"/>
        </w:rPr>
        <w:t>Phosphine Reductants</w:t>
      </w:r>
    </w:p>
    <w:p w14:paraId="1835E1DA" w14:textId="77777777" w:rsidR="00216D29" w:rsidRPr="00E47369" w:rsidRDefault="00216D29" w:rsidP="006042D0">
      <w:pPr>
        <w:ind w:firstLine="360"/>
        <w:jc w:val="both"/>
        <w:rPr>
          <w:rFonts w:cstheme="minorHAnsi"/>
        </w:rPr>
      </w:pPr>
      <w:r w:rsidRPr="00E47369">
        <w:rPr>
          <w:rFonts w:cstheme="minorHAnsi"/>
        </w:rPr>
        <w:t>The first transition metal-catalyzed deoxydehydration (DODH) reaction was reported by Cook and Andrews</w:t>
      </w:r>
      <w:r w:rsidRPr="00E47369">
        <w:rPr>
          <w:rFonts w:cstheme="minorHAnsi"/>
        </w:rPr>
        <w:fldChar w:fldCharType="begin"/>
      </w:r>
      <w:r w:rsidR="006D0CD6" w:rsidRPr="00E47369">
        <w:rPr>
          <w:rFonts w:cstheme="minorHAnsi"/>
        </w:rPr>
        <w:instrText xml:space="preserve"> ADDIN ZOTERO_ITEM CSL_CITATION {"citationID":"1007hbucdm","properties":{"formattedCitation":"{\\rtf \\super 23\\nosupersub{}}","plainCitation":"23"},"citationItems":[{"id":68,"uris":["http://zotero.org/users/1624234/items/5E67XMES"],"uri":["http://zotero.org/users/1624234/items/5E67XMES"],"itemData":{"id":68,"type":"article-journal","title":"Toward Nonoxidative Routes to Oxygenated Organics:  Stereospecific Deoxydehydration of Diols and Polyols to Alkenes and Allylic Alcohols Catalyzed by the Metal Oxo Complex (C5Me5)ReO3","container-title":"Journal of the American Chemical Society","page":"9448-9449","volume":"118","issue":"39","source":"ACS Publications","DOI":"10.1021/ja9620604","ISSN":"0002-7863","shortTitle":"Toward Nonoxidative Routes to Oxygenated Organics","journalAbbreviation":"J. Am. Chem. Soc.","author":[{"family":"Cook","given":"Gerald K."},{"family":"Andrews","given":"Mark A."}],"issued":{"date-parts":[["1996",1,1]]}}}],"schema":"https://github.com/citation-style-language/schema/raw/master/csl-citation.json"} </w:instrText>
      </w:r>
      <w:r w:rsidRPr="00E47369">
        <w:rPr>
          <w:rFonts w:cstheme="minorHAnsi"/>
        </w:rPr>
        <w:fldChar w:fldCharType="separate"/>
      </w:r>
      <w:r w:rsidRPr="00E47369">
        <w:rPr>
          <w:rFonts w:cstheme="minorHAnsi"/>
          <w:sz w:val="22"/>
          <w:vertAlign w:val="superscript"/>
        </w:rPr>
        <w:t>23</w:t>
      </w:r>
      <w:r w:rsidRPr="00E47369">
        <w:rPr>
          <w:rFonts w:cstheme="minorHAnsi"/>
        </w:rPr>
        <w:fldChar w:fldCharType="end"/>
      </w:r>
      <w:r w:rsidRPr="00E47369">
        <w:rPr>
          <w:rFonts w:cstheme="minorHAnsi"/>
        </w:rPr>
        <w:t xml:space="preserve"> employing Cp*ReO</w:t>
      </w:r>
      <w:r w:rsidRPr="00E47369">
        <w:rPr>
          <w:rFonts w:cstheme="minorHAnsi"/>
          <w:vertAlign w:val="subscript"/>
        </w:rPr>
        <w:t>3</w:t>
      </w:r>
      <w:r w:rsidRPr="00E47369">
        <w:rPr>
          <w:rFonts w:cstheme="minorHAnsi"/>
        </w:rPr>
        <w:t xml:space="preserve"> (</w:t>
      </w:r>
      <w:r w:rsidRPr="00E47369">
        <w:rPr>
          <w:rFonts w:cstheme="minorHAnsi"/>
          <w:b/>
        </w:rPr>
        <w:t>1</w:t>
      </w:r>
      <w:r w:rsidRPr="00E47369">
        <w:rPr>
          <w:rFonts w:cstheme="minorHAnsi"/>
        </w:rPr>
        <w:t>, Cp*=pentamethyl-cyclopentadienyl) as the catalyst with PPh</w:t>
      </w:r>
      <w:r w:rsidRPr="001615F0">
        <w:rPr>
          <w:rFonts w:cstheme="minorHAnsi"/>
          <w:vertAlign w:val="subscript"/>
        </w:rPr>
        <w:t>3</w:t>
      </w:r>
      <w:r w:rsidRPr="00E47369">
        <w:rPr>
          <w:rFonts w:cstheme="minorHAnsi"/>
        </w:rPr>
        <w:t xml:space="preserve"> as the stoichiometric reductant (</w:t>
      </w:r>
      <w:r w:rsidR="00915118" w:rsidRPr="00E47369">
        <w:rPr>
          <w:rFonts w:cstheme="minorHAnsi"/>
        </w:rPr>
        <w:fldChar w:fldCharType="begin"/>
      </w:r>
      <w:r w:rsidR="00915118" w:rsidRPr="00E47369">
        <w:rPr>
          <w:rFonts w:cstheme="minorHAnsi"/>
        </w:rPr>
        <w:instrText xml:space="preserve"> REF _Ref449707068 \h </w:instrText>
      </w:r>
      <w:r w:rsidR="003E463F" w:rsidRPr="00E47369">
        <w:rPr>
          <w:rFonts w:cstheme="minorHAnsi"/>
        </w:rPr>
        <w:instrText xml:space="preserve"> \* MERGEFORMAT </w:instrText>
      </w:r>
      <w:r w:rsidR="00915118" w:rsidRPr="00E47369">
        <w:rPr>
          <w:rFonts w:cstheme="minorHAnsi"/>
        </w:rPr>
      </w:r>
      <w:r w:rsidR="00915118" w:rsidRPr="00E47369">
        <w:rPr>
          <w:rFonts w:cstheme="minorHAnsi"/>
        </w:rPr>
        <w:fldChar w:fldCharType="separate"/>
      </w:r>
      <w:r w:rsidR="000A0E3D" w:rsidRPr="000A0E3D">
        <w:rPr>
          <w:rFonts w:cstheme="minorHAnsi"/>
        </w:rPr>
        <w:t>Figure I.3.a.1</w:t>
      </w:r>
      <w:r w:rsidR="00915118" w:rsidRPr="00E47369">
        <w:rPr>
          <w:rFonts w:cstheme="minorHAnsi"/>
        </w:rPr>
        <w:fldChar w:fldCharType="end"/>
      </w:r>
      <w:r w:rsidRPr="00E47369">
        <w:rPr>
          <w:rFonts w:cstheme="minorHAnsi"/>
        </w:rPr>
        <w:t xml:space="preserve">). Typically, reactions were conducted with 2 mol% </w:t>
      </w:r>
      <w:r w:rsidRPr="00E47369">
        <w:rPr>
          <w:rFonts w:cstheme="minorHAnsi"/>
          <w:b/>
        </w:rPr>
        <w:t>1</w:t>
      </w:r>
      <w:r w:rsidRPr="00E47369">
        <w:rPr>
          <w:rFonts w:cstheme="minorHAnsi"/>
        </w:rPr>
        <w:t xml:space="preserve"> at 90-100</w:t>
      </w:r>
      <w:r w:rsidRPr="00E47369">
        <w:rPr>
          <w:rFonts w:cstheme="minorHAnsi"/>
          <w:vertAlign w:val="superscript"/>
        </w:rPr>
        <w:t>o</w:t>
      </w:r>
      <w:r w:rsidRPr="00E47369">
        <w:rPr>
          <w:rFonts w:cstheme="minorHAnsi"/>
        </w:rPr>
        <w:t>C in chlorobenzene as solvent for 1-2 days. Among the substrates evaluated were 1-phenyl-1,2-ethanediol (styrene diol), a 1,2:5,6-diketal of mannitol, glycerol and erythritol. The first two provided the corresponding alkenes in 80-95% yield, while the latter largely produced butadiene (ca. 80%) with smaller amounts of the butene-1,4- and 1,2-diols (6:1). Coordinating solvents were found to inhibit the reaction, while TsOH was found to be a promoter. Catalyst deactivation, ascribed to over-reduction to Re</w:t>
      </w:r>
      <w:r w:rsidRPr="00E47369">
        <w:rPr>
          <w:rFonts w:cstheme="minorHAnsi"/>
          <w:vertAlign w:val="superscript"/>
        </w:rPr>
        <w:t>iii</w:t>
      </w:r>
      <w:r w:rsidRPr="00E47369">
        <w:rPr>
          <w:rFonts w:cstheme="minorHAnsi"/>
        </w:rPr>
        <w:t xml:space="preserve"> was noted. A three stage catalytic cycle (</w:t>
      </w:r>
      <w:r w:rsidR="00915118" w:rsidRPr="00E47369">
        <w:rPr>
          <w:rFonts w:cstheme="minorHAnsi"/>
        </w:rPr>
        <w:fldChar w:fldCharType="begin"/>
      </w:r>
      <w:r w:rsidR="00915118" w:rsidRPr="00E47369">
        <w:rPr>
          <w:rFonts w:cstheme="minorHAnsi"/>
        </w:rPr>
        <w:instrText xml:space="preserve"> REF _Ref449707091 \h </w:instrText>
      </w:r>
      <w:r w:rsidR="003E463F" w:rsidRPr="00E47369">
        <w:rPr>
          <w:rFonts w:cstheme="minorHAnsi"/>
        </w:rPr>
        <w:instrText xml:space="preserve"> \* MERGEFORMAT </w:instrText>
      </w:r>
      <w:r w:rsidR="00915118" w:rsidRPr="00E47369">
        <w:rPr>
          <w:rFonts w:cstheme="minorHAnsi"/>
        </w:rPr>
      </w:r>
      <w:r w:rsidR="00915118" w:rsidRPr="00E47369">
        <w:rPr>
          <w:rFonts w:cstheme="minorHAnsi"/>
        </w:rPr>
        <w:fldChar w:fldCharType="separate"/>
      </w:r>
      <w:r w:rsidR="000A0E3D" w:rsidRPr="000A0E3D">
        <w:rPr>
          <w:rFonts w:cstheme="minorHAnsi"/>
        </w:rPr>
        <w:t>Figure I.3.a.2</w:t>
      </w:r>
      <w:r w:rsidR="00915118" w:rsidRPr="00E47369">
        <w:rPr>
          <w:rFonts w:cstheme="minorHAnsi"/>
        </w:rPr>
        <w:fldChar w:fldCharType="end"/>
      </w:r>
      <w:r w:rsidRPr="00E47369">
        <w:rPr>
          <w:rFonts w:cstheme="minorHAnsi"/>
        </w:rPr>
        <w:t xml:space="preserve">) was proposed involving: a) reduction of </w:t>
      </w:r>
      <w:r w:rsidRPr="00E47369">
        <w:rPr>
          <w:rFonts w:cstheme="minorHAnsi"/>
          <w:b/>
        </w:rPr>
        <w:t>1</w:t>
      </w:r>
      <w:r w:rsidRPr="00E47369">
        <w:rPr>
          <w:rFonts w:cstheme="minorHAnsi"/>
        </w:rPr>
        <w:t xml:space="preserve"> to Cp*ReO</w:t>
      </w:r>
      <w:r w:rsidRPr="00E47369">
        <w:rPr>
          <w:rFonts w:cstheme="minorHAnsi"/>
          <w:vertAlign w:val="subscript"/>
        </w:rPr>
        <w:t>2</w:t>
      </w:r>
      <w:r w:rsidRPr="00E47369">
        <w:rPr>
          <w:rFonts w:cstheme="minorHAnsi"/>
        </w:rPr>
        <w:t xml:space="preserve"> (</w:t>
      </w:r>
      <w:r w:rsidRPr="00E47369">
        <w:rPr>
          <w:rFonts w:cstheme="minorHAnsi"/>
          <w:b/>
        </w:rPr>
        <w:t>2</w:t>
      </w:r>
      <w:r w:rsidRPr="00E47369">
        <w:rPr>
          <w:rFonts w:cstheme="minorHAnsi"/>
        </w:rPr>
        <w:t xml:space="preserve">); b) condensation with the diol with </w:t>
      </w:r>
      <w:r w:rsidRPr="00E47369">
        <w:rPr>
          <w:rFonts w:cstheme="minorHAnsi"/>
          <w:b/>
        </w:rPr>
        <w:t>2</w:t>
      </w:r>
      <w:r w:rsidRPr="00E47369">
        <w:rPr>
          <w:rFonts w:cstheme="minorHAnsi"/>
        </w:rPr>
        <w:t xml:space="preserve"> to form the Re-glycolate </w:t>
      </w:r>
      <w:r w:rsidRPr="00E47369">
        <w:rPr>
          <w:rFonts w:cstheme="minorHAnsi"/>
          <w:b/>
        </w:rPr>
        <w:t>3</w:t>
      </w:r>
      <w:r w:rsidRPr="00E47369">
        <w:rPr>
          <w:rFonts w:cstheme="minorHAnsi"/>
        </w:rPr>
        <w:t xml:space="preserve">; and extrusion (retrocyclization) of the alkene from </w:t>
      </w:r>
      <w:r w:rsidRPr="00E47369">
        <w:rPr>
          <w:rFonts w:cstheme="minorHAnsi"/>
          <w:b/>
        </w:rPr>
        <w:t>3</w:t>
      </w:r>
      <w:r w:rsidRPr="00E47369">
        <w:rPr>
          <w:rFonts w:cstheme="minorHAnsi"/>
        </w:rPr>
        <w:t>. The rate of styrene formation from its glycol (</w:t>
      </w:r>
      <w:r w:rsidRPr="00E47369">
        <w:rPr>
          <w:rFonts w:cstheme="minorHAnsi"/>
          <w:b/>
        </w:rPr>
        <w:t>1</w:t>
      </w:r>
      <w:r w:rsidRPr="00E47369">
        <w:rPr>
          <w:rFonts w:cstheme="minorHAnsi"/>
        </w:rPr>
        <w:t xml:space="preserve">/TsOH co-catalyzed) was independent of the concentrations of both reactants and comparable to its rate of formation from the isolated Cp*ReO(glycolate) (vide infra), consistent with the Re-glycolate retrocyclization being rate-limiting. </w:t>
      </w:r>
    </w:p>
    <w:p w14:paraId="66261E11" w14:textId="77777777" w:rsidR="00536AE9" w:rsidRPr="00E47369" w:rsidRDefault="00536AE9" w:rsidP="003E463F">
      <w:pPr>
        <w:jc w:val="both"/>
        <w:rPr>
          <w:rFonts w:cstheme="minorHAnsi"/>
        </w:rPr>
      </w:pPr>
    </w:p>
    <w:p w14:paraId="5F5C6304" w14:textId="77777777" w:rsidR="00915118" w:rsidRPr="00E47369" w:rsidRDefault="00216D29" w:rsidP="003E463F">
      <w:pPr>
        <w:keepNext/>
        <w:jc w:val="center"/>
        <w:rPr>
          <w:rFonts w:cstheme="minorHAnsi"/>
        </w:rPr>
      </w:pPr>
      <w:r w:rsidRPr="00E47369">
        <w:rPr>
          <w:rFonts w:cstheme="minorHAnsi"/>
        </w:rPr>
        <w:object w:dxaOrig="4862" w:dyaOrig="2395" w14:anchorId="4F0DB8D6">
          <v:shape id="_x0000_i1028" type="#_x0000_t75" style="width:246.85pt;height:118.7pt" o:ole="">
            <v:imagedata r:id="rId16" o:title=""/>
          </v:shape>
          <o:OLEObject Type="Embed" ProgID="ChemDraw.Document.6.0" ShapeID="_x0000_i1028" DrawAspect="Content" ObjectID="_1532784882" r:id="rId17"/>
        </w:object>
      </w:r>
    </w:p>
    <w:p w14:paraId="764F7F6B" w14:textId="77777777" w:rsidR="00216D29" w:rsidRPr="00323B06" w:rsidRDefault="007D369E" w:rsidP="00323B06">
      <w:pPr>
        <w:pStyle w:val="Caption"/>
      </w:pPr>
      <w:bookmarkStart w:id="19" w:name="_Ref449707068"/>
      <w:bookmarkStart w:id="20" w:name="_Toc457320580"/>
      <w:bookmarkStart w:id="21" w:name="_Toc458938355"/>
      <w:r w:rsidRPr="00323B06">
        <w:t>Figure I.3.</w:t>
      </w:r>
      <w:r w:rsidR="00443010">
        <w:fldChar w:fldCharType="begin"/>
      </w:r>
      <w:r w:rsidR="00443010">
        <w:instrText xml:space="preserve"> STYLEREF 3 \s </w:instrText>
      </w:r>
      <w:r w:rsidR="00443010">
        <w:fldChar w:fldCharType="separate"/>
      </w:r>
      <w:r w:rsidR="000A0E3D">
        <w:rPr>
          <w:noProof/>
        </w:rPr>
        <w:t>a</w:t>
      </w:r>
      <w:r w:rsidR="00443010">
        <w:rPr>
          <w:noProof/>
        </w:rPr>
        <w:fldChar w:fldCharType="end"/>
      </w:r>
      <w:r w:rsidRPr="00323B06">
        <w:t>.</w:t>
      </w:r>
      <w:r w:rsidR="00443010">
        <w:fldChar w:fldCharType="begin"/>
      </w:r>
      <w:r w:rsidR="00443010">
        <w:instrText xml:space="preserve"> SEQ Figure_I._3. \* ARABIC \s 3 </w:instrText>
      </w:r>
      <w:r w:rsidR="00443010">
        <w:fldChar w:fldCharType="separate"/>
      </w:r>
      <w:r w:rsidR="000A0E3D">
        <w:rPr>
          <w:noProof/>
        </w:rPr>
        <w:t>1</w:t>
      </w:r>
      <w:r w:rsidR="00443010">
        <w:rPr>
          <w:noProof/>
        </w:rPr>
        <w:fldChar w:fldCharType="end"/>
      </w:r>
      <w:bookmarkEnd w:id="19"/>
      <w:r w:rsidR="00915118" w:rsidRPr="00323B06">
        <w:t xml:space="preserve"> </w:t>
      </w:r>
      <w:r w:rsidR="00216D29" w:rsidRPr="00323B06">
        <w:t>Summary of DODH systems using PPh</w:t>
      </w:r>
      <w:r w:rsidR="00216D29" w:rsidRPr="00323B06">
        <w:rPr>
          <w:vertAlign w:val="subscript"/>
        </w:rPr>
        <w:t>3</w:t>
      </w:r>
      <w:r w:rsidR="00216D29" w:rsidRPr="00323B06">
        <w:t xml:space="preserve"> as reducing agent</w:t>
      </w:r>
      <w:bookmarkEnd w:id="20"/>
      <w:bookmarkEnd w:id="21"/>
    </w:p>
    <w:p w14:paraId="62D82C72" w14:textId="77777777" w:rsidR="00536AE9" w:rsidRPr="00E47369" w:rsidRDefault="00536AE9" w:rsidP="00536AE9">
      <w:pPr>
        <w:rPr>
          <w:rFonts w:cstheme="minorHAnsi"/>
        </w:rPr>
      </w:pPr>
    </w:p>
    <w:p w14:paraId="1A2E05EE" w14:textId="77777777" w:rsidR="00915118" w:rsidRPr="00E47369" w:rsidRDefault="00216D29" w:rsidP="003E463F">
      <w:pPr>
        <w:keepNext/>
        <w:jc w:val="center"/>
        <w:rPr>
          <w:rFonts w:cstheme="minorHAnsi"/>
        </w:rPr>
      </w:pPr>
      <w:r w:rsidRPr="00E47369">
        <w:rPr>
          <w:rFonts w:cstheme="minorHAnsi"/>
        </w:rPr>
        <w:object w:dxaOrig="3812" w:dyaOrig="3802" w14:anchorId="5C78C54E">
          <v:shape id="_x0000_i1029" type="#_x0000_t75" style="width:189.9pt;height:190.7pt" o:ole="">
            <v:imagedata r:id="rId18" o:title=""/>
          </v:shape>
          <o:OLEObject Type="Embed" ProgID="ChemDraw.Document.6.0" ShapeID="_x0000_i1029" DrawAspect="Content" ObjectID="_1532784883" r:id="rId19"/>
        </w:object>
      </w:r>
    </w:p>
    <w:p w14:paraId="72A6403E" w14:textId="77777777" w:rsidR="00216D29" w:rsidRPr="00323B06" w:rsidRDefault="007D369E" w:rsidP="00323B06">
      <w:pPr>
        <w:pStyle w:val="Caption"/>
      </w:pPr>
      <w:bookmarkStart w:id="22" w:name="_Ref449707091"/>
      <w:bookmarkStart w:id="23" w:name="_Toc457320581"/>
      <w:bookmarkStart w:id="24" w:name="_Toc458938356"/>
      <w:r w:rsidRPr="00323B06">
        <w:t>Figure I.3.</w:t>
      </w:r>
      <w:r w:rsidR="00443010">
        <w:fldChar w:fldCharType="begin"/>
      </w:r>
      <w:r w:rsidR="00443010">
        <w:instrText xml:space="preserve"> STYLEREF 3 \s </w:instrText>
      </w:r>
      <w:r w:rsidR="00443010">
        <w:fldChar w:fldCharType="separate"/>
      </w:r>
      <w:r w:rsidR="000A0E3D">
        <w:rPr>
          <w:noProof/>
        </w:rPr>
        <w:t>a</w:t>
      </w:r>
      <w:r w:rsidR="00443010">
        <w:rPr>
          <w:noProof/>
        </w:rPr>
        <w:fldChar w:fldCharType="end"/>
      </w:r>
      <w:r w:rsidRPr="00323B06">
        <w:t>.</w:t>
      </w:r>
      <w:r w:rsidR="00443010">
        <w:fldChar w:fldCharType="begin"/>
      </w:r>
      <w:r w:rsidR="00443010">
        <w:instrText xml:space="preserve"> SEQ Figure_I._3. \* ARABIC \s 3 </w:instrText>
      </w:r>
      <w:r w:rsidR="00443010">
        <w:fldChar w:fldCharType="separate"/>
      </w:r>
      <w:r w:rsidR="000A0E3D">
        <w:rPr>
          <w:noProof/>
        </w:rPr>
        <w:t>2</w:t>
      </w:r>
      <w:r w:rsidR="00443010">
        <w:rPr>
          <w:noProof/>
        </w:rPr>
        <w:fldChar w:fldCharType="end"/>
      </w:r>
      <w:bookmarkEnd w:id="22"/>
      <w:r w:rsidR="00915118" w:rsidRPr="00323B06">
        <w:t xml:space="preserve"> </w:t>
      </w:r>
      <w:r w:rsidR="00216D29" w:rsidRPr="00323B06">
        <w:t>Proposed mechanistic cycle for phosphine driven DODH reaction</w:t>
      </w:r>
      <w:bookmarkEnd w:id="23"/>
      <w:bookmarkEnd w:id="24"/>
    </w:p>
    <w:p w14:paraId="6EFB80FC" w14:textId="77777777" w:rsidR="00536AE9" w:rsidRPr="00E47369" w:rsidRDefault="00536AE9" w:rsidP="00536AE9">
      <w:pPr>
        <w:rPr>
          <w:rFonts w:cstheme="minorHAnsi"/>
        </w:rPr>
      </w:pPr>
    </w:p>
    <w:p w14:paraId="41902421" w14:textId="77777777" w:rsidR="00216D29" w:rsidRPr="00E47369" w:rsidRDefault="00216D29" w:rsidP="006042D0">
      <w:pPr>
        <w:ind w:firstLine="360"/>
        <w:jc w:val="both"/>
        <w:rPr>
          <w:rFonts w:cstheme="minorHAnsi"/>
        </w:rPr>
      </w:pPr>
      <w:r w:rsidRPr="00E47369">
        <w:rPr>
          <w:rFonts w:cstheme="minorHAnsi"/>
        </w:rPr>
        <w:t>Several years after the initial catalytic DODH report by Andrews, the Gable group reported that phosphine-driven glycol DODH and epoxide deoxygenation is catalyzed by (tris-dimethylpyrazolylborate)ReO</w:t>
      </w:r>
      <w:r w:rsidRPr="00E47369">
        <w:rPr>
          <w:rFonts w:cstheme="minorHAnsi"/>
          <w:vertAlign w:val="subscript"/>
        </w:rPr>
        <w:t>3</w:t>
      </w:r>
      <w:r w:rsidRPr="00E47369">
        <w:rPr>
          <w:rFonts w:cstheme="minorHAnsi"/>
        </w:rPr>
        <w:t xml:space="preserve"> (Tp*ReO</w:t>
      </w:r>
      <w:r w:rsidRPr="00E47369">
        <w:rPr>
          <w:rFonts w:cstheme="minorHAnsi"/>
          <w:vertAlign w:val="subscript"/>
        </w:rPr>
        <w:t>3</w:t>
      </w:r>
      <w:r w:rsidRPr="00E47369">
        <w:rPr>
          <w:rFonts w:cstheme="minorHAnsi"/>
        </w:rPr>
        <w:t>) (4) (</w:t>
      </w:r>
      <w:r w:rsidR="00915118" w:rsidRPr="00E47369">
        <w:rPr>
          <w:rFonts w:cstheme="minorHAnsi"/>
        </w:rPr>
        <w:fldChar w:fldCharType="begin"/>
      </w:r>
      <w:r w:rsidR="00915118" w:rsidRPr="00E47369">
        <w:rPr>
          <w:rFonts w:cstheme="minorHAnsi"/>
        </w:rPr>
        <w:instrText xml:space="preserve"> REF _Ref449707144 \h </w:instrText>
      </w:r>
      <w:r w:rsidR="003E463F" w:rsidRPr="00E47369">
        <w:rPr>
          <w:rFonts w:cstheme="minorHAnsi"/>
        </w:rPr>
        <w:instrText xml:space="preserve"> \* MERGEFORMAT </w:instrText>
      </w:r>
      <w:r w:rsidR="00915118" w:rsidRPr="00E47369">
        <w:rPr>
          <w:rFonts w:cstheme="minorHAnsi"/>
        </w:rPr>
      </w:r>
      <w:r w:rsidR="00915118" w:rsidRPr="00E47369">
        <w:rPr>
          <w:rFonts w:cstheme="minorHAnsi"/>
        </w:rPr>
        <w:fldChar w:fldCharType="separate"/>
      </w:r>
      <w:r w:rsidR="000A0E3D" w:rsidRPr="000A0E3D">
        <w:rPr>
          <w:rFonts w:cstheme="minorHAnsi"/>
        </w:rPr>
        <w:t>Figure I.3.a.3</w:t>
      </w:r>
      <w:r w:rsidR="00915118" w:rsidRPr="00E47369">
        <w:rPr>
          <w:rFonts w:cstheme="minorHAnsi"/>
        </w:rPr>
        <w:fldChar w:fldCharType="end"/>
      </w:r>
      <w:r w:rsidRPr="00E47369">
        <w:rPr>
          <w:rFonts w:cstheme="minorHAnsi"/>
        </w:rPr>
        <w:t>).</w:t>
      </w:r>
      <w:r w:rsidRPr="00E47369">
        <w:rPr>
          <w:rFonts w:cstheme="minorHAnsi"/>
        </w:rPr>
        <w:fldChar w:fldCharType="begin"/>
      </w:r>
      <w:r w:rsidR="00A074C8">
        <w:rPr>
          <w:rFonts w:cstheme="minorHAnsi"/>
        </w:rPr>
        <w:instrText xml:space="preserve"> ADDIN ZOTERO_ITEM CSL_CITATION {"citationID":"migfv8mj1","properties":{"formattedCitation":"{\\rtf \\super 24\\nosupersub{}}","plainCitation":"24"},"citationItems":[{"id":443,"uris":["http://zotero.org/users/1624234/items/WD9A29TZ"],"uri":["http://zotero.org/users/1624234/items/WD9A29TZ"],"itemData":{"id":443,"type":"chapter","title":"Improved Catalytic Deoxygenation of Vicinal Diols and Application to Alditols","container-title":"Feedstocks for the Future","collection-title":"ACS Symposium Series","publisher":"American Chemical Society","page":"143-155","volume":"921","number-of-volumes":"0","source":"ACS Publications","abstract":"Judicious modification of the ligand environment in LReO3 complexes allows successful catalytic deoxygenation of vicinal diols using PPh3 as terminal reductant. There is a steric bias toward diol units at the end of a linear chain (versus internal diols) and for erythro internal diols over threo. The potential for synthetic applications is discussed.","URL":"http://dx.doi.org/10.1021/bk-2006-0921.ch011","ISBN":"0-8412-3934-7","author":[{"literal":"Gable K. P."},{"literal":"Ross B."}],"issued":{"date-parts":[["2006",1,12]]},"accessed":{"date-parts":[["2013",10,14]]}}}],"schema":"https://github.com/citation-style-language/schema/raw/master/csl-citation.json"} </w:instrText>
      </w:r>
      <w:r w:rsidRPr="00E47369">
        <w:rPr>
          <w:rFonts w:cstheme="minorHAnsi"/>
        </w:rPr>
        <w:fldChar w:fldCharType="separate"/>
      </w:r>
      <w:r w:rsidRPr="00E47369">
        <w:rPr>
          <w:rFonts w:cstheme="minorHAnsi"/>
          <w:sz w:val="22"/>
          <w:vertAlign w:val="superscript"/>
        </w:rPr>
        <w:t>24</w:t>
      </w:r>
      <w:r w:rsidRPr="00E47369">
        <w:rPr>
          <w:rFonts w:cstheme="minorHAnsi"/>
        </w:rPr>
        <w:fldChar w:fldCharType="end"/>
      </w:r>
      <w:r w:rsidRPr="00E47369">
        <w:rPr>
          <w:rFonts w:cstheme="minorHAnsi"/>
        </w:rPr>
        <w:t xml:space="preserve"> The sterically hindered and stronger donor TPB ligand provides a more robust, but somewhat less active catalyst. With the substrates styrene diol, glycerol, erythritol and threitol, reactions catalyzed by </w:t>
      </w:r>
      <w:r w:rsidRPr="00E47369">
        <w:rPr>
          <w:rFonts w:cstheme="minorHAnsi"/>
          <w:b/>
        </w:rPr>
        <w:t>4</w:t>
      </w:r>
      <w:r w:rsidRPr="00E47369">
        <w:rPr>
          <w:rFonts w:cstheme="minorHAnsi"/>
        </w:rPr>
        <w:t xml:space="preserve"> (5 mol%) proceed at 120</w:t>
      </w:r>
      <w:r w:rsidRPr="00E47369">
        <w:rPr>
          <w:rFonts w:cstheme="minorHAnsi"/>
          <w:vertAlign w:val="superscript"/>
        </w:rPr>
        <w:t>o</w:t>
      </w:r>
      <w:r w:rsidRPr="00E47369">
        <w:rPr>
          <w:rFonts w:cstheme="minorHAnsi"/>
        </w:rPr>
        <w:t>C over 1-5 days in toluene. Yields were not reported for the diol or triol, but the tetrols were converted in 20-40% yields to unsaturated products. For erythritol, with one equivalent of PPh</w:t>
      </w:r>
      <w:r w:rsidRPr="00E47369">
        <w:rPr>
          <w:rFonts w:cstheme="minorHAnsi"/>
          <w:vertAlign w:val="subscript"/>
        </w:rPr>
        <w:t>3</w:t>
      </w:r>
      <w:r w:rsidRPr="00E47369">
        <w:rPr>
          <w:rFonts w:cstheme="minorHAnsi"/>
        </w:rPr>
        <w:t xml:space="preserve"> moderate selectivity for the terminal ene-diol (7.2:1 vs. internal) was observed at 40% conversion, whereas threitol produced the terminal ene-diol more selectively along with relatively more butadiene. These selectivities were explained in terms of the distribution of intermediate Re-diolates produced from each polyol. Kinetic studies again indicated that alkene extrusion is turnover-limiting in this system.</w:t>
      </w:r>
    </w:p>
    <w:p w14:paraId="51C6E512" w14:textId="77777777" w:rsidR="00216D29" w:rsidRPr="00E47369" w:rsidRDefault="00216D29" w:rsidP="003E463F">
      <w:pPr>
        <w:jc w:val="both"/>
        <w:rPr>
          <w:rFonts w:cstheme="minorHAnsi"/>
        </w:rPr>
      </w:pPr>
    </w:p>
    <w:p w14:paraId="564ED0A2" w14:textId="77777777" w:rsidR="00915118" w:rsidRPr="00E47369" w:rsidRDefault="007D369E" w:rsidP="003E463F">
      <w:pPr>
        <w:keepNext/>
        <w:jc w:val="center"/>
        <w:rPr>
          <w:rFonts w:cstheme="minorHAnsi"/>
        </w:rPr>
      </w:pPr>
      <w:r w:rsidRPr="00E47369">
        <w:rPr>
          <w:rFonts w:cstheme="minorHAnsi"/>
        </w:rPr>
        <w:object w:dxaOrig="13002" w:dyaOrig="3167" w14:anchorId="203619D4">
          <v:shape id="_x0000_i1030" type="#_x0000_t75" style="width:394pt;height:95.75pt" o:ole="">
            <v:imagedata r:id="rId20" o:title=""/>
          </v:shape>
          <o:OLEObject Type="Embed" ProgID="ChemDraw.Document.6.0" ShapeID="_x0000_i1030" DrawAspect="Content" ObjectID="_1532784884" r:id="rId21"/>
        </w:object>
      </w:r>
    </w:p>
    <w:p w14:paraId="28A6C2AD" w14:textId="77777777" w:rsidR="00216D29" w:rsidRPr="00323B06" w:rsidRDefault="007D369E" w:rsidP="00323B06">
      <w:pPr>
        <w:pStyle w:val="Caption"/>
      </w:pPr>
      <w:bookmarkStart w:id="25" w:name="_Ref449707144"/>
      <w:bookmarkStart w:id="26" w:name="_Toc457320582"/>
      <w:bookmarkStart w:id="27" w:name="_Toc458938357"/>
      <w:r w:rsidRPr="00323B06">
        <w:t>Figure I.3.</w:t>
      </w:r>
      <w:r w:rsidR="00443010">
        <w:fldChar w:fldCharType="begin"/>
      </w:r>
      <w:r w:rsidR="00443010">
        <w:instrText xml:space="preserve"> STYLEREF 3 \s </w:instrText>
      </w:r>
      <w:r w:rsidR="00443010">
        <w:fldChar w:fldCharType="separate"/>
      </w:r>
      <w:r w:rsidR="000A0E3D">
        <w:rPr>
          <w:noProof/>
        </w:rPr>
        <w:t>a</w:t>
      </w:r>
      <w:r w:rsidR="00443010">
        <w:rPr>
          <w:noProof/>
        </w:rPr>
        <w:fldChar w:fldCharType="end"/>
      </w:r>
      <w:r w:rsidRPr="00323B06">
        <w:t>.</w:t>
      </w:r>
      <w:r w:rsidR="00443010">
        <w:fldChar w:fldCharType="begin"/>
      </w:r>
      <w:r w:rsidR="00443010">
        <w:instrText xml:space="preserve"> SEQ Figure_I._3. \* ARABIC \s 3 </w:instrText>
      </w:r>
      <w:r w:rsidR="00443010">
        <w:fldChar w:fldCharType="separate"/>
      </w:r>
      <w:r w:rsidR="000A0E3D">
        <w:rPr>
          <w:noProof/>
        </w:rPr>
        <w:t>3</w:t>
      </w:r>
      <w:r w:rsidR="00443010">
        <w:rPr>
          <w:noProof/>
        </w:rPr>
        <w:fldChar w:fldCharType="end"/>
      </w:r>
      <w:bookmarkEnd w:id="25"/>
      <w:r w:rsidR="00915118" w:rsidRPr="00323B06">
        <w:t xml:space="preserve"> </w:t>
      </w:r>
      <w:r w:rsidR="00216D29" w:rsidRPr="00323B06">
        <w:t>Erythritol and threitol products distribution</w:t>
      </w:r>
      <w:bookmarkEnd w:id="26"/>
      <w:bookmarkEnd w:id="27"/>
    </w:p>
    <w:p w14:paraId="208728F0" w14:textId="77777777" w:rsidR="00536AE9" w:rsidRPr="00E47369" w:rsidRDefault="00536AE9" w:rsidP="00536AE9">
      <w:pPr>
        <w:rPr>
          <w:rFonts w:cstheme="minorHAnsi"/>
        </w:rPr>
      </w:pPr>
    </w:p>
    <w:p w14:paraId="7C3A3A9A" w14:textId="77777777" w:rsidR="00216D29" w:rsidRPr="00E47369" w:rsidRDefault="00216D29" w:rsidP="006042D0">
      <w:pPr>
        <w:ind w:firstLine="360"/>
        <w:jc w:val="both"/>
        <w:rPr>
          <w:rFonts w:cstheme="minorHAnsi"/>
          <w:color w:val="000000" w:themeColor="text1"/>
        </w:rPr>
      </w:pPr>
      <w:r w:rsidRPr="00E47369">
        <w:rPr>
          <w:rFonts w:cstheme="minorHAnsi"/>
        </w:rPr>
        <w:t>Gebbink and co-worker revisited the Cp*ReO</w:t>
      </w:r>
      <w:r w:rsidRPr="00E47369">
        <w:rPr>
          <w:rFonts w:cstheme="minorHAnsi"/>
          <w:vertAlign w:val="subscript"/>
        </w:rPr>
        <w:t>3</w:t>
      </w:r>
      <w:r w:rsidRPr="00E47369">
        <w:rPr>
          <w:rFonts w:cstheme="minorHAnsi"/>
        </w:rPr>
        <w:t>/PPh</w:t>
      </w:r>
      <w:r w:rsidRPr="00E47369">
        <w:rPr>
          <w:rFonts w:cstheme="minorHAnsi"/>
          <w:vertAlign w:val="subscript"/>
        </w:rPr>
        <w:t>3</w:t>
      </w:r>
      <w:r w:rsidRPr="00E47369">
        <w:rPr>
          <w:rFonts w:cstheme="minorHAnsi"/>
        </w:rPr>
        <w:t xml:space="preserve"> DODH system focusing on the use of the sterically bulky (1,2,4-tri-t-butyl-cyclopentadienyl)ReO</w:t>
      </w:r>
      <w:r w:rsidRPr="00E47369">
        <w:rPr>
          <w:rFonts w:cstheme="minorHAnsi"/>
          <w:vertAlign w:val="subscript"/>
        </w:rPr>
        <w:t>3</w:t>
      </w:r>
      <w:r w:rsidRPr="00E47369">
        <w:rPr>
          <w:rFonts w:cstheme="minorHAnsi"/>
        </w:rPr>
        <w:t xml:space="preserve"> (Cp’ReO</w:t>
      </w:r>
      <w:r w:rsidRPr="00E47369">
        <w:rPr>
          <w:rFonts w:cstheme="minorHAnsi"/>
          <w:vertAlign w:val="subscript"/>
        </w:rPr>
        <w:t>3</w:t>
      </w:r>
      <w:r w:rsidRPr="00E47369">
        <w:rPr>
          <w:rFonts w:cstheme="minorHAnsi"/>
        </w:rPr>
        <w:t xml:space="preserve">) complex </w:t>
      </w:r>
      <w:r w:rsidRPr="00E47369">
        <w:rPr>
          <w:rFonts w:cstheme="minorHAnsi"/>
          <w:b/>
        </w:rPr>
        <w:t>5</w:t>
      </w:r>
      <w:r w:rsidRPr="00E47369">
        <w:rPr>
          <w:rFonts w:cstheme="minorHAnsi"/>
        </w:rPr>
        <w:t xml:space="preserve"> as catalyst with a range of glycols and polyols (</w:t>
      </w:r>
      <w:r w:rsidR="00915118" w:rsidRPr="00E47369">
        <w:rPr>
          <w:rFonts w:cstheme="minorHAnsi"/>
        </w:rPr>
        <w:fldChar w:fldCharType="begin"/>
      </w:r>
      <w:r w:rsidR="00915118" w:rsidRPr="00E47369">
        <w:rPr>
          <w:rFonts w:cstheme="minorHAnsi"/>
        </w:rPr>
        <w:instrText xml:space="preserve"> REF _Ref449707178 \h </w:instrText>
      </w:r>
      <w:r w:rsidR="003E463F" w:rsidRPr="00E47369">
        <w:rPr>
          <w:rFonts w:cstheme="minorHAnsi"/>
        </w:rPr>
        <w:instrText xml:space="preserve"> \* MERGEFORMAT </w:instrText>
      </w:r>
      <w:r w:rsidR="00915118" w:rsidRPr="00E47369">
        <w:rPr>
          <w:rFonts w:cstheme="minorHAnsi"/>
        </w:rPr>
      </w:r>
      <w:r w:rsidR="00915118" w:rsidRPr="00E47369">
        <w:rPr>
          <w:rFonts w:cstheme="minorHAnsi"/>
        </w:rPr>
        <w:fldChar w:fldCharType="separate"/>
      </w:r>
      <w:r w:rsidR="000A0E3D" w:rsidRPr="000A0E3D">
        <w:rPr>
          <w:rFonts w:cstheme="minorHAnsi"/>
        </w:rPr>
        <w:t>Figure I.3.a.4</w:t>
      </w:r>
      <w:r w:rsidR="00915118" w:rsidRPr="00E47369">
        <w:rPr>
          <w:rFonts w:cstheme="minorHAnsi"/>
        </w:rPr>
        <w:fldChar w:fldCharType="end"/>
      </w:r>
      <w:r w:rsidRPr="00E47369">
        <w:rPr>
          <w:rFonts w:cstheme="minorHAnsi"/>
        </w:rPr>
        <w:t>).</w:t>
      </w:r>
      <w:r w:rsidRPr="00E47369">
        <w:rPr>
          <w:rFonts w:cstheme="minorHAnsi"/>
        </w:rPr>
        <w:fldChar w:fldCharType="begin"/>
      </w:r>
      <w:r w:rsidR="006D0CD6" w:rsidRPr="00E47369">
        <w:rPr>
          <w:rFonts w:cstheme="minorHAnsi"/>
        </w:rPr>
        <w:instrText xml:space="preserve"> ADDIN ZOTERO_ITEM CSL_CITATION {"citationID":"2lngk95dt8","properties":{"formattedCitation":"{\\rtf \\super 25\\nosupersub{}}","plainCitation":"25"},"citationItems":[{"id":236,"uris":["http://zotero.org/users/1624234/items/G4H2JFB6"],"uri":["http://zotero.org/users/1624234/items/G4H2JFB6"],"itemData":{"id":236,"type":"article-journal","title":"Catalytic Deoxydehydration of Diols to Olefins by using a Bulky Cyclopentadiene-based Trioxorhenium Catalyst","container-title":"ChemSusChem","page":"1673–1680","volume":"6","issue":"9","source":"Wiley Online Library","abstract":"A bulky cyclopentadienyl (Cp)-based trioxorhenium compound was developed for the catalytic deoxydehydration of vicinal diols to olefins. The 1,2,4-tri(tert-butyl)cyclopentadienyl trioxorhenium (2) catalyst was synthesised in a two-step synthesis procedure. Dirhenium decacarbonyl was converted into 1,2,4-tri(tert-butyl)cyclopentadienyl tricarbonyl rhenium, followed by a biphasic oxidation with H2O2. These two new three-legged compounds with a ‘piano-stool’ configuration were fully characterised, including their single crystal X-ray structures. Deoxydehydration reaction conditions were optimised by using 2 mol % loading of 2 for the conversion of 1,2-octanediol into 1-octene. Different phosphine-based and other, more conventional, reductants were tested in combination with 2. Under optimised conditions, a variety of vicinal diols (aromatic and aliphatic, internal and terminal) were converted into olefins in good to excellent yields, and with minimal olefin isomerisation. A high turnover number of 1400 per Re was achieved for the deoxydehydration of 1,2-octanediol. Furthermore, the biomass-derived polyols (glycerol and erythritol) were converted into their corresponding olefinic products by 2 as the catalyst.","DOI":"10.1002/cssc.201300364","ISSN":"1864-564X","language":"en","author":[{"family":"Raju","given":"Suresh"},{"family":"Jastrzebski","given":"Johann T. B. H."},{"family":"Lutz","given":"Martin"},{"family":"Klein Gebbink","given":"Robertus J. M."}],"issued":{"date-parts":[["2013"]]}}}],"schema":"https://github.com/citation-style-language/schema/raw/master/csl-citation.json"} </w:instrText>
      </w:r>
      <w:r w:rsidRPr="00E47369">
        <w:rPr>
          <w:rFonts w:cstheme="minorHAnsi"/>
        </w:rPr>
        <w:fldChar w:fldCharType="separate"/>
      </w:r>
      <w:r w:rsidRPr="00E47369">
        <w:rPr>
          <w:rFonts w:cstheme="minorHAnsi"/>
          <w:sz w:val="22"/>
          <w:vertAlign w:val="superscript"/>
        </w:rPr>
        <w:t>25</w:t>
      </w:r>
      <w:r w:rsidRPr="00E47369">
        <w:rPr>
          <w:rFonts w:cstheme="minorHAnsi"/>
        </w:rPr>
        <w:fldChar w:fldCharType="end"/>
      </w:r>
      <w:r w:rsidRPr="00E47369">
        <w:rPr>
          <w:rFonts w:cstheme="minorHAnsi"/>
        </w:rPr>
        <w:t xml:space="preserve"> The DODH reactions with </w:t>
      </w:r>
      <w:r w:rsidRPr="00E47369">
        <w:rPr>
          <w:rFonts w:cstheme="minorHAnsi"/>
          <w:b/>
        </w:rPr>
        <w:t>5</w:t>
      </w:r>
      <w:r w:rsidRPr="00E47369">
        <w:rPr>
          <w:rFonts w:cstheme="minorHAnsi"/>
        </w:rPr>
        <w:t xml:space="preserve"> (0.05-2 mol%) are effective at 135-180</w:t>
      </w:r>
      <w:r w:rsidRPr="00E47369">
        <w:rPr>
          <w:rFonts w:cstheme="minorHAnsi"/>
          <w:vertAlign w:val="superscript"/>
        </w:rPr>
        <w:t>o</w:t>
      </w:r>
      <w:r w:rsidRPr="00E47369">
        <w:rPr>
          <w:rFonts w:cstheme="minorHAnsi"/>
        </w:rPr>
        <w:t>C (chlorobenzene), producing alkenes from acyclic glycols in generally good yields (80-95%), albeit with small amounts (2-8%) of isomerized olefins being detected. The high turnover number achieved at low catalyst loading (ca. 1600) indicates a more robust catalyst than the original Cp*ReO</w:t>
      </w:r>
      <w:r w:rsidRPr="00E47369">
        <w:rPr>
          <w:rFonts w:cstheme="minorHAnsi"/>
          <w:vertAlign w:val="subscript"/>
        </w:rPr>
        <w:t>3</w:t>
      </w:r>
      <w:r w:rsidRPr="00E47369">
        <w:rPr>
          <w:rFonts w:cstheme="minorHAnsi"/>
        </w:rPr>
        <w:t>. Cis-cyclic diols gave relatively poor yields (10-50%), perhaps a result of limited access to the sterically hindered Cp’-catalyst. DODH reactions with meso- and d,l-dihydrobenzoin were stereospecific, providing the cis- and trans-stilbenes, respectively, indicative of a syn-elimination process via a stereoselective alkene extrusion from a Re-glycolate intermediate. Glycerol was efficiently converted to allyl alcohol (91%) but the reaction with erythritol gave a mixture of butadiene and butene-diols in modest yield. Although reactions with alternative reductants (other phosphines, H</w:t>
      </w:r>
      <w:r w:rsidRPr="00E47369">
        <w:rPr>
          <w:rFonts w:cstheme="minorHAnsi"/>
          <w:vertAlign w:val="subscript"/>
        </w:rPr>
        <w:t>2</w:t>
      </w:r>
      <w:r w:rsidRPr="00E47369">
        <w:rPr>
          <w:rFonts w:cstheme="minorHAnsi"/>
        </w:rPr>
        <w:t>, sec-alcohols, Na</w:t>
      </w:r>
      <w:r w:rsidRPr="00E47369">
        <w:rPr>
          <w:rFonts w:cstheme="minorHAnsi"/>
          <w:vertAlign w:val="subscript"/>
        </w:rPr>
        <w:t>2</w:t>
      </w:r>
      <w:r w:rsidRPr="00E47369">
        <w:rPr>
          <w:rFonts w:cstheme="minorHAnsi"/>
        </w:rPr>
        <w:t>SO</w:t>
      </w:r>
      <w:r w:rsidRPr="00E47369">
        <w:rPr>
          <w:rFonts w:cstheme="minorHAnsi"/>
          <w:vertAlign w:val="subscript"/>
        </w:rPr>
        <w:t>3</w:t>
      </w:r>
      <w:r w:rsidRPr="00E47369">
        <w:rPr>
          <w:rFonts w:cstheme="minorHAnsi"/>
        </w:rPr>
        <w:t>) were generally much less efficient than with PPh</w:t>
      </w:r>
      <w:r w:rsidRPr="00E47369">
        <w:rPr>
          <w:rFonts w:cstheme="minorHAnsi"/>
          <w:vertAlign w:val="subscript"/>
        </w:rPr>
        <w:t>3</w:t>
      </w:r>
      <w:r w:rsidRPr="00E47369">
        <w:rPr>
          <w:rFonts w:cstheme="minorHAnsi"/>
        </w:rPr>
        <w:t xml:space="preserve">, with 3-octanol as solvent erythritol gave butadiene selectively in 67% yield. In a very recent </w:t>
      </w:r>
      <w:r w:rsidRPr="00E47369">
        <w:rPr>
          <w:rFonts w:cstheme="minorHAnsi"/>
          <w:color w:val="000000" w:themeColor="text1"/>
        </w:rPr>
        <w:t>report the Gebbink group provided a follow up mechanistic study of their Cp’ReO</w:t>
      </w:r>
      <w:r w:rsidRPr="00E47369">
        <w:rPr>
          <w:rFonts w:cstheme="minorHAnsi"/>
          <w:color w:val="000000" w:themeColor="text1"/>
          <w:vertAlign w:val="subscript"/>
        </w:rPr>
        <w:t>3</w:t>
      </w:r>
      <w:r w:rsidRPr="00E47369">
        <w:rPr>
          <w:rFonts w:cstheme="minorHAnsi"/>
          <w:color w:val="000000" w:themeColor="text1"/>
        </w:rPr>
        <w:t xml:space="preserve"> catalytic system</w:t>
      </w:r>
      <w:r w:rsidRPr="00E47369">
        <w:rPr>
          <w:rFonts w:cstheme="minorHAnsi"/>
          <w:color w:val="000000" w:themeColor="text1"/>
        </w:rPr>
        <w:fldChar w:fldCharType="begin"/>
      </w:r>
      <w:r w:rsidR="006D0CD6" w:rsidRPr="00E47369">
        <w:rPr>
          <w:rFonts w:cstheme="minorHAnsi"/>
          <w:color w:val="000000" w:themeColor="text1"/>
        </w:rPr>
        <w:instrText xml:space="preserve"> ADDIN ZOTERO_ITEM CSL_CITATION {"citationID":"stjdk930o","properties":{"formattedCitation":"{\\rtf \\super 26\\nosupersub{}}","plainCitation":"26"},"citationItems":[{"id":1547,"uris":["http://zotero.org/users/1624234/items/UKF52XT6"],"uri":["http://zotero.org/users/1624234/items/UKF52XT6"],"itemData":{"id":1547,"type":"article-journal","title":"Spectroscopic Characterization of a Monomeric, Cyclopentadienyl-Based Rhenium(V) Dioxo Complex","container-title":"Inorganic Chemistry","page":"11031-11036","volume":"54","issue":"22","source":"ACS Publications","abstract":"Mononuclear, coordinatively unsaturated rhenium(V) dioxo species of the type XReO2 (X = Me, substituted cyclopentadienyl) have long been postulated as intermediates in rhenium-catalyzed deoxydehydration, but their characterization was precluded because of aggregation into dimeric or oligomeric structures. Using the bulky 1,2,4-tri-tert-butylcyclopentadienyl (Cpttt) ligand, the rhenium(V) dioxo species (Cpttt)ReO2 could now be observed, in equilibrium with the dimeric form [(Cpttt)Re(O)?-O]2, and characterized by NMR, IR, and UV?vis spectroscopies, as well as electrospray ionization mass spectrometry. (Cpttt)ReO2 is shown to be the primary product of reduction of the rhenium(VII) complex (Cpttt)ReO3 with PPh3 and demonstrated to react with ethylene glycol significantly faster than its dimeric counterpart, supporting its role as an intermediate in rhenium-catalyzed deoxydehydration reactions.","DOI":"10.1021/acs.inorgchem.5b02366","ISSN":"0020-1669","journalAbbreviation":"Inorg. Chem.","author":[{"family":"Raju","given":"Suresh"},{"family":"Jastrzebski","given":"Johann T. B. H."},{"family":"Lutz","given":"Martin"},{"family":"Witteman","given":"Léon"},{"family":"Dethlefsen","given":"Johannes R."},{"family":"Fristrup","given":"Peter"},{"family":"Moret","given":"Marc-Etienne"},{"family":"Gebbink","given":"Robertus J. M. Klein"}],"issued":{"date-parts":[["2015",11,16]]}}}],"schema":"https://github.com/citation-style-language/schema/raw/master/csl-citation.json"} </w:instrText>
      </w:r>
      <w:r w:rsidRPr="00E47369">
        <w:rPr>
          <w:rFonts w:cstheme="minorHAnsi"/>
          <w:color w:val="000000" w:themeColor="text1"/>
        </w:rPr>
        <w:fldChar w:fldCharType="separate"/>
      </w:r>
      <w:r w:rsidRPr="00E47369">
        <w:rPr>
          <w:rFonts w:cstheme="minorHAnsi"/>
          <w:sz w:val="22"/>
          <w:vertAlign w:val="superscript"/>
        </w:rPr>
        <w:t>26</w:t>
      </w:r>
      <w:r w:rsidRPr="00E47369">
        <w:rPr>
          <w:rFonts w:cstheme="minorHAnsi"/>
          <w:color w:val="000000" w:themeColor="text1"/>
        </w:rPr>
        <w:fldChar w:fldCharType="end"/>
      </w:r>
      <w:r w:rsidRPr="00E47369">
        <w:rPr>
          <w:rFonts w:cstheme="minorHAnsi"/>
          <w:color w:val="000000" w:themeColor="text1"/>
        </w:rPr>
        <w:t xml:space="preserve">. With a combination of experimental results, spectroscopic data and DFT </w:t>
      </w:r>
      <w:r w:rsidR="00F029F7">
        <w:rPr>
          <w:rFonts w:cstheme="minorHAnsi"/>
          <w:color w:val="000000" w:themeColor="text1"/>
        </w:rPr>
        <w:t>computational study</w:t>
      </w:r>
      <w:r w:rsidRPr="00E47369">
        <w:rPr>
          <w:rFonts w:cstheme="minorHAnsi"/>
          <w:color w:val="000000" w:themeColor="text1"/>
        </w:rPr>
        <w:t xml:space="preserve"> they demonstrated the effect of the bulky 1,2,4-tri-t-butyl-cyclopentadienyl ligand to prevent the formation of polynuclear Re</w:t>
      </w:r>
      <w:r w:rsidRPr="00E47369">
        <w:rPr>
          <w:rFonts w:cstheme="minorHAnsi"/>
          <w:color w:val="000000" w:themeColor="text1"/>
          <w:vertAlign w:val="superscript"/>
        </w:rPr>
        <w:t>v</w:t>
      </w:r>
      <w:r w:rsidRPr="00E47369">
        <w:rPr>
          <w:rFonts w:cstheme="minorHAnsi"/>
          <w:color w:val="000000" w:themeColor="text1"/>
        </w:rPr>
        <w:t xml:space="preserve"> complexes into which the catalyst is thought to decompose (</w:t>
      </w:r>
      <w:r w:rsidR="00915118" w:rsidRPr="00E47369">
        <w:rPr>
          <w:rFonts w:cstheme="minorHAnsi"/>
          <w:color w:val="000000" w:themeColor="text1"/>
        </w:rPr>
        <w:fldChar w:fldCharType="begin"/>
      </w:r>
      <w:r w:rsidR="00915118" w:rsidRPr="00E47369">
        <w:rPr>
          <w:rFonts w:cstheme="minorHAnsi"/>
          <w:color w:val="000000" w:themeColor="text1"/>
        </w:rPr>
        <w:instrText xml:space="preserve"> REF _Ref449707232 \h </w:instrText>
      </w:r>
      <w:r w:rsidR="003E463F" w:rsidRPr="00E47369">
        <w:rPr>
          <w:rFonts w:cstheme="minorHAnsi"/>
          <w:color w:val="000000" w:themeColor="text1"/>
        </w:rPr>
        <w:instrText xml:space="preserve"> \* MERGEFORMAT </w:instrText>
      </w:r>
      <w:r w:rsidR="00915118" w:rsidRPr="00E47369">
        <w:rPr>
          <w:rFonts w:cstheme="minorHAnsi"/>
          <w:color w:val="000000" w:themeColor="text1"/>
        </w:rPr>
      </w:r>
      <w:r w:rsidR="00915118" w:rsidRPr="00E47369">
        <w:rPr>
          <w:rFonts w:cstheme="minorHAnsi"/>
          <w:color w:val="000000" w:themeColor="text1"/>
        </w:rPr>
        <w:fldChar w:fldCharType="separate"/>
      </w:r>
      <w:r w:rsidR="000A0E3D" w:rsidRPr="000A0E3D">
        <w:rPr>
          <w:rFonts w:cstheme="minorHAnsi"/>
        </w:rPr>
        <w:t>Figure I.3.a.5</w:t>
      </w:r>
      <w:r w:rsidR="00915118" w:rsidRPr="00E47369">
        <w:rPr>
          <w:rFonts w:cstheme="minorHAnsi"/>
          <w:color w:val="000000" w:themeColor="text1"/>
        </w:rPr>
        <w:fldChar w:fldCharType="end"/>
      </w:r>
      <w:r w:rsidRPr="00E47369">
        <w:rPr>
          <w:rFonts w:cstheme="minorHAnsi"/>
          <w:color w:val="000000" w:themeColor="text1"/>
        </w:rPr>
        <w:t>).</w:t>
      </w:r>
    </w:p>
    <w:p w14:paraId="60E727B8" w14:textId="77777777" w:rsidR="00536AE9" w:rsidRPr="00E47369" w:rsidRDefault="00536AE9" w:rsidP="003E463F">
      <w:pPr>
        <w:jc w:val="both"/>
        <w:rPr>
          <w:rFonts w:cstheme="minorHAnsi"/>
        </w:rPr>
      </w:pPr>
    </w:p>
    <w:p w14:paraId="1EEBAEC3" w14:textId="77777777" w:rsidR="00915118" w:rsidRPr="00E47369" w:rsidRDefault="00216D29" w:rsidP="003E463F">
      <w:pPr>
        <w:keepNext/>
        <w:jc w:val="center"/>
        <w:rPr>
          <w:rFonts w:cstheme="minorHAnsi"/>
        </w:rPr>
      </w:pPr>
      <w:r w:rsidRPr="00E47369">
        <w:rPr>
          <w:rFonts w:cstheme="minorHAnsi"/>
        </w:rPr>
        <w:object w:dxaOrig="5729" w:dyaOrig="1884" w14:anchorId="5689A159">
          <v:shape id="_x0000_i1031" type="#_x0000_t75" style="width:4in;height:92.55pt" o:ole="">
            <v:imagedata r:id="rId22" o:title=""/>
          </v:shape>
          <o:OLEObject Type="Embed" ProgID="ChemDraw.Document.6.0" ShapeID="_x0000_i1031" DrawAspect="Content" ObjectID="_1532784885" r:id="rId23"/>
        </w:object>
      </w:r>
    </w:p>
    <w:p w14:paraId="529C3E6A" w14:textId="77777777" w:rsidR="00216D29" w:rsidRPr="00323B06" w:rsidRDefault="007D369E" w:rsidP="00323B06">
      <w:pPr>
        <w:pStyle w:val="Caption"/>
      </w:pPr>
      <w:bookmarkStart w:id="28" w:name="_Ref449707178"/>
      <w:bookmarkStart w:id="29" w:name="_Toc457320583"/>
      <w:bookmarkStart w:id="30" w:name="_Toc458938358"/>
      <w:r w:rsidRPr="00323B06">
        <w:t>Figure I.3.</w:t>
      </w:r>
      <w:r w:rsidR="00443010">
        <w:fldChar w:fldCharType="begin"/>
      </w:r>
      <w:r w:rsidR="00443010">
        <w:instrText xml:space="preserve"> STYLEREF 3 \s </w:instrText>
      </w:r>
      <w:r w:rsidR="00443010">
        <w:fldChar w:fldCharType="separate"/>
      </w:r>
      <w:r w:rsidR="000A0E3D">
        <w:rPr>
          <w:noProof/>
        </w:rPr>
        <w:t>a</w:t>
      </w:r>
      <w:r w:rsidR="00443010">
        <w:rPr>
          <w:noProof/>
        </w:rPr>
        <w:fldChar w:fldCharType="end"/>
      </w:r>
      <w:r w:rsidRPr="00323B06">
        <w:t>.</w:t>
      </w:r>
      <w:r w:rsidR="00443010">
        <w:fldChar w:fldCharType="begin"/>
      </w:r>
      <w:r w:rsidR="00443010">
        <w:instrText xml:space="preserve"> SEQ Figure_I._3. \* ARABIC \s 3 </w:instrText>
      </w:r>
      <w:r w:rsidR="00443010">
        <w:fldChar w:fldCharType="separate"/>
      </w:r>
      <w:r w:rsidR="000A0E3D">
        <w:rPr>
          <w:noProof/>
        </w:rPr>
        <w:t>4</w:t>
      </w:r>
      <w:r w:rsidR="00443010">
        <w:rPr>
          <w:noProof/>
        </w:rPr>
        <w:fldChar w:fldCharType="end"/>
      </w:r>
      <w:bookmarkEnd w:id="28"/>
      <w:r w:rsidR="00915118" w:rsidRPr="00323B06">
        <w:t xml:space="preserve"> </w:t>
      </w:r>
      <w:r w:rsidR="00216D29" w:rsidRPr="00323B06">
        <w:t>Stereoselectivity of DODH reaction system</w:t>
      </w:r>
      <w:bookmarkEnd w:id="29"/>
      <w:bookmarkEnd w:id="30"/>
    </w:p>
    <w:p w14:paraId="4F133E9A" w14:textId="77777777" w:rsidR="00536AE9" w:rsidRPr="00E47369" w:rsidRDefault="00536AE9" w:rsidP="00536AE9">
      <w:pPr>
        <w:rPr>
          <w:rFonts w:cstheme="minorHAnsi"/>
        </w:rPr>
      </w:pPr>
    </w:p>
    <w:p w14:paraId="30556879" w14:textId="77777777" w:rsidR="00915118" w:rsidRPr="00E47369" w:rsidRDefault="00374955" w:rsidP="003E463F">
      <w:pPr>
        <w:keepNext/>
        <w:jc w:val="center"/>
        <w:rPr>
          <w:rFonts w:cstheme="minorHAnsi"/>
        </w:rPr>
      </w:pPr>
      <w:r w:rsidRPr="00E47369">
        <w:rPr>
          <w:rFonts w:cstheme="minorHAnsi"/>
        </w:rPr>
        <w:object w:dxaOrig="10630" w:dyaOrig="1949" w14:anchorId="78FFAA2C">
          <v:shape id="_x0000_i1032" type="#_x0000_t75" style="width:401.15pt;height:1in" o:ole="">
            <v:imagedata r:id="rId24" o:title=""/>
          </v:shape>
          <o:OLEObject Type="Embed" ProgID="ChemDraw.Document.6.0" ShapeID="_x0000_i1032" DrawAspect="Content" ObjectID="_1532784886" r:id="rId25"/>
        </w:object>
      </w:r>
    </w:p>
    <w:p w14:paraId="5795AB38" w14:textId="77777777" w:rsidR="00216D29" w:rsidRPr="00323B06" w:rsidRDefault="007D369E" w:rsidP="00323B06">
      <w:pPr>
        <w:pStyle w:val="Caption"/>
      </w:pPr>
      <w:bookmarkStart w:id="31" w:name="_Ref449707232"/>
      <w:bookmarkStart w:id="32" w:name="_Toc457320584"/>
      <w:bookmarkStart w:id="33" w:name="_Toc458938359"/>
      <w:r w:rsidRPr="00323B06">
        <w:t>Figure I.3.</w:t>
      </w:r>
      <w:r w:rsidR="00443010">
        <w:fldChar w:fldCharType="begin"/>
      </w:r>
      <w:r w:rsidR="00443010">
        <w:instrText xml:space="preserve"> STYLEREF 3 \s </w:instrText>
      </w:r>
      <w:r w:rsidR="00443010">
        <w:fldChar w:fldCharType="separate"/>
      </w:r>
      <w:r w:rsidR="000A0E3D">
        <w:rPr>
          <w:noProof/>
        </w:rPr>
        <w:t>a</w:t>
      </w:r>
      <w:r w:rsidR="00443010">
        <w:rPr>
          <w:noProof/>
        </w:rPr>
        <w:fldChar w:fldCharType="end"/>
      </w:r>
      <w:r w:rsidRPr="00323B06">
        <w:t>.</w:t>
      </w:r>
      <w:r w:rsidR="00443010">
        <w:fldChar w:fldCharType="begin"/>
      </w:r>
      <w:r w:rsidR="00443010">
        <w:instrText xml:space="preserve"> SEQ Figure_I._3. \* ARABIC \s 3 </w:instrText>
      </w:r>
      <w:r w:rsidR="00443010">
        <w:fldChar w:fldCharType="separate"/>
      </w:r>
      <w:r w:rsidR="000A0E3D">
        <w:rPr>
          <w:noProof/>
        </w:rPr>
        <w:t>5</w:t>
      </w:r>
      <w:r w:rsidR="00443010">
        <w:rPr>
          <w:noProof/>
        </w:rPr>
        <w:fldChar w:fldCharType="end"/>
      </w:r>
      <w:bookmarkEnd w:id="31"/>
      <w:r w:rsidR="00915118" w:rsidRPr="00323B06">
        <w:t xml:space="preserve"> </w:t>
      </w:r>
      <w:r w:rsidR="00216D29" w:rsidRPr="00323B06">
        <w:t>Cp’ReO</w:t>
      </w:r>
      <w:r w:rsidR="00216D29" w:rsidRPr="00323B06">
        <w:rPr>
          <w:vertAlign w:val="subscript"/>
        </w:rPr>
        <w:t>3</w:t>
      </w:r>
      <w:r w:rsidR="00216D29" w:rsidRPr="00323B06">
        <w:t xml:space="preserve"> reduction pathway</w:t>
      </w:r>
      <w:bookmarkEnd w:id="32"/>
      <w:bookmarkEnd w:id="33"/>
    </w:p>
    <w:p w14:paraId="23D66534" w14:textId="77777777" w:rsidR="00536AE9" w:rsidRPr="00E47369" w:rsidRDefault="00536AE9" w:rsidP="00536AE9">
      <w:pPr>
        <w:rPr>
          <w:rFonts w:cstheme="minorHAnsi"/>
        </w:rPr>
      </w:pPr>
    </w:p>
    <w:p w14:paraId="72F537E8" w14:textId="77777777" w:rsidR="00216D29" w:rsidRDefault="00216D29" w:rsidP="006042D0">
      <w:pPr>
        <w:ind w:firstLine="360"/>
        <w:jc w:val="both"/>
        <w:rPr>
          <w:rFonts w:cstheme="minorHAnsi"/>
        </w:rPr>
      </w:pPr>
      <w:r w:rsidRPr="00E47369">
        <w:rPr>
          <w:rFonts w:cstheme="minorHAnsi"/>
        </w:rPr>
        <w:t>Gable and co-workers have made valuable contributions to elucidating the mechanism of oxo-Re-promoted DODH reactions, particularly regarding features of the alkene extrusion from LRe</w:t>
      </w:r>
      <w:r w:rsidRPr="00E47369">
        <w:rPr>
          <w:rFonts w:cstheme="minorHAnsi"/>
          <w:vertAlign w:val="superscript"/>
        </w:rPr>
        <w:t>v</w:t>
      </w:r>
      <w:r w:rsidRPr="00E47369">
        <w:rPr>
          <w:rFonts w:cstheme="minorHAnsi"/>
        </w:rPr>
        <w:t>(O)-glycolate species. It is interesting from a historical perspective that their work on the Cp*Re</w:t>
      </w:r>
      <w:r w:rsidRPr="00E47369">
        <w:rPr>
          <w:rFonts w:cstheme="minorHAnsi"/>
          <w:vertAlign w:val="superscript"/>
        </w:rPr>
        <w:t>v</w:t>
      </w:r>
      <w:r w:rsidRPr="00E47369">
        <w:rPr>
          <w:rFonts w:cstheme="minorHAnsi"/>
        </w:rPr>
        <w:t>(O)(glycolate) (</w:t>
      </w:r>
      <w:r w:rsidRPr="00E47369">
        <w:rPr>
          <w:rFonts w:cstheme="minorHAnsi"/>
          <w:b/>
        </w:rPr>
        <w:t>6a</w:t>
      </w:r>
      <w:r w:rsidRPr="00E47369">
        <w:rPr>
          <w:rFonts w:cstheme="minorHAnsi"/>
        </w:rPr>
        <w:t xml:space="preserve">) reactions actually preceded the report by Andrews and Cook of the Re-catalyzed DODH reaction. Producing </w:t>
      </w:r>
      <w:r w:rsidRPr="00E47369">
        <w:rPr>
          <w:rFonts w:cstheme="minorHAnsi"/>
          <w:b/>
        </w:rPr>
        <w:t>6a</w:t>
      </w:r>
      <w:r w:rsidRPr="00E47369">
        <w:rPr>
          <w:rFonts w:cstheme="minorHAnsi"/>
        </w:rPr>
        <w:t xml:space="preserve"> by glycol condensation/PPh</w:t>
      </w:r>
      <w:r w:rsidRPr="00686DC2">
        <w:rPr>
          <w:rFonts w:cstheme="minorHAnsi"/>
          <w:vertAlign w:val="subscript"/>
        </w:rPr>
        <w:t>3</w:t>
      </w:r>
      <w:r w:rsidRPr="00E47369">
        <w:rPr>
          <w:rFonts w:cstheme="minorHAnsi"/>
        </w:rPr>
        <w:t>-reduction of Cp*ReO</w:t>
      </w:r>
      <w:r w:rsidRPr="00E47369">
        <w:rPr>
          <w:rFonts w:cstheme="minorHAnsi"/>
          <w:vertAlign w:val="subscript"/>
        </w:rPr>
        <w:t xml:space="preserve">3 </w:t>
      </w:r>
      <w:r w:rsidRPr="00E47369">
        <w:rPr>
          <w:rFonts w:cstheme="minorHAnsi"/>
        </w:rPr>
        <w:t>(</w:t>
      </w:r>
      <w:r w:rsidR="00915118" w:rsidRPr="00E47369">
        <w:rPr>
          <w:rFonts w:cstheme="minorHAnsi"/>
        </w:rPr>
        <w:fldChar w:fldCharType="begin"/>
      </w:r>
      <w:r w:rsidR="00915118" w:rsidRPr="00E47369">
        <w:rPr>
          <w:rFonts w:cstheme="minorHAnsi"/>
        </w:rPr>
        <w:instrText xml:space="preserve"> REF _Ref449707292 \h </w:instrText>
      </w:r>
      <w:r w:rsidR="003E463F" w:rsidRPr="00E47369">
        <w:rPr>
          <w:rFonts w:cstheme="minorHAnsi"/>
        </w:rPr>
        <w:instrText xml:space="preserve"> \* MERGEFORMAT </w:instrText>
      </w:r>
      <w:r w:rsidR="00915118" w:rsidRPr="00E47369">
        <w:rPr>
          <w:rFonts w:cstheme="minorHAnsi"/>
        </w:rPr>
      </w:r>
      <w:r w:rsidR="00915118" w:rsidRPr="00E47369">
        <w:rPr>
          <w:rFonts w:cstheme="minorHAnsi"/>
        </w:rPr>
        <w:fldChar w:fldCharType="separate"/>
      </w:r>
      <w:r w:rsidR="000A0E3D" w:rsidRPr="000A0E3D">
        <w:rPr>
          <w:rFonts w:cstheme="minorHAnsi"/>
        </w:rPr>
        <w:t>Figure I.3.a.6</w:t>
      </w:r>
      <w:r w:rsidR="00915118" w:rsidRPr="00E47369">
        <w:rPr>
          <w:rFonts w:cstheme="minorHAnsi"/>
        </w:rPr>
        <w:fldChar w:fldCharType="end"/>
      </w:r>
      <w:r w:rsidRPr="00E47369">
        <w:rPr>
          <w:rFonts w:cstheme="minorHAnsi"/>
        </w:rPr>
        <w:t>), the Gable group established that: 1) the addition/extrusion equilibrium is dependent on the strain present in the alkene; 2) the rate dependence for alkene extrusion is first order in [</w:t>
      </w:r>
      <w:r w:rsidRPr="00E47369">
        <w:rPr>
          <w:rFonts w:cstheme="minorHAnsi"/>
          <w:b/>
        </w:rPr>
        <w:t>6a</w:t>
      </w:r>
      <w:r w:rsidRPr="00E47369">
        <w:rPr>
          <w:rFonts w:cstheme="minorHAnsi"/>
        </w:rPr>
        <w:t xml:space="preserve">] with a small </w:t>
      </w:r>
      <w:r w:rsidRPr="00E47369">
        <w:rPr>
          <w:rFonts w:cstheme="minorHAnsi"/>
          <w:color w:val="000000" w:themeColor="text1"/>
        </w:rPr>
        <w:t>ΔS</w:t>
      </w:r>
      <w:r w:rsidRPr="00E47369">
        <w:rPr>
          <w:rFonts w:cstheme="minorHAnsi"/>
          <w:color w:val="000000" w:themeColor="text1"/>
          <w:vertAlign w:val="subscript"/>
        </w:rPr>
        <w:t>act</w:t>
      </w:r>
      <w:r w:rsidRPr="00E47369">
        <w:rPr>
          <w:rFonts w:cstheme="minorHAnsi"/>
          <w:color w:val="000000" w:themeColor="text1"/>
        </w:rPr>
        <w:t xml:space="preserve"> (+ 5 e.u.); 3</w:t>
      </w:r>
      <w:r w:rsidRPr="00E47369">
        <w:rPr>
          <w:rFonts w:cstheme="minorHAnsi"/>
        </w:rPr>
        <w:t>) there is a significant normal secondary kinetic isotope effect (1.3) with C-H(D)-labeled glycols; and 4) the reaction rate for a series of Re-glycolates derived from 4-Z-ArCH(OH)CH</w:t>
      </w:r>
      <w:r w:rsidRPr="00E47369">
        <w:rPr>
          <w:rFonts w:cstheme="minorHAnsi"/>
          <w:vertAlign w:val="subscript"/>
        </w:rPr>
        <w:t>2</w:t>
      </w:r>
      <w:r w:rsidRPr="00E47369">
        <w:rPr>
          <w:rFonts w:cstheme="minorHAnsi"/>
        </w:rPr>
        <w:t>OH correlated with σ</w:t>
      </w:r>
      <w:r w:rsidRPr="00E47369">
        <w:rPr>
          <w:rFonts w:cstheme="minorHAnsi"/>
          <w:vertAlign w:val="superscript"/>
        </w:rPr>
        <w:t>-</w:t>
      </w:r>
      <w:r w:rsidRPr="00E47369">
        <w:rPr>
          <w:rFonts w:cstheme="minorHAnsi"/>
        </w:rPr>
        <w:t xml:space="preserve"> and gave a reaction parameter ρ= 0.42.</w:t>
      </w:r>
      <w:r w:rsidRPr="00E47369">
        <w:rPr>
          <w:rFonts w:cstheme="minorHAnsi"/>
        </w:rPr>
        <w:fldChar w:fldCharType="begin"/>
      </w:r>
      <w:r w:rsidR="006D0CD6" w:rsidRPr="00E47369">
        <w:rPr>
          <w:rFonts w:cstheme="minorHAnsi"/>
        </w:rPr>
        <w:instrText xml:space="preserve"> ADDIN ZOTERO_ITEM CSL_CITATION {"citationID":"13isg2mg9f","properties":{"formattedCitation":"{\\rtf \\super 27\\uc0\\u8211{}29\\nosupersub{}}","plainCitation":"27–29"},"citationItems":[{"id":387,"uris":["http://zotero.org/users/1624234/items/S346TGSM"],"uri":["http://zotero.org/users/1624234/items/S346TGSM"],"itemData":{"id":387,"type":"article-journal","title":"Extrusion of Alkenes from Rhenium(V) Diolates: Energetics and Mechanism","container-title":"Journal of the American Chemical Society","page":"833-839","volume":"116","issue":"3","source":"ACS Publications","DOI":"10.1021/ja00082a002","ISSN":"0002-7863","shortTitle":"Extrusion of Alkenes from Rhenium(V) Diolates","journalAbbreviation":"J. Am. Chem. Soc.","author":[{"family":"Gable","given":"Kevin P."},{"family":"Phan","given":"Thuy N."}],"issued":{"date-parts":[["1994"]],"season":"février"}}},{"id":385,"uris":["http://zotero.org/users/1624234/items/RUA22STT"],"uri":["http://zotero.org/users/1624234/items/RUA22STT"],"itemData":{"id":385,"type":"article-journal","title":"Extrusion of Alkenes from Rhenium(V) Diolates: The Effect of Substitution and Conformation","container-title":"Journal of the American Chemical Society","page":"955-962","volume":"117","issue":"3","source":"ACS Publications","DOI":"10.1021/ja00108a012","ISSN":"0002-7863","shortTitle":"Extrusion of Alkenes from Rhenium(V) Diolates","journalAbbreviation":"J. Am. Chem. Soc.","author":[{"family":"Gable","given":"Kevin P."},{"family":"Juliette","given":"Jerrick J. J."}],"issued":{"date-parts":[["1995",1,1]]}}},{"id":415,"uris":["http://zotero.org/users/1624234/items/TTD33EH4"],"uri":["http://zotero.org/users/1624234/items/TTD33EH4"],"itemData":{"id":415,"type":"article-journal","title":"Hammett Studies on Alkene Extrusion from Rhenium(V) Diolates and an MO Description of Metal Alkoxide−Alkyl Metal Oxo Interconversion","container-title":"Journal of the American Chemical Society","page":"2625-2633","volume":"118","issue":"11","source":"ACS Publications","abstract":"Rates of cycloreversion of phenyl-substituted diolates of the type Cp*Re(O)(diolate), where diolate = phenylethane-1,2-diolate, exhibited a linear relationship with Hammett σ- constants, with ? = 0.42. This suggests a slight buildup of electron density but little charge development in the transition state. The better fit with σ- constants suggests a resonance interaction between the phenyl ring and the breaking C?O bond. On the other hand, similar 1,2-diphenylethane-1,2-diolates showed curved Hammett behavior, with acceleration by electron-donating and electron-withdrawing groups. Such behavior offers more evidence for a nonsymmetric transition state and stepwise cleavage of the C?O bonds. Molecular orbital calculations suggest a rationale for bonding changes in these systems.","DOI":"10.1021/ja952537w","ISSN":"0002-7863","journalAbbreviation":"J. Am. Chem. Soc.","author":[{"family":"Gable","given":"Kevin P."},{"family":"Juliette","given":"Jerrick J. J."}],"issued":{"date-parts":[["1996",1,1]]}}}],"schema":"https://github.com/citation-style-language/schema/raw/master/csl-citation.json"} </w:instrText>
      </w:r>
      <w:r w:rsidRPr="00E47369">
        <w:rPr>
          <w:rFonts w:cstheme="minorHAnsi"/>
        </w:rPr>
        <w:fldChar w:fldCharType="separate"/>
      </w:r>
      <w:r w:rsidRPr="00E47369">
        <w:rPr>
          <w:rFonts w:cstheme="minorHAnsi"/>
          <w:sz w:val="22"/>
          <w:vertAlign w:val="superscript"/>
        </w:rPr>
        <w:t>27–29</w:t>
      </w:r>
      <w:r w:rsidRPr="00E47369">
        <w:rPr>
          <w:rFonts w:cstheme="minorHAnsi"/>
        </w:rPr>
        <w:fldChar w:fldCharType="end"/>
      </w:r>
      <w:r w:rsidRPr="00E47369">
        <w:rPr>
          <w:rFonts w:cstheme="minorHAnsi"/>
        </w:rPr>
        <w:t xml:space="preserve"> When taken together with extended Huckel MO calculations, these results were interpreted in favor of an early (reactant-like), slightly polar transition state with asynchronous character with respect to the degree of C-O bond-breaking, favoring rate-limiting formation of a metallaoxetane intermediate (</w:t>
      </w:r>
      <w:r w:rsidRPr="00E47369">
        <w:rPr>
          <w:rFonts w:cstheme="minorHAnsi"/>
          <w:b/>
        </w:rPr>
        <w:t>7</w:t>
      </w:r>
      <w:r w:rsidRPr="00E47369">
        <w:rPr>
          <w:rFonts w:cstheme="minorHAnsi"/>
        </w:rPr>
        <w:t>) over a concerted [3+2] transition state (</w:t>
      </w:r>
      <w:r w:rsidRPr="00E47369">
        <w:rPr>
          <w:rFonts w:cstheme="minorHAnsi"/>
          <w:b/>
        </w:rPr>
        <w:t>8</w:t>
      </w:r>
      <w:r w:rsidRPr="00E47369">
        <w:rPr>
          <w:rFonts w:cstheme="minorHAnsi"/>
        </w:rPr>
        <w:t>).</w:t>
      </w:r>
    </w:p>
    <w:p w14:paraId="446EAC14" w14:textId="77777777" w:rsidR="00EB795B" w:rsidRPr="00E47369" w:rsidRDefault="00EB795B" w:rsidP="006042D0">
      <w:pPr>
        <w:ind w:firstLine="360"/>
        <w:jc w:val="both"/>
        <w:rPr>
          <w:rFonts w:cstheme="minorHAnsi"/>
        </w:rPr>
      </w:pPr>
    </w:p>
    <w:p w14:paraId="64CC4B36" w14:textId="77777777" w:rsidR="00915118" w:rsidRPr="00E47369" w:rsidRDefault="00216D29" w:rsidP="003E463F">
      <w:pPr>
        <w:keepNext/>
        <w:jc w:val="center"/>
        <w:rPr>
          <w:rFonts w:cstheme="minorHAnsi"/>
        </w:rPr>
      </w:pPr>
      <w:r w:rsidRPr="00E47369">
        <w:rPr>
          <w:rFonts w:cstheme="minorHAnsi"/>
        </w:rPr>
        <w:object w:dxaOrig="6026" w:dyaOrig="3389" w14:anchorId="033047D5">
          <v:shape id="_x0000_i1033" type="#_x0000_t75" style="width:303.05pt;height:169.3pt" o:ole="">
            <v:imagedata r:id="rId26" o:title=""/>
          </v:shape>
          <o:OLEObject Type="Embed" ProgID="ChemDraw.Document.6.0" ShapeID="_x0000_i1033" DrawAspect="Content" ObjectID="_1532784887" r:id="rId27"/>
        </w:object>
      </w:r>
    </w:p>
    <w:p w14:paraId="0C6E4F8E" w14:textId="77777777" w:rsidR="00216D29" w:rsidRPr="00323B06" w:rsidRDefault="007D369E" w:rsidP="00323B06">
      <w:pPr>
        <w:pStyle w:val="Caption"/>
      </w:pPr>
      <w:bookmarkStart w:id="34" w:name="_Ref449707292"/>
      <w:bookmarkStart w:id="35" w:name="_Toc457320585"/>
      <w:bookmarkStart w:id="36" w:name="_Toc458938360"/>
      <w:r w:rsidRPr="00323B06">
        <w:t>Figure I.3.</w:t>
      </w:r>
      <w:r w:rsidR="00443010">
        <w:fldChar w:fldCharType="begin"/>
      </w:r>
      <w:r w:rsidR="00443010">
        <w:instrText xml:space="preserve"> STYLEREF 3 \s </w:instrText>
      </w:r>
      <w:r w:rsidR="00443010">
        <w:fldChar w:fldCharType="separate"/>
      </w:r>
      <w:r w:rsidR="000A0E3D">
        <w:rPr>
          <w:noProof/>
        </w:rPr>
        <w:t>a</w:t>
      </w:r>
      <w:r w:rsidR="00443010">
        <w:rPr>
          <w:noProof/>
        </w:rPr>
        <w:fldChar w:fldCharType="end"/>
      </w:r>
      <w:r w:rsidRPr="00323B06">
        <w:t>.</w:t>
      </w:r>
      <w:r w:rsidR="00443010">
        <w:fldChar w:fldCharType="begin"/>
      </w:r>
      <w:r w:rsidR="00443010">
        <w:instrText xml:space="preserve"> SEQ Figure_I._3. \* ARABIC \s 3 </w:instrText>
      </w:r>
      <w:r w:rsidR="00443010">
        <w:fldChar w:fldCharType="separate"/>
      </w:r>
      <w:r w:rsidR="000A0E3D">
        <w:rPr>
          <w:noProof/>
        </w:rPr>
        <w:t>6</w:t>
      </w:r>
      <w:r w:rsidR="00443010">
        <w:rPr>
          <w:noProof/>
        </w:rPr>
        <w:fldChar w:fldCharType="end"/>
      </w:r>
      <w:bookmarkEnd w:id="34"/>
      <w:r w:rsidR="00915118" w:rsidRPr="00323B06">
        <w:t xml:space="preserve"> </w:t>
      </w:r>
      <w:r w:rsidR="00216D29" w:rsidRPr="00323B06">
        <w:t>Mechanistic probes of alkene extrusion from LReO(glycolate)</w:t>
      </w:r>
      <w:bookmarkEnd w:id="35"/>
      <w:bookmarkEnd w:id="36"/>
    </w:p>
    <w:p w14:paraId="7EEEB481" w14:textId="77777777" w:rsidR="00536AE9" w:rsidRPr="00E47369" w:rsidRDefault="00536AE9" w:rsidP="00536AE9">
      <w:pPr>
        <w:rPr>
          <w:rFonts w:cstheme="minorHAnsi"/>
        </w:rPr>
      </w:pPr>
    </w:p>
    <w:p w14:paraId="268FA25D" w14:textId="77777777" w:rsidR="00216D29" w:rsidRPr="00E47369" w:rsidRDefault="00216D29" w:rsidP="006042D0">
      <w:pPr>
        <w:ind w:firstLine="360"/>
        <w:jc w:val="both"/>
        <w:rPr>
          <w:rFonts w:cstheme="minorHAnsi"/>
        </w:rPr>
      </w:pPr>
      <w:r w:rsidRPr="00E47369">
        <w:rPr>
          <w:rFonts w:cstheme="minorHAnsi"/>
        </w:rPr>
        <w:t xml:space="preserve">Subsequently, the Gable group investigated the alkene extrusion process from (tris-pyrazolylborate)Re(O)(glycolate) derivatives </w:t>
      </w:r>
      <w:r w:rsidRPr="00E47369">
        <w:rPr>
          <w:rFonts w:cstheme="minorHAnsi"/>
          <w:b/>
        </w:rPr>
        <w:t>6b</w:t>
      </w:r>
      <w:r w:rsidRPr="00E47369">
        <w:rPr>
          <w:rFonts w:cstheme="minorHAnsi"/>
        </w:rPr>
        <w:t xml:space="preserve">. The probes and findings from these studies were generally quite similar to those </w:t>
      </w:r>
      <w:r w:rsidRPr="00E47369">
        <w:rPr>
          <w:rFonts w:cstheme="minorHAnsi"/>
          <w:color w:val="000000" w:themeColor="text1"/>
        </w:rPr>
        <w:t>from their investigation of the Cp*Re-derivatives. The Tpb-derivatives react with a slightly higher ΔH</w:t>
      </w:r>
      <w:r w:rsidRPr="00E47369">
        <w:rPr>
          <w:rFonts w:cstheme="minorHAnsi"/>
          <w:color w:val="000000" w:themeColor="text1"/>
          <w:vertAlign w:val="subscript"/>
        </w:rPr>
        <w:t>act</w:t>
      </w:r>
      <w:r w:rsidRPr="00E47369">
        <w:rPr>
          <w:rFonts w:cstheme="minorHAnsi"/>
          <w:color w:val="000000" w:themeColor="text1"/>
        </w:rPr>
        <w:t xml:space="preserve"> (2</w:t>
      </w:r>
      <w:r w:rsidRPr="00E47369">
        <w:rPr>
          <w:rFonts w:cstheme="minorHAnsi"/>
        </w:rPr>
        <w:t>-4 kcal/mol) and lower rate (</w:t>
      </w:r>
      <w:r w:rsidR="00915118" w:rsidRPr="00E47369">
        <w:rPr>
          <w:rFonts w:cstheme="minorHAnsi"/>
        </w:rPr>
        <w:fldChar w:fldCharType="begin"/>
      </w:r>
      <w:r w:rsidR="00915118" w:rsidRPr="00E47369">
        <w:rPr>
          <w:rFonts w:cstheme="minorHAnsi"/>
        </w:rPr>
        <w:instrText xml:space="preserve"> REF _Ref449707292 \h </w:instrText>
      </w:r>
      <w:r w:rsidR="003E463F" w:rsidRPr="00E47369">
        <w:rPr>
          <w:rFonts w:cstheme="minorHAnsi"/>
        </w:rPr>
        <w:instrText xml:space="preserve"> \* MERGEFORMAT </w:instrText>
      </w:r>
      <w:r w:rsidR="00915118" w:rsidRPr="00E47369">
        <w:rPr>
          <w:rFonts w:cstheme="minorHAnsi"/>
        </w:rPr>
      </w:r>
      <w:r w:rsidR="00915118" w:rsidRPr="00E47369">
        <w:rPr>
          <w:rFonts w:cstheme="minorHAnsi"/>
        </w:rPr>
        <w:fldChar w:fldCharType="separate"/>
      </w:r>
      <w:r w:rsidR="000A0E3D" w:rsidRPr="000A0E3D">
        <w:rPr>
          <w:rFonts w:cstheme="minorHAnsi"/>
        </w:rPr>
        <w:t>Figure I.3.a.6</w:t>
      </w:r>
      <w:r w:rsidR="00915118" w:rsidRPr="00E47369">
        <w:rPr>
          <w:rFonts w:cstheme="minorHAnsi"/>
        </w:rPr>
        <w:fldChar w:fldCharType="end"/>
      </w:r>
      <w:r w:rsidRPr="00E47369">
        <w:rPr>
          <w:rFonts w:cstheme="minorHAnsi"/>
        </w:rPr>
        <w:t>).</w:t>
      </w:r>
      <w:r w:rsidRPr="00E47369">
        <w:rPr>
          <w:rFonts w:cstheme="minorHAnsi"/>
        </w:rPr>
        <w:fldChar w:fldCharType="begin"/>
      </w:r>
      <w:r w:rsidR="006D0CD6" w:rsidRPr="00E47369">
        <w:rPr>
          <w:rFonts w:cstheme="minorHAnsi"/>
        </w:rPr>
        <w:instrText xml:space="preserve"> ADDIN ZOTERO_ITEM CSL_CITATION {"citationID":"2opasqvdja","properties":{"formattedCitation":"{\\rtf \\super 30,31\\nosupersub{}}","plainCitation":"30,31"},"citationItems":[{"id":153,"uris":["http://zotero.org/users/1624234/items/9UNDZZCX"],"uri":["http://zotero.org/users/1624234/items/9UNDZZCX"],"itemData":{"id":153,"type":"article-journal","title":"Cycloreversion of Rhenium(V) Diolates Containing the Hydridotris(3,5-dimethylpyrazolyl)borate Ancillary Ligand","container-title":"Organometallics","page":"173-179","volume":"18","issue":"2","source":"CrossRef","DOI":"10.1021/om980807o","ISSN":"0276-7333, 1520-6041","author":[{"family":"Gable","given":"Kevin P."},{"family":"AbuBaker","given":"Abdullah"},{"family":"Zientara","given":"Ken"},{"family":"Wainwright","given":"Adrian M."}],"issued":{"date-parts":[["1999",1]]}}},{"id":120,"uris":["http://zotero.org/users/1624234/items/7NZ4DHSC"],"uri":["http://zotero.org/users/1624234/items/7NZ4DHSC"],"itemData":{"id":120,"type":"article-journal","title":"Kinetic Isotope Effects in Cycloreversion of Rhenium (V) Diolates","container-title":"Journal of the American Chemical Society","page":"3970-3979","volume":"124","issue":"15","source":"CrossRef","DOI":"10.1021/ja017736w","ISSN":"0002-7863, 1520-5126","author":[{"family":"Gable","given":"Kevin P."},{"family":"Zhuravlev","given":"Fedor A."}],"issued":{"date-parts":[["2002",4]]}}}],"schema":"https://github.com/citation-style-language/schema/raw/master/csl-citation.json"} </w:instrText>
      </w:r>
      <w:r w:rsidRPr="00E47369">
        <w:rPr>
          <w:rFonts w:cstheme="minorHAnsi"/>
        </w:rPr>
        <w:fldChar w:fldCharType="separate"/>
      </w:r>
      <w:r w:rsidRPr="00E47369">
        <w:rPr>
          <w:rFonts w:cstheme="minorHAnsi"/>
          <w:sz w:val="22"/>
          <w:vertAlign w:val="superscript"/>
        </w:rPr>
        <w:t>30,31</w:t>
      </w:r>
      <w:r w:rsidRPr="00E47369">
        <w:rPr>
          <w:rFonts w:cstheme="minorHAnsi"/>
        </w:rPr>
        <w:fldChar w:fldCharType="end"/>
      </w:r>
      <w:r w:rsidRPr="00E47369">
        <w:rPr>
          <w:rFonts w:cstheme="minorHAnsi"/>
        </w:rPr>
        <w:t xml:space="preserve"> A later study focused on the kinetic isotope effects for derivatives separately labeled on the glycolate carbons, substituent effects for a series of Z-ArCHOHCH</w:t>
      </w:r>
      <w:r w:rsidRPr="00E47369">
        <w:rPr>
          <w:rFonts w:cstheme="minorHAnsi"/>
          <w:vertAlign w:val="subscript"/>
        </w:rPr>
        <w:t>2</w:t>
      </w:r>
      <w:r w:rsidRPr="00E47369">
        <w:rPr>
          <w:rFonts w:cstheme="minorHAnsi"/>
        </w:rPr>
        <w:t>OH-derived glycolate complexes, and DFT computational analysis, including transition state modeling. The differences in the measured kinetic isotope effects were small, but significant, the Hammett substituent effect study showed dichotomous behavior, and the DFT-calculated transition state showed significantly different C-O bond lengths, consistent with an asynchronous extrusion process. On this issue we note that fragmentation of M-glycolates derived from symmetrical or aliphatic glycols may be more prone to concerted [3+2] cycloreversions (vide infra). This mechanistic subtlety notwithstanding, the examples of stereospecific syn-eliminations observed to date are indicative of a net syn-metalloglycolate cycloreversion, whether concerted or step-wise.</w:t>
      </w:r>
    </w:p>
    <w:p w14:paraId="6F549A08" w14:textId="0B8673C5" w:rsidR="00216D29" w:rsidRPr="00E47369" w:rsidRDefault="00216D29" w:rsidP="006042D0">
      <w:pPr>
        <w:ind w:firstLine="360"/>
        <w:jc w:val="both"/>
        <w:rPr>
          <w:rFonts w:cstheme="minorHAnsi"/>
          <w:color w:val="000000" w:themeColor="text1"/>
        </w:rPr>
      </w:pPr>
      <w:r w:rsidRPr="00E47369">
        <w:rPr>
          <w:rFonts w:cstheme="minorHAnsi"/>
          <w:color w:val="000000" w:themeColor="text1"/>
        </w:rPr>
        <w:t>Although most of the DODH reactions described above used triphenyl phosphine a reductant, Nakagiri, Murai and Takai reported the use of triphenyl phosphite as reducing agent for related epoxide deoxygenation.</w:t>
      </w:r>
      <w:r w:rsidRPr="00E47369">
        <w:rPr>
          <w:rFonts w:cstheme="minorHAnsi"/>
          <w:color w:val="000000" w:themeColor="text1"/>
        </w:rPr>
        <w:fldChar w:fldCharType="begin"/>
      </w:r>
      <w:r w:rsidR="006D0CD6" w:rsidRPr="00E47369">
        <w:rPr>
          <w:rFonts w:cstheme="minorHAnsi"/>
          <w:color w:val="000000" w:themeColor="text1"/>
        </w:rPr>
        <w:instrText xml:space="preserve"> ADDIN ZOTERO_ITEM CSL_CITATION {"citationID":"1tlkvkn2tv","properties":{"formattedCitation":"{\\rtf \\super 32\\nosupersub{}}","plainCitation":"32"},"citationItems":[{"id":1535,"uris":["http://zotero.org/users/1624234/items/J55GSQQI"],"uri":["http://zotero.org/users/1624234/items/J55GSQQI"],"itemData":{"id":1535,"type":"article-journal","title":"Stereospecific Deoxygenation of Aliphatic Epoxides to Alkenes under Rhenium Catalysis","container-title":"Organic Letters","page":"3346-3349","volume":"17","issue":"13","source":"ACS Publications","abstract":"The combination of a catalytic amount of Re2O7 and triphenyl phosphite as a reductant is effective for the deoxygenation of unactivated aliphatic epoxides to alkenes. The reaction proceeds stereospecifically with variously substituted epoxides under neutral conditions and is compatible with various functional groups. Protection and deprotection of a double bond functionality using an epoxide are shown as an example of the current rhenium-catalyzed deoxygenation protocol. The effect of reductants for the stereoselectivity has also been studied, indicating that the use of electron-deficient phosphines or phosphites is the key for the stereospecific deoxygenation.","DOI":"10.1021/acs.orglett.5b01583","ISSN":"1523-7060","journalAbbreviation":"Org. Lett.","author":[{"family":"Nakagiri","given":"Takuya"},{"family":"Murai","given":"Masahito"},{"family":"Takai","given":"Kazuhiko"}],"issued":{"date-parts":[["2015",7,2]]}}}],"schema":"https://github.com/citation-style-language/schema/raw/master/csl-citation.json"} </w:instrText>
      </w:r>
      <w:r w:rsidRPr="00E47369">
        <w:rPr>
          <w:rFonts w:cstheme="minorHAnsi"/>
          <w:color w:val="000000" w:themeColor="text1"/>
        </w:rPr>
        <w:fldChar w:fldCharType="separate"/>
      </w:r>
      <w:r w:rsidRPr="00E47369">
        <w:rPr>
          <w:rFonts w:cstheme="minorHAnsi"/>
          <w:sz w:val="22"/>
          <w:vertAlign w:val="superscript"/>
        </w:rPr>
        <w:t>32</w:t>
      </w:r>
      <w:r w:rsidRPr="00E47369">
        <w:rPr>
          <w:rFonts w:cstheme="minorHAnsi"/>
          <w:color w:val="000000" w:themeColor="text1"/>
        </w:rPr>
        <w:fldChar w:fldCharType="end"/>
      </w:r>
      <w:r w:rsidRPr="00E47369">
        <w:rPr>
          <w:rFonts w:cstheme="minorHAnsi"/>
          <w:color w:val="000000" w:themeColor="text1"/>
        </w:rPr>
        <w:t xml:space="preserve"> In combination with rhenium oxide (Re</w:t>
      </w:r>
      <w:r w:rsidRPr="00E47369">
        <w:rPr>
          <w:rFonts w:cstheme="minorHAnsi"/>
          <w:color w:val="000000" w:themeColor="text1"/>
          <w:vertAlign w:val="subscript"/>
        </w:rPr>
        <w:t>2</w:t>
      </w:r>
      <w:r w:rsidRPr="00E47369">
        <w:rPr>
          <w:rFonts w:cstheme="minorHAnsi"/>
          <w:color w:val="000000" w:themeColor="text1"/>
        </w:rPr>
        <w:t>O</w:t>
      </w:r>
      <w:r w:rsidRPr="00E47369">
        <w:rPr>
          <w:rFonts w:cstheme="minorHAnsi"/>
          <w:color w:val="000000" w:themeColor="text1"/>
          <w:vertAlign w:val="subscript"/>
        </w:rPr>
        <w:t>7</w:t>
      </w:r>
      <w:r w:rsidRPr="00E47369">
        <w:rPr>
          <w:rFonts w:cstheme="minorHAnsi"/>
          <w:color w:val="000000" w:themeColor="text1"/>
        </w:rPr>
        <w:t>) as catalyst they found phosphite to be highly efficient for the deoxygenation (DO) of unactivated aliphatic epoxides (</w:t>
      </w:r>
      <w:r w:rsidR="00915118" w:rsidRPr="00E47369">
        <w:rPr>
          <w:rFonts w:cstheme="minorHAnsi"/>
          <w:color w:val="000000" w:themeColor="text1"/>
        </w:rPr>
        <w:fldChar w:fldCharType="begin"/>
      </w:r>
      <w:r w:rsidR="00915118" w:rsidRPr="00E47369">
        <w:rPr>
          <w:rFonts w:cstheme="minorHAnsi"/>
          <w:color w:val="000000" w:themeColor="text1"/>
        </w:rPr>
        <w:instrText xml:space="preserve"> REF _Ref449707424 \h </w:instrText>
      </w:r>
      <w:r w:rsidR="003E463F" w:rsidRPr="00E47369">
        <w:rPr>
          <w:rFonts w:cstheme="minorHAnsi"/>
          <w:color w:val="000000" w:themeColor="text1"/>
        </w:rPr>
        <w:instrText xml:space="preserve"> \* MERGEFORMAT </w:instrText>
      </w:r>
      <w:r w:rsidR="00915118" w:rsidRPr="00E47369">
        <w:rPr>
          <w:rFonts w:cstheme="minorHAnsi"/>
          <w:color w:val="000000" w:themeColor="text1"/>
        </w:rPr>
      </w:r>
      <w:r w:rsidR="00915118" w:rsidRPr="00E47369">
        <w:rPr>
          <w:rFonts w:cstheme="minorHAnsi"/>
          <w:color w:val="000000" w:themeColor="text1"/>
        </w:rPr>
        <w:fldChar w:fldCharType="separate"/>
      </w:r>
      <w:r w:rsidR="000A0E3D" w:rsidRPr="000A0E3D">
        <w:rPr>
          <w:rFonts w:cstheme="minorHAnsi"/>
        </w:rPr>
        <w:t>Figure I.3.a.7</w:t>
      </w:r>
      <w:r w:rsidR="00915118" w:rsidRPr="00E47369">
        <w:rPr>
          <w:rFonts w:cstheme="minorHAnsi"/>
          <w:color w:val="000000" w:themeColor="text1"/>
        </w:rPr>
        <w:fldChar w:fldCharType="end"/>
      </w:r>
      <w:r w:rsidRPr="00E47369">
        <w:rPr>
          <w:rFonts w:cstheme="minorHAnsi"/>
          <w:color w:val="000000" w:themeColor="text1"/>
        </w:rPr>
        <w:t>). It is worth noticing that their system provides high yields (</w:t>
      </w:r>
      <w:r w:rsidR="00D257B6">
        <w:rPr>
          <w:rFonts w:cstheme="minorHAnsi"/>
          <w:color w:val="000000" w:themeColor="text1"/>
        </w:rPr>
        <w:t>74-93</w:t>
      </w:r>
      <w:r w:rsidRPr="00E47369">
        <w:rPr>
          <w:rFonts w:cstheme="minorHAnsi"/>
          <w:color w:val="000000" w:themeColor="text1"/>
        </w:rPr>
        <w:t>%) with 2.5 mol% catalyst loading at 100</w:t>
      </w:r>
      <w:r w:rsidRPr="00E47369">
        <w:rPr>
          <w:rFonts w:cstheme="minorHAnsi"/>
          <w:color w:val="000000" w:themeColor="text1"/>
          <w:vertAlign w:val="superscript"/>
        </w:rPr>
        <w:t>o</w:t>
      </w:r>
      <w:r w:rsidRPr="00E47369">
        <w:rPr>
          <w:rFonts w:cstheme="minorHAnsi"/>
          <w:color w:val="000000" w:themeColor="text1"/>
        </w:rPr>
        <w:t>C after only 2-8 hours.</w:t>
      </w:r>
    </w:p>
    <w:p w14:paraId="1BA6135A" w14:textId="77777777" w:rsidR="006042D0" w:rsidRPr="00E47369" w:rsidRDefault="006042D0" w:rsidP="003E463F">
      <w:pPr>
        <w:jc w:val="both"/>
        <w:rPr>
          <w:rFonts w:cstheme="minorHAnsi"/>
        </w:rPr>
      </w:pPr>
    </w:p>
    <w:p w14:paraId="4D4133A5" w14:textId="77777777" w:rsidR="00915118" w:rsidRPr="00E47369" w:rsidRDefault="00216D29" w:rsidP="003E463F">
      <w:pPr>
        <w:keepNext/>
        <w:jc w:val="center"/>
        <w:rPr>
          <w:rFonts w:cstheme="minorHAnsi"/>
        </w:rPr>
      </w:pPr>
      <w:r w:rsidRPr="00E47369">
        <w:rPr>
          <w:rFonts w:cstheme="minorHAnsi"/>
        </w:rPr>
        <w:object w:dxaOrig="4397" w:dyaOrig="1244" w14:anchorId="6E4074F1">
          <v:shape id="_x0000_i1034" type="#_x0000_t75" style="width:220.75pt;height:62.5pt" o:ole="">
            <v:imagedata r:id="rId28" o:title=""/>
          </v:shape>
          <o:OLEObject Type="Embed" ProgID="ChemDraw.Document.6.0" ShapeID="_x0000_i1034" DrawAspect="Content" ObjectID="_1532784888" r:id="rId29"/>
        </w:object>
      </w:r>
    </w:p>
    <w:p w14:paraId="59671383" w14:textId="77777777" w:rsidR="00216D29" w:rsidRPr="00EB795B" w:rsidRDefault="007D369E" w:rsidP="00EB795B">
      <w:pPr>
        <w:pStyle w:val="Caption"/>
      </w:pPr>
      <w:bookmarkStart w:id="37" w:name="_Ref449707424"/>
      <w:bookmarkStart w:id="38" w:name="_Toc457320586"/>
      <w:bookmarkStart w:id="39" w:name="_Toc458938361"/>
      <w:r w:rsidRPr="00EB795B">
        <w:t>Figure I.3.</w:t>
      </w:r>
      <w:r w:rsidR="00443010">
        <w:fldChar w:fldCharType="begin"/>
      </w:r>
      <w:r w:rsidR="00443010">
        <w:instrText xml:space="preserve"> STYLEREF 3 \s </w:instrText>
      </w:r>
      <w:r w:rsidR="00443010">
        <w:fldChar w:fldCharType="separate"/>
      </w:r>
      <w:r w:rsidR="000A0E3D">
        <w:rPr>
          <w:noProof/>
        </w:rPr>
        <w:t>a</w:t>
      </w:r>
      <w:r w:rsidR="00443010">
        <w:rPr>
          <w:noProof/>
        </w:rPr>
        <w:fldChar w:fldCharType="end"/>
      </w:r>
      <w:r w:rsidRPr="00EB795B">
        <w:t>.</w:t>
      </w:r>
      <w:r w:rsidR="00443010">
        <w:fldChar w:fldCharType="begin"/>
      </w:r>
      <w:r w:rsidR="00443010">
        <w:instrText xml:space="preserve"> SEQ Figure_I._3. \* ARABIC \s 3 </w:instrText>
      </w:r>
      <w:r w:rsidR="00443010">
        <w:fldChar w:fldCharType="separate"/>
      </w:r>
      <w:r w:rsidR="000A0E3D">
        <w:rPr>
          <w:noProof/>
        </w:rPr>
        <w:t>7</w:t>
      </w:r>
      <w:r w:rsidR="00443010">
        <w:rPr>
          <w:noProof/>
        </w:rPr>
        <w:fldChar w:fldCharType="end"/>
      </w:r>
      <w:bookmarkEnd w:id="37"/>
      <w:r w:rsidR="00915118" w:rsidRPr="00EB795B">
        <w:t xml:space="preserve"> </w:t>
      </w:r>
      <w:r w:rsidR="00216D29" w:rsidRPr="00EB795B">
        <w:t>General deoxygenation of epoxides using phosphite and rhenium oxide</w:t>
      </w:r>
      <w:bookmarkEnd w:id="38"/>
      <w:bookmarkEnd w:id="39"/>
    </w:p>
    <w:p w14:paraId="626468DF" w14:textId="77777777" w:rsidR="00216D29" w:rsidRPr="00E47369" w:rsidRDefault="00216D29" w:rsidP="003E463F">
      <w:pPr>
        <w:jc w:val="center"/>
        <w:rPr>
          <w:rFonts w:cstheme="minorHAnsi"/>
        </w:rPr>
      </w:pPr>
    </w:p>
    <w:p w14:paraId="41181C83" w14:textId="77777777" w:rsidR="00216D29" w:rsidRPr="00E47369" w:rsidRDefault="00216D29" w:rsidP="006042D0">
      <w:pPr>
        <w:pStyle w:val="Heading41"/>
        <w:rPr>
          <w:rFonts w:cstheme="minorHAnsi"/>
        </w:rPr>
      </w:pPr>
      <w:r w:rsidRPr="00E47369">
        <w:rPr>
          <w:rFonts w:cstheme="minorHAnsi"/>
        </w:rPr>
        <w:t>Hydrogen Reductant</w:t>
      </w:r>
    </w:p>
    <w:p w14:paraId="550A9DD6" w14:textId="77777777" w:rsidR="00216D29" w:rsidRPr="00E47369" w:rsidRDefault="00216D29" w:rsidP="006042D0">
      <w:pPr>
        <w:ind w:firstLine="360"/>
        <w:jc w:val="both"/>
        <w:rPr>
          <w:rFonts w:cstheme="minorHAnsi"/>
        </w:rPr>
      </w:pPr>
      <w:r w:rsidRPr="00E47369">
        <w:rPr>
          <w:rFonts w:cstheme="minorHAnsi"/>
        </w:rPr>
        <w:t xml:space="preserve">The discovery of more practical, non-phosphine reductants for Re-catalyzed DODH began with a report by the Abu-Omar group employing hydrogen with the commercially available </w:t>
      </w:r>
      <w:r w:rsidRPr="007D369E">
        <w:rPr>
          <w:rFonts w:cstheme="minorHAnsi"/>
        </w:rPr>
        <w:t>MeReO</w:t>
      </w:r>
      <w:r w:rsidRPr="007D369E">
        <w:rPr>
          <w:rFonts w:cstheme="minorHAnsi"/>
          <w:vertAlign w:val="subscript"/>
        </w:rPr>
        <w:t>3</w:t>
      </w:r>
      <w:r w:rsidRPr="007D369E">
        <w:rPr>
          <w:rFonts w:cstheme="minorHAnsi"/>
        </w:rPr>
        <w:t xml:space="preserve"> as catalyst </w:t>
      </w:r>
      <w:r w:rsidRPr="00E47369">
        <w:rPr>
          <w:rFonts w:cstheme="minorHAnsi"/>
        </w:rPr>
        <w:t>(</w:t>
      </w:r>
      <w:r w:rsidR="00915118" w:rsidRPr="00E47369">
        <w:rPr>
          <w:rFonts w:cstheme="minorHAnsi"/>
        </w:rPr>
        <w:fldChar w:fldCharType="begin"/>
      </w:r>
      <w:r w:rsidR="00915118" w:rsidRPr="00E47369">
        <w:rPr>
          <w:rFonts w:cstheme="minorHAnsi"/>
        </w:rPr>
        <w:instrText xml:space="preserve"> REF _Ref449707466 \h </w:instrText>
      </w:r>
      <w:r w:rsidR="003E463F" w:rsidRPr="00E47369">
        <w:rPr>
          <w:rFonts w:cstheme="minorHAnsi"/>
        </w:rPr>
        <w:instrText xml:space="preserve"> \* MERGEFORMAT </w:instrText>
      </w:r>
      <w:r w:rsidR="00915118" w:rsidRPr="00E47369">
        <w:rPr>
          <w:rFonts w:cstheme="minorHAnsi"/>
        </w:rPr>
      </w:r>
      <w:r w:rsidR="00915118" w:rsidRPr="00E47369">
        <w:rPr>
          <w:rFonts w:cstheme="minorHAnsi"/>
        </w:rPr>
        <w:fldChar w:fldCharType="separate"/>
      </w:r>
      <w:r w:rsidR="000A0E3D" w:rsidRPr="000A0E3D">
        <w:rPr>
          <w:rFonts w:cstheme="minorHAnsi"/>
        </w:rPr>
        <w:t>Figure I.3.a.8</w:t>
      </w:r>
      <w:r w:rsidR="00915118" w:rsidRPr="00E47369">
        <w:rPr>
          <w:rFonts w:cstheme="minorHAnsi"/>
        </w:rPr>
        <w:fldChar w:fldCharType="end"/>
      </w:r>
      <w:r w:rsidRPr="00E47369">
        <w:rPr>
          <w:rFonts w:cstheme="minorHAnsi"/>
        </w:rPr>
        <w:t>).</w:t>
      </w:r>
      <w:r w:rsidRPr="00E47369">
        <w:rPr>
          <w:rFonts w:cstheme="minorHAnsi"/>
        </w:rPr>
        <w:fldChar w:fldCharType="begin"/>
      </w:r>
      <w:r w:rsidR="006D0CD6" w:rsidRPr="00E47369">
        <w:rPr>
          <w:rFonts w:cstheme="minorHAnsi"/>
        </w:rPr>
        <w:instrText xml:space="preserve"> ADDIN ZOTERO_ITEM CSL_CITATION {"citationID":"1hoorusgg2","properties":{"formattedCitation":"{\\rtf \\super 33\\nosupersub{}}","plainCitation":"33"},"citationItems":[{"id":422,"uris":["http://zotero.org/users/1624234/items/UDXKBHCJ"],"uri":["http://zotero.org/users/1624234/items/UDXKBHCJ"],"itemData":{"id":422,"type":"article-journal","title":"H &lt;sub&gt;2&lt;/sub&gt; -Driven Deoxygenation of Epoxides and Diols to Alkenes Catalyzed by Methyltrioxorhenium","container-title":"Inorganic Chemistry","page":"9998-10000","volume":"48","issue":"21","source":"CrossRef","DOI":"10.1021/ic901792b","ISSN":"0020-1669, 1520-510X","author":[{"family":"Ziegler","given":"Jeanette E."},{"family":"Zdilla","given":"Michael J."},{"family":"Evans","given":"Andrew J."},{"family":"Abu-Omar","given":"Mahdi M."}],"issued":{"date-parts":[["2009",11,2]]}}}],"schema":"https://github.com/citation-style-language/schema/raw/master/csl-citation.json"} </w:instrText>
      </w:r>
      <w:r w:rsidRPr="00E47369">
        <w:rPr>
          <w:rFonts w:cstheme="minorHAnsi"/>
        </w:rPr>
        <w:fldChar w:fldCharType="separate"/>
      </w:r>
      <w:r w:rsidRPr="00E47369">
        <w:rPr>
          <w:rFonts w:cstheme="minorHAnsi"/>
          <w:sz w:val="22"/>
          <w:vertAlign w:val="superscript"/>
        </w:rPr>
        <w:t>33</w:t>
      </w:r>
      <w:r w:rsidRPr="00E47369">
        <w:rPr>
          <w:rFonts w:cstheme="minorHAnsi"/>
        </w:rPr>
        <w:fldChar w:fldCharType="end"/>
      </w:r>
      <w:r w:rsidRPr="00E47369">
        <w:rPr>
          <w:rFonts w:cstheme="minorHAnsi"/>
        </w:rPr>
        <w:t xml:space="preserve"> Reactions were conducted with epoxides and glycols at 150</w:t>
      </w:r>
      <w:r w:rsidRPr="00E47369">
        <w:rPr>
          <w:rFonts w:cstheme="minorHAnsi"/>
          <w:vertAlign w:val="superscript"/>
        </w:rPr>
        <w:t>o</w:t>
      </w:r>
      <w:r w:rsidRPr="00E47369">
        <w:rPr>
          <w:rFonts w:cstheme="minorHAnsi"/>
        </w:rPr>
        <w:t>C in THF at 5-20 atm H</w:t>
      </w:r>
      <w:r w:rsidRPr="00E47369">
        <w:rPr>
          <w:rFonts w:cstheme="minorHAnsi"/>
          <w:vertAlign w:val="subscript"/>
        </w:rPr>
        <w:t>2</w:t>
      </w:r>
      <w:r w:rsidRPr="00E47369">
        <w:rPr>
          <w:rFonts w:cstheme="minorHAnsi"/>
        </w:rPr>
        <w:t xml:space="preserve"> and 5-10 mol% MeReO</w:t>
      </w:r>
      <w:r w:rsidRPr="00E47369">
        <w:rPr>
          <w:rFonts w:cstheme="minorHAnsi"/>
          <w:vertAlign w:val="subscript"/>
        </w:rPr>
        <w:t>3</w:t>
      </w:r>
      <w:r w:rsidRPr="00E47369">
        <w:rPr>
          <w:rFonts w:cstheme="minorHAnsi"/>
        </w:rPr>
        <w:t xml:space="preserve"> over 1-16 hr. Representative epoxides and glycols are converted moderately efficiently to olefins with high selectivity at lower pressures and shorter reaction times; alkanes, from over-reduction, were favored at higher pressures and longer times. The deoxygenation of cis- and trans-stilbene oxides, exhibit good, but not complete stereoretentive selectivity; cis-cyclic glycols eliminate much more effectively than the trans-glycols, consistent with the intervention and concerted fragmentation of MeRe</w:t>
      </w:r>
      <w:r w:rsidRPr="00E47369">
        <w:rPr>
          <w:rFonts w:cstheme="minorHAnsi"/>
          <w:vertAlign w:val="superscript"/>
        </w:rPr>
        <w:t>v</w:t>
      </w:r>
      <w:r w:rsidRPr="00E47369">
        <w:rPr>
          <w:rFonts w:cstheme="minorHAnsi"/>
        </w:rPr>
        <w:t>O(glycolate). A catalytic process for deoxygenation and DODH was proposed involving initial hydrogenative reduction of MeReO</w:t>
      </w:r>
      <w:r w:rsidRPr="00E47369">
        <w:rPr>
          <w:rFonts w:cstheme="minorHAnsi"/>
          <w:vertAlign w:val="subscript"/>
        </w:rPr>
        <w:t>3</w:t>
      </w:r>
      <w:r w:rsidRPr="00E47369">
        <w:rPr>
          <w:rFonts w:cstheme="minorHAnsi"/>
        </w:rPr>
        <w:t xml:space="preserve"> to MeReO</w:t>
      </w:r>
      <w:r w:rsidRPr="00E47369">
        <w:rPr>
          <w:rFonts w:cstheme="minorHAnsi"/>
          <w:vertAlign w:val="subscript"/>
        </w:rPr>
        <w:t>2</w:t>
      </w:r>
      <w:r w:rsidRPr="00E47369">
        <w:rPr>
          <w:rFonts w:cstheme="minorHAnsi"/>
        </w:rPr>
        <w:t>L (L=THF or H</w:t>
      </w:r>
      <w:r w:rsidRPr="00E47369">
        <w:rPr>
          <w:rFonts w:cstheme="minorHAnsi"/>
          <w:vertAlign w:val="subscript"/>
        </w:rPr>
        <w:t>2</w:t>
      </w:r>
      <w:r w:rsidRPr="00E47369">
        <w:rPr>
          <w:rFonts w:cstheme="minorHAnsi"/>
        </w:rPr>
        <w:t xml:space="preserve">O), condensation of the latter with the glycol to form the Rev-glycolate, and subsequent alkene extrusion. </w:t>
      </w:r>
    </w:p>
    <w:p w14:paraId="13560931" w14:textId="77777777" w:rsidR="00915118" w:rsidRPr="00E47369" w:rsidRDefault="00216D29" w:rsidP="003E463F">
      <w:pPr>
        <w:keepNext/>
        <w:jc w:val="center"/>
        <w:rPr>
          <w:rFonts w:cstheme="minorHAnsi"/>
        </w:rPr>
      </w:pPr>
      <w:r w:rsidRPr="00E47369">
        <w:rPr>
          <w:rFonts w:cstheme="minorHAnsi"/>
        </w:rPr>
        <w:object w:dxaOrig="3223" w:dyaOrig="1708" w14:anchorId="39D33518">
          <v:shape id="_x0000_i1035" type="#_x0000_t75" style="width:159.8pt;height:87.8pt" o:ole="">
            <v:imagedata r:id="rId30" o:title=""/>
          </v:shape>
          <o:OLEObject Type="Embed" ProgID="ChemDraw.Document.6.0" ShapeID="_x0000_i1035" DrawAspect="Content" ObjectID="_1532784889" r:id="rId31"/>
        </w:object>
      </w:r>
    </w:p>
    <w:p w14:paraId="53B256CB" w14:textId="31BB681F" w:rsidR="00536AE9" w:rsidRPr="00443010" w:rsidRDefault="00323B06" w:rsidP="00443010">
      <w:pPr>
        <w:pStyle w:val="Caption"/>
      </w:pPr>
      <w:bookmarkStart w:id="40" w:name="_Ref449707466"/>
      <w:bookmarkStart w:id="41" w:name="_Toc457320587"/>
      <w:bookmarkStart w:id="42" w:name="_Toc458938362"/>
      <w:r>
        <w:t>Figure I.3.</w:t>
      </w:r>
      <w:r w:rsidR="00443010">
        <w:fldChar w:fldCharType="begin"/>
      </w:r>
      <w:r w:rsidR="00443010">
        <w:instrText xml:space="preserve"> STYLEREF 3 \s </w:instrText>
      </w:r>
      <w:r w:rsidR="00443010">
        <w:fldChar w:fldCharType="separate"/>
      </w:r>
      <w:r w:rsidR="000A0E3D">
        <w:rPr>
          <w:noProof/>
        </w:rPr>
        <w:t>a</w:t>
      </w:r>
      <w:r w:rsidR="00443010">
        <w:rPr>
          <w:noProof/>
        </w:rPr>
        <w:fldChar w:fldCharType="end"/>
      </w:r>
      <w:r>
        <w:t>.</w:t>
      </w:r>
      <w:r w:rsidR="00443010">
        <w:fldChar w:fldCharType="begin"/>
      </w:r>
      <w:r w:rsidR="00443010">
        <w:instrText xml:space="preserve"> SEQ Figure_I._3. \* ARABIC \s 3 </w:instrText>
      </w:r>
      <w:r w:rsidR="00443010">
        <w:fldChar w:fldCharType="separate"/>
      </w:r>
      <w:r w:rsidR="000A0E3D">
        <w:rPr>
          <w:noProof/>
        </w:rPr>
        <w:t>8</w:t>
      </w:r>
      <w:r w:rsidR="00443010">
        <w:rPr>
          <w:noProof/>
        </w:rPr>
        <w:fldChar w:fldCharType="end"/>
      </w:r>
      <w:bookmarkEnd w:id="40"/>
      <w:r w:rsidR="00915118" w:rsidRPr="00EB795B">
        <w:t xml:space="preserve"> </w:t>
      </w:r>
      <w:r w:rsidR="00216D29" w:rsidRPr="00EB795B">
        <w:t xml:space="preserve">Summary of DODH </w:t>
      </w:r>
      <w:r w:rsidR="005943F9">
        <w:t>systems</w:t>
      </w:r>
      <w:r w:rsidR="00216D29" w:rsidRPr="00EB795B">
        <w:t xml:space="preserve"> using hydrogen as reducing agent</w:t>
      </w:r>
      <w:bookmarkEnd w:id="41"/>
      <w:bookmarkEnd w:id="42"/>
    </w:p>
    <w:p w14:paraId="7BB89245" w14:textId="73A9C7D9" w:rsidR="00216D29" w:rsidRPr="00E47369" w:rsidRDefault="00216D29" w:rsidP="006042D0">
      <w:pPr>
        <w:ind w:firstLine="360"/>
        <w:jc w:val="both"/>
        <w:rPr>
          <w:rFonts w:cstheme="minorHAnsi"/>
        </w:rPr>
      </w:pPr>
      <w:r w:rsidRPr="00E47369">
        <w:rPr>
          <w:rFonts w:cstheme="minorHAnsi"/>
        </w:rPr>
        <w:t>Lin and coworkers reported a DFT-level computational study of the hydrogen-driven epoxide deoxygenation and glycol DODH catalyzed by MeReO</w:t>
      </w:r>
      <w:r w:rsidRPr="00E47369">
        <w:rPr>
          <w:rFonts w:cstheme="minorHAnsi"/>
          <w:vertAlign w:val="subscript"/>
        </w:rPr>
        <w:t>3</w:t>
      </w:r>
      <w:r w:rsidRPr="00E47369">
        <w:rPr>
          <w:rFonts w:cstheme="minorHAnsi"/>
        </w:rPr>
        <w:t>.</w:t>
      </w:r>
      <w:r w:rsidRPr="00E47369">
        <w:rPr>
          <w:rFonts w:cstheme="minorHAnsi"/>
        </w:rPr>
        <w:fldChar w:fldCharType="begin"/>
      </w:r>
      <w:r w:rsidR="006D0CD6" w:rsidRPr="00E47369">
        <w:rPr>
          <w:rFonts w:cstheme="minorHAnsi"/>
        </w:rPr>
        <w:instrText xml:space="preserve"> ADDIN ZOTERO_ITEM CSL_CITATION {"citationID":"20vu9l4vu3","properties":{"formattedCitation":"{\\rtf \\super 34\\nosupersub{}}","plainCitation":"34"},"citationItems":[{"id":53,"uris":["http://zotero.org/users/1624234/items/4CFIWEC6"],"uri":["http://zotero.org/users/1624234/items/4CFIWEC6"],"itemData":{"id":53,"type":"article-journal","title":"Mechanism of the MeReO &lt;sub&gt;3&lt;/sub&gt; -Catalyzed Deoxygenation of Epoxides","container-title":"Organometallics","page":"6139-6147","volume":"31","issue":"17","source":"CrossRef","DOI":"10.1021/om300485w","ISSN":"0276-7333, 1520-6041","author":[{"family":"Bi","given":"Siwei"},{"family":"Wang","given":"Jiayong"},{"family":"Liu","given":"Lingjun"},{"family":"Li","given":"Ping"},{"family":"Lin","given":"Zhenyang"}],"issued":{"date-parts":[["2012",9,10]]}}}],"schema":"https://github.com/citation-style-language/schema/raw/master/csl-citation.json"} </w:instrText>
      </w:r>
      <w:r w:rsidRPr="00E47369">
        <w:rPr>
          <w:rFonts w:cstheme="minorHAnsi"/>
        </w:rPr>
        <w:fldChar w:fldCharType="separate"/>
      </w:r>
      <w:r w:rsidRPr="00E47369">
        <w:rPr>
          <w:rFonts w:cstheme="minorHAnsi"/>
          <w:sz w:val="22"/>
          <w:vertAlign w:val="superscript"/>
        </w:rPr>
        <w:t>34</w:t>
      </w:r>
      <w:r w:rsidRPr="00E47369">
        <w:rPr>
          <w:rFonts w:cstheme="minorHAnsi"/>
        </w:rPr>
        <w:fldChar w:fldCharType="end"/>
      </w:r>
      <w:r w:rsidRPr="00E47369">
        <w:rPr>
          <w:rFonts w:cstheme="minorHAnsi"/>
        </w:rPr>
        <w:t xml:space="preserve"> Very high enthalpic barriers were found for both the [2+3] and the [2+2] addition of hydrogen to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rPr>
          <w:rFonts w:cstheme="minorHAnsi"/>
        </w:rPr>
        <w:t xml:space="preserve"> (</w:t>
      </w:r>
      <w:r w:rsidRPr="00E47369">
        <w:rPr>
          <w:rFonts w:cstheme="minorHAnsi"/>
          <w:color w:val="000000" w:themeColor="text1"/>
        </w:rPr>
        <w:t>ΔH</w:t>
      </w:r>
      <w:r w:rsidRPr="00E47369">
        <w:rPr>
          <w:rFonts w:cstheme="minorHAnsi"/>
          <w:color w:val="000000" w:themeColor="text1"/>
          <w:vertAlign w:val="subscript"/>
        </w:rPr>
        <w:t>act</w:t>
      </w:r>
      <w:r w:rsidRPr="00E47369">
        <w:rPr>
          <w:rFonts w:cstheme="minorHAnsi"/>
          <w:color w:val="000000" w:themeColor="text1"/>
        </w:rPr>
        <w:t xml:space="preserve"> 61, 43 kcal respectively), and was judged not to be viable as a step in the catalytic process. Instead, reaction of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rPr>
          <w:rFonts w:cstheme="minorHAnsi"/>
          <w:color w:val="000000" w:themeColor="text1"/>
        </w:rPr>
        <w:t xml:space="preserve"> with the epoxide or the glycol (not shown) to produce MeRe</w:t>
      </w:r>
      <w:r w:rsidRPr="00E47369">
        <w:rPr>
          <w:rFonts w:cstheme="minorHAnsi"/>
          <w:color w:val="000000" w:themeColor="text1"/>
          <w:vertAlign w:val="superscript"/>
        </w:rPr>
        <w:t>vii</w:t>
      </w:r>
      <w:r w:rsidRPr="00E47369">
        <w:rPr>
          <w:rFonts w:cstheme="minorHAnsi"/>
          <w:color w:val="000000" w:themeColor="text1"/>
        </w:rPr>
        <w:t>O</w:t>
      </w:r>
      <w:r w:rsidRPr="00E47369">
        <w:rPr>
          <w:rFonts w:cstheme="minorHAnsi"/>
          <w:color w:val="000000" w:themeColor="text1"/>
          <w:vertAlign w:val="subscript"/>
        </w:rPr>
        <w:t>2</w:t>
      </w:r>
      <w:r w:rsidRPr="00E47369">
        <w:rPr>
          <w:rFonts w:cstheme="minorHAnsi"/>
          <w:color w:val="000000" w:themeColor="text1"/>
        </w:rPr>
        <w:t>(glycolate) (</w:t>
      </w:r>
      <w:r w:rsidRPr="00E47369">
        <w:rPr>
          <w:rFonts w:cstheme="minorHAnsi"/>
          <w:b/>
          <w:color w:val="000000" w:themeColor="text1"/>
        </w:rPr>
        <w:t>9</w:t>
      </w:r>
      <w:r w:rsidRPr="00E47369">
        <w:rPr>
          <w:rFonts w:cstheme="minorHAnsi"/>
          <w:color w:val="000000" w:themeColor="text1"/>
        </w:rPr>
        <w:t>) is more favorable (</w:t>
      </w:r>
      <w:r w:rsidR="00915118" w:rsidRPr="00E47369">
        <w:rPr>
          <w:rFonts w:cstheme="minorHAnsi"/>
          <w:color w:val="000000" w:themeColor="text1"/>
        </w:rPr>
        <w:fldChar w:fldCharType="begin"/>
      </w:r>
      <w:r w:rsidR="00915118" w:rsidRPr="00E47369">
        <w:rPr>
          <w:rFonts w:cstheme="minorHAnsi"/>
          <w:color w:val="000000" w:themeColor="text1"/>
        </w:rPr>
        <w:instrText xml:space="preserve"> REF _Ref449707514 \h </w:instrText>
      </w:r>
      <w:r w:rsidR="003E463F" w:rsidRPr="00E47369">
        <w:rPr>
          <w:rFonts w:cstheme="minorHAnsi"/>
          <w:color w:val="000000" w:themeColor="text1"/>
        </w:rPr>
        <w:instrText xml:space="preserve"> \* MERGEFORMAT </w:instrText>
      </w:r>
      <w:r w:rsidR="00915118" w:rsidRPr="00E47369">
        <w:rPr>
          <w:rFonts w:cstheme="minorHAnsi"/>
          <w:color w:val="000000" w:themeColor="text1"/>
        </w:rPr>
      </w:r>
      <w:r w:rsidR="00915118" w:rsidRPr="00E47369">
        <w:rPr>
          <w:rFonts w:cstheme="minorHAnsi"/>
          <w:color w:val="000000" w:themeColor="text1"/>
        </w:rPr>
        <w:fldChar w:fldCharType="separate"/>
      </w:r>
      <w:r w:rsidR="000A0E3D" w:rsidRPr="000A0E3D">
        <w:rPr>
          <w:rFonts w:cstheme="minorHAnsi"/>
        </w:rPr>
        <w:t>Figure I.3.a.9</w:t>
      </w:r>
      <w:r w:rsidR="00915118" w:rsidRPr="00E47369">
        <w:rPr>
          <w:rFonts w:cstheme="minorHAnsi"/>
          <w:color w:val="000000" w:themeColor="text1"/>
        </w:rPr>
        <w:fldChar w:fldCharType="end"/>
      </w:r>
      <w:r w:rsidRPr="00E47369">
        <w:rPr>
          <w:rFonts w:cstheme="minorHAnsi"/>
          <w:color w:val="000000" w:themeColor="text1"/>
        </w:rPr>
        <w:t>), followed by [2+3] addition of H</w:t>
      </w:r>
      <w:r w:rsidRPr="00E47369">
        <w:rPr>
          <w:rFonts w:cstheme="minorHAnsi"/>
          <w:color w:val="000000" w:themeColor="text1"/>
          <w:vertAlign w:val="subscript"/>
        </w:rPr>
        <w:t>2</w:t>
      </w:r>
      <w:r w:rsidRPr="00E47369">
        <w:rPr>
          <w:rFonts w:cstheme="minorHAnsi"/>
          <w:color w:val="000000" w:themeColor="text1"/>
        </w:rPr>
        <w:t xml:space="preserve"> to </w:t>
      </w:r>
      <w:r w:rsidRPr="00E47369">
        <w:rPr>
          <w:rFonts w:cstheme="minorHAnsi"/>
          <w:b/>
          <w:color w:val="000000" w:themeColor="text1"/>
        </w:rPr>
        <w:t>9</w:t>
      </w:r>
      <w:r w:rsidRPr="00E47369">
        <w:rPr>
          <w:rFonts w:cstheme="minorHAnsi"/>
          <w:color w:val="000000" w:themeColor="text1"/>
        </w:rPr>
        <w:t xml:space="preserve"> to give the Rev-glycol derivative </w:t>
      </w:r>
      <w:r w:rsidRPr="00E47369">
        <w:rPr>
          <w:rFonts w:cstheme="minorHAnsi"/>
          <w:b/>
          <w:color w:val="000000" w:themeColor="text1"/>
        </w:rPr>
        <w:t>10</w:t>
      </w:r>
      <w:r w:rsidRPr="00E47369">
        <w:rPr>
          <w:rFonts w:cstheme="minorHAnsi"/>
          <w:color w:val="000000" w:themeColor="text1"/>
        </w:rPr>
        <w:t xml:space="preserve"> (ΔH</w:t>
      </w:r>
      <w:r w:rsidRPr="00E47369">
        <w:rPr>
          <w:rFonts w:cstheme="minorHAnsi"/>
          <w:color w:val="000000" w:themeColor="text1"/>
          <w:vertAlign w:val="subscript"/>
        </w:rPr>
        <w:t xml:space="preserve">act </w:t>
      </w:r>
      <w:r w:rsidRPr="00E47369">
        <w:rPr>
          <w:rFonts w:cstheme="minorHAnsi"/>
          <w:color w:val="000000" w:themeColor="text1"/>
        </w:rPr>
        <w:t>33 kcal). Extrusion of alkene from Re</w:t>
      </w:r>
      <w:r w:rsidRPr="00E47369">
        <w:rPr>
          <w:rFonts w:cstheme="minorHAnsi"/>
          <w:color w:val="000000" w:themeColor="text1"/>
          <w:vertAlign w:val="superscript"/>
        </w:rPr>
        <w:t>v</w:t>
      </w:r>
      <w:r w:rsidRPr="00E47369">
        <w:rPr>
          <w:rFonts w:cstheme="minorHAnsi"/>
          <w:color w:val="000000" w:themeColor="text1"/>
        </w:rPr>
        <w:t>-glycolate</w:t>
      </w:r>
      <w:r w:rsidRPr="00E47369">
        <w:rPr>
          <w:rFonts w:cstheme="minorHAnsi"/>
          <w:b/>
          <w:color w:val="000000" w:themeColor="text1"/>
        </w:rPr>
        <w:t xml:space="preserve"> 11</w:t>
      </w:r>
      <w:r w:rsidRPr="00E47369">
        <w:rPr>
          <w:rFonts w:cstheme="minorHAnsi"/>
          <w:color w:val="000000" w:themeColor="text1"/>
        </w:rPr>
        <w:t xml:space="preserve"> was calculated to proceed via a concerted [2+3] proc</w:t>
      </w:r>
      <w:r w:rsidRPr="00E47369">
        <w:rPr>
          <w:rFonts w:cstheme="minorHAnsi"/>
        </w:rPr>
        <w:t>ess with a barrier of 21 kcal. Thus, in the H</w:t>
      </w:r>
      <w:r w:rsidRPr="00E47369">
        <w:rPr>
          <w:rFonts w:cstheme="minorHAnsi"/>
          <w:vertAlign w:val="subscript"/>
        </w:rPr>
        <w:t>2</w:t>
      </w:r>
      <w:r w:rsidR="001539C6">
        <w:rPr>
          <w:rFonts w:cstheme="minorHAnsi"/>
        </w:rPr>
        <w:t xml:space="preserve">-driven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rPr>
          <w:rFonts w:cstheme="minorHAnsi"/>
        </w:rPr>
        <w:t xml:space="preserve"> reactions it appears that reduction of the glycolate </w:t>
      </w:r>
      <w:r w:rsidRPr="00E47369">
        <w:rPr>
          <w:rFonts w:cstheme="minorHAnsi"/>
          <w:b/>
        </w:rPr>
        <w:t>9</w:t>
      </w:r>
      <w:r w:rsidRPr="00E47369">
        <w:rPr>
          <w:rFonts w:cstheme="minorHAnsi"/>
        </w:rPr>
        <w:t xml:space="preserve"> is likely turnover-limiting.</w:t>
      </w:r>
    </w:p>
    <w:p w14:paraId="72D049D0" w14:textId="77777777" w:rsidR="00915118" w:rsidRPr="00E47369" w:rsidRDefault="003E463F" w:rsidP="003E463F">
      <w:pPr>
        <w:keepNext/>
        <w:jc w:val="center"/>
        <w:rPr>
          <w:rFonts w:cstheme="minorHAnsi"/>
        </w:rPr>
      </w:pPr>
      <w:r w:rsidRPr="00E47369">
        <w:rPr>
          <w:rFonts w:cstheme="minorHAnsi"/>
        </w:rPr>
        <w:object w:dxaOrig="14361" w:dyaOrig="9315" w14:anchorId="76A8A7B7">
          <v:shape id="_x0000_i1036" type="#_x0000_t75" style="width:410.65pt;height:266.65pt" o:ole="">
            <v:imagedata r:id="rId32" o:title=""/>
          </v:shape>
          <o:OLEObject Type="Embed" ProgID="ChemDraw.Document.6.0" ShapeID="_x0000_i1036" DrawAspect="Content" ObjectID="_1532784890" r:id="rId33"/>
        </w:object>
      </w:r>
    </w:p>
    <w:p w14:paraId="3BACAE5E" w14:textId="77777777" w:rsidR="00216D29" w:rsidRPr="00EB795B" w:rsidRDefault="007D369E" w:rsidP="00EB795B">
      <w:pPr>
        <w:pStyle w:val="Caption"/>
      </w:pPr>
      <w:bookmarkStart w:id="43" w:name="_Ref449707514"/>
      <w:bookmarkStart w:id="44" w:name="_Toc457320588"/>
      <w:bookmarkStart w:id="45" w:name="_Toc458938363"/>
      <w:r w:rsidRPr="00EB795B">
        <w:t>Figure I.3.</w:t>
      </w:r>
      <w:r w:rsidR="00443010">
        <w:fldChar w:fldCharType="begin"/>
      </w:r>
      <w:r w:rsidR="00443010">
        <w:instrText xml:space="preserve"> STYLEREF 3 \s </w:instrText>
      </w:r>
      <w:r w:rsidR="00443010">
        <w:fldChar w:fldCharType="separate"/>
      </w:r>
      <w:r w:rsidR="000A0E3D">
        <w:rPr>
          <w:noProof/>
        </w:rPr>
        <w:t>a</w:t>
      </w:r>
      <w:r w:rsidR="00443010">
        <w:rPr>
          <w:noProof/>
        </w:rPr>
        <w:fldChar w:fldCharType="end"/>
      </w:r>
      <w:r w:rsidRPr="00EB795B">
        <w:t>.</w:t>
      </w:r>
      <w:r w:rsidR="00443010">
        <w:fldChar w:fldCharType="begin"/>
      </w:r>
      <w:r w:rsidR="00443010">
        <w:instrText xml:space="preserve"> SEQ Figure_I._3. \* ARABIC \s 3 </w:instrText>
      </w:r>
      <w:r w:rsidR="00443010">
        <w:fldChar w:fldCharType="separate"/>
      </w:r>
      <w:r w:rsidR="000A0E3D">
        <w:rPr>
          <w:noProof/>
        </w:rPr>
        <w:t>9</w:t>
      </w:r>
      <w:r w:rsidR="00443010">
        <w:rPr>
          <w:noProof/>
        </w:rPr>
        <w:fldChar w:fldCharType="end"/>
      </w:r>
      <w:bookmarkEnd w:id="43"/>
      <w:r w:rsidR="00915118" w:rsidRPr="00EB795B">
        <w:t xml:space="preserve"> </w:t>
      </w:r>
      <w:r w:rsidR="00216D29" w:rsidRPr="00EB795B">
        <w:t xml:space="preserve">Calculated lowest energy profile for hydrogen, </w:t>
      </w:r>
      <w:r w:rsidR="00374955" w:rsidRPr="00EB795B">
        <w:t>Me</w:t>
      </w:r>
      <w:r w:rsidR="00216D29" w:rsidRPr="00EB795B">
        <w:t>ReO</w:t>
      </w:r>
      <w:r w:rsidR="00216D29" w:rsidRPr="00072EEF">
        <w:rPr>
          <w:vertAlign w:val="subscript"/>
        </w:rPr>
        <w:t>3</w:t>
      </w:r>
      <w:r w:rsidR="00216D29" w:rsidRPr="00EB795B">
        <w:t>- catalyzed DODH</w:t>
      </w:r>
      <w:bookmarkEnd w:id="44"/>
      <w:bookmarkEnd w:id="45"/>
    </w:p>
    <w:p w14:paraId="6AAA2516" w14:textId="77777777" w:rsidR="00216D29" w:rsidRDefault="00216D29" w:rsidP="003E463F">
      <w:pPr>
        <w:rPr>
          <w:rFonts w:cstheme="minorHAnsi"/>
        </w:rPr>
      </w:pPr>
    </w:p>
    <w:p w14:paraId="7D964AD8" w14:textId="77777777" w:rsidR="00443010" w:rsidRPr="00E47369" w:rsidRDefault="00443010" w:rsidP="003E463F">
      <w:pPr>
        <w:rPr>
          <w:rFonts w:cstheme="minorHAnsi"/>
        </w:rPr>
      </w:pPr>
    </w:p>
    <w:p w14:paraId="1C5DAE23" w14:textId="77777777" w:rsidR="00216D29" w:rsidRPr="00E47369" w:rsidRDefault="00216D29" w:rsidP="006042D0">
      <w:pPr>
        <w:pStyle w:val="Heading41"/>
        <w:rPr>
          <w:rFonts w:cstheme="minorHAnsi"/>
        </w:rPr>
      </w:pPr>
      <w:r w:rsidRPr="00E47369">
        <w:rPr>
          <w:rFonts w:cstheme="minorHAnsi"/>
        </w:rPr>
        <w:t>Sulfite Reductant</w:t>
      </w:r>
    </w:p>
    <w:p w14:paraId="50EE32D4" w14:textId="7127FA05" w:rsidR="00216D29" w:rsidRPr="00E47369" w:rsidRDefault="00216D29" w:rsidP="006042D0">
      <w:pPr>
        <w:ind w:firstLine="360"/>
        <w:jc w:val="both"/>
        <w:rPr>
          <w:rFonts w:cstheme="minorHAnsi"/>
        </w:rPr>
      </w:pPr>
      <w:r w:rsidRPr="00E47369">
        <w:rPr>
          <w:rFonts w:cstheme="minorHAnsi"/>
        </w:rPr>
        <w:t>Soon thereafter the Nicholas group reported DODH and epoxide deoxygenation reactions driven by sulfite salts and catalyzed by LReO</w:t>
      </w:r>
      <w:r w:rsidRPr="00E47369">
        <w:rPr>
          <w:rFonts w:cstheme="minorHAnsi"/>
          <w:vertAlign w:val="subscript"/>
        </w:rPr>
        <w:t>3,4</w:t>
      </w:r>
      <w:r w:rsidRPr="00E47369">
        <w:rPr>
          <w:rFonts w:cstheme="minorHAnsi"/>
        </w:rPr>
        <w:t xml:space="preserve"> derivatives (</w:t>
      </w:r>
      <w:r w:rsidR="008E146E" w:rsidRPr="00E47369">
        <w:rPr>
          <w:rFonts w:cstheme="minorHAnsi"/>
        </w:rPr>
        <w:fldChar w:fldCharType="begin"/>
      </w:r>
      <w:r w:rsidR="008E146E" w:rsidRPr="00E47369">
        <w:rPr>
          <w:rFonts w:cstheme="minorHAnsi"/>
        </w:rPr>
        <w:instrText xml:space="preserve"> REF _Ref449891955 \h </w:instrText>
      </w:r>
      <w:r w:rsidR="003E463F" w:rsidRPr="00E47369">
        <w:rPr>
          <w:rFonts w:cstheme="minorHAnsi"/>
        </w:rPr>
        <w:instrText xml:space="preserve"> \* MERGEFORMAT </w:instrText>
      </w:r>
      <w:r w:rsidR="008E146E" w:rsidRPr="00E47369">
        <w:rPr>
          <w:rFonts w:cstheme="minorHAnsi"/>
        </w:rPr>
      </w:r>
      <w:r w:rsidR="008E146E" w:rsidRPr="00E47369">
        <w:rPr>
          <w:rFonts w:cstheme="minorHAnsi"/>
        </w:rPr>
        <w:fldChar w:fldCharType="separate"/>
      </w:r>
      <w:r w:rsidR="000A0E3D" w:rsidRPr="000A0E3D">
        <w:rPr>
          <w:rFonts w:cstheme="minorHAnsi"/>
        </w:rPr>
        <w:t>Figure I.3.a.10</w:t>
      </w:r>
      <w:r w:rsidR="008E146E" w:rsidRPr="00E47369">
        <w:rPr>
          <w:rFonts w:cstheme="minorHAnsi"/>
        </w:rPr>
        <w:fldChar w:fldCharType="end"/>
      </w:r>
      <w:r w:rsidRPr="00E47369">
        <w:rPr>
          <w:rFonts w:cstheme="minorHAnsi"/>
        </w:rPr>
        <w:t>). Sulfite is an inexpensive and thermodynamically strong reductant, comparable to H</w:t>
      </w:r>
      <w:r w:rsidRPr="00E47369">
        <w:rPr>
          <w:rFonts w:cstheme="minorHAnsi"/>
          <w:vertAlign w:val="subscript"/>
        </w:rPr>
        <w:t>2</w:t>
      </w:r>
      <w:r w:rsidRPr="00E47369">
        <w:rPr>
          <w:rFonts w:cstheme="minorHAnsi"/>
        </w:rPr>
        <w:t xml:space="preserve"> and CO.</w:t>
      </w:r>
      <w:r w:rsidRPr="00E47369">
        <w:rPr>
          <w:rFonts w:cstheme="minorHAnsi"/>
        </w:rPr>
        <w:fldChar w:fldCharType="begin"/>
      </w:r>
      <w:r w:rsidR="006D0CD6" w:rsidRPr="00E47369">
        <w:rPr>
          <w:rFonts w:cstheme="minorHAnsi"/>
        </w:rPr>
        <w:instrText xml:space="preserve"> ADDIN ZOTERO_ITEM CSL_CITATION {"citationID":"imq4pdlhv","properties":{"formattedCitation":"{\\rtf \\super 35,36\\nosupersub{}}","plainCitation":"35,36"},"citationItems":[{"id":360,"uris":["http://zotero.org/users/1624234/items/Q5NZBIZJ"],"uri":["http://zotero.org/users/1624234/items/Q5NZBIZJ"],"itemData":{"id":360,"type":"article-journal","title":"Sulfite-Driven, Oxorhenium-Catalyzed Deoxydehydration of Glycols","container-title":"Organometallics","page":"2810-2818","volume":"30","issue":"10","source":"CrossRef","DOI":"10.1021/om2001662","ISSN":"0276-7333, 1520-6041","author":[{"family":"Ahmad","given":"Irshad"},{"family":"Chapman","given":"Garry"},{"family":"Nicholas","given":"Kenneth M."}],"issued":{"date-parts":[["2011",5,23]]}}},{"id":238,"uris":["http://zotero.org/users/1624234/items/G85QQDVR"],"uri":["http://zotero.org/users/1624234/items/G85QQDVR"],"itemData":{"id":238,"type":"article-journal","title":"Rhenium-Catalyzed Deoxydehydration of Glycols by Sulfite","container-title":"Inorganic Chemistry","page":"4744-4746","volume":"49","issue":"11","source":"CrossRef","DOI":"10.1021/ic100467p","ISSN":"0020-1669, 1520-510X","author":[{"family":"Vkuturi","given":"Saidi"},{"family":"Chapman","given":"Garry"},{"family":"Ahmad","given":"Irshad"},{"family":"Nicholas","given":"Kenneth M."}],"issued":{"date-parts":[["2010",6,7]]}}}],"schema":"https://github.com/citation-style-language/schema/raw/master/csl-citation.json"} </w:instrText>
      </w:r>
      <w:r w:rsidRPr="00E47369">
        <w:rPr>
          <w:rFonts w:cstheme="minorHAnsi"/>
        </w:rPr>
        <w:fldChar w:fldCharType="separate"/>
      </w:r>
      <w:r w:rsidRPr="00E47369">
        <w:rPr>
          <w:rFonts w:cstheme="minorHAnsi"/>
          <w:sz w:val="22"/>
          <w:vertAlign w:val="superscript"/>
        </w:rPr>
        <w:t>35,36</w:t>
      </w:r>
      <w:r w:rsidRPr="00E47369">
        <w:rPr>
          <w:rFonts w:cstheme="minorHAnsi"/>
        </w:rPr>
        <w:fldChar w:fldCharType="end"/>
      </w:r>
      <w:r w:rsidRPr="00E47369">
        <w:rPr>
          <w:rFonts w:cstheme="minorHAnsi"/>
        </w:rPr>
        <w:t xml:space="preserve"> A variety of glycol substrates are efficiently transformed </w:t>
      </w:r>
      <w:r w:rsidRPr="00E47369">
        <w:rPr>
          <w:rFonts w:cstheme="minorHAnsi"/>
          <w:color w:val="000000" w:themeColor="text1"/>
        </w:rPr>
        <w:t>into olefins (50-80% yields) with this system operating most effectively with MeReO</w:t>
      </w:r>
      <w:r w:rsidRPr="00E47369">
        <w:rPr>
          <w:rFonts w:cstheme="minorHAnsi"/>
          <w:color w:val="000000" w:themeColor="text1"/>
          <w:vertAlign w:val="subscript"/>
        </w:rPr>
        <w:t>3</w:t>
      </w:r>
      <w:r w:rsidRPr="00E47369">
        <w:rPr>
          <w:rFonts w:cstheme="minorHAnsi"/>
          <w:color w:val="000000" w:themeColor="text1"/>
        </w:rPr>
        <w:t xml:space="preserve"> or Bu</w:t>
      </w:r>
      <w:r w:rsidRPr="00E47369">
        <w:rPr>
          <w:rFonts w:cstheme="minorHAnsi"/>
          <w:color w:val="000000" w:themeColor="text1"/>
          <w:vertAlign w:val="subscript"/>
        </w:rPr>
        <w:t>4</w:t>
      </w:r>
      <w:r w:rsidRPr="00E47369">
        <w:rPr>
          <w:rFonts w:cstheme="minorHAnsi"/>
          <w:color w:val="000000" w:themeColor="text1"/>
        </w:rPr>
        <w:t>N</w:t>
      </w:r>
      <w:r w:rsidRPr="00E47369">
        <w:rPr>
          <w:rFonts w:cstheme="minorHAnsi"/>
          <w:color w:val="000000" w:themeColor="text1"/>
          <w:vertAlign w:val="superscript"/>
        </w:rPr>
        <w:t>+</w:t>
      </w:r>
      <w:r w:rsidRPr="00E47369">
        <w:rPr>
          <w:rFonts w:cstheme="minorHAnsi"/>
          <w:color w:val="000000" w:themeColor="text1"/>
        </w:rPr>
        <w:t>ReO</w:t>
      </w:r>
      <w:r w:rsidRPr="00E47369">
        <w:rPr>
          <w:rFonts w:cstheme="minorHAnsi"/>
          <w:color w:val="000000" w:themeColor="text1"/>
          <w:vertAlign w:val="subscript"/>
        </w:rPr>
        <w:t>4</w:t>
      </w:r>
      <w:r w:rsidRPr="00E47369">
        <w:rPr>
          <w:rFonts w:cstheme="minorHAnsi"/>
          <w:color w:val="000000" w:themeColor="text1"/>
          <w:vertAlign w:val="superscript"/>
        </w:rPr>
        <w:t>-</w:t>
      </w:r>
      <w:r w:rsidRPr="00E47369">
        <w:rPr>
          <w:rFonts w:cstheme="minorHAnsi"/>
          <w:color w:val="000000" w:themeColor="text1"/>
        </w:rPr>
        <w:t xml:space="preserve"> (2-10 mol%) in aromatic solvents at 150</w:t>
      </w:r>
      <w:r w:rsidRPr="00E47369">
        <w:rPr>
          <w:rFonts w:cstheme="minorHAnsi"/>
          <w:color w:val="000000" w:themeColor="text1"/>
          <w:vertAlign w:val="superscript"/>
        </w:rPr>
        <w:t>o</w:t>
      </w:r>
      <w:r w:rsidRPr="00E47369">
        <w:rPr>
          <w:rFonts w:cstheme="minorHAnsi"/>
          <w:color w:val="000000" w:themeColor="text1"/>
        </w:rPr>
        <w:t xml:space="preserve">C; yields and reaction rates are improved by the inclusion of 15-crown-5, presumably by increasing the solubility of the sulfite salt. Selective syn-elimination of the glycol was demonstrated by the preferential DODH of </w:t>
      </w:r>
      <w:r w:rsidRPr="00E47369">
        <w:rPr>
          <w:rFonts w:cstheme="minorHAnsi"/>
        </w:rPr>
        <w:t>cis-1,2-cyclohexanediol and the stereoselective conversion of l-diethyl tartrate to (trans)-diethyl fumarate (</w:t>
      </w:r>
      <w:r w:rsidR="008E146E" w:rsidRPr="00E47369">
        <w:rPr>
          <w:rFonts w:cstheme="minorHAnsi"/>
        </w:rPr>
        <w:fldChar w:fldCharType="begin"/>
      </w:r>
      <w:r w:rsidR="008E146E" w:rsidRPr="00E47369">
        <w:rPr>
          <w:rFonts w:cstheme="minorHAnsi"/>
        </w:rPr>
        <w:instrText xml:space="preserve"> REF _Ref449891987 \h </w:instrText>
      </w:r>
      <w:r w:rsidR="003E463F" w:rsidRPr="00E47369">
        <w:rPr>
          <w:rFonts w:cstheme="minorHAnsi"/>
        </w:rPr>
        <w:instrText xml:space="preserve"> \* MERGEFORMAT </w:instrText>
      </w:r>
      <w:r w:rsidR="008E146E" w:rsidRPr="00E47369">
        <w:rPr>
          <w:rFonts w:cstheme="minorHAnsi"/>
        </w:rPr>
      </w:r>
      <w:r w:rsidR="008E146E" w:rsidRPr="00E47369">
        <w:rPr>
          <w:rFonts w:cstheme="minorHAnsi"/>
        </w:rPr>
        <w:fldChar w:fldCharType="separate"/>
      </w:r>
      <w:r w:rsidR="000A0E3D" w:rsidRPr="000A0E3D">
        <w:rPr>
          <w:rFonts w:cstheme="minorHAnsi"/>
        </w:rPr>
        <w:t>Figure I.3.a.11</w:t>
      </w:r>
      <w:r w:rsidR="008E146E" w:rsidRPr="00E47369">
        <w:rPr>
          <w:rFonts w:cstheme="minorHAnsi"/>
        </w:rPr>
        <w:fldChar w:fldCharType="end"/>
      </w:r>
      <w:r w:rsidRPr="00E47369">
        <w:rPr>
          <w:rFonts w:cstheme="minorHAnsi"/>
        </w:rPr>
        <w:t>). In a limited study erythritol was converted by Bu</w:t>
      </w:r>
      <w:r w:rsidRPr="00E47369">
        <w:rPr>
          <w:rFonts w:cstheme="minorHAnsi"/>
          <w:vertAlign w:val="subscript"/>
        </w:rPr>
        <w:t>4</w:t>
      </w:r>
      <w:r w:rsidRPr="00E47369">
        <w:rPr>
          <w:rFonts w:cstheme="minorHAnsi"/>
        </w:rPr>
        <w:t>NReO</w:t>
      </w:r>
      <w:r w:rsidRPr="00E47369">
        <w:rPr>
          <w:rFonts w:cstheme="minorHAnsi"/>
          <w:vertAlign w:val="subscript"/>
        </w:rPr>
        <w:t>4</w:t>
      </w:r>
      <w:r w:rsidRPr="00E47369">
        <w:rPr>
          <w:rFonts w:cstheme="minorHAnsi"/>
        </w:rPr>
        <w:t>/Na</w:t>
      </w:r>
      <w:r w:rsidRPr="00E47369">
        <w:rPr>
          <w:rFonts w:cstheme="minorHAnsi"/>
          <w:vertAlign w:val="subscript"/>
        </w:rPr>
        <w:t>2</w:t>
      </w:r>
      <w:r w:rsidRPr="00E47369">
        <w:rPr>
          <w:rFonts w:cstheme="minorHAnsi"/>
        </w:rPr>
        <w:t>SO</w:t>
      </w:r>
      <w:r w:rsidRPr="00E47369">
        <w:rPr>
          <w:rFonts w:cstheme="minorHAnsi"/>
          <w:vertAlign w:val="subscript"/>
        </w:rPr>
        <w:t>3</w:t>
      </w:r>
      <w:r w:rsidRPr="00E47369">
        <w:rPr>
          <w:rFonts w:cstheme="minorHAnsi"/>
        </w:rPr>
        <w:t xml:space="preserve"> largely to 1,3-butadiene along with 2,5-dihydrofuran and 2-butene-1,4-diol (5:1:0.5). Representative epoxides were deoxygenated by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rPr>
          <w:rFonts w:cstheme="minorHAnsi"/>
        </w:rPr>
        <w:t>/Na</w:t>
      </w:r>
      <w:r w:rsidRPr="00E47369">
        <w:rPr>
          <w:rFonts w:cstheme="minorHAnsi"/>
          <w:vertAlign w:val="subscript"/>
        </w:rPr>
        <w:t>2</w:t>
      </w:r>
      <w:r w:rsidRPr="00E47369">
        <w:rPr>
          <w:rFonts w:cstheme="minorHAnsi"/>
        </w:rPr>
        <w:t>SO</w:t>
      </w:r>
      <w:r w:rsidRPr="00E47369">
        <w:rPr>
          <w:rFonts w:cstheme="minorHAnsi"/>
          <w:vertAlign w:val="subscript"/>
        </w:rPr>
        <w:t>3</w:t>
      </w:r>
      <w:r w:rsidRPr="00E47369">
        <w:rPr>
          <w:rFonts w:cstheme="minorHAnsi"/>
        </w:rPr>
        <w:t xml:space="preserve"> in moderate yields. Lewis base additives (e.g. amines) and potentially coordinating solvents (e.g. ethers, nitriles) were found to inhibit the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rPr>
          <w:rFonts w:cstheme="minorHAnsi"/>
        </w:rPr>
        <w:t>-based reactions, but had little effect on the yields/conversions of those catalyzed by Bu</w:t>
      </w:r>
      <w:r w:rsidRPr="00E47369">
        <w:rPr>
          <w:rFonts w:cstheme="minorHAnsi"/>
          <w:vertAlign w:val="subscript"/>
        </w:rPr>
        <w:t>4</w:t>
      </w:r>
      <w:r w:rsidRPr="00E47369">
        <w:rPr>
          <w:rFonts w:cstheme="minorHAnsi"/>
        </w:rPr>
        <w:t>N</w:t>
      </w:r>
      <w:r w:rsidRPr="00E47369">
        <w:rPr>
          <w:rFonts w:cstheme="minorHAnsi"/>
          <w:vertAlign w:val="superscript"/>
        </w:rPr>
        <w:t>+</w:t>
      </w:r>
      <w:r w:rsidRPr="00E47369">
        <w:rPr>
          <w:rFonts w:cstheme="minorHAnsi"/>
        </w:rPr>
        <w:t>ReO</w:t>
      </w:r>
      <w:r w:rsidRPr="00E47369">
        <w:rPr>
          <w:rFonts w:cstheme="minorHAnsi"/>
          <w:vertAlign w:val="subscript"/>
        </w:rPr>
        <w:t>4</w:t>
      </w:r>
      <w:r w:rsidRPr="00E47369">
        <w:rPr>
          <w:rFonts w:cstheme="minorHAnsi"/>
          <w:vertAlign w:val="superscript"/>
        </w:rPr>
        <w:t>-</w:t>
      </w:r>
      <w:r w:rsidRPr="00E47369">
        <w:rPr>
          <w:rFonts w:cstheme="minorHAnsi"/>
        </w:rPr>
        <w:t>. This may be the result of the high Lewis acidity of MeReO</w:t>
      </w:r>
      <w:r w:rsidRPr="00E47369">
        <w:rPr>
          <w:rFonts w:cstheme="minorHAnsi"/>
          <w:vertAlign w:val="subscript"/>
        </w:rPr>
        <w:t>3</w:t>
      </w:r>
      <w:r w:rsidRPr="00E47369">
        <w:rPr>
          <w:rFonts w:cstheme="minorHAnsi"/>
        </w:rPr>
        <w:t>,</w:t>
      </w:r>
      <w:r w:rsidRPr="00E47369">
        <w:rPr>
          <w:rFonts w:cstheme="minorHAnsi"/>
        </w:rPr>
        <w:fldChar w:fldCharType="begin"/>
      </w:r>
      <w:r w:rsidR="006D0CD6" w:rsidRPr="00E47369">
        <w:rPr>
          <w:rFonts w:cstheme="minorHAnsi"/>
        </w:rPr>
        <w:instrText xml:space="preserve"> ADDIN ZOTERO_ITEM CSL_CITATION {"citationID":"qca1vfqg0","properties":{"formattedCitation":"{\\rtf \\super 37\\uc0\\u8211{}39\\nosupersub{}}","plainCitation":"37–39"},"citationItems":[{"id":1574,"uris":["http://zotero.org/users/1624234/items/C7CVD7HF"],"uri":["http://zotero.org/users/1624234/items/C7CVD7HF"],"itemData":{"id":1574,"type":"article-journal","title":"Adduct Formation of Dichloridodioxidomolybdenum(VI) and Methyltrioxidorhenium(VII) with a Series of Bidentate Nitrogen Donor Ligands","container-title":"European Journal of Inorganic Chemistry","page":"1019-1026","volume":"2009","issue":"8","source":"Wiley Online Library","abstract":"The stability of a variety of bidentate N-base adducts of MoO2Cl2 and (CH3)ReO3 (MTO) was investigated in thf and CH2Cl2 as solvents. The formation constants were determined from the spectrophotometric data based on 1:1 adduct formation. The adduct formation constants for [MoO2Cl2L2] (L2 = bidentate nitrogen ligand) are 104–106 times higher than those for [(CH3)ReO3L2] with the same ligands under the same conditions. The adduct stability of both systems is very sensitive to the electronic nature of the ligands and increases with their donor ability. Hammett correlations of the formation constants against σ give relatively large negative values for the reaction constants (ρRe = –5.9, ρMo = –6.6). The stability is also governed by steric and strain factors. Thus, sterically hindered 6,6′-disubstituted-2,2′-bipyridines do not form adducts with MTO, and only 6,6′-dimethyl- and 6,6′-diphenyl-2,2′-bipyridines form adducts with MoO2Cl2. However, these adducts are much less stable than other methyl derivatives of 2,2′-bipridine adducts. The steric strain between the two methyl groups in 3,3-dimethyl-2,2′-bipyridine influences the bipyridine planarity upon complexation and reduces the adduct stability. The thermodynamic parameters (enthalpy and entropy) were determined from temperature-dependence studies. The adduct stability is mainly due to the strongly exothermic binding of the nitrogen-bidentate ligand. The entropy change is small and has little effect on adduct stability.(© Wiley-VCH Verlag GmbH &amp; Co. KGaA, 69451 Weinheim, Germany, 2009)","DOI":"10.1002/ejic.200801103","ISSN":"1099-0682","journalAbbreviation":"Eur. J. Inorg. Chem.","language":"en","author":[{"family":"Al-Ajlouni","given":"Ahmad M."},{"family":"Günyar","given":"Alev"},{"family":"Zhou","given":"Ming-Dong"},{"family":"Baxter","given":"Paul N. W."},{"family":"Kühn","given":"Fritz E."}],"issued":{"date-parts":[["2009",3,1]]}}},{"id":1577,"uris":["http://zotero.org/users/1624234/items/QZA55VEF"],"uri":["http://zotero.org/users/1624234/items/QZA55VEF"],"itemData":{"id":1577,"type":"article-journal","title":"Mono- and Bis- Methyltrioxorhenium(VII) Complexes with Salen Ligands: Synthesis, Properties, Applications","container-title":"Inorganic Chemistry","page":"6812-6822","volume":"48","issue":"14","source":"ACS Publications","abstract":"Methyltrioxorhenium(VII) (MTO) forms 1:1 (mono-) or/and 2:1 (bis-) complexes with salen ligands, undergoing a hydrogen transfer from a ligand-bound OH-group to a ligand nitrogen atom. Some complexes show good stability both in the solid state and in solution, while others must be kept at low temperatures under an argon atmosphere. X-ray crystallography shows distorted trigonal bipyramidal structures of all examined complexes in the solid state, this structure being due to the steric demands of the ligands, with the methyl group of MTO residing in the apical sites in the cis position. Temperature-dependent proton NMR data indicate that the coordination between salen ligands and MTO at low temperatures is considerably stronger than at room temperature. Density functional theory calculations have been performed to find approximate structures for all described complexes and to try to find a rationale for the preferred formation of mono- versus bis-MTO complexes. The formation of mono- or bis-MTO adducts is dependent on both the steric and the electronic influence of the respective salen ligands. The catalytic performance is strongly influenced by the ring substitution. Two MTO molecules coordinated to one salen ligand lead to an additional boost of catalytic activity because there is not only double the amount of catalytic centers present but also a ?ligand enhanced? activity increase.","DOI":"10.1021/ic900761u","ISSN":"0020-1669","shortTitle":"Mono- and Bis- Methyltrioxorhenium(VII) Complexes with Salen Ligands","journalAbbreviation":"Inorg. Chem.","author":[{"family":"Xu","given":"Zhaoqing"},{"family":"Zhou","given":"Ming-Dong"},{"family":"Drees","given":"Markus"},{"family":"Chaffey-Millar","given":"Hugh"},{"family":"Herdtweck","given":"Eberhardt"},{"family":"Herrmann","given":"Wolfgang A."},{"family":"Kühn","given":"Fritz E."}],"issued":{"date-parts":[["2009",7,20]]}}},{"id":1580,"uris":["http://zotero.org/users/1624234/items/G8WRKX4E"],"uri":["http://zotero.org/users/1624234/items/G8WRKX4E"],"itemData":{"id":1580,"type":"article-journal","title":"Synthesis of methyltrioxorhenium(VII) arylamine complexes and mono- and bis(ortho)-chelated arylaminorhenium(VII) trioxides","container-title":"Journal of Organometallic Chemistry","page":"159-167","volume":"530","issue":"1–2","source":"ScienceDirect","abstract":"From the reaction of MeReO3 with the neutral arylamine C6H5CH2NMe2 and the aryldiamine C6H4(CH2NMe2)2−1,3, have been isolated in good yields the 1/1 adduct complex [MeReO3 · C6H5CH2NMe2], 1, and the 2/1 adduct complex [(MeReO3)2 · C6H4(CH2NMe2)2− 1,3], 2, respectively. The X-ray molecular structure of 2 shows that both rhenium centres have a trigonal bipyramidal geometry and in the axial positions of each rhenium centre are one of the NMe2 units of the aryldiamine ligand and a methyl group. The mono(ortho)-chelated arylaminorhenium trioxide complex [ReO3(C6H4CH2NMe2−2], 3, can be synthesized by a transmetallation reaction of ClReO3 with [ZnC6H4CH2NMe2−22] in a 2:1 molar ratio. In a similar way the bis(ortho)-chelated arylaminorhenium trioxide complex [ReO3C6H3(CH2NMe2)2−2,6], 4, can be synthesized by addition of a mixture of [Li2C6H3(CH2NMe2)2−2,62] and ZnCl2 to ClReO3. Complexes 3 and 4 have been isolated as white solids in 66% and 81% yields respectively. The rhenium centre in complex 4 has a bicapped tetrahedral geometry in which the monoanionic C6H3(CH2NMe2)2−2,6− ligand is pseudo-facially bonded with a characteristic N1-Re-N2 angle of 107.7(3)°, a Re-Cipso bond length of 2.112(11) Å and Re-N1 and Re-N2 bond lengths of 2.518(9) Å and 2.480(8) Å respectively.","DOI":"10.1016/S0022-328X(96)06665-X","ISSN":"0022-328X","journalAbbreviation":"Journal of Organometallic Chemistry","author":[{"family":"Rietveld","given":"Marco H. P."},{"family":"Nagelholt","given":"Lammert"},{"family":"Grove","given":"David M."},{"family":"Veldman","given":"Nora"},{"family":"Spek","given":"Anthony L."},{"family":"Rauch","given":"Monika U."},{"family":"Herrmann","given":"Wolfgang A."},{"family":"Koten","given":"Gerard","non-dropping-particle":"van"}],"issued":{"date-parts":[["1997",3,1]]}}}],"schema":"https://github.com/citation-style-language/schema/raw/master/csl-citation.json"} </w:instrText>
      </w:r>
      <w:r w:rsidRPr="00E47369">
        <w:rPr>
          <w:rFonts w:cstheme="minorHAnsi"/>
        </w:rPr>
        <w:fldChar w:fldCharType="separate"/>
      </w:r>
      <w:r w:rsidRPr="00E47369">
        <w:rPr>
          <w:rFonts w:cstheme="minorHAnsi"/>
          <w:sz w:val="22"/>
          <w:vertAlign w:val="superscript"/>
        </w:rPr>
        <w:t>37–39</w:t>
      </w:r>
      <w:r w:rsidRPr="00E47369">
        <w:rPr>
          <w:rFonts w:cstheme="minorHAnsi"/>
        </w:rPr>
        <w:fldChar w:fldCharType="end"/>
      </w:r>
      <w:r w:rsidRPr="00E47369">
        <w:rPr>
          <w:rFonts w:cstheme="minorHAnsi"/>
        </w:rPr>
        <w:t xml:space="preserve"> by which coordination of donor ligands can inhibit both glycol association and alkene extrusion from the metalloglycolate (vide infra).</w:t>
      </w:r>
    </w:p>
    <w:p w14:paraId="5D20DF1B" w14:textId="77777777" w:rsidR="008E146E" w:rsidRPr="00E47369" w:rsidRDefault="001539C6" w:rsidP="003E463F">
      <w:pPr>
        <w:keepNext/>
        <w:jc w:val="center"/>
        <w:rPr>
          <w:rFonts w:cstheme="minorHAnsi"/>
        </w:rPr>
      </w:pPr>
      <w:r w:rsidRPr="00E47369">
        <w:rPr>
          <w:rFonts w:cstheme="minorHAnsi"/>
        </w:rPr>
        <w:object w:dxaOrig="4195" w:dyaOrig="2392" w14:anchorId="3F371B0E">
          <v:shape id="_x0000_i1242" type="#_x0000_t75" style="width:211.25pt;height:118.7pt" o:ole="">
            <v:imagedata r:id="rId34" o:title=""/>
          </v:shape>
          <o:OLEObject Type="Embed" ProgID="ChemDraw.Document.6.0" ShapeID="_x0000_i1242" DrawAspect="Content" ObjectID="_1532784891" r:id="rId35"/>
        </w:object>
      </w:r>
    </w:p>
    <w:p w14:paraId="511C04D2" w14:textId="77777777" w:rsidR="00216D29" w:rsidRPr="00EB795B" w:rsidRDefault="007D369E" w:rsidP="00EB795B">
      <w:pPr>
        <w:pStyle w:val="Caption"/>
      </w:pPr>
      <w:bookmarkStart w:id="46" w:name="_Ref449891955"/>
      <w:bookmarkStart w:id="47" w:name="_Toc457320589"/>
      <w:bookmarkStart w:id="48" w:name="_Toc458938364"/>
      <w:r w:rsidRPr="00EB795B">
        <w:t>Figure I.3.</w:t>
      </w:r>
      <w:r w:rsidR="00443010">
        <w:fldChar w:fldCharType="begin"/>
      </w:r>
      <w:r w:rsidR="00443010">
        <w:instrText xml:space="preserve"> STYLEREF 3 \s </w:instrText>
      </w:r>
      <w:r w:rsidR="00443010">
        <w:fldChar w:fldCharType="separate"/>
      </w:r>
      <w:r w:rsidR="000A0E3D">
        <w:rPr>
          <w:noProof/>
        </w:rPr>
        <w:t>a</w:t>
      </w:r>
      <w:r w:rsidR="00443010">
        <w:rPr>
          <w:noProof/>
        </w:rPr>
        <w:fldChar w:fldCharType="end"/>
      </w:r>
      <w:r w:rsidRPr="00EB795B">
        <w:t>.</w:t>
      </w:r>
      <w:r w:rsidR="00443010">
        <w:fldChar w:fldCharType="begin"/>
      </w:r>
      <w:r w:rsidR="00443010">
        <w:instrText xml:space="preserve"> SEQ Figure_I._3. \* ARABIC \s 3 </w:instrText>
      </w:r>
      <w:r w:rsidR="00443010">
        <w:fldChar w:fldCharType="separate"/>
      </w:r>
      <w:r w:rsidR="000A0E3D">
        <w:rPr>
          <w:noProof/>
        </w:rPr>
        <w:t>10</w:t>
      </w:r>
      <w:r w:rsidR="00443010">
        <w:rPr>
          <w:noProof/>
        </w:rPr>
        <w:fldChar w:fldCharType="end"/>
      </w:r>
      <w:bookmarkEnd w:id="46"/>
      <w:r w:rsidR="008E146E" w:rsidRPr="00EB795B">
        <w:t xml:space="preserve"> </w:t>
      </w:r>
      <w:r w:rsidR="00216D29" w:rsidRPr="00EB795B">
        <w:t>Summary of DODH system</w:t>
      </w:r>
      <w:r w:rsidR="005943F9">
        <w:t>s</w:t>
      </w:r>
      <w:r w:rsidR="00216D29" w:rsidRPr="00EB795B">
        <w:t xml:space="preserve"> using sulfite as reducing agent</w:t>
      </w:r>
      <w:bookmarkEnd w:id="47"/>
      <w:bookmarkEnd w:id="48"/>
    </w:p>
    <w:p w14:paraId="3AF1C95A" w14:textId="77777777" w:rsidR="00536AE9" w:rsidRPr="00E47369" w:rsidRDefault="00536AE9" w:rsidP="00536AE9">
      <w:pPr>
        <w:rPr>
          <w:rFonts w:cstheme="minorHAnsi"/>
        </w:rPr>
      </w:pPr>
    </w:p>
    <w:p w14:paraId="68C64C19" w14:textId="77777777" w:rsidR="008E146E" w:rsidRPr="00E47369" w:rsidRDefault="00216D29" w:rsidP="003E463F">
      <w:pPr>
        <w:keepNext/>
        <w:jc w:val="center"/>
        <w:rPr>
          <w:rFonts w:cstheme="minorHAnsi"/>
        </w:rPr>
      </w:pPr>
      <w:r w:rsidRPr="00E47369">
        <w:rPr>
          <w:rFonts w:cstheme="minorHAnsi"/>
        </w:rPr>
        <w:object w:dxaOrig="3773" w:dyaOrig="1870" w14:anchorId="4015C06D">
          <v:shape id="_x0000_i1038" type="#_x0000_t75" style="width:195.45pt;height:97.3pt" o:ole="">
            <v:imagedata r:id="rId36" o:title=""/>
          </v:shape>
          <o:OLEObject Type="Embed" ProgID="ChemDraw.Document.6.0" ShapeID="_x0000_i1038" DrawAspect="Content" ObjectID="_1532784892" r:id="rId37"/>
        </w:object>
      </w:r>
    </w:p>
    <w:p w14:paraId="1A624316" w14:textId="77777777" w:rsidR="00216D29" w:rsidRPr="00EB795B" w:rsidRDefault="007D369E" w:rsidP="00EB795B">
      <w:pPr>
        <w:pStyle w:val="Caption"/>
      </w:pPr>
      <w:bookmarkStart w:id="49" w:name="_Ref449891987"/>
      <w:bookmarkStart w:id="50" w:name="_Toc457320590"/>
      <w:bookmarkStart w:id="51" w:name="_Toc458938365"/>
      <w:r w:rsidRPr="00EB795B">
        <w:t>Figure I.3.</w:t>
      </w:r>
      <w:r w:rsidR="00443010">
        <w:fldChar w:fldCharType="begin"/>
      </w:r>
      <w:r w:rsidR="00443010">
        <w:instrText xml:space="preserve"> STYLEREF 3 \s </w:instrText>
      </w:r>
      <w:r w:rsidR="00443010">
        <w:fldChar w:fldCharType="separate"/>
      </w:r>
      <w:r w:rsidR="000A0E3D">
        <w:rPr>
          <w:noProof/>
        </w:rPr>
        <w:t>a</w:t>
      </w:r>
      <w:r w:rsidR="00443010">
        <w:rPr>
          <w:noProof/>
        </w:rPr>
        <w:fldChar w:fldCharType="end"/>
      </w:r>
      <w:r w:rsidRPr="00EB795B">
        <w:t>.</w:t>
      </w:r>
      <w:r w:rsidR="00443010">
        <w:fldChar w:fldCharType="begin"/>
      </w:r>
      <w:r w:rsidR="00443010">
        <w:instrText xml:space="preserve"> SEQ Figure_I._3. \* ARABIC \s 3 </w:instrText>
      </w:r>
      <w:r w:rsidR="00443010">
        <w:fldChar w:fldCharType="separate"/>
      </w:r>
      <w:r w:rsidR="000A0E3D">
        <w:rPr>
          <w:noProof/>
        </w:rPr>
        <w:t>11</w:t>
      </w:r>
      <w:r w:rsidR="00443010">
        <w:rPr>
          <w:noProof/>
        </w:rPr>
        <w:fldChar w:fldCharType="end"/>
      </w:r>
      <w:bookmarkEnd w:id="49"/>
      <w:r w:rsidR="008E146E" w:rsidRPr="00EB795B">
        <w:t xml:space="preserve"> </w:t>
      </w:r>
      <w:r w:rsidR="00216D29" w:rsidRPr="00EB795B">
        <w:t>General reaction equation of DODH using sulfite as reducing agent</w:t>
      </w:r>
      <w:bookmarkEnd w:id="50"/>
      <w:bookmarkEnd w:id="51"/>
    </w:p>
    <w:p w14:paraId="46B45AF7" w14:textId="77777777" w:rsidR="00536AE9" w:rsidRPr="00E47369" w:rsidRDefault="00536AE9" w:rsidP="00536AE9">
      <w:pPr>
        <w:rPr>
          <w:rFonts w:cstheme="minorHAnsi"/>
        </w:rPr>
      </w:pPr>
    </w:p>
    <w:p w14:paraId="10128382" w14:textId="77777777" w:rsidR="00216D29" w:rsidRDefault="00216D29" w:rsidP="006042D0">
      <w:pPr>
        <w:ind w:firstLine="360"/>
        <w:jc w:val="both"/>
        <w:rPr>
          <w:rFonts w:cstheme="minorHAnsi"/>
        </w:rPr>
      </w:pPr>
      <w:r w:rsidRPr="00E47369">
        <w:rPr>
          <w:rFonts w:cstheme="minorHAnsi"/>
        </w:rPr>
        <w:t>A stoichiometric reactivity study with styrene-1,2-diol/MeReO</w:t>
      </w:r>
      <w:r w:rsidRPr="00E47369">
        <w:rPr>
          <w:rFonts w:cstheme="minorHAnsi"/>
          <w:vertAlign w:val="subscript"/>
        </w:rPr>
        <w:t>3</w:t>
      </w:r>
      <w:r w:rsidRPr="00E47369">
        <w:rPr>
          <w:rFonts w:cstheme="minorHAnsi"/>
        </w:rPr>
        <w:t xml:space="preserve"> demonstrated the viability of a condensation/reduction/alkene extrusion pathway (</w:t>
      </w:r>
      <w:r w:rsidR="008E146E" w:rsidRPr="00E47369">
        <w:rPr>
          <w:rFonts w:cstheme="minorHAnsi"/>
        </w:rPr>
        <w:fldChar w:fldCharType="begin"/>
      </w:r>
      <w:r w:rsidR="008E146E" w:rsidRPr="00E47369">
        <w:rPr>
          <w:rFonts w:cstheme="minorHAnsi"/>
        </w:rPr>
        <w:instrText xml:space="preserve"> REF _Ref449892037 \h </w:instrText>
      </w:r>
      <w:r w:rsidR="003E463F" w:rsidRPr="00E47369">
        <w:rPr>
          <w:rFonts w:cstheme="minorHAnsi"/>
        </w:rPr>
        <w:instrText xml:space="preserve"> \* MERGEFORMAT </w:instrText>
      </w:r>
      <w:r w:rsidR="008E146E" w:rsidRPr="00E47369">
        <w:rPr>
          <w:rFonts w:cstheme="minorHAnsi"/>
        </w:rPr>
      </w:r>
      <w:r w:rsidR="008E146E" w:rsidRPr="00E47369">
        <w:rPr>
          <w:rFonts w:cstheme="minorHAnsi"/>
        </w:rPr>
        <w:fldChar w:fldCharType="separate"/>
      </w:r>
      <w:r w:rsidR="000A0E3D" w:rsidRPr="000A0E3D">
        <w:rPr>
          <w:rFonts w:cstheme="minorHAnsi"/>
        </w:rPr>
        <w:t>Figure I.3.a.12</w:t>
      </w:r>
      <w:r w:rsidR="008E146E" w:rsidRPr="00E47369">
        <w:rPr>
          <w:rFonts w:cstheme="minorHAnsi"/>
        </w:rPr>
        <w:fldChar w:fldCharType="end"/>
      </w:r>
      <w:r w:rsidRPr="00E47369">
        <w:rPr>
          <w:rFonts w:cstheme="minorHAnsi"/>
        </w:rPr>
        <w:t xml:space="preserve">) by </w:t>
      </w:r>
      <w:r w:rsidRPr="00E47369">
        <w:rPr>
          <w:rFonts w:cstheme="minorHAnsi"/>
          <w:color w:val="000000" w:themeColor="text1"/>
        </w:rPr>
        <w:t>spectroscopically detecting:</w:t>
      </w:r>
      <w:r w:rsidRPr="00E47369">
        <w:rPr>
          <w:rFonts w:cstheme="minorHAnsi"/>
          <w:color w:val="000000" w:themeColor="text1"/>
        </w:rPr>
        <w:fldChar w:fldCharType="begin"/>
      </w:r>
      <w:r w:rsidR="006D0CD6" w:rsidRPr="00E47369">
        <w:rPr>
          <w:rFonts w:cstheme="minorHAnsi"/>
          <w:color w:val="000000" w:themeColor="text1"/>
        </w:rPr>
        <w:instrText xml:space="preserve"> ADDIN ZOTERO_ITEM CSL_CITATION {"citationID":"1rftubo5sn","properties":{"formattedCitation":"{\\rtf \\super 35\\nosupersub{}}","plainCitation":"35"},"citationItems":[{"id":360,"uris":["http://zotero.org/users/1624234/items/Q5NZBIZJ"],"uri":["http://zotero.org/users/1624234/items/Q5NZBIZJ"],"itemData":{"id":360,"type":"article-journal","title":"Sulfite-Driven, Oxorhenium-Catalyzed Deoxydehydration of Glycols","container-title":"Organometallics","page":"2810-2818","volume":"30","issue":"10","source":"CrossRef","DOI":"10.1021/om2001662","ISSN":"0276-7333, 1520-6041","author":[{"family":"Ahmad","given":"Irshad"},{"family":"Chapman","given":"Garry"},{"family":"Nicholas","given":"Kenneth M."}],"issued":{"date-parts":[["2011",5,23]]}}}],"schema":"https://github.com/citation-style-language/schema/raw/master/csl-citation.json"} </w:instrText>
      </w:r>
      <w:r w:rsidRPr="00E47369">
        <w:rPr>
          <w:rFonts w:cstheme="minorHAnsi"/>
          <w:color w:val="000000" w:themeColor="text1"/>
        </w:rPr>
        <w:fldChar w:fldCharType="separate"/>
      </w:r>
      <w:r w:rsidRPr="00E47369">
        <w:rPr>
          <w:rFonts w:cstheme="minorHAnsi"/>
          <w:color w:val="000000" w:themeColor="text1"/>
          <w:sz w:val="22"/>
          <w:vertAlign w:val="superscript"/>
        </w:rPr>
        <w:t>35</w:t>
      </w:r>
      <w:r w:rsidRPr="00E47369">
        <w:rPr>
          <w:rFonts w:cstheme="minorHAnsi"/>
          <w:color w:val="000000" w:themeColor="text1"/>
        </w:rPr>
        <w:fldChar w:fldCharType="end"/>
      </w:r>
      <w:r w:rsidRPr="00E47369">
        <w:rPr>
          <w:rFonts w:cstheme="minorHAnsi"/>
          <w:color w:val="000000" w:themeColor="text1"/>
        </w:rPr>
        <w:t xml:space="preserve"> 1) that MeReO</w:t>
      </w:r>
      <w:r w:rsidRPr="00E47369">
        <w:rPr>
          <w:rFonts w:cstheme="minorHAnsi"/>
          <w:color w:val="000000" w:themeColor="text1"/>
          <w:vertAlign w:val="subscript"/>
        </w:rPr>
        <w:t>3</w:t>
      </w:r>
      <w:r w:rsidRPr="00E47369">
        <w:rPr>
          <w:rFonts w:cstheme="minorHAnsi"/>
          <w:color w:val="000000" w:themeColor="text1"/>
        </w:rPr>
        <w:t xml:space="preserve"> reversibly forms MeRe</w:t>
      </w:r>
      <w:r w:rsidRPr="00E47369">
        <w:rPr>
          <w:rFonts w:cstheme="minorHAnsi"/>
          <w:color w:val="000000" w:themeColor="text1"/>
          <w:vertAlign w:val="superscript"/>
        </w:rPr>
        <w:t>vii</w:t>
      </w:r>
      <w:r w:rsidRPr="00E47369">
        <w:rPr>
          <w:rFonts w:cstheme="minorHAnsi"/>
          <w:color w:val="000000" w:themeColor="text1"/>
        </w:rPr>
        <w:t>(O)(glycolate) (</w:t>
      </w:r>
      <w:r w:rsidRPr="00E47369">
        <w:rPr>
          <w:rFonts w:cstheme="minorHAnsi"/>
          <w:b/>
          <w:color w:val="000000" w:themeColor="text1"/>
        </w:rPr>
        <w:t>9</w:t>
      </w:r>
      <w:r w:rsidRPr="00E47369">
        <w:rPr>
          <w:rFonts w:cstheme="minorHAnsi"/>
          <w:color w:val="000000" w:themeColor="text1"/>
        </w:rPr>
        <w:t>) from the glycol (K</w:t>
      </w:r>
      <w:r w:rsidRPr="00E47369">
        <w:rPr>
          <w:rFonts w:cstheme="minorHAnsi"/>
          <w:color w:val="000000" w:themeColor="text1"/>
          <w:vertAlign w:val="subscript"/>
        </w:rPr>
        <w:t>eq</w:t>
      </w:r>
      <w:r w:rsidRPr="00E47369">
        <w:rPr>
          <w:rFonts w:cstheme="minorHAnsi"/>
          <w:color w:val="000000" w:themeColor="text1"/>
        </w:rPr>
        <w:t xml:space="preserve"> ca. 0.2) or more favorably from styrene oxide at 20</w:t>
      </w:r>
      <w:r w:rsidRPr="00E47369">
        <w:rPr>
          <w:rFonts w:cstheme="minorHAnsi"/>
          <w:color w:val="000000" w:themeColor="text1"/>
          <w:vertAlign w:val="superscript"/>
        </w:rPr>
        <w:t>o</w:t>
      </w:r>
      <w:r w:rsidRPr="00E47369">
        <w:rPr>
          <w:rFonts w:cstheme="minorHAnsi"/>
          <w:color w:val="000000" w:themeColor="text1"/>
        </w:rPr>
        <w:t>C; 2) the Re</w:t>
      </w:r>
      <w:r w:rsidRPr="00E47369">
        <w:rPr>
          <w:rFonts w:cstheme="minorHAnsi"/>
          <w:color w:val="000000" w:themeColor="text1"/>
          <w:vertAlign w:val="superscript"/>
        </w:rPr>
        <w:t>vii</w:t>
      </w:r>
      <w:r w:rsidRPr="00E47369">
        <w:rPr>
          <w:rFonts w:cstheme="minorHAnsi"/>
          <w:color w:val="000000" w:themeColor="text1"/>
        </w:rPr>
        <w:t xml:space="preserve">-glycolate </w:t>
      </w:r>
      <w:r w:rsidRPr="00E47369">
        <w:rPr>
          <w:rFonts w:cstheme="minorHAnsi"/>
          <w:b/>
          <w:color w:val="000000" w:themeColor="text1"/>
        </w:rPr>
        <w:t>9</w:t>
      </w:r>
      <w:r w:rsidRPr="00E47369">
        <w:rPr>
          <w:rFonts w:cstheme="minorHAnsi"/>
          <w:color w:val="000000" w:themeColor="text1"/>
        </w:rPr>
        <w:t xml:space="preserve"> is reduced at 20</w:t>
      </w:r>
      <w:r w:rsidRPr="00E47369">
        <w:rPr>
          <w:rFonts w:cstheme="minorHAnsi"/>
          <w:color w:val="000000" w:themeColor="text1"/>
          <w:vertAlign w:val="superscript"/>
        </w:rPr>
        <w:t>o</w:t>
      </w:r>
      <w:r w:rsidRPr="00E47369">
        <w:rPr>
          <w:rFonts w:cstheme="minorHAnsi"/>
          <w:color w:val="000000" w:themeColor="text1"/>
        </w:rPr>
        <w:t>C by PPh</w:t>
      </w:r>
      <w:r w:rsidRPr="00E47369">
        <w:rPr>
          <w:rFonts w:cstheme="minorHAnsi"/>
          <w:color w:val="000000" w:themeColor="text1"/>
          <w:vertAlign w:val="subscript"/>
        </w:rPr>
        <w:t>3</w:t>
      </w:r>
      <w:r w:rsidRPr="00E47369">
        <w:rPr>
          <w:rFonts w:cstheme="minorHAnsi"/>
          <w:color w:val="000000" w:themeColor="text1"/>
        </w:rPr>
        <w:t xml:space="preserve"> or (Bu</w:t>
      </w:r>
      <w:r w:rsidRPr="00E47369">
        <w:rPr>
          <w:rFonts w:cstheme="minorHAnsi"/>
          <w:color w:val="000000" w:themeColor="text1"/>
          <w:vertAlign w:val="subscript"/>
        </w:rPr>
        <w:t>4</w:t>
      </w:r>
      <w:r w:rsidRPr="00E47369">
        <w:rPr>
          <w:rFonts w:cstheme="minorHAnsi"/>
          <w:color w:val="000000" w:themeColor="text1"/>
        </w:rPr>
        <w:t>N)</w:t>
      </w:r>
      <w:r w:rsidRPr="00E47369">
        <w:rPr>
          <w:rFonts w:cstheme="minorHAnsi"/>
          <w:color w:val="000000" w:themeColor="text1"/>
          <w:vertAlign w:val="subscript"/>
        </w:rPr>
        <w:t>2</w:t>
      </w:r>
      <w:r w:rsidRPr="00E47369">
        <w:rPr>
          <w:rFonts w:cstheme="minorHAnsi"/>
          <w:color w:val="000000" w:themeColor="text1"/>
        </w:rPr>
        <w:t>SO</w:t>
      </w:r>
      <w:r w:rsidRPr="00E47369">
        <w:rPr>
          <w:rFonts w:cstheme="minorHAnsi"/>
          <w:color w:val="000000" w:themeColor="text1"/>
          <w:vertAlign w:val="subscript"/>
        </w:rPr>
        <w:t>3</w:t>
      </w:r>
      <w:r w:rsidRPr="00E47369">
        <w:rPr>
          <w:rFonts w:cstheme="minorHAnsi"/>
          <w:color w:val="000000" w:themeColor="text1"/>
        </w:rPr>
        <w:t xml:space="preserve"> to a mixture of Re</w:t>
      </w:r>
      <w:r w:rsidRPr="00E47369">
        <w:rPr>
          <w:rFonts w:cstheme="minorHAnsi"/>
          <w:color w:val="000000" w:themeColor="text1"/>
          <w:vertAlign w:val="superscript"/>
        </w:rPr>
        <w:t>v</w:t>
      </w:r>
      <w:r w:rsidRPr="00E47369">
        <w:rPr>
          <w:rFonts w:cstheme="minorHAnsi"/>
          <w:color w:val="000000" w:themeColor="text1"/>
        </w:rPr>
        <w:t xml:space="preserve">-glycolates </w:t>
      </w:r>
      <w:r w:rsidRPr="00E47369">
        <w:rPr>
          <w:rFonts w:cstheme="minorHAnsi"/>
          <w:b/>
          <w:color w:val="000000" w:themeColor="text1"/>
        </w:rPr>
        <w:t>12/12a</w:t>
      </w:r>
      <w:r w:rsidRPr="00E47369">
        <w:rPr>
          <w:rFonts w:cstheme="minorHAnsi"/>
          <w:color w:val="000000" w:themeColor="text1"/>
        </w:rPr>
        <w:t xml:space="preserve">; and 3) the reduced </w:t>
      </w:r>
      <w:r w:rsidRPr="00E47369">
        <w:rPr>
          <w:rFonts w:cstheme="minorHAnsi"/>
        </w:rPr>
        <w:t>Re-glycolates cleanly produce styrene and MeReO</w:t>
      </w:r>
      <w:r w:rsidRPr="00E47369">
        <w:rPr>
          <w:rFonts w:cstheme="minorHAnsi"/>
          <w:vertAlign w:val="subscript"/>
        </w:rPr>
        <w:t>3</w:t>
      </w:r>
      <w:r w:rsidRPr="00E47369">
        <w:rPr>
          <w:rFonts w:cstheme="minorHAnsi"/>
        </w:rPr>
        <w:t xml:space="preserve"> upon heating at 60-100</w:t>
      </w:r>
      <w:r w:rsidRPr="00E47369">
        <w:rPr>
          <w:rFonts w:cstheme="minorHAnsi"/>
          <w:vertAlign w:val="superscript"/>
        </w:rPr>
        <w:t>o</w:t>
      </w:r>
      <w:r w:rsidRPr="00E47369">
        <w:rPr>
          <w:rFonts w:cstheme="minorHAnsi"/>
        </w:rPr>
        <w:t xml:space="preserve">C. These observations indicate that the latter step is likely turnover-limiting. </w:t>
      </w:r>
    </w:p>
    <w:p w14:paraId="314BDA89" w14:textId="77777777" w:rsidR="00EB795B" w:rsidRPr="00E47369" w:rsidRDefault="00EB795B" w:rsidP="006042D0">
      <w:pPr>
        <w:ind w:firstLine="360"/>
        <w:jc w:val="both"/>
        <w:rPr>
          <w:rFonts w:cstheme="minorHAnsi"/>
        </w:rPr>
      </w:pPr>
    </w:p>
    <w:p w14:paraId="460B781C" w14:textId="77777777" w:rsidR="008E146E" w:rsidRPr="00E47369" w:rsidRDefault="00216D29" w:rsidP="003E463F">
      <w:pPr>
        <w:keepNext/>
        <w:jc w:val="center"/>
        <w:rPr>
          <w:rFonts w:cstheme="minorHAnsi"/>
        </w:rPr>
      </w:pPr>
      <w:r w:rsidRPr="00E47369">
        <w:rPr>
          <w:rFonts w:cstheme="minorHAnsi"/>
        </w:rPr>
        <w:object w:dxaOrig="6910" w:dyaOrig="4145" w14:anchorId="1D83F55C">
          <v:shape id="_x0000_i1039" type="#_x0000_t75" style="width:344.2pt;height:206.5pt" o:ole="">
            <v:imagedata r:id="rId38" o:title=""/>
          </v:shape>
          <o:OLEObject Type="Embed" ProgID="ChemDraw.Document.6.0" ShapeID="_x0000_i1039" DrawAspect="Content" ObjectID="_1532784893" r:id="rId39"/>
        </w:object>
      </w:r>
    </w:p>
    <w:p w14:paraId="410BA8CE" w14:textId="07CFBB96" w:rsidR="00216D29" w:rsidRPr="00EB795B" w:rsidRDefault="007D369E" w:rsidP="00EB795B">
      <w:pPr>
        <w:pStyle w:val="Caption"/>
      </w:pPr>
      <w:bookmarkStart w:id="52" w:name="_Ref449892037"/>
      <w:bookmarkStart w:id="53" w:name="_Toc457320591"/>
      <w:bookmarkStart w:id="54" w:name="_Toc458938366"/>
      <w:r w:rsidRPr="00EB795B">
        <w:t>Figure I.3.</w:t>
      </w:r>
      <w:r w:rsidR="00443010">
        <w:fldChar w:fldCharType="begin"/>
      </w:r>
      <w:r w:rsidR="00443010">
        <w:instrText xml:space="preserve"> STYLEREF 3 \s </w:instrText>
      </w:r>
      <w:r w:rsidR="00443010">
        <w:fldChar w:fldCharType="separate"/>
      </w:r>
      <w:r w:rsidR="000A0E3D">
        <w:rPr>
          <w:noProof/>
        </w:rPr>
        <w:t>a</w:t>
      </w:r>
      <w:r w:rsidR="00443010">
        <w:rPr>
          <w:noProof/>
        </w:rPr>
        <w:fldChar w:fldCharType="end"/>
      </w:r>
      <w:r w:rsidRPr="00EB795B">
        <w:t>.</w:t>
      </w:r>
      <w:r w:rsidR="00443010">
        <w:fldChar w:fldCharType="begin"/>
      </w:r>
      <w:r w:rsidR="00443010">
        <w:instrText xml:space="preserve"> SEQ Figure_I._3. \* ARABIC \s 3 </w:instrText>
      </w:r>
      <w:r w:rsidR="00443010">
        <w:fldChar w:fldCharType="separate"/>
      </w:r>
      <w:r w:rsidR="000A0E3D">
        <w:rPr>
          <w:noProof/>
        </w:rPr>
        <w:t>12</w:t>
      </w:r>
      <w:r w:rsidR="00443010">
        <w:rPr>
          <w:noProof/>
        </w:rPr>
        <w:fldChar w:fldCharType="end"/>
      </w:r>
      <w:bookmarkEnd w:id="52"/>
      <w:r w:rsidR="008E146E" w:rsidRPr="00EB795B">
        <w:t xml:space="preserve"> </w:t>
      </w:r>
      <w:r w:rsidR="001539C6">
        <w:t xml:space="preserve">Proposed mechanism of </w:t>
      </w:r>
      <w:r w:rsidR="001539C6" w:rsidRPr="00E47369">
        <w:rPr>
          <w:rFonts w:cstheme="minorHAnsi"/>
          <w:color w:val="000000" w:themeColor="text1"/>
        </w:rPr>
        <w:t>MeReO</w:t>
      </w:r>
      <w:r w:rsidR="001539C6" w:rsidRPr="00E47369">
        <w:rPr>
          <w:rFonts w:cstheme="minorHAnsi"/>
          <w:color w:val="000000" w:themeColor="text1"/>
          <w:vertAlign w:val="subscript"/>
        </w:rPr>
        <w:t>3</w:t>
      </w:r>
      <w:r w:rsidR="00216D29" w:rsidRPr="00EB795B">
        <w:t xml:space="preserve"> catalytic cycle in DODH using </w:t>
      </w:r>
      <w:r w:rsidR="00057ECA">
        <w:t>s</w:t>
      </w:r>
      <w:r w:rsidR="00216D29" w:rsidRPr="00EB795B">
        <w:t>ulfite reductant</w:t>
      </w:r>
      <w:bookmarkEnd w:id="53"/>
      <w:bookmarkEnd w:id="54"/>
    </w:p>
    <w:p w14:paraId="7757D07B" w14:textId="77777777" w:rsidR="00536AE9" w:rsidRPr="00E47369" w:rsidRDefault="00536AE9" w:rsidP="00536AE9">
      <w:pPr>
        <w:rPr>
          <w:rFonts w:cstheme="minorHAnsi"/>
        </w:rPr>
      </w:pPr>
    </w:p>
    <w:p w14:paraId="7EE6033A" w14:textId="77777777" w:rsidR="00216D29" w:rsidRPr="00E47369" w:rsidRDefault="00216D29" w:rsidP="006042D0">
      <w:pPr>
        <w:ind w:firstLine="360"/>
        <w:jc w:val="both"/>
        <w:rPr>
          <w:rFonts w:cstheme="minorHAnsi"/>
        </w:rPr>
      </w:pPr>
      <w:r w:rsidRPr="00E47369">
        <w:rPr>
          <w:rFonts w:cstheme="minorHAnsi"/>
        </w:rPr>
        <w:t>The mechanism of the MeReO</w:t>
      </w:r>
      <w:r w:rsidRPr="00E47369">
        <w:rPr>
          <w:rFonts w:cstheme="minorHAnsi"/>
          <w:vertAlign w:val="subscript"/>
        </w:rPr>
        <w:t>3</w:t>
      </w:r>
      <w:r w:rsidRPr="00E47369">
        <w:rPr>
          <w:rFonts w:cstheme="minorHAnsi"/>
        </w:rPr>
        <w:t>-catalyzed deoxydehydration of glycols to olefins by sulfite salts has been probed with Density Functional Theory (DFT) calculations.</w:t>
      </w:r>
      <w:r w:rsidRPr="00E47369">
        <w:rPr>
          <w:rFonts w:cstheme="minorHAnsi"/>
        </w:rPr>
        <w:fldChar w:fldCharType="begin"/>
      </w:r>
      <w:r w:rsidR="006D0CD6" w:rsidRPr="00E47369">
        <w:rPr>
          <w:rFonts w:cstheme="minorHAnsi"/>
        </w:rPr>
        <w:instrText xml:space="preserve"> ADDIN ZOTERO_ITEM CSL_CITATION {"citationID":"2mlbdmck58","properties":{"formattedCitation":"{\\rtf \\super 40\\nosupersub{}}","plainCitation":"40"},"citationItems":[{"id":81,"uris":["http://zotero.org/users/1624234/items/5XUFGGXQ"],"uri":["http://zotero.org/users/1624234/items/5XUFGGXQ"],"itemData":{"id":81,"type":"article-journal","title":"Mechanism of Sulfite-Driven, MeReO &lt;sub&gt;3&lt;/sub&gt; -Catalyzed Deoxydehydration of Glycols","container-title":"Organometallics","page":"1821-1831","volume":"32","issue":"6","source":"CrossRef","DOI":"10.1021/om301251z","ISSN":"0276-7333, 1520-6041","author":[{"family":"Liu","given":"Peng"},{"family":"Nicholas","given":"Kenneth M."}],"issued":{"date-parts":[["2013",3,25]]}}}],"schema":"https://github.com/citation-style-language/schema/raw/master/csl-citation.json"} </w:instrText>
      </w:r>
      <w:r w:rsidRPr="00E47369">
        <w:rPr>
          <w:rFonts w:cstheme="minorHAnsi"/>
        </w:rPr>
        <w:fldChar w:fldCharType="separate"/>
      </w:r>
      <w:r w:rsidRPr="00E47369">
        <w:rPr>
          <w:rFonts w:cstheme="minorHAnsi"/>
          <w:sz w:val="22"/>
          <w:vertAlign w:val="superscript"/>
        </w:rPr>
        <w:t>40</w:t>
      </w:r>
      <w:r w:rsidRPr="00E47369">
        <w:rPr>
          <w:rFonts w:cstheme="minorHAnsi"/>
        </w:rPr>
        <w:fldChar w:fldCharType="end"/>
      </w:r>
      <w:r w:rsidRPr="00E47369">
        <w:rPr>
          <w:rFonts w:cstheme="minorHAnsi"/>
        </w:rPr>
        <w:t xml:space="preserve"> Potential intermediates and transition states were evaluated for the three stages of reaction: a) dehydration of the glycol by an oxo-rhenium complex to form a Re-(O,O-glycolate); b) sulfite-induced O-transfer (to sulfate and a reduced oxo-Re); and c) fragmentation of the Re</w:t>
      </w:r>
      <w:r w:rsidRPr="00E47369">
        <w:rPr>
          <w:rFonts w:cstheme="minorHAnsi"/>
          <w:vertAlign w:val="superscript"/>
        </w:rPr>
        <w:t>v</w:t>
      </w:r>
      <w:r w:rsidRPr="00E47369">
        <w:rPr>
          <w:rFonts w:cstheme="minorHAnsi"/>
        </w:rPr>
        <w:t>-glycolate to give the olefin and to regenerate MeReO</w:t>
      </w:r>
      <w:r w:rsidRPr="00E47369">
        <w:rPr>
          <w:rFonts w:cstheme="minorHAnsi"/>
          <w:vertAlign w:val="subscript"/>
        </w:rPr>
        <w:t>3</w:t>
      </w:r>
      <w:r w:rsidRPr="00E47369">
        <w:rPr>
          <w:rFonts w:cstheme="minorHAnsi"/>
        </w:rPr>
        <w:t>. Various sulfite, sulfate, and Na-sulfite/sulfate species were evaluated as reactants/products and as ligands and solvation was taken into account. Transition states and activation energies were calculated for several of the key transformations, including the H-transfer glycol dehydration, the LMeRe</w:t>
      </w:r>
      <w:r w:rsidRPr="00E47369">
        <w:rPr>
          <w:rFonts w:cstheme="minorHAnsi"/>
          <w:vertAlign w:val="superscript"/>
        </w:rPr>
        <w:t>v</w:t>
      </w:r>
      <w:r w:rsidRPr="00E47369">
        <w:rPr>
          <w:rFonts w:cstheme="minorHAnsi"/>
        </w:rPr>
        <w:t>O(glycolate) fragmentations (L=H</w:t>
      </w:r>
      <w:r w:rsidRPr="00E47369">
        <w:rPr>
          <w:rFonts w:cstheme="minorHAnsi"/>
          <w:vertAlign w:val="subscript"/>
        </w:rPr>
        <w:t>2</w:t>
      </w:r>
      <w:r w:rsidRPr="00E47369">
        <w:rPr>
          <w:rFonts w:cstheme="minorHAnsi"/>
        </w:rPr>
        <w:t>O, NaSO</w:t>
      </w:r>
      <w:r w:rsidRPr="00E47369">
        <w:rPr>
          <w:rFonts w:cstheme="minorHAnsi"/>
          <w:vertAlign w:val="subscript"/>
        </w:rPr>
        <w:t>3</w:t>
      </w:r>
      <w:r w:rsidRPr="00E47369">
        <w:rPr>
          <w:rFonts w:cstheme="minorHAnsi"/>
          <w:vertAlign w:val="superscript"/>
        </w:rPr>
        <w:t>-</w:t>
      </w:r>
      <w:r w:rsidRPr="00E47369">
        <w:rPr>
          <w:rFonts w:cstheme="minorHAnsi"/>
        </w:rPr>
        <w:t>, NaSO</w:t>
      </w:r>
      <w:r w:rsidRPr="00E47369">
        <w:rPr>
          <w:rFonts w:cstheme="minorHAnsi"/>
          <w:vertAlign w:val="subscript"/>
        </w:rPr>
        <w:t>4</w:t>
      </w:r>
      <w:r w:rsidRPr="00E47369">
        <w:rPr>
          <w:rFonts w:cstheme="minorHAnsi"/>
          <w:vertAlign w:val="superscript"/>
        </w:rPr>
        <w:t>-</w:t>
      </w:r>
      <w:r w:rsidRPr="00E47369">
        <w:rPr>
          <w:rFonts w:cstheme="minorHAnsi"/>
        </w:rPr>
        <w:t>), and NaSO</w:t>
      </w:r>
      <w:r w:rsidRPr="00E47369">
        <w:rPr>
          <w:rFonts w:cstheme="minorHAnsi"/>
          <w:vertAlign w:val="subscript"/>
        </w:rPr>
        <w:t>3</w:t>
      </w:r>
      <w:r w:rsidRPr="00E47369">
        <w:rPr>
          <w:rFonts w:cstheme="minorHAnsi"/>
          <w:vertAlign w:val="superscript"/>
        </w:rPr>
        <w:t>-</w:t>
      </w:r>
      <w:r w:rsidRPr="00E47369">
        <w:rPr>
          <w:rFonts w:cstheme="minorHAnsi"/>
        </w:rPr>
        <w:t xml:space="preserve"> attack on oxo-Re</w:t>
      </w:r>
      <w:r w:rsidRPr="00E47369">
        <w:rPr>
          <w:rFonts w:cstheme="minorHAnsi"/>
          <w:vertAlign w:val="superscript"/>
        </w:rPr>
        <w:t>vii</w:t>
      </w:r>
      <w:r w:rsidRPr="00E47369">
        <w:rPr>
          <w:rFonts w:cstheme="minorHAnsi"/>
        </w:rPr>
        <w:t xml:space="preserve"> species. The lowest energy catalytic pathway identified involves (</w:t>
      </w:r>
      <w:r w:rsidR="008E146E" w:rsidRPr="00E47369">
        <w:rPr>
          <w:rFonts w:cstheme="minorHAnsi"/>
        </w:rPr>
        <w:fldChar w:fldCharType="begin"/>
      </w:r>
      <w:r w:rsidR="008E146E" w:rsidRPr="00E47369">
        <w:rPr>
          <w:rFonts w:cstheme="minorHAnsi"/>
        </w:rPr>
        <w:instrText xml:space="preserve"> REF _Ref449892128 \h </w:instrText>
      </w:r>
      <w:r w:rsidR="003E463F" w:rsidRPr="00E47369">
        <w:rPr>
          <w:rFonts w:cstheme="minorHAnsi"/>
        </w:rPr>
        <w:instrText xml:space="preserve"> \* MERGEFORMAT </w:instrText>
      </w:r>
      <w:r w:rsidR="008E146E" w:rsidRPr="00E47369">
        <w:rPr>
          <w:rFonts w:cstheme="minorHAnsi"/>
        </w:rPr>
      </w:r>
      <w:r w:rsidR="008E146E" w:rsidRPr="00E47369">
        <w:rPr>
          <w:rFonts w:cstheme="minorHAnsi"/>
        </w:rPr>
        <w:fldChar w:fldCharType="separate"/>
      </w:r>
      <w:r w:rsidR="000A0E3D" w:rsidRPr="000A0E3D">
        <w:rPr>
          <w:rFonts w:cstheme="minorHAnsi"/>
        </w:rPr>
        <w:t>Figure I.3.a.13</w:t>
      </w:r>
      <w:r w:rsidR="008E146E" w:rsidRPr="00E47369">
        <w:rPr>
          <w:rFonts w:cstheme="minorHAnsi"/>
        </w:rPr>
        <w:fldChar w:fldCharType="end"/>
      </w:r>
      <w:r w:rsidRPr="00E47369">
        <w:rPr>
          <w:rFonts w:cstheme="minorHAnsi"/>
        </w:rPr>
        <w:t>): NaSO</w:t>
      </w:r>
      <w:r w:rsidRPr="00E47369">
        <w:rPr>
          <w:rFonts w:cstheme="minorHAnsi"/>
          <w:vertAlign w:val="subscript"/>
        </w:rPr>
        <w:t>3</w:t>
      </w:r>
      <w:r w:rsidRPr="00E47369">
        <w:rPr>
          <w:rFonts w:cstheme="minorHAnsi"/>
          <w:vertAlign w:val="superscript"/>
        </w:rPr>
        <w:t>-</w:t>
      </w:r>
      <w:r w:rsidRPr="00E47369">
        <w:rPr>
          <w:rFonts w:cstheme="minorHAnsi"/>
        </w:rPr>
        <w:t xml:space="preserve"> attack on an oxo-oxygen of MeReO</w:t>
      </w:r>
      <w:r w:rsidRPr="00E47369">
        <w:rPr>
          <w:rFonts w:cstheme="minorHAnsi"/>
          <w:vertAlign w:val="subscript"/>
        </w:rPr>
        <w:t>3</w:t>
      </w:r>
      <w:r w:rsidRPr="00E47369">
        <w:rPr>
          <w:rFonts w:cstheme="minorHAnsi"/>
        </w:rPr>
        <w:t xml:space="preserve"> to produce MeRe</w:t>
      </w:r>
      <w:r w:rsidRPr="00E47369">
        <w:rPr>
          <w:rFonts w:cstheme="minorHAnsi"/>
          <w:vertAlign w:val="superscript"/>
        </w:rPr>
        <w:t>v</w:t>
      </w:r>
      <w:r w:rsidRPr="00E47369">
        <w:rPr>
          <w:rFonts w:cstheme="minorHAnsi"/>
        </w:rPr>
        <w:t>O</w:t>
      </w:r>
      <w:r w:rsidRPr="00E47369">
        <w:rPr>
          <w:rFonts w:cstheme="minorHAnsi"/>
          <w:vertAlign w:val="subscript"/>
        </w:rPr>
        <w:t>2</w:t>
      </w:r>
      <w:r w:rsidRPr="00E47369">
        <w:rPr>
          <w:rFonts w:cstheme="minorHAnsi"/>
        </w:rPr>
        <w:t>(OSO</w:t>
      </w:r>
      <w:r w:rsidRPr="00E47369">
        <w:rPr>
          <w:rFonts w:cstheme="minorHAnsi"/>
          <w:vertAlign w:val="subscript"/>
        </w:rPr>
        <w:t>3</w:t>
      </w:r>
      <w:r w:rsidRPr="00E47369">
        <w:rPr>
          <w:rFonts w:cstheme="minorHAnsi"/>
        </w:rPr>
        <w:t>Na)</w:t>
      </w:r>
      <w:r w:rsidRPr="00E47369">
        <w:rPr>
          <w:rFonts w:cstheme="minorHAnsi"/>
          <w:vertAlign w:val="superscript"/>
        </w:rPr>
        <w:t>-</w:t>
      </w:r>
      <w:r w:rsidRPr="00E47369">
        <w:rPr>
          <w:rFonts w:cstheme="minorHAnsi"/>
        </w:rPr>
        <w:t xml:space="preserve"> (</w:t>
      </w:r>
      <w:r w:rsidRPr="00E47369">
        <w:rPr>
          <w:rFonts w:cstheme="minorHAnsi"/>
          <w:b/>
        </w:rPr>
        <w:t>13</w:t>
      </w:r>
      <w:r w:rsidRPr="00E47369">
        <w:rPr>
          <w:rFonts w:cstheme="minorHAnsi"/>
        </w:rPr>
        <w:t xml:space="preserve">); glycol coordination by </w:t>
      </w:r>
      <w:r w:rsidRPr="00E47369">
        <w:rPr>
          <w:rFonts w:cstheme="minorHAnsi"/>
          <w:b/>
        </w:rPr>
        <w:t>13</w:t>
      </w:r>
      <w:r w:rsidRPr="00E47369">
        <w:rPr>
          <w:rFonts w:cstheme="minorHAnsi"/>
        </w:rPr>
        <w:t>, followed by a series of H-transfer steps to LRe=O and/or LRe-OSO</w:t>
      </w:r>
      <w:r w:rsidRPr="00E47369">
        <w:rPr>
          <w:rFonts w:cstheme="minorHAnsi"/>
          <w:vertAlign w:val="subscript"/>
        </w:rPr>
        <w:t>3</w:t>
      </w:r>
      <w:r w:rsidRPr="00E47369">
        <w:rPr>
          <w:rFonts w:cstheme="minorHAnsi"/>
        </w:rPr>
        <w:t>Na- to give MeRe</w:t>
      </w:r>
      <w:r w:rsidRPr="00E47369">
        <w:rPr>
          <w:rFonts w:cstheme="minorHAnsi"/>
          <w:vertAlign w:val="superscript"/>
        </w:rPr>
        <w:t>v</w:t>
      </w:r>
      <w:r w:rsidRPr="00E47369">
        <w:rPr>
          <w:rFonts w:cstheme="minorHAnsi"/>
        </w:rPr>
        <w:t>O(glycolate)(OSO</w:t>
      </w:r>
      <w:r w:rsidRPr="00E47369">
        <w:rPr>
          <w:rFonts w:cstheme="minorHAnsi"/>
          <w:vertAlign w:val="subscript"/>
        </w:rPr>
        <w:t>3</w:t>
      </w:r>
      <w:r w:rsidRPr="00E47369">
        <w:rPr>
          <w:rFonts w:cstheme="minorHAnsi"/>
        </w:rPr>
        <w:t>Na)(H</w:t>
      </w:r>
      <w:r w:rsidRPr="00E47369">
        <w:rPr>
          <w:rFonts w:cstheme="minorHAnsi"/>
          <w:vertAlign w:val="subscript"/>
        </w:rPr>
        <w:t>2</w:t>
      </w:r>
      <w:r w:rsidRPr="00E47369">
        <w:rPr>
          <w:rFonts w:cstheme="minorHAnsi"/>
        </w:rPr>
        <w:t>O)</w:t>
      </w:r>
      <w:r w:rsidRPr="00E47369">
        <w:rPr>
          <w:rFonts w:cstheme="minorHAnsi"/>
          <w:vertAlign w:val="superscript"/>
        </w:rPr>
        <w:t>-</w:t>
      </w:r>
      <w:r w:rsidRPr="00E47369">
        <w:rPr>
          <w:rFonts w:cstheme="minorHAnsi"/>
        </w:rPr>
        <w:t xml:space="preserve"> (</w:t>
      </w:r>
      <w:r w:rsidRPr="00E47369">
        <w:rPr>
          <w:rFonts w:cstheme="minorHAnsi"/>
          <w:b/>
        </w:rPr>
        <w:t>14</w:t>
      </w:r>
      <w:r w:rsidRPr="00E47369">
        <w:rPr>
          <w:rFonts w:cstheme="minorHAnsi"/>
        </w:rPr>
        <w:t>); concerted extrusion of olefin from the Re</w:t>
      </w:r>
      <w:r w:rsidRPr="00E47369">
        <w:rPr>
          <w:rFonts w:cstheme="minorHAnsi"/>
          <w:vertAlign w:val="superscript"/>
        </w:rPr>
        <w:t>v</w:t>
      </w:r>
      <w:r w:rsidRPr="00E47369">
        <w:rPr>
          <w:rFonts w:cstheme="minorHAnsi"/>
        </w:rPr>
        <w:t xml:space="preserve">-glycolate </w:t>
      </w:r>
      <w:r w:rsidRPr="00E47369">
        <w:rPr>
          <w:rFonts w:cstheme="minorHAnsi"/>
          <w:b/>
        </w:rPr>
        <w:t>14</w:t>
      </w:r>
      <w:r w:rsidRPr="00E47369">
        <w:rPr>
          <w:rFonts w:cstheme="minorHAnsi"/>
        </w:rPr>
        <w:t>; and dissociation of NaSO</w:t>
      </w:r>
      <w:r w:rsidRPr="00E47369">
        <w:rPr>
          <w:rFonts w:cstheme="minorHAnsi"/>
          <w:vertAlign w:val="subscript"/>
        </w:rPr>
        <w:t>4</w:t>
      </w:r>
      <w:r w:rsidRPr="00E47369">
        <w:rPr>
          <w:rFonts w:cstheme="minorHAnsi"/>
          <w:vertAlign w:val="superscript"/>
        </w:rPr>
        <w:t>-</w:t>
      </w:r>
      <w:r w:rsidRPr="00E47369">
        <w:rPr>
          <w:rFonts w:cstheme="minorHAnsi"/>
        </w:rPr>
        <w:t xml:space="preserve"> from MeReO</w:t>
      </w:r>
      <w:r w:rsidRPr="00E47369">
        <w:rPr>
          <w:rFonts w:cstheme="minorHAnsi"/>
          <w:vertAlign w:val="subscript"/>
        </w:rPr>
        <w:t>3</w:t>
      </w:r>
      <w:r w:rsidRPr="00E47369">
        <w:rPr>
          <w:rFonts w:cstheme="minorHAnsi"/>
        </w:rPr>
        <w:t>(OSO</w:t>
      </w:r>
      <w:r w:rsidRPr="00E47369">
        <w:rPr>
          <w:rFonts w:cstheme="minorHAnsi"/>
          <w:vertAlign w:val="subscript"/>
        </w:rPr>
        <w:t>3</w:t>
      </w:r>
      <w:r w:rsidRPr="00E47369">
        <w:rPr>
          <w:rFonts w:cstheme="minorHAnsi"/>
        </w:rPr>
        <w:t>Na) (</w:t>
      </w:r>
      <w:r w:rsidRPr="00E47369">
        <w:rPr>
          <w:rFonts w:cstheme="minorHAnsi"/>
          <w:b/>
        </w:rPr>
        <w:t>15</w:t>
      </w:r>
      <w:r w:rsidRPr="00E47369">
        <w:rPr>
          <w:rFonts w:cstheme="minorHAnsi"/>
        </w:rPr>
        <w:t>) to regenerate MeReO</w:t>
      </w:r>
      <w:r w:rsidRPr="00E47369">
        <w:rPr>
          <w:rFonts w:cstheme="minorHAnsi"/>
          <w:vertAlign w:val="subscript"/>
        </w:rPr>
        <w:t>3</w:t>
      </w:r>
      <w:r w:rsidRPr="00E47369">
        <w:rPr>
          <w:rFonts w:cstheme="minorHAnsi"/>
        </w:rPr>
        <w:t xml:space="preserve">. Fragmentation of the Re-glycolate </w:t>
      </w:r>
      <w:r w:rsidRPr="00E47369">
        <w:rPr>
          <w:rFonts w:cstheme="minorHAnsi"/>
          <w:b/>
        </w:rPr>
        <w:t>14</w:t>
      </w:r>
      <w:r w:rsidRPr="00E47369">
        <w:rPr>
          <w:rFonts w:cstheme="minorHAnsi"/>
        </w:rPr>
        <w:t xml:space="preserve"> is turnover-limiting with a calculated activation free energy of 35 kcal, a value consistent with the typical operating temperatures of these reactions. Coordination by H</w:t>
      </w:r>
      <w:r w:rsidRPr="00E47369">
        <w:rPr>
          <w:rFonts w:cstheme="minorHAnsi"/>
          <w:vertAlign w:val="subscript"/>
        </w:rPr>
        <w:t>2</w:t>
      </w:r>
      <w:r w:rsidRPr="00E47369">
        <w:rPr>
          <w:rFonts w:cstheme="minorHAnsi"/>
        </w:rPr>
        <w:t>O, the reductant or its oxidized form to the Re</w:t>
      </w:r>
      <w:r w:rsidRPr="00E47369">
        <w:rPr>
          <w:rFonts w:cstheme="minorHAnsi"/>
          <w:vertAlign w:val="superscript"/>
        </w:rPr>
        <w:t>v</w:t>
      </w:r>
      <w:r w:rsidRPr="00E47369">
        <w:rPr>
          <w:rFonts w:cstheme="minorHAnsi"/>
        </w:rPr>
        <w:t>-glycolate is calculated to greatly affect the facility of the olefin extrusion. The nature of the reductant, e.g. an O-transfer agent like PPh</w:t>
      </w:r>
      <w:r w:rsidRPr="00E47369">
        <w:rPr>
          <w:rFonts w:cstheme="minorHAnsi"/>
          <w:vertAlign w:val="subscript"/>
        </w:rPr>
        <w:t>3</w:t>
      </w:r>
      <w:r w:rsidRPr="00E47369">
        <w:rPr>
          <w:rFonts w:cstheme="minorHAnsi"/>
        </w:rPr>
        <w:t xml:space="preserve"> or SO</w:t>
      </w:r>
      <w:r w:rsidRPr="00E47369">
        <w:rPr>
          <w:rFonts w:cstheme="minorHAnsi"/>
          <w:vertAlign w:val="subscript"/>
        </w:rPr>
        <w:t>3</w:t>
      </w:r>
      <w:r w:rsidRPr="00E47369">
        <w:rPr>
          <w:rFonts w:cstheme="minorHAnsi"/>
          <w:vertAlign w:val="superscript"/>
        </w:rPr>
        <w:t>-</w:t>
      </w:r>
      <w:r w:rsidRPr="00E47369">
        <w:rPr>
          <w:rFonts w:cstheme="minorHAnsi"/>
        </w:rPr>
        <w:t xml:space="preserve"> vs. the H-transfer agents, H</w:t>
      </w:r>
      <w:r w:rsidRPr="00E47369">
        <w:rPr>
          <w:rFonts w:cstheme="minorHAnsi"/>
          <w:vertAlign w:val="subscript"/>
        </w:rPr>
        <w:t>2</w:t>
      </w:r>
      <w:r w:rsidRPr="00E47369">
        <w:rPr>
          <w:rFonts w:cstheme="minorHAnsi"/>
        </w:rPr>
        <w:t xml:space="preserve"> or sec-alcohols, thus likely affects both the thermodynamics and the kinetics of the reduction step.</w:t>
      </w:r>
    </w:p>
    <w:p w14:paraId="5916D4B6" w14:textId="77777777" w:rsidR="008E146E" w:rsidRPr="00E47369" w:rsidRDefault="008E146E" w:rsidP="003E463F">
      <w:pPr>
        <w:keepNext/>
        <w:jc w:val="center"/>
        <w:rPr>
          <w:rFonts w:cstheme="minorHAnsi"/>
        </w:rPr>
      </w:pPr>
      <w:r w:rsidRPr="00E47369">
        <w:rPr>
          <w:rFonts w:cstheme="minorHAnsi"/>
        </w:rPr>
        <w:object w:dxaOrig="11928" w:dyaOrig="8004" w14:anchorId="6A688324">
          <v:shape id="_x0000_i1040" type="#_x0000_t75" style="width:416.2pt;height:276.9pt" o:ole="">
            <v:imagedata r:id="rId40" o:title=""/>
          </v:shape>
          <o:OLEObject Type="Embed" ProgID="ChemDraw.Document.6.0" ShapeID="_x0000_i1040" DrawAspect="Content" ObjectID="_1532784894" r:id="rId41"/>
        </w:object>
      </w:r>
    </w:p>
    <w:p w14:paraId="5BEB21B5" w14:textId="77777777" w:rsidR="00216D29" w:rsidRPr="00072EEF" w:rsidRDefault="007D369E" w:rsidP="00072EEF">
      <w:pPr>
        <w:pStyle w:val="Caption"/>
      </w:pPr>
      <w:bookmarkStart w:id="55" w:name="_Ref449892128"/>
      <w:bookmarkStart w:id="56" w:name="_Toc457320592"/>
      <w:bookmarkStart w:id="57" w:name="_Toc458938367"/>
      <w:r w:rsidRPr="00072EEF">
        <w:t>Figure I.3.</w:t>
      </w:r>
      <w:r w:rsidR="00443010">
        <w:fldChar w:fldCharType="begin"/>
      </w:r>
      <w:r w:rsidR="00443010">
        <w:instrText xml:space="preserve"> STYLEREF 3 \s </w:instrText>
      </w:r>
      <w:r w:rsidR="00443010">
        <w:fldChar w:fldCharType="separate"/>
      </w:r>
      <w:r w:rsidR="000A0E3D">
        <w:rPr>
          <w:noProof/>
        </w:rPr>
        <w:t>a</w:t>
      </w:r>
      <w:r w:rsidR="00443010">
        <w:rPr>
          <w:noProof/>
        </w:rPr>
        <w:fldChar w:fldCharType="end"/>
      </w:r>
      <w:r w:rsidRPr="00072EEF">
        <w:t>.</w:t>
      </w:r>
      <w:r w:rsidR="00443010">
        <w:fldChar w:fldCharType="begin"/>
      </w:r>
      <w:r w:rsidR="00443010">
        <w:instrText xml:space="preserve"> SEQ Figure_I._3. \* ARABIC \s 3 </w:instrText>
      </w:r>
      <w:r w:rsidR="00443010">
        <w:fldChar w:fldCharType="separate"/>
      </w:r>
      <w:r w:rsidR="000A0E3D">
        <w:rPr>
          <w:noProof/>
        </w:rPr>
        <w:t>13</w:t>
      </w:r>
      <w:r w:rsidR="00443010">
        <w:rPr>
          <w:noProof/>
        </w:rPr>
        <w:fldChar w:fldCharType="end"/>
      </w:r>
      <w:bookmarkEnd w:id="55"/>
      <w:r w:rsidR="008E146E" w:rsidRPr="00072EEF">
        <w:t xml:space="preserve"> </w:t>
      </w:r>
      <w:r w:rsidR="00216D29" w:rsidRPr="00072EEF">
        <w:t>Calculated lowest energy profile for sulfite, CH</w:t>
      </w:r>
      <w:r w:rsidR="00216D29" w:rsidRPr="00072EEF">
        <w:rPr>
          <w:vertAlign w:val="subscript"/>
        </w:rPr>
        <w:t>3</w:t>
      </w:r>
      <w:r w:rsidR="00216D29" w:rsidRPr="00072EEF">
        <w:t>ReO</w:t>
      </w:r>
      <w:r w:rsidR="00216D29" w:rsidRPr="00072EEF">
        <w:rPr>
          <w:vertAlign w:val="subscript"/>
        </w:rPr>
        <w:t>3</w:t>
      </w:r>
      <w:r w:rsidR="00216D29" w:rsidRPr="00072EEF">
        <w:t>- catalyzed DODH</w:t>
      </w:r>
      <w:bookmarkEnd w:id="56"/>
      <w:bookmarkEnd w:id="57"/>
    </w:p>
    <w:p w14:paraId="6679038E" w14:textId="77777777" w:rsidR="00216D29" w:rsidRDefault="00216D29" w:rsidP="003E463F">
      <w:pPr>
        <w:jc w:val="both"/>
        <w:rPr>
          <w:rFonts w:cstheme="minorHAnsi"/>
          <w:b/>
        </w:rPr>
      </w:pPr>
    </w:p>
    <w:p w14:paraId="4B8A4084" w14:textId="77777777" w:rsidR="0078566E" w:rsidRDefault="0078566E" w:rsidP="003E463F">
      <w:pPr>
        <w:jc w:val="both"/>
        <w:rPr>
          <w:rFonts w:cstheme="minorHAnsi"/>
          <w:b/>
        </w:rPr>
      </w:pPr>
    </w:p>
    <w:p w14:paraId="11D9F14E" w14:textId="77777777" w:rsidR="0078566E" w:rsidRDefault="0078566E" w:rsidP="003E463F">
      <w:pPr>
        <w:jc w:val="both"/>
        <w:rPr>
          <w:rFonts w:cstheme="minorHAnsi"/>
          <w:b/>
        </w:rPr>
      </w:pPr>
    </w:p>
    <w:p w14:paraId="110479E4" w14:textId="77777777" w:rsidR="003E2CC2" w:rsidRPr="00E47369" w:rsidRDefault="003E2CC2" w:rsidP="003E463F">
      <w:pPr>
        <w:jc w:val="both"/>
        <w:rPr>
          <w:rFonts w:cstheme="minorHAnsi"/>
          <w:b/>
        </w:rPr>
      </w:pPr>
    </w:p>
    <w:p w14:paraId="710AFFA5" w14:textId="77777777" w:rsidR="00216D29" w:rsidRPr="00E47369" w:rsidRDefault="00216D29" w:rsidP="006042D0">
      <w:pPr>
        <w:pStyle w:val="Heading41"/>
        <w:rPr>
          <w:rFonts w:cstheme="minorHAnsi"/>
        </w:rPr>
      </w:pPr>
      <w:r w:rsidRPr="00E47369">
        <w:rPr>
          <w:rFonts w:cstheme="minorHAnsi"/>
        </w:rPr>
        <w:t>Alcohol Reductants</w:t>
      </w:r>
    </w:p>
    <w:p w14:paraId="4DFE53A1" w14:textId="77777777" w:rsidR="00216D29" w:rsidRPr="00E47369" w:rsidRDefault="00216D29" w:rsidP="006042D0">
      <w:pPr>
        <w:ind w:firstLine="360"/>
        <w:jc w:val="both"/>
        <w:rPr>
          <w:rFonts w:cstheme="minorHAnsi"/>
        </w:rPr>
      </w:pPr>
      <w:r w:rsidRPr="00E47369">
        <w:rPr>
          <w:rFonts w:cstheme="minorHAnsi"/>
        </w:rPr>
        <w:t>The use of secondary alcohols as reductants for DODH was first reported by Ellman, Bergman, and coworkers, who employed Re-carbonyl compounds, e.g. Re</w:t>
      </w:r>
      <w:r w:rsidRPr="00E47369">
        <w:rPr>
          <w:rFonts w:cstheme="minorHAnsi"/>
          <w:vertAlign w:val="subscript"/>
        </w:rPr>
        <w:t>2</w:t>
      </w:r>
      <w:r w:rsidRPr="00E47369">
        <w:rPr>
          <w:rFonts w:cstheme="minorHAnsi"/>
        </w:rPr>
        <w:t>(CO)</w:t>
      </w:r>
      <w:r w:rsidRPr="00E47369">
        <w:rPr>
          <w:rFonts w:cstheme="minorHAnsi"/>
          <w:vertAlign w:val="subscript"/>
        </w:rPr>
        <w:t>10</w:t>
      </w:r>
      <w:r w:rsidRPr="00E47369">
        <w:rPr>
          <w:rFonts w:cstheme="minorHAnsi"/>
        </w:rPr>
        <w:t xml:space="preserve"> as pre-catalysts under aerobic conditions (</w:t>
      </w:r>
      <w:r w:rsidR="008E146E" w:rsidRPr="00E47369">
        <w:rPr>
          <w:rFonts w:cstheme="minorHAnsi"/>
        </w:rPr>
        <w:fldChar w:fldCharType="begin"/>
      </w:r>
      <w:r w:rsidR="008E146E" w:rsidRPr="00E47369">
        <w:rPr>
          <w:rFonts w:cstheme="minorHAnsi"/>
        </w:rPr>
        <w:instrText xml:space="preserve"> REF _Ref449892175 \h </w:instrText>
      </w:r>
      <w:r w:rsidR="003E463F" w:rsidRPr="00E47369">
        <w:rPr>
          <w:rFonts w:cstheme="minorHAnsi"/>
        </w:rPr>
        <w:instrText xml:space="preserve"> \* MERGEFORMAT </w:instrText>
      </w:r>
      <w:r w:rsidR="008E146E" w:rsidRPr="00E47369">
        <w:rPr>
          <w:rFonts w:cstheme="minorHAnsi"/>
        </w:rPr>
      </w:r>
      <w:r w:rsidR="008E146E" w:rsidRPr="00E47369">
        <w:rPr>
          <w:rFonts w:cstheme="minorHAnsi"/>
        </w:rPr>
        <w:fldChar w:fldCharType="separate"/>
      </w:r>
      <w:r w:rsidR="000A0E3D" w:rsidRPr="000A0E3D">
        <w:rPr>
          <w:rFonts w:cstheme="minorHAnsi"/>
        </w:rPr>
        <w:t>Figure I.3.a.14</w:t>
      </w:r>
      <w:r w:rsidR="008E146E" w:rsidRPr="00E47369">
        <w:rPr>
          <w:rFonts w:cstheme="minorHAnsi"/>
        </w:rPr>
        <w:fldChar w:fldCharType="end"/>
      </w:r>
      <w:r w:rsidRPr="00E47369">
        <w:rPr>
          <w:rFonts w:cstheme="minorHAnsi"/>
        </w:rPr>
        <w:t>).</w:t>
      </w:r>
      <w:r w:rsidRPr="00E47369">
        <w:rPr>
          <w:rFonts w:cstheme="minorHAnsi"/>
        </w:rPr>
        <w:fldChar w:fldCharType="begin"/>
      </w:r>
      <w:r w:rsidR="006D0CD6" w:rsidRPr="00E47369">
        <w:rPr>
          <w:rFonts w:cstheme="minorHAnsi"/>
        </w:rPr>
        <w:instrText xml:space="preserve"> ADDIN ZOTERO_ITEM CSL_CITATION {"citationID":"1rg5edotir","properties":{"formattedCitation":"{\\rtf \\super 41\\nosupersub{}}","plainCitation":"41"},"citationItems":[{"id":279,"uris":["http://zotero.org/users/1624234/items/J3VCXV7S"],"uri":["http://zotero.org/users/1624234/items/J3VCXV7S"],"itemData":{"id":279,"type":"article-journal","title":"Rhenium-Catalyzed Didehydroxylation of Vicinal Diols to Alkenes Using a Simple Alcohol as a Reducing Agent","container-title":"Journal of the American Chemical Society","page":"11408-11409","volume":"132","issue":"33","source":"ACS Publications","abstract":"A new method for the catalytic didehydroxylation of vicinal diols is described. Employing a readily available low-valent rhenium carbonyl complex and a simple alcohol as a reducing agent, both terminal and internal vicinal diols are deoxygenated to olefins in good yield. The optional addition of acid (TsOH, H2SO4) provides access to lower reaction temperatures. This new system enables the transformation of a four-carbon sugar polyol into an oxygen-reduced compound, providing promising evidence for its practical application to produce unsaturated compounds from biomass-derived materials.","DOI":"10.1021/ja103436v","ISSN":"0002-7863","journalAbbreviation":"J. Am. Chem. Soc.","author":[{"family":"Arceo","given":"Elena"},{"family":"Ellman","given":"Jonathan A."},{"family":"Bergman","given":"Robert G."}],"issued":{"date-parts":[["2010"]],"season":"août"}}}],"schema":"https://github.com/citation-style-language/schema/raw/master/csl-citation.json"} </w:instrText>
      </w:r>
      <w:r w:rsidRPr="00E47369">
        <w:rPr>
          <w:rFonts w:cstheme="minorHAnsi"/>
        </w:rPr>
        <w:fldChar w:fldCharType="separate"/>
      </w:r>
      <w:r w:rsidRPr="00E47369">
        <w:rPr>
          <w:rFonts w:cstheme="minorHAnsi"/>
          <w:sz w:val="22"/>
          <w:vertAlign w:val="superscript"/>
        </w:rPr>
        <w:t>41</w:t>
      </w:r>
      <w:r w:rsidRPr="00E47369">
        <w:rPr>
          <w:rFonts w:cstheme="minorHAnsi"/>
        </w:rPr>
        <w:fldChar w:fldCharType="end"/>
      </w:r>
      <w:r w:rsidRPr="00E47369">
        <w:rPr>
          <w:rFonts w:cstheme="minorHAnsi"/>
        </w:rPr>
        <w:t xml:space="preserve"> Optimized conditions used the glycol substrate with the mono-alcohol as the solvent, e.g. 3-octanol, at 150-175</w:t>
      </w:r>
      <w:r w:rsidRPr="00E47369">
        <w:rPr>
          <w:rFonts w:cstheme="minorHAnsi"/>
          <w:vertAlign w:val="superscript"/>
        </w:rPr>
        <w:t>o</w:t>
      </w:r>
      <w:r w:rsidRPr="00E47369">
        <w:rPr>
          <w:rFonts w:cstheme="minorHAnsi"/>
        </w:rPr>
        <w:t>C, with 1-2.5 mol% Re</w:t>
      </w:r>
      <w:r w:rsidRPr="00E47369">
        <w:rPr>
          <w:rFonts w:cstheme="minorHAnsi"/>
          <w:vertAlign w:val="subscript"/>
        </w:rPr>
        <w:t>2</w:t>
      </w:r>
      <w:r w:rsidRPr="00E47369">
        <w:rPr>
          <w:rFonts w:cstheme="minorHAnsi"/>
        </w:rPr>
        <w:t>(CO)</w:t>
      </w:r>
      <w:r w:rsidRPr="00E47369">
        <w:rPr>
          <w:rFonts w:cstheme="minorHAnsi"/>
          <w:vertAlign w:val="subscript"/>
        </w:rPr>
        <w:t>10</w:t>
      </w:r>
      <w:r w:rsidRPr="00E47369">
        <w:rPr>
          <w:rFonts w:cstheme="minorHAnsi"/>
        </w:rPr>
        <w:t xml:space="preserve"> and TsOH as a co-catalyst (2-5 mol%). Good yields of the olefin (50-84%) were obtained with representative glycols. The syn-3,4-decanediol was converted highly selectively to trans-3-decene, implicating a syn-elimination process in the diol to olefin conversion (</w:t>
      </w:r>
      <w:r w:rsidR="008E146E" w:rsidRPr="00E47369">
        <w:rPr>
          <w:rFonts w:cstheme="minorHAnsi"/>
        </w:rPr>
        <w:fldChar w:fldCharType="begin"/>
      </w:r>
      <w:r w:rsidR="008E146E" w:rsidRPr="00E47369">
        <w:rPr>
          <w:rFonts w:cstheme="minorHAnsi"/>
        </w:rPr>
        <w:instrText xml:space="preserve"> REF _Ref449892182 \h </w:instrText>
      </w:r>
      <w:r w:rsidR="003E463F" w:rsidRPr="00E47369">
        <w:rPr>
          <w:rFonts w:cstheme="minorHAnsi"/>
        </w:rPr>
        <w:instrText xml:space="preserve"> \* MERGEFORMAT </w:instrText>
      </w:r>
      <w:r w:rsidR="008E146E" w:rsidRPr="00E47369">
        <w:rPr>
          <w:rFonts w:cstheme="minorHAnsi"/>
        </w:rPr>
      </w:r>
      <w:r w:rsidR="008E146E" w:rsidRPr="00E47369">
        <w:rPr>
          <w:rFonts w:cstheme="minorHAnsi"/>
        </w:rPr>
        <w:fldChar w:fldCharType="separate"/>
      </w:r>
      <w:r w:rsidR="000A0E3D" w:rsidRPr="000A0E3D">
        <w:rPr>
          <w:rFonts w:cstheme="minorHAnsi"/>
        </w:rPr>
        <w:t>Figure I.3.a.15</w:t>
      </w:r>
      <w:r w:rsidR="008E146E" w:rsidRPr="00E47369">
        <w:rPr>
          <w:rFonts w:cstheme="minorHAnsi"/>
        </w:rPr>
        <w:fldChar w:fldCharType="end"/>
      </w:r>
      <w:r w:rsidRPr="00E47369">
        <w:rPr>
          <w:rFonts w:cstheme="minorHAnsi"/>
        </w:rPr>
        <w:t xml:space="preserve">). Erythritol was converted moderately efficiently to 2,5-dihydrofuran (62% yield), presumably the result of initial 1,4-diol dehydration followed by DODH of the THF-diol intermediate. The nature of the active catalyst was unknown at the time, but speculated to be an oxidized Re species. </w:t>
      </w:r>
    </w:p>
    <w:p w14:paraId="30DB168A" w14:textId="77777777" w:rsidR="008E146E" w:rsidRPr="00E47369" w:rsidRDefault="00216D29" w:rsidP="003E463F">
      <w:pPr>
        <w:keepNext/>
        <w:jc w:val="center"/>
        <w:rPr>
          <w:rFonts w:cstheme="minorHAnsi"/>
        </w:rPr>
      </w:pPr>
      <w:r w:rsidRPr="00E47369">
        <w:rPr>
          <w:rFonts w:cstheme="minorHAnsi"/>
        </w:rPr>
        <w:object w:dxaOrig="5093" w:dyaOrig="2018" w14:anchorId="467BE92C">
          <v:shape id="_x0000_i1041" type="#_x0000_t75" style="width:252.4pt;height:102.85pt" o:ole="">
            <v:imagedata r:id="rId42" o:title=""/>
          </v:shape>
          <o:OLEObject Type="Embed" ProgID="ChemDraw.Document.6.0" ShapeID="_x0000_i1041" DrawAspect="Content" ObjectID="_1532784895" r:id="rId43"/>
        </w:object>
      </w:r>
    </w:p>
    <w:p w14:paraId="5FFC77CF" w14:textId="77777777" w:rsidR="00216D29" w:rsidRPr="00072EEF" w:rsidRDefault="008E146E" w:rsidP="00072EEF">
      <w:pPr>
        <w:pStyle w:val="Caption"/>
      </w:pPr>
      <w:bookmarkStart w:id="58" w:name="_Ref449892175"/>
      <w:bookmarkStart w:id="59" w:name="_Toc457320593"/>
      <w:bookmarkStart w:id="60" w:name="_Toc458938368"/>
      <w:r w:rsidRPr="00072EEF">
        <w:t xml:space="preserve">Figure </w:t>
      </w:r>
      <w:r w:rsidR="007D369E" w:rsidRPr="00072EEF">
        <w:t>I.3.</w:t>
      </w:r>
      <w:r w:rsidR="00443010">
        <w:fldChar w:fldCharType="begin"/>
      </w:r>
      <w:r w:rsidR="00443010">
        <w:instrText xml:space="preserve"> STYLEREF 3 \s </w:instrText>
      </w:r>
      <w:r w:rsidR="00443010">
        <w:fldChar w:fldCharType="separate"/>
      </w:r>
      <w:r w:rsidR="000A0E3D">
        <w:rPr>
          <w:noProof/>
        </w:rPr>
        <w:t>a</w:t>
      </w:r>
      <w:r w:rsidR="00443010">
        <w:rPr>
          <w:noProof/>
        </w:rPr>
        <w:fldChar w:fldCharType="end"/>
      </w:r>
      <w:r w:rsidR="007D369E" w:rsidRPr="00072EEF">
        <w:t>.</w:t>
      </w:r>
      <w:r w:rsidR="00443010">
        <w:fldChar w:fldCharType="begin"/>
      </w:r>
      <w:r w:rsidR="00443010">
        <w:instrText xml:space="preserve"> SEQ Figure_I._3. \* ARABIC \s 3 </w:instrText>
      </w:r>
      <w:r w:rsidR="00443010">
        <w:fldChar w:fldCharType="separate"/>
      </w:r>
      <w:r w:rsidR="000A0E3D">
        <w:rPr>
          <w:noProof/>
        </w:rPr>
        <w:t>14</w:t>
      </w:r>
      <w:r w:rsidR="00443010">
        <w:rPr>
          <w:noProof/>
        </w:rPr>
        <w:fldChar w:fldCharType="end"/>
      </w:r>
      <w:bookmarkEnd w:id="58"/>
      <w:r w:rsidRPr="00072EEF">
        <w:t xml:space="preserve"> </w:t>
      </w:r>
      <w:r w:rsidR="00216D29" w:rsidRPr="00072EEF">
        <w:t>Summary of DODH system</w:t>
      </w:r>
      <w:r w:rsidR="005943F9">
        <w:t>s</w:t>
      </w:r>
      <w:r w:rsidR="00216D29" w:rsidRPr="00072EEF">
        <w:t xml:space="preserve"> using sulfite as reducing agent</w:t>
      </w:r>
      <w:bookmarkEnd w:id="59"/>
      <w:bookmarkEnd w:id="60"/>
    </w:p>
    <w:p w14:paraId="738D2B92" w14:textId="77777777" w:rsidR="00536AE9" w:rsidRPr="00E47369" w:rsidRDefault="00536AE9" w:rsidP="00536AE9">
      <w:pPr>
        <w:rPr>
          <w:rFonts w:cstheme="minorHAnsi"/>
        </w:rPr>
      </w:pPr>
    </w:p>
    <w:p w14:paraId="09CD650C" w14:textId="77777777" w:rsidR="008E146E" w:rsidRPr="00E47369" w:rsidRDefault="00216D29" w:rsidP="003E463F">
      <w:pPr>
        <w:keepNext/>
        <w:jc w:val="center"/>
        <w:rPr>
          <w:rFonts w:cstheme="minorHAnsi"/>
        </w:rPr>
      </w:pPr>
      <w:r w:rsidRPr="00E47369">
        <w:rPr>
          <w:rFonts w:cstheme="minorHAnsi"/>
        </w:rPr>
        <w:object w:dxaOrig="5722" w:dyaOrig="2324" w14:anchorId="1AAD28CF">
          <v:shape id="_x0000_i1042" type="#_x0000_t75" style="width:4in;height:118.7pt" o:ole="">
            <v:imagedata r:id="rId44" o:title=""/>
          </v:shape>
          <o:OLEObject Type="Embed" ProgID="ChemDraw.Document.6.0" ShapeID="_x0000_i1042" DrawAspect="Content" ObjectID="_1532784896" r:id="rId45"/>
        </w:object>
      </w:r>
    </w:p>
    <w:p w14:paraId="4645DD3E" w14:textId="09C23BA8" w:rsidR="00536AE9" w:rsidRPr="00443010" w:rsidRDefault="007D369E" w:rsidP="00443010">
      <w:pPr>
        <w:pStyle w:val="Caption"/>
      </w:pPr>
      <w:bookmarkStart w:id="61" w:name="_Ref449892182"/>
      <w:bookmarkStart w:id="62" w:name="_Toc457320594"/>
      <w:bookmarkStart w:id="63" w:name="_Toc458938369"/>
      <w:r w:rsidRPr="00072EEF">
        <w:t>Figure I.3.</w:t>
      </w:r>
      <w:r w:rsidR="00443010">
        <w:fldChar w:fldCharType="begin"/>
      </w:r>
      <w:r w:rsidR="00443010">
        <w:instrText xml:space="preserve"> STYLEREF 3 \s </w:instrText>
      </w:r>
      <w:r w:rsidR="00443010">
        <w:fldChar w:fldCharType="separate"/>
      </w:r>
      <w:r w:rsidR="000A0E3D">
        <w:rPr>
          <w:noProof/>
        </w:rPr>
        <w:t>a</w:t>
      </w:r>
      <w:r w:rsidR="00443010">
        <w:rPr>
          <w:noProof/>
        </w:rPr>
        <w:fldChar w:fldCharType="end"/>
      </w:r>
      <w:r w:rsidRPr="00072EEF">
        <w:t>.</w:t>
      </w:r>
      <w:r w:rsidR="00443010">
        <w:fldChar w:fldCharType="begin"/>
      </w:r>
      <w:r w:rsidR="00443010">
        <w:instrText xml:space="preserve"> SEQ Figure_I._3. \* ARABIC \s 3 </w:instrText>
      </w:r>
      <w:r w:rsidR="00443010">
        <w:fldChar w:fldCharType="separate"/>
      </w:r>
      <w:r w:rsidR="000A0E3D">
        <w:rPr>
          <w:noProof/>
        </w:rPr>
        <w:t>15</w:t>
      </w:r>
      <w:r w:rsidR="00443010">
        <w:rPr>
          <w:noProof/>
        </w:rPr>
        <w:fldChar w:fldCharType="end"/>
      </w:r>
      <w:bookmarkEnd w:id="61"/>
      <w:r w:rsidR="008E146E" w:rsidRPr="00072EEF">
        <w:t xml:space="preserve"> </w:t>
      </w:r>
      <w:r w:rsidR="00216D29" w:rsidRPr="00072EEF">
        <w:t>First reported DODH reaction using alcohol as reducing agent</w:t>
      </w:r>
      <w:bookmarkEnd w:id="62"/>
      <w:bookmarkEnd w:id="63"/>
    </w:p>
    <w:p w14:paraId="01457336" w14:textId="6471B75D" w:rsidR="00216D29" w:rsidRPr="00E47369" w:rsidRDefault="00216D29" w:rsidP="006042D0">
      <w:pPr>
        <w:ind w:firstLine="360"/>
        <w:jc w:val="both"/>
        <w:rPr>
          <w:rFonts w:cstheme="minorHAnsi"/>
        </w:rPr>
      </w:pPr>
      <w:r w:rsidRPr="00E47369">
        <w:rPr>
          <w:rFonts w:cstheme="minorHAnsi"/>
        </w:rPr>
        <w:t>The Abu-Omar group demonstrated that in the absence of an added reductant MeReO</w:t>
      </w:r>
      <w:r w:rsidRPr="00E47369">
        <w:rPr>
          <w:rFonts w:cstheme="minorHAnsi"/>
          <w:vertAlign w:val="subscript"/>
        </w:rPr>
        <w:t>3</w:t>
      </w:r>
      <w:r w:rsidRPr="00E47369">
        <w:rPr>
          <w:rFonts w:cstheme="minorHAnsi"/>
        </w:rPr>
        <w:t xml:space="preserve"> catalyzes redox disproportionation of glycols. Glycerol was shown to serve as both substrate and reductant (165</w:t>
      </w:r>
      <w:r w:rsidRPr="00E47369">
        <w:rPr>
          <w:rFonts w:cstheme="minorHAnsi"/>
          <w:vertAlign w:val="superscript"/>
        </w:rPr>
        <w:t>o</w:t>
      </w:r>
      <w:r w:rsidR="001539C6">
        <w:rPr>
          <w:rFonts w:cstheme="minorHAnsi"/>
        </w:rPr>
        <w:t xml:space="preserve">C, 2 mol%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rPr>
          <w:rFonts w:cstheme="minorHAnsi"/>
        </w:rPr>
        <w:t>) in a reactive distillation process, producing moderate yields of volatile allyl alcohol, acrolein and propanal (1.0: 0.22: 0.15) and non-volatile, reactive 1,3-dihydroxyacetone (</w:t>
      </w:r>
      <w:r w:rsidR="008E146E" w:rsidRPr="00E47369">
        <w:rPr>
          <w:rFonts w:cstheme="minorHAnsi"/>
        </w:rPr>
        <w:fldChar w:fldCharType="begin"/>
      </w:r>
      <w:r w:rsidR="008E146E" w:rsidRPr="00E47369">
        <w:rPr>
          <w:rFonts w:cstheme="minorHAnsi"/>
        </w:rPr>
        <w:instrText xml:space="preserve"> REF _Ref449892246 \h </w:instrText>
      </w:r>
      <w:r w:rsidR="003E463F" w:rsidRPr="00E47369">
        <w:rPr>
          <w:rFonts w:cstheme="minorHAnsi"/>
        </w:rPr>
        <w:instrText xml:space="preserve"> \* MERGEFORMAT </w:instrText>
      </w:r>
      <w:r w:rsidR="008E146E" w:rsidRPr="00E47369">
        <w:rPr>
          <w:rFonts w:cstheme="minorHAnsi"/>
        </w:rPr>
      </w:r>
      <w:r w:rsidR="008E146E" w:rsidRPr="00E47369">
        <w:rPr>
          <w:rFonts w:cstheme="minorHAnsi"/>
        </w:rPr>
        <w:fldChar w:fldCharType="separate"/>
      </w:r>
      <w:r w:rsidR="000A0E3D" w:rsidRPr="000A0E3D">
        <w:rPr>
          <w:rFonts w:cstheme="minorHAnsi"/>
        </w:rPr>
        <w:t>Figure I.3.a.16</w:t>
      </w:r>
      <w:r w:rsidR="008E146E" w:rsidRPr="00E47369">
        <w:rPr>
          <w:rFonts w:cstheme="minorHAnsi"/>
        </w:rPr>
        <w:fldChar w:fldCharType="end"/>
      </w:r>
      <w:r w:rsidRPr="00E47369">
        <w:rPr>
          <w:rFonts w:cstheme="minorHAnsi"/>
        </w:rPr>
        <w:t>). Redox disproportionation of cis-</w:t>
      </w:r>
      <w:r w:rsidR="001539C6">
        <w:rPr>
          <w:rFonts w:cstheme="minorHAnsi"/>
        </w:rPr>
        <w:t xml:space="preserve">cyclohexanediol catalyzed by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rPr>
          <w:rFonts w:cstheme="minorHAnsi"/>
        </w:rPr>
        <w:t xml:space="preserve"> was also efficient producing cyclohexene and 1,2-cyclohexanedione.</w:t>
      </w:r>
      <w:r w:rsidRPr="00E47369">
        <w:rPr>
          <w:rFonts w:cstheme="minorHAnsi"/>
        </w:rPr>
        <w:fldChar w:fldCharType="begin"/>
      </w:r>
      <w:r w:rsidR="006D0CD6" w:rsidRPr="00E47369">
        <w:rPr>
          <w:rFonts w:cstheme="minorHAnsi"/>
        </w:rPr>
        <w:instrText xml:space="preserve"> ADDIN ZOTERO_ITEM CSL_CITATION {"citationID":"140ucoggub","properties":{"formattedCitation":"{\\rtf \\super 42\\nosupersub{}}","plainCitation":"42"},"citationItems":[{"id":399,"uris":["http://zotero.org/users/1624234/items/SP6A7ZFS"],"uri":["http://zotero.org/users/1624234/items/SP6A7ZFS"],"itemData":{"id":399,"type":"article-journal","title":"Rhenium-Catalyzed Transfer Hydrogenation and Deoxygenation of Biomass-Derived Polyols to Small and Useful Organics","container-title":"ChemSusChem","page":"1401-1404","volume":"5","issue":"8","source":"CrossRef","DOI":"10.1002/cssc.201200138","ISSN":"18645631","author":[{"family":"Yi","given":"Jing"},{"family":"Liu","given":"Shuo"},{"family":"Abu-Omar","given":"Mahdi M."}],"issued":{"date-parts":[["2012",8]]}}}],"schema":"https://github.com/citation-style-language/schema/raw/master/csl-citation.json"} </w:instrText>
      </w:r>
      <w:r w:rsidRPr="00E47369">
        <w:rPr>
          <w:rFonts w:cstheme="minorHAnsi"/>
        </w:rPr>
        <w:fldChar w:fldCharType="separate"/>
      </w:r>
      <w:r w:rsidRPr="00E47369">
        <w:rPr>
          <w:rFonts w:cstheme="minorHAnsi"/>
          <w:sz w:val="22"/>
          <w:vertAlign w:val="superscript"/>
        </w:rPr>
        <w:t>42</w:t>
      </w:r>
      <w:r w:rsidRPr="00E47369">
        <w:rPr>
          <w:rFonts w:cstheme="minorHAnsi"/>
        </w:rPr>
        <w:fldChar w:fldCharType="end"/>
      </w:r>
      <w:r w:rsidRPr="00E47369">
        <w:rPr>
          <w:rFonts w:cstheme="minorHAnsi"/>
        </w:rPr>
        <w:t xml:space="preserve"> The rate of the glycerol reaction was determined to be first order in</w:t>
      </w:r>
      <w:r w:rsidR="001539C6">
        <w:rPr>
          <w:rFonts w:cstheme="minorHAnsi"/>
        </w:rPr>
        <w:t xml:space="preserve"> the diol and first order in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rPr>
          <w:rFonts w:cstheme="minorHAnsi"/>
        </w:rPr>
        <w:t xml:space="preserve"> and a kinetic isotope effect of 2.4 was measured for </w:t>
      </w:r>
      <w:r w:rsidRPr="00E47369">
        <w:rPr>
          <w:rFonts w:cstheme="minorHAnsi"/>
          <w:i/>
        </w:rPr>
        <w:t>d</w:t>
      </w:r>
      <w:r w:rsidRPr="00E47369">
        <w:rPr>
          <w:rFonts w:cstheme="minorHAnsi"/>
          <w:i/>
          <w:vertAlign w:val="superscript"/>
        </w:rPr>
        <w:t>5</w:t>
      </w:r>
      <w:r w:rsidRPr="00E47369">
        <w:rPr>
          <w:rFonts w:cstheme="minorHAnsi"/>
        </w:rPr>
        <w:t>-glycerol(OH)</w:t>
      </w:r>
      <w:r w:rsidRPr="00E47369">
        <w:rPr>
          <w:rFonts w:cstheme="minorHAnsi"/>
          <w:vertAlign w:val="subscript"/>
        </w:rPr>
        <w:t>3</w:t>
      </w:r>
      <w:r w:rsidRPr="00E47369">
        <w:rPr>
          <w:rFonts w:cstheme="minorHAnsi"/>
        </w:rPr>
        <w:t>, indicating turnover-limiting C-H(D) bond breaking. This was interpreted in terms of a catalytic cycle in which the Re</w:t>
      </w:r>
      <w:r w:rsidRPr="00E47369">
        <w:rPr>
          <w:rFonts w:cstheme="minorHAnsi"/>
          <w:vertAlign w:val="superscript"/>
        </w:rPr>
        <w:t>vii</w:t>
      </w:r>
      <w:r w:rsidRPr="00E47369">
        <w:rPr>
          <w:rFonts w:cstheme="minorHAnsi"/>
        </w:rPr>
        <w:t xml:space="preserve">-glycolate intermediate undergoes rate-limiting H(D)-transfer redox reaction by glycerol. </w:t>
      </w:r>
      <w:r w:rsidRPr="00E47369">
        <w:rPr>
          <w:rFonts w:cstheme="minorHAnsi"/>
          <w:color w:val="000000" w:themeColor="text1"/>
        </w:rPr>
        <w:t>Following Abu-Omar's continuous distillation system d’Alessandro and co-worker reported a more extensive study of the deoxydehydration of glycerol by va</w:t>
      </w:r>
      <w:r w:rsidRPr="00E47369">
        <w:rPr>
          <w:rFonts w:cstheme="minorHAnsi"/>
        </w:rPr>
        <w:t xml:space="preserve">rious rhenium oxo complexes </w:t>
      </w:r>
      <w:r w:rsidRPr="00E47369">
        <w:rPr>
          <w:rFonts w:cstheme="minorHAnsi"/>
          <w:color w:val="000000" w:themeColor="text1"/>
        </w:rPr>
        <w:t xml:space="preserve">without an added </w:t>
      </w:r>
      <w:r w:rsidRPr="00E47369">
        <w:rPr>
          <w:rFonts w:cstheme="minorHAnsi"/>
        </w:rPr>
        <w:t>reducing agent and under hydrogen (sat atmospheric pressure).</w:t>
      </w:r>
      <w:r w:rsidRPr="00E47369">
        <w:rPr>
          <w:rFonts w:cstheme="minorHAnsi"/>
        </w:rPr>
        <w:fldChar w:fldCharType="begin"/>
      </w:r>
      <w:r w:rsidR="006D0CD6" w:rsidRPr="00E47369">
        <w:rPr>
          <w:rFonts w:cstheme="minorHAnsi"/>
        </w:rPr>
        <w:instrText xml:space="preserve"> ADDIN ZOTERO_ITEM CSL_CITATION {"citationID":"1nvc178ltk","properties":{"formattedCitation":"{\\rtf \\super 43\\nosupersub{}}","plainCitation":"43"},"citationItems":[{"id":206,"uris":["http://zotero.org/users/1624234/items/DTNDEG7T"],"uri":["http://zotero.org/users/1624234/items/DTNDEG7T"],"itemData":{"id":206,"type":"article-journal","title":"Deoxydehydration of glycerol to allyl alcohol catalyzed by rhenium derivatives","container-title":"Catalysis Science &amp; Technology","page":"3697-3704","volume":"4","issue":"10","source":"pubs.rsc.org","abstract":"The deoxydehydration (DODH) of glycerol is effectively catalyzed by rhenium derivatives, either in neat glycerol or in the presence of solvents (in particular alcohols), in air or under hydrogen bubbling. Methyltrioxorhenium (MTO) and ReO3 were the only rhenium catalysts tested that can selectively catalyze the DODH reaction at very low temperatures (140 °C). The presence of oxygen is not necessary, although under nitrogen the reaction requires higher temperatures to occur. On the other hand, the presence of hydrogen often noticeably increased the selectivity versus allyl alcohol formation, reaching the considerable value of 90% in the case of reaction conducted in 2,4-dimethyl-3-pentanol with ReO3. The DODH reaction always exhibits a definite induction time that, in the case of MTO, corresponds more or less to the time required for its demethylation. Metal catalysts in both high – likely rhenium(VI) – and low oxidation states are involved. Re-addition of fresh glycerol at the end of the reaction indicates the feasibility of the reuse of the catalysts.","DOI":"10.1039/C4CY00631C","ISSN":"2044-4761","journalAbbreviation":"Catal. Sci. Technol.","language":"en","author":[{"family":"Canale","given":"Valentino"},{"family":"Tonucci","given":"Lucia"},{"family":"Bressan","given":"Mario"},{"family":"Alessandro","given":"Nicola","non-dropping-particle":"d'"}],"issued":{"date-parts":[["2014",9,8]]}}}],"schema":"https://github.com/citation-style-language/schema/raw/master/csl-citation.json"} </w:instrText>
      </w:r>
      <w:r w:rsidRPr="00E47369">
        <w:rPr>
          <w:rFonts w:cstheme="minorHAnsi"/>
        </w:rPr>
        <w:fldChar w:fldCharType="separate"/>
      </w:r>
      <w:r w:rsidRPr="00E47369">
        <w:rPr>
          <w:rFonts w:cstheme="minorHAnsi"/>
          <w:sz w:val="22"/>
          <w:vertAlign w:val="superscript"/>
        </w:rPr>
        <w:t>43</w:t>
      </w:r>
      <w:r w:rsidRPr="00E47369">
        <w:rPr>
          <w:rFonts w:cstheme="minorHAnsi"/>
        </w:rPr>
        <w:fldChar w:fldCharType="end"/>
      </w:r>
    </w:p>
    <w:p w14:paraId="6061905E" w14:textId="28FE993F" w:rsidR="008E146E" w:rsidRPr="00E47369" w:rsidRDefault="00D90BD2" w:rsidP="003E463F">
      <w:pPr>
        <w:keepNext/>
        <w:jc w:val="center"/>
        <w:rPr>
          <w:rFonts w:cstheme="minorHAnsi"/>
        </w:rPr>
      </w:pPr>
      <w:r w:rsidRPr="00E47369">
        <w:rPr>
          <w:rFonts w:cstheme="minorHAnsi"/>
        </w:rPr>
        <w:object w:dxaOrig="6873" w:dyaOrig="8675" w14:anchorId="00034F4A">
          <v:shape id="_x0000_i2531" type="#_x0000_t75" style="width:252.4pt;height:321.25pt" o:ole="">
            <v:imagedata r:id="rId46" o:title=""/>
          </v:shape>
          <o:OLEObject Type="Embed" ProgID="ChemDraw.Document.6.0" ShapeID="_x0000_i2531" DrawAspect="Content" ObjectID="_1532784897" r:id="rId47"/>
        </w:object>
      </w:r>
    </w:p>
    <w:p w14:paraId="19EC575E" w14:textId="77777777" w:rsidR="00216D29" w:rsidRPr="00072EEF" w:rsidRDefault="007D369E" w:rsidP="00072EEF">
      <w:pPr>
        <w:pStyle w:val="Caption"/>
      </w:pPr>
      <w:bookmarkStart w:id="64" w:name="_Ref449892246"/>
      <w:bookmarkStart w:id="65" w:name="_Toc457320595"/>
      <w:bookmarkStart w:id="66" w:name="_Toc458938370"/>
      <w:r w:rsidRPr="00072EEF">
        <w:t>Figure I.3.</w:t>
      </w:r>
      <w:r w:rsidR="00443010">
        <w:fldChar w:fldCharType="begin"/>
      </w:r>
      <w:r w:rsidR="00443010">
        <w:instrText xml:space="preserve"> STYLEREF 3 \s </w:instrText>
      </w:r>
      <w:r w:rsidR="00443010">
        <w:fldChar w:fldCharType="separate"/>
      </w:r>
      <w:r w:rsidR="000A0E3D">
        <w:rPr>
          <w:noProof/>
        </w:rPr>
        <w:t>a</w:t>
      </w:r>
      <w:r w:rsidR="00443010">
        <w:rPr>
          <w:noProof/>
        </w:rPr>
        <w:fldChar w:fldCharType="end"/>
      </w:r>
      <w:r w:rsidRPr="00072EEF">
        <w:t>.</w:t>
      </w:r>
      <w:r w:rsidR="00443010">
        <w:fldChar w:fldCharType="begin"/>
      </w:r>
      <w:r w:rsidR="00443010">
        <w:instrText xml:space="preserve"> SEQ Figure_I._3. \* ARABIC \s 3 </w:instrText>
      </w:r>
      <w:r w:rsidR="00443010">
        <w:fldChar w:fldCharType="separate"/>
      </w:r>
      <w:r w:rsidR="000A0E3D">
        <w:rPr>
          <w:noProof/>
        </w:rPr>
        <w:t>16</w:t>
      </w:r>
      <w:r w:rsidR="00443010">
        <w:rPr>
          <w:noProof/>
        </w:rPr>
        <w:fldChar w:fldCharType="end"/>
      </w:r>
      <w:bookmarkEnd w:id="64"/>
      <w:r w:rsidR="008E146E" w:rsidRPr="00072EEF">
        <w:t xml:space="preserve"> Me</w:t>
      </w:r>
      <w:r w:rsidR="00216D29" w:rsidRPr="00072EEF">
        <w:t>ReO</w:t>
      </w:r>
      <w:r w:rsidR="00216D29" w:rsidRPr="00072EEF">
        <w:rPr>
          <w:vertAlign w:val="subscript"/>
        </w:rPr>
        <w:t>3</w:t>
      </w:r>
      <w:r w:rsidR="00216D29" w:rsidRPr="00072EEF">
        <w:t>-catal</w:t>
      </w:r>
      <w:r w:rsidR="009B3170">
        <w:t>y</w:t>
      </w:r>
      <w:r w:rsidR="00216D29" w:rsidRPr="00072EEF">
        <w:t>zed disproportionation of glycerol in constant distillation system</w:t>
      </w:r>
      <w:bookmarkEnd w:id="65"/>
      <w:bookmarkEnd w:id="66"/>
    </w:p>
    <w:p w14:paraId="1AE081B3" w14:textId="77777777" w:rsidR="003E463F" w:rsidRPr="00E47369" w:rsidRDefault="003E463F" w:rsidP="003E463F">
      <w:pPr>
        <w:rPr>
          <w:rFonts w:cstheme="minorHAnsi"/>
        </w:rPr>
      </w:pPr>
    </w:p>
    <w:p w14:paraId="31DC6D9F" w14:textId="3CB1AED0" w:rsidR="00216D29" w:rsidRDefault="00216D29" w:rsidP="006042D0">
      <w:pPr>
        <w:ind w:firstLine="360"/>
        <w:jc w:val="both"/>
        <w:rPr>
          <w:rFonts w:cstheme="minorHAnsi"/>
        </w:rPr>
      </w:pPr>
      <w:r w:rsidRPr="00E47369">
        <w:rPr>
          <w:rFonts w:cstheme="minorHAnsi"/>
        </w:rPr>
        <w:t>Other researchers have expanded the scope of alcohol-driven DODH reactions. Shiramizu and Toste demonstrated that MeReO</w:t>
      </w:r>
      <w:r w:rsidRPr="00E47369">
        <w:rPr>
          <w:rFonts w:cstheme="minorHAnsi"/>
          <w:vertAlign w:val="subscript"/>
        </w:rPr>
        <w:t>3</w:t>
      </w:r>
      <w:r w:rsidRPr="00E47369">
        <w:rPr>
          <w:rFonts w:cstheme="minorHAnsi"/>
        </w:rPr>
        <w:t xml:space="preserve"> was an effective catalyst for the DODH using sec-alcohol reductants and they extended the substrate scope to more complex polyols.</w:t>
      </w:r>
      <w:r w:rsidRPr="00E47369">
        <w:rPr>
          <w:rFonts w:cstheme="minorHAnsi"/>
        </w:rPr>
        <w:fldChar w:fldCharType="begin"/>
      </w:r>
      <w:r w:rsidR="006D0CD6" w:rsidRPr="00E47369">
        <w:rPr>
          <w:rFonts w:cstheme="minorHAnsi"/>
        </w:rPr>
        <w:instrText xml:space="preserve"> ADDIN ZOTERO_ITEM CSL_CITATION {"citationID":"107okmv763","properties":{"formattedCitation":"{\\rtf \\super 44\\nosupersub{}}","plainCitation":"44"},"citationItems":[{"id":154,"uris":["http://zotero.org/users/1624234/items/9UNQ7VFF"],"uri":["http://zotero.org/users/1624234/items/9UNQ7VFF"],"itemData":{"id":154,"type":"article-journal","title":"Deoxygenation of Biomass-Derived Feedstocks: Oxorhenium-Catalyzed Deoxydehydration of Sugars and Sugar Alcohols","container-title":"Angewandte Chemie International Edition","page":"8082-8086","volume":"51","issue":"32","source":"CrossRef","DOI":"10.1002/anie.201203877","ISSN":"14337851","shortTitle":"Deoxygenation of Biomass-Derived Feedstocks","author":[{"family":"Shiramizu","given":"Mika"},{"family":"Toste","given":"F. Dean"}],"issued":{"date-parts":[["2012",8,6]]}}}],"schema":"https://github.com/citation-style-language/schema/raw/master/csl-citation.json"} </w:instrText>
      </w:r>
      <w:r w:rsidRPr="00E47369">
        <w:rPr>
          <w:rFonts w:cstheme="minorHAnsi"/>
        </w:rPr>
        <w:fldChar w:fldCharType="separate"/>
      </w:r>
      <w:r w:rsidRPr="00E47369">
        <w:rPr>
          <w:rFonts w:cstheme="minorHAnsi"/>
          <w:sz w:val="22"/>
          <w:vertAlign w:val="superscript"/>
        </w:rPr>
        <w:t>44</w:t>
      </w:r>
      <w:r w:rsidRPr="00E47369">
        <w:rPr>
          <w:rFonts w:cstheme="minorHAnsi"/>
        </w:rPr>
        <w:fldChar w:fldCharType="end"/>
      </w:r>
      <w:r w:rsidRPr="00E47369">
        <w:rPr>
          <w:rFonts w:cstheme="minorHAnsi"/>
        </w:rPr>
        <w:t xml:space="preserve"> The alcohol reductant, preferably 3-octanol, was generally used as </w:t>
      </w:r>
      <w:r w:rsidR="001539C6">
        <w:rPr>
          <w:rFonts w:cstheme="minorHAnsi"/>
        </w:rPr>
        <w:t xml:space="preserve">the solvent with 2.5 mol% of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rPr>
          <w:rFonts w:cstheme="minorHAnsi"/>
        </w:rPr>
        <w:t xml:space="preserve"> at 155-200</w:t>
      </w:r>
      <w:r w:rsidRPr="00E47369">
        <w:rPr>
          <w:rFonts w:cstheme="minorHAnsi"/>
          <w:vertAlign w:val="superscript"/>
        </w:rPr>
        <w:t>o</w:t>
      </w:r>
      <w:r w:rsidRPr="00E47369">
        <w:rPr>
          <w:rFonts w:cstheme="minorHAnsi"/>
        </w:rPr>
        <w:t>C in air; at the higher temperatures the DODH reactions of glycols and polyols were complete in 1-3 hr. The polyols glycerol, erythritol, and threitol were converted in high yields (80-90%) to allyl alcohol and 1,3-butadiene respectively, with 11-13 % of dihydrofuran derivatives as minor products from the tetraols. The C</w:t>
      </w:r>
      <w:r w:rsidRPr="00E47369">
        <w:rPr>
          <w:rFonts w:cstheme="minorHAnsi"/>
          <w:vertAlign w:val="subscript"/>
        </w:rPr>
        <w:t>5</w:t>
      </w:r>
      <w:r w:rsidRPr="00E47369">
        <w:rPr>
          <w:rFonts w:cstheme="minorHAnsi"/>
        </w:rPr>
        <w:t>-sugar alcohols xylitol, arabinatol and ribitol were converted in moderate (33-61%) yields to the same E-2,4-pentadienyl 3-pentyl ether derived from reaction with 3-pentanol as solvent. Similarly, the C</w:t>
      </w:r>
      <w:r w:rsidRPr="00E47369">
        <w:rPr>
          <w:rFonts w:cstheme="minorHAnsi"/>
          <w:vertAlign w:val="subscript"/>
        </w:rPr>
        <w:t>6</w:t>
      </w:r>
      <w:r w:rsidRPr="00E47369">
        <w:rPr>
          <w:rFonts w:cstheme="minorHAnsi"/>
        </w:rPr>
        <w:t>-sugar alcohols sorbitol and mannitol were completely deoxygenated to the same E-hexatriene (54% yield). A series of stereoisomeric inositols were converted in low to moderate yields to mixtures of benzene (from exhaustive DODH) and phenol (from DODH and dehydration), with the former generally predominating (ca. 1:1 to 3:1). Application of the alcohol/</w:t>
      </w:r>
      <w:r w:rsidR="001539C6" w:rsidRPr="001539C6">
        <w:rPr>
          <w:rFonts w:cstheme="minorHAnsi"/>
          <w:color w:val="000000" w:themeColor="text1"/>
        </w:rPr>
        <w:t xml:space="preserve">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rPr>
          <w:rFonts w:cstheme="minorHAnsi"/>
        </w:rPr>
        <w:t xml:space="preserve"> protocol on sugars provided moderate yields of furan (47-60 %) from erythrose and threose, while pentoses gave low yields of 2-alkoxymethyl furan, resulting from a combination of dehydration and DODH steps. Regarding the mechanism of the catalytic process, it was found that reactions run in the presence of 3-hexyne, resulted in formation of isolable MeRe</w:t>
      </w:r>
      <w:r w:rsidRPr="00E47369">
        <w:rPr>
          <w:rFonts w:cstheme="minorHAnsi"/>
          <w:vertAlign w:val="superscript"/>
        </w:rPr>
        <w:t>v</w:t>
      </w:r>
      <w:r w:rsidRPr="00E47369">
        <w:rPr>
          <w:rFonts w:cstheme="minorHAnsi"/>
        </w:rPr>
        <w:t>O</w:t>
      </w:r>
      <w:r w:rsidRPr="00E47369">
        <w:rPr>
          <w:rFonts w:cstheme="minorHAnsi"/>
          <w:vertAlign w:val="subscript"/>
        </w:rPr>
        <w:t>2</w:t>
      </w:r>
      <w:r w:rsidRPr="00E47369">
        <w:rPr>
          <w:rFonts w:cstheme="minorHAnsi"/>
        </w:rPr>
        <w:t>(alkyne), which reacted at room temperature with glycol to form MeRe</w:t>
      </w:r>
      <w:r w:rsidRPr="00E47369">
        <w:rPr>
          <w:rFonts w:cstheme="minorHAnsi"/>
          <w:vertAlign w:val="superscript"/>
        </w:rPr>
        <w:t>v</w:t>
      </w:r>
      <w:r w:rsidRPr="00E47369">
        <w:rPr>
          <w:rFonts w:cstheme="minorHAnsi"/>
        </w:rPr>
        <w:t>O(glycolate), and had comp</w:t>
      </w:r>
      <w:r w:rsidR="001539C6">
        <w:rPr>
          <w:rFonts w:cstheme="minorHAnsi"/>
        </w:rPr>
        <w:t xml:space="preserve">arable catalytic activity to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rPr>
          <w:rFonts w:cstheme="minorHAnsi"/>
        </w:rPr>
        <w:t>, supporting MeRe</w:t>
      </w:r>
      <w:r w:rsidRPr="00E47369">
        <w:rPr>
          <w:rFonts w:cstheme="minorHAnsi"/>
          <w:vertAlign w:val="superscript"/>
        </w:rPr>
        <w:t>v</w:t>
      </w:r>
      <w:r w:rsidRPr="00E47369">
        <w:rPr>
          <w:rFonts w:cstheme="minorHAnsi"/>
        </w:rPr>
        <w:t>O</w:t>
      </w:r>
      <w:r w:rsidRPr="00E47369">
        <w:rPr>
          <w:rFonts w:cstheme="minorHAnsi"/>
          <w:vertAlign w:val="subscript"/>
        </w:rPr>
        <w:t>2</w:t>
      </w:r>
      <w:r w:rsidRPr="00E47369">
        <w:rPr>
          <w:rFonts w:cstheme="minorHAnsi"/>
        </w:rPr>
        <w:t xml:space="preserve"> as the catalytically relevant species.</w:t>
      </w:r>
    </w:p>
    <w:p w14:paraId="4A49E186" w14:textId="77777777" w:rsidR="00443010" w:rsidRPr="00E47369" w:rsidRDefault="00443010" w:rsidP="006042D0">
      <w:pPr>
        <w:ind w:firstLine="360"/>
        <w:jc w:val="both"/>
        <w:rPr>
          <w:rFonts w:cstheme="minorHAnsi"/>
        </w:rPr>
      </w:pPr>
    </w:p>
    <w:p w14:paraId="70662C13" w14:textId="77777777" w:rsidR="008E146E" w:rsidRPr="00E47369" w:rsidRDefault="00216D29" w:rsidP="003E463F">
      <w:pPr>
        <w:keepNext/>
        <w:jc w:val="center"/>
        <w:rPr>
          <w:rFonts w:cstheme="minorHAnsi"/>
        </w:rPr>
      </w:pPr>
      <w:r w:rsidRPr="00E47369">
        <w:rPr>
          <w:rFonts w:cstheme="minorHAnsi"/>
        </w:rPr>
        <w:object w:dxaOrig="7061" w:dyaOrig="4226" w14:anchorId="1A05854E">
          <v:shape id="_x0000_i1044" type="#_x0000_t75" style="width:344.95pt;height:204.9pt" o:ole="">
            <v:imagedata r:id="rId48" o:title=""/>
          </v:shape>
          <o:OLEObject Type="Embed" ProgID="ChemDraw.Document.6.0" ShapeID="_x0000_i1044" DrawAspect="Content" ObjectID="_1532784898" r:id="rId49"/>
        </w:object>
      </w:r>
    </w:p>
    <w:p w14:paraId="1AB5C167" w14:textId="77777777" w:rsidR="00216D29" w:rsidRPr="00072EEF" w:rsidRDefault="007D369E" w:rsidP="00072EEF">
      <w:pPr>
        <w:pStyle w:val="Caption"/>
      </w:pPr>
      <w:bookmarkStart w:id="67" w:name="_Ref449892294"/>
      <w:bookmarkStart w:id="68" w:name="_Toc457320596"/>
      <w:bookmarkStart w:id="69" w:name="_Toc458938371"/>
      <w:r w:rsidRPr="00072EEF">
        <w:t>Figure I.3.</w:t>
      </w:r>
      <w:r w:rsidR="00443010">
        <w:fldChar w:fldCharType="begin"/>
      </w:r>
      <w:r w:rsidR="00443010">
        <w:instrText xml:space="preserve"> STYLEREF 3 \s </w:instrText>
      </w:r>
      <w:r w:rsidR="00443010">
        <w:fldChar w:fldCharType="separate"/>
      </w:r>
      <w:r w:rsidR="000A0E3D">
        <w:rPr>
          <w:noProof/>
        </w:rPr>
        <w:t>a</w:t>
      </w:r>
      <w:r w:rsidR="00443010">
        <w:rPr>
          <w:noProof/>
        </w:rPr>
        <w:fldChar w:fldCharType="end"/>
      </w:r>
      <w:r w:rsidRPr="00072EEF">
        <w:t>.</w:t>
      </w:r>
      <w:r w:rsidR="00443010">
        <w:fldChar w:fldCharType="begin"/>
      </w:r>
      <w:r w:rsidR="00443010">
        <w:instrText xml:space="preserve"> SEQ Figure_I._3. \* ARABIC \s 3 </w:instrText>
      </w:r>
      <w:r w:rsidR="00443010">
        <w:fldChar w:fldCharType="separate"/>
      </w:r>
      <w:r w:rsidR="000A0E3D">
        <w:rPr>
          <w:noProof/>
        </w:rPr>
        <w:t>17</w:t>
      </w:r>
      <w:r w:rsidR="00443010">
        <w:rPr>
          <w:noProof/>
        </w:rPr>
        <w:fldChar w:fldCharType="end"/>
      </w:r>
      <w:bookmarkEnd w:id="67"/>
      <w:r w:rsidR="008E146E" w:rsidRPr="00072EEF">
        <w:t xml:space="preserve"> </w:t>
      </w:r>
      <w:r w:rsidR="00216D29" w:rsidRPr="00072EEF">
        <w:t>Alcohols as reducing agent in DODH system</w:t>
      </w:r>
      <w:bookmarkEnd w:id="68"/>
      <w:bookmarkEnd w:id="69"/>
    </w:p>
    <w:p w14:paraId="49C9407E" w14:textId="77777777" w:rsidR="00536AE9" w:rsidRPr="00E47369" w:rsidRDefault="00536AE9" w:rsidP="00536AE9">
      <w:pPr>
        <w:rPr>
          <w:rFonts w:cstheme="minorHAnsi"/>
        </w:rPr>
      </w:pPr>
    </w:p>
    <w:p w14:paraId="48BC04D4" w14:textId="0A068B53" w:rsidR="00216D29" w:rsidRPr="00E47369" w:rsidRDefault="00216D29" w:rsidP="006042D0">
      <w:pPr>
        <w:ind w:firstLine="360"/>
        <w:jc w:val="both"/>
        <w:rPr>
          <w:rFonts w:cstheme="minorHAnsi"/>
        </w:rPr>
      </w:pPr>
      <w:r w:rsidRPr="00E47369">
        <w:rPr>
          <w:rFonts w:cstheme="minorHAnsi"/>
        </w:rPr>
        <w:t xml:space="preserve">Shiramizu and Toste expanded the scope and utility of alcohol-driven, </w:t>
      </w:r>
      <w:r w:rsidR="001539C6" w:rsidRPr="00E47369">
        <w:rPr>
          <w:rFonts w:cstheme="minorHAnsi"/>
          <w:color w:val="000000" w:themeColor="text1"/>
        </w:rPr>
        <w:t>MeReO</w:t>
      </w:r>
      <w:r w:rsidR="001539C6" w:rsidRPr="00E47369">
        <w:rPr>
          <w:rFonts w:cstheme="minorHAnsi"/>
          <w:color w:val="000000" w:themeColor="text1"/>
          <w:vertAlign w:val="subscript"/>
        </w:rPr>
        <w:t>3</w:t>
      </w:r>
      <w:r w:rsidR="001539C6">
        <w:rPr>
          <w:rFonts w:cstheme="minorHAnsi"/>
        </w:rPr>
        <w:t xml:space="preserve">-catalyzed DODH by: 1) using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rPr>
          <w:rFonts w:cstheme="minorHAnsi"/>
        </w:rPr>
        <w:t>’s ability to promote allylic alcohol 1,3-transposition to enable the conversion of 1,4-unsaturated alcohols to 1,3-dienes; 2) including new polyfunctional natural substrates in DODH; and 3) carrying out a one pot tandem DODH-Diels-Alder reaction sequence (</w:t>
      </w:r>
      <w:r w:rsidR="008E146E" w:rsidRPr="00E47369">
        <w:rPr>
          <w:rFonts w:cstheme="minorHAnsi"/>
        </w:rPr>
        <w:fldChar w:fldCharType="begin"/>
      </w:r>
      <w:r w:rsidR="008E146E" w:rsidRPr="00E47369">
        <w:rPr>
          <w:rFonts w:cstheme="minorHAnsi"/>
        </w:rPr>
        <w:instrText xml:space="preserve"> REF _Ref449892294 \h </w:instrText>
      </w:r>
      <w:r w:rsidR="003E463F" w:rsidRPr="00E47369">
        <w:rPr>
          <w:rFonts w:cstheme="minorHAnsi"/>
        </w:rPr>
        <w:instrText xml:space="preserve"> \* MERGEFORMAT </w:instrText>
      </w:r>
      <w:r w:rsidR="008E146E" w:rsidRPr="00E47369">
        <w:rPr>
          <w:rFonts w:cstheme="minorHAnsi"/>
        </w:rPr>
      </w:r>
      <w:r w:rsidR="008E146E" w:rsidRPr="00E47369">
        <w:rPr>
          <w:rFonts w:cstheme="minorHAnsi"/>
        </w:rPr>
        <w:fldChar w:fldCharType="separate"/>
      </w:r>
      <w:r w:rsidR="000A0E3D" w:rsidRPr="000A0E3D">
        <w:rPr>
          <w:rFonts w:cstheme="minorHAnsi"/>
        </w:rPr>
        <w:t>Figure I.3.a.17</w:t>
      </w:r>
      <w:r w:rsidR="008E146E" w:rsidRPr="00E47369">
        <w:rPr>
          <w:rFonts w:cstheme="minorHAnsi"/>
        </w:rPr>
        <w:fldChar w:fldCharType="end"/>
      </w:r>
      <w:r w:rsidRPr="00E47369">
        <w:rPr>
          <w:rFonts w:cstheme="minorHAnsi"/>
        </w:rPr>
        <w:t>).</w:t>
      </w:r>
      <w:r w:rsidRPr="00E47369">
        <w:rPr>
          <w:rFonts w:cstheme="minorHAnsi"/>
        </w:rPr>
        <w:fldChar w:fldCharType="begin"/>
      </w:r>
      <w:r w:rsidR="006D0CD6" w:rsidRPr="00E47369">
        <w:rPr>
          <w:rFonts w:cstheme="minorHAnsi"/>
        </w:rPr>
        <w:instrText xml:space="preserve"> ADDIN ZOTERO_ITEM CSL_CITATION {"citationID":"2bv4bljr5i","properties":{"formattedCitation":"{\\rtf \\super 45\\nosupersub{}}","plainCitation":"45"},"citationItems":[{"id":405,"uris":["http://zotero.org/users/1624234/items/T47EEJV6"],"uri":["http://zotero.org/users/1624234/items/T47EEJV6"],"itemData":{"id":405,"type":"article-journal","title":"Expanding the Scope of Biomass-Derived Chemicals through Tandem Reactions Based on Oxorhenium-Catalyzed Deoxydehydration","container-title":"Angewandte Chemie International Edition","page":"12905-12909","volume":"52","issue":"49","source":"Wiley Online Library","DOI":"10.1002/anie.201307564","ISSN":"1521-3773","journalAbbreviation":"Angew. Chem. Int. Ed.","language":"en","author":[{"family":"Shiramizu","given":"Mika"},{"family":"Toste","given":"F. Dean"}],"issued":{"date-parts":[["2013"]]}}}],"schema":"https://github.com/citation-style-language/schema/raw/master/csl-citation.json"} </w:instrText>
      </w:r>
      <w:r w:rsidRPr="00E47369">
        <w:rPr>
          <w:rFonts w:cstheme="minorHAnsi"/>
        </w:rPr>
        <w:fldChar w:fldCharType="separate"/>
      </w:r>
      <w:r w:rsidRPr="00E47369">
        <w:rPr>
          <w:rFonts w:cstheme="minorHAnsi"/>
          <w:sz w:val="22"/>
          <w:vertAlign w:val="superscript"/>
        </w:rPr>
        <w:t>45</w:t>
      </w:r>
      <w:r w:rsidRPr="00E47369">
        <w:rPr>
          <w:rFonts w:cstheme="minorHAnsi"/>
        </w:rPr>
        <w:fldChar w:fldCharType="end"/>
      </w:r>
      <w:r w:rsidRPr="00E47369">
        <w:rPr>
          <w:rFonts w:cstheme="minorHAnsi"/>
        </w:rPr>
        <w:t xml:space="preserve"> Representative acyclic and cyclic ene-1,4-diols were converted in moderate to good yields to 1,3-dienes (18-70 %) with α,β-unsaturated ketones as minor side-products. The C</w:t>
      </w:r>
      <w:r w:rsidRPr="00E47369">
        <w:rPr>
          <w:rFonts w:cstheme="minorHAnsi"/>
          <w:vertAlign w:val="subscript"/>
        </w:rPr>
        <w:t>6</w:t>
      </w:r>
      <w:r w:rsidRPr="00E47369">
        <w:rPr>
          <w:rFonts w:cstheme="minorHAnsi"/>
        </w:rPr>
        <w:t xml:space="preserve"> sugar acid, mucic acid and its ester, could be efficiently converted to the dienic muconic ester 16 (71%) with the primary alcohol 1-butanol as solvent/reductant and acidic HReO</w:t>
      </w:r>
      <w:r w:rsidRPr="00E47369">
        <w:rPr>
          <w:rFonts w:cstheme="minorHAnsi"/>
          <w:vertAlign w:val="subscript"/>
        </w:rPr>
        <w:t>4</w:t>
      </w:r>
      <w:r w:rsidRPr="00E47369">
        <w:rPr>
          <w:rFonts w:cstheme="minorHAnsi"/>
        </w:rPr>
        <w:t xml:space="preserve"> as the catalyst. Similarly the C</w:t>
      </w:r>
      <w:r w:rsidRPr="00E47369">
        <w:rPr>
          <w:rFonts w:cstheme="minorHAnsi"/>
          <w:vertAlign w:val="subscript"/>
        </w:rPr>
        <w:t>6</w:t>
      </w:r>
      <w:r w:rsidRPr="00E47369">
        <w:rPr>
          <w:rFonts w:cstheme="minorHAnsi"/>
        </w:rPr>
        <w:t xml:space="preserve"> gluconic acid was efficiently converted to the E,E-dienic ester 16 (47%). The tandem DODH/Diels-Alder process was demonstrated with tartaric acid and erythritol as the dienophile and diene precursors, respectively. These were first heated with HReO</w:t>
      </w:r>
      <w:r w:rsidRPr="00E47369">
        <w:rPr>
          <w:rFonts w:cstheme="minorHAnsi"/>
          <w:vertAlign w:val="subscript"/>
        </w:rPr>
        <w:t>4</w:t>
      </w:r>
      <w:r w:rsidRPr="00E47369">
        <w:rPr>
          <w:rFonts w:cstheme="minorHAnsi"/>
        </w:rPr>
        <w:t>/2-methyl-1-butanol (170</w:t>
      </w:r>
      <w:r w:rsidRPr="00E47369">
        <w:rPr>
          <w:rFonts w:cstheme="minorHAnsi"/>
          <w:vertAlign w:val="superscript"/>
        </w:rPr>
        <w:t>o</w:t>
      </w:r>
      <w:r w:rsidRPr="00E47369">
        <w:rPr>
          <w:rFonts w:cstheme="minorHAnsi"/>
        </w:rPr>
        <w:t>C, 4h) to generate butadiene and the fumarate ester; continued heating at 120</w:t>
      </w:r>
      <w:r w:rsidRPr="00E47369">
        <w:rPr>
          <w:rFonts w:cstheme="minorHAnsi"/>
          <w:vertAlign w:val="superscript"/>
        </w:rPr>
        <w:t>o</w:t>
      </w:r>
      <w:r w:rsidRPr="00E47369">
        <w:rPr>
          <w:rFonts w:cstheme="minorHAnsi"/>
        </w:rPr>
        <w:t xml:space="preserve">C (42h) provided the Diels-Alder adduct in 70 % yield from tartaric acid. </w:t>
      </w:r>
    </w:p>
    <w:p w14:paraId="701217CC" w14:textId="77777777" w:rsidR="00216D29" w:rsidRPr="00E47369" w:rsidRDefault="00216D29" w:rsidP="006042D0">
      <w:pPr>
        <w:ind w:firstLine="360"/>
        <w:jc w:val="both"/>
        <w:rPr>
          <w:rFonts w:cstheme="minorHAnsi"/>
        </w:rPr>
      </w:pPr>
      <w:r w:rsidRPr="00E47369">
        <w:rPr>
          <w:rFonts w:cstheme="minorHAnsi"/>
        </w:rPr>
        <w:t>Although secondary alcohols have generally been found to be more effective reductants in DODH reactions, Boucher-Jacobs and Nicholas showed that the reactive primary alcohol, benzyl alcohol was also an efficient reaction partner for DODH of representative glycols and polyols with less expensive NH</w:t>
      </w:r>
      <w:r w:rsidRPr="00E47369">
        <w:rPr>
          <w:rFonts w:cstheme="minorHAnsi"/>
          <w:vertAlign w:val="subscript"/>
        </w:rPr>
        <w:t>4</w:t>
      </w:r>
      <w:r w:rsidRPr="00E47369">
        <w:rPr>
          <w:rFonts w:cstheme="minorHAnsi"/>
        </w:rPr>
        <w:t>ReO</w:t>
      </w:r>
      <w:r w:rsidRPr="00E47369">
        <w:rPr>
          <w:rFonts w:cstheme="minorHAnsi"/>
          <w:vertAlign w:val="subscript"/>
        </w:rPr>
        <w:t>4</w:t>
      </w:r>
      <w:r w:rsidRPr="00E47369">
        <w:rPr>
          <w:rFonts w:cstheme="minorHAnsi"/>
        </w:rPr>
        <w:t xml:space="preserve"> (APR) as the catalyst (</w:t>
      </w:r>
      <w:r w:rsidR="008E146E" w:rsidRPr="00E47369">
        <w:rPr>
          <w:rFonts w:cstheme="minorHAnsi"/>
        </w:rPr>
        <w:fldChar w:fldCharType="begin"/>
      </w:r>
      <w:r w:rsidR="008E146E" w:rsidRPr="00E47369">
        <w:rPr>
          <w:rFonts w:cstheme="minorHAnsi"/>
        </w:rPr>
        <w:instrText xml:space="preserve"> REF _Ref449892330 \h </w:instrText>
      </w:r>
      <w:r w:rsidR="003E463F" w:rsidRPr="00E47369">
        <w:rPr>
          <w:rFonts w:cstheme="minorHAnsi"/>
        </w:rPr>
        <w:instrText xml:space="preserve"> \* MERGEFORMAT </w:instrText>
      </w:r>
      <w:r w:rsidR="008E146E" w:rsidRPr="00E47369">
        <w:rPr>
          <w:rFonts w:cstheme="minorHAnsi"/>
        </w:rPr>
      </w:r>
      <w:r w:rsidR="008E146E" w:rsidRPr="00E47369">
        <w:rPr>
          <w:rFonts w:cstheme="minorHAnsi"/>
        </w:rPr>
        <w:fldChar w:fldCharType="separate"/>
      </w:r>
      <w:r w:rsidR="000A0E3D" w:rsidRPr="000A0E3D">
        <w:rPr>
          <w:rFonts w:cstheme="minorHAnsi"/>
        </w:rPr>
        <w:t>Figure I.3.a.18</w:t>
      </w:r>
      <w:r w:rsidR="008E146E" w:rsidRPr="00E47369">
        <w:rPr>
          <w:rFonts w:cstheme="minorHAnsi"/>
        </w:rPr>
        <w:fldChar w:fldCharType="end"/>
      </w:r>
      <w:r w:rsidRPr="00E47369">
        <w:rPr>
          <w:rFonts w:cstheme="minorHAnsi"/>
        </w:rPr>
        <w:t>).</w:t>
      </w:r>
      <w:r w:rsidRPr="00E47369">
        <w:rPr>
          <w:rFonts w:cstheme="minorHAnsi"/>
        </w:rPr>
        <w:fldChar w:fldCharType="begin"/>
      </w:r>
      <w:r w:rsidR="006D0CD6" w:rsidRPr="00E47369">
        <w:rPr>
          <w:rFonts w:cstheme="minorHAnsi"/>
        </w:rPr>
        <w:instrText xml:space="preserve"> ADDIN ZOTERO_ITEM CSL_CITATION {"citationID":"1vs0mp52f8","properties":{"formattedCitation":"{\\rtf \\super 46\\nosupersub{}}","plainCitation":"46"},"citationItems":[{"id":435,"uris":["http://zotero.org/users/1624234/items/VS4SE8DS"],"uri":["http://zotero.org/users/1624234/items/VS4SE8DS"],"itemData":{"id":435,"type":"article-journal","title":"Catalytic Deoxydehydration of Glycols with Alcohol Reductants","container-title":"ChemSusChem","page":"597-599","volume":"6","issue":"4","source":"CrossRef","DOI":"10.1002/cssc.201200781","ISSN":"18645631","author":[{"family":"Boucher-Jacobs","given":"Camille"},{"family":"Nicholas","given":"Kenneth M."}],"issued":{"date-parts":[["2013",4]]}}}],"schema":"https://github.com/citation-style-language/schema/raw/master/csl-citation.json"} </w:instrText>
      </w:r>
      <w:r w:rsidRPr="00E47369">
        <w:rPr>
          <w:rFonts w:cstheme="minorHAnsi"/>
        </w:rPr>
        <w:fldChar w:fldCharType="separate"/>
      </w:r>
      <w:r w:rsidRPr="00E47369">
        <w:rPr>
          <w:rFonts w:cstheme="minorHAnsi"/>
          <w:sz w:val="22"/>
          <w:vertAlign w:val="superscript"/>
        </w:rPr>
        <w:t>46</w:t>
      </w:r>
      <w:r w:rsidRPr="00E47369">
        <w:rPr>
          <w:rFonts w:cstheme="minorHAnsi"/>
        </w:rPr>
        <w:fldChar w:fldCharType="end"/>
      </w:r>
      <w:r w:rsidRPr="00E47369">
        <w:rPr>
          <w:rFonts w:cstheme="minorHAnsi"/>
        </w:rPr>
        <w:t xml:space="preserve"> This system has practical advantages for facilitating separation of the alkene and aldehyde co-products via the insoluble bisulfite adduct of the aldehyde (not effective with ketones) and also enabling efficient recovery/re-use of the insoluble catalyst. Operating at 150</w:t>
      </w:r>
      <w:r w:rsidRPr="00E47369">
        <w:rPr>
          <w:rFonts w:cstheme="minorHAnsi"/>
          <w:vertAlign w:val="superscript"/>
        </w:rPr>
        <w:t>o</w:t>
      </w:r>
      <w:r w:rsidRPr="00E47369">
        <w:rPr>
          <w:rFonts w:cstheme="minorHAnsi"/>
        </w:rPr>
        <w:t>C in aromatic solvents with 2.5 mol% APR several glycols were converted to corresponding alkenes in moderate to excellent yields (50-95%).</w:t>
      </w:r>
    </w:p>
    <w:p w14:paraId="0127E4B3" w14:textId="77777777" w:rsidR="00536AE9" w:rsidRPr="00E47369" w:rsidRDefault="00536AE9" w:rsidP="003E463F">
      <w:pPr>
        <w:jc w:val="both"/>
        <w:rPr>
          <w:rFonts w:cstheme="minorHAnsi"/>
        </w:rPr>
      </w:pPr>
    </w:p>
    <w:p w14:paraId="727D569B" w14:textId="77777777" w:rsidR="008E146E" w:rsidRPr="00E47369" w:rsidRDefault="003E463F" w:rsidP="003E463F">
      <w:pPr>
        <w:keepNext/>
        <w:jc w:val="center"/>
        <w:rPr>
          <w:rFonts w:cstheme="minorHAnsi"/>
        </w:rPr>
      </w:pPr>
      <w:r w:rsidRPr="00E47369">
        <w:rPr>
          <w:rFonts w:cstheme="minorHAnsi"/>
        </w:rPr>
        <w:object w:dxaOrig="9290" w:dyaOrig="4353" w14:anchorId="60D7B663">
          <v:shape id="_x0000_i1045" type="#_x0000_t75" style="width:396.4pt;height:189.9pt" o:ole="">
            <v:imagedata r:id="rId50" o:title=""/>
          </v:shape>
          <o:OLEObject Type="Embed" ProgID="ChemDraw.Document.6.0" ShapeID="_x0000_i1045" DrawAspect="Content" ObjectID="_1532784899" r:id="rId51"/>
        </w:object>
      </w:r>
    </w:p>
    <w:p w14:paraId="4D705F43" w14:textId="77777777" w:rsidR="00216D29" w:rsidRPr="00072EEF" w:rsidRDefault="00810326" w:rsidP="00072EEF">
      <w:pPr>
        <w:pStyle w:val="Caption"/>
      </w:pPr>
      <w:bookmarkStart w:id="70" w:name="_Ref449892330"/>
      <w:bookmarkStart w:id="71" w:name="_Toc457320597"/>
      <w:bookmarkStart w:id="72" w:name="_Toc458938372"/>
      <w:r w:rsidRPr="00072EEF">
        <w:t>Figure I.3.</w:t>
      </w:r>
      <w:r w:rsidR="00443010">
        <w:fldChar w:fldCharType="begin"/>
      </w:r>
      <w:r w:rsidR="00443010">
        <w:instrText xml:space="preserve"> STYLEREF 3 \s </w:instrText>
      </w:r>
      <w:r w:rsidR="00443010">
        <w:fldChar w:fldCharType="separate"/>
      </w:r>
      <w:r w:rsidR="000A0E3D">
        <w:rPr>
          <w:noProof/>
        </w:rPr>
        <w:t>a</w:t>
      </w:r>
      <w:r w:rsidR="00443010">
        <w:rPr>
          <w:noProof/>
        </w:rPr>
        <w:fldChar w:fldCharType="end"/>
      </w:r>
      <w:r w:rsidRPr="00072EEF">
        <w:t>.</w:t>
      </w:r>
      <w:r w:rsidR="00443010">
        <w:fldChar w:fldCharType="begin"/>
      </w:r>
      <w:r w:rsidR="00443010">
        <w:instrText xml:space="preserve"> SEQ Figure_I._3. \* ARABIC \s 3 </w:instrText>
      </w:r>
      <w:r w:rsidR="00443010">
        <w:fldChar w:fldCharType="separate"/>
      </w:r>
      <w:r w:rsidR="000A0E3D">
        <w:rPr>
          <w:noProof/>
        </w:rPr>
        <w:t>18</w:t>
      </w:r>
      <w:r w:rsidR="00443010">
        <w:rPr>
          <w:noProof/>
        </w:rPr>
        <w:fldChar w:fldCharType="end"/>
      </w:r>
      <w:bookmarkEnd w:id="70"/>
      <w:r w:rsidR="008E146E" w:rsidRPr="00072EEF">
        <w:t xml:space="preserve"> </w:t>
      </w:r>
      <w:r w:rsidR="00216D29" w:rsidRPr="00072EEF">
        <w:t>Purification and catalyst recycling in NH</w:t>
      </w:r>
      <w:r w:rsidR="00216D29" w:rsidRPr="00072EEF">
        <w:rPr>
          <w:vertAlign w:val="subscript"/>
        </w:rPr>
        <w:t>4</w:t>
      </w:r>
      <w:r w:rsidR="00216D29" w:rsidRPr="00072EEF">
        <w:t>ReO</w:t>
      </w:r>
      <w:r w:rsidR="00216D29" w:rsidRPr="00072EEF">
        <w:rPr>
          <w:vertAlign w:val="subscript"/>
        </w:rPr>
        <w:t>4</w:t>
      </w:r>
      <w:r w:rsidR="00216D29" w:rsidRPr="00072EEF">
        <w:t xml:space="preserve"> / benzyl alcohol DODH system</w:t>
      </w:r>
      <w:bookmarkEnd w:id="71"/>
      <w:bookmarkEnd w:id="72"/>
    </w:p>
    <w:p w14:paraId="6B036262" w14:textId="77777777" w:rsidR="003E463F" w:rsidRPr="00E47369" w:rsidRDefault="003E463F" w:rsidP="003E463F">
      <w:pPr>
        <w:rPr>
          <w:rFonts w:cstheme="minorHAnsi"/>
        </w:rPr>
      </w:pPr>
    </w:p>
    <w:p w14:paraId="7BE229A8" w14:textId="40BFA2FA" w:rsidR="00216D29" w:rsidRPr="00E47369" w:rsidRDefault="00216D29" w:rsidP="006042D0">
      <w:pPr>
        <w:ind w:firstLine="360"/>
        <w:jc w:val="both"/>
        <w:rPr>
          <w:rFonts w:cstheme="minorHAnsi"/>
        </w:rPr>
      </w:pPr>
      <w:r w:rsidRPr="00E47369">
        <w:rPr>
          <w:rFonts w:cstheme="minorHAnsi"/>
        </w:rPr>
        <w:t xml:space="preserve">An experimental mechanistic study of the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rPr>
          <w:rFonts w:cstheme="minorHAnsi"/>
        </w:rPr>
        <w:t>-catalyzed, alcohol driven DODH of hydrobenzoin to trans-stilbene was recently reported by Abu-Omar and coworkers (</w:t>
      </w:r>
      <w:r w:rsidR="008E146E" w:rsidRPr="00E47369">
        <w:rPr>
          <w:rFonts w:cstheme="minorHAnsi"/>
        </w:rPr>
        <w:fldChar w:fldCharType="begin"/>
      </w:r>
      <w:r w:rsidR="008E146E" w:rsidRPr="00E47369">
        <w:rPr>
          <w:rFonts w:cstheme="minorHAnsi"/>
        </w:rPr>
        <w:instrText xml:space="preserve"> REF _Ref449892384 \h </w:instrText>
      </w:r>
      <w:r w:rsidR="003E463F" w:rsidRPr="00E47369">
        <w:rPr>
          <w:rFonts w:cstheme="minorHAnsi"/>
        </w:rPr>
        <w:instrText xml:space="preserve"> \* MERGEFORMAT </w:instrText>
      </w:r>
      <w:r w:rsidR="008E146E" w:rsidRPr="00E47369">
        <w:rPr>
          <w:rFonts w:cstheme="minorHAnsi"/>
        </w:rPr>
      </w:r>
      <w:r w:rsidR="008E146E" w:rsidRPr="00E47369">
        <w:rPr>
          <w:rFonts w:cstheme="minorHAnsi"/>
        </w:rPr>
        <w:fldChar w:fldCharType="separate"/>
      </w:r>
      <w:r w:rsidR="000A0E3D" w:rsidRPr="000A0E3D">
        <w:rPr>
          <w:rFonts w:cstheme="minorHAnsi"/>
        </w:rPr>
        <w:t>Figure I.3.a.19</w:t>
      </w:r>
      <w:r w:rsidR="008E146E" w:rsidRPr="00E47369">
        <w:rPr>
          <w:rFonts w:cstheme="minorHAnsi"/>
        </w:rPr>
        <w:fldChar w:fldCharType="end"/>
      </w:r>
      <w:r w:rsidRPr="00E47369">
        <w:rPr>
          <w:rFonts w:cstheme="minorHAnsi"/>
        </w:rPr>
        <w:t>; R=Ph).</w:t>
      </w:r>
      <w:r w:rsidRPr="00E47369">
        <w:rPr>
          <w:rFonts w:cstheme="minorHAnsi"/>
        </w:rPr>
        <w:fldChar w:fldCharType="begin"/>
      </w:r>
      <w:r w:rsidR="006D0CD6" w:rsidRPr="00E47369">
        <w:rPr>
          <w:rFonts w:cstheme="minorHAnsi"/>
        </w:rPr>
        <w:instrText xml:space="preserve"> ADDIN ZOTERO_ITEM CSL_CITATION {"citationID":"1vtv4jc4d4","properties":{"formattedCitation":"{\\rtf \\super 47\\nosupersub{}}","plainCitation":"47"},"citationItems":[{"id":138,"uris":["http://zotero.org/users/1624234/items/8TBVX4RN"],"uri":["http://zotero.org/users/1624234/items/8TBVX4RN"],"itemData":{"id":138,"type":"article-journal","title":"Mechanism of MTO-Catalyzed Deoxydehydration of Diols to Alkenes Using Sacrificial Alcohols","container-title":"Organometallics","page":"3210-3219","volume":"32","issue":"11","source":"CrossRef","DOI":"10.1021/om400127z","ISSN":"0276-7333, 1520-6041","author":[{"family":"Liu","given":"Shuo"},{"family":"Senocak","given":"Aysegul"},{"family":"Smeltz","given":"Jessica L."},{"family":"Yang","given":"Linan"},{"family":"Wegenhart","given":"Benjamin"},{"family":"Yi","given":"Jing"},{"family":"Kenttämaa","given":"Hilkka I."},{"family":"Ison","given":"Elon A."},{"family":"Abu-Omar","given":"Mahdi M."}],"issued":{"date-parts":[["2013",6,10]]}}}],"schema":"https://github.com/citation-style-language/schema/raw/master/csl-citation.json"} </w:instrText>
      </w:r>
      <w:r w:rsidRPr="00E47369">
        <w:rPr>
          <w:rFonts w:cstheme="minorHAnsi"/>
        </w:rPr>
        <w:fldChar w:fldCharType="separate"/>
      </w:r>
      <w:r w:rsidRPr="00E47369">
        <w:rPr>
          <w:rFonts w:cstheme="minorHAnsi"/>
          <w:sz w:val="22"/>
          <w:vertAlign w:val="superscript"/>
        </w:rPr>
        <w:t>47</w:t>
      </w:r>
      <w:r w:rsidRPr="00E47369">
        <w:rPr>
          <w:rFonts w:cstheme="minorHAnsi"/>
        </w:rPr>
        <w:fldChar w:fldCharType="end"/>
      </w:r>
      <w:r w:rsidRPr="00E47369">
        <w:rPr>
          <w:rFonts w:cstheme="minorHAnsi"/>
        </w:rPr>
        <w:t xml:space="preserve"> Kinetic studies of the catalytic reaction in excess 3-octanol (solvent) at 140</w:t>
      </w:r>
      <w:r w:rsidRPr="00E47369">
        <w:rPr>
          <w:rFonts w:cstheme="minorHAnsi"/>
          <w:vertAlign w:val="superscript"/>
        </w:rPr>
        <w:t>o</w:t>
      </w:r>
      <w:r w:rsidRPr="00E47369">
        <w:rPr>
          <w:rFonts w:cstheme="minorHAnsi"/>
        </w:rPr>
        <w:t xml:space="preserve">C revealed an induction period, a zeroth order dependence on the glycol and half order behavior in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rPr>
          <w:rFonts w:cstheme="minorHAnsi"/>
        </w:rPr>
        <w:t>; the rate dependence on the alcohol reductant was not determined. The half order catalyst dependence suggests the involvement of a monomer-dimer equilibrium of Re-complexes. Stoichiometric reactivity experiments with NMR monitoring showed that the MeRe</w:t>
      </w:r>
      <w:r w:rsidRPr="00E47369">
        <w:rPr>
          <w:rFonts w:cstheme="minorHAnsi"/>
          <w:vertAlign w:val="superscript"/>
        </w:rPr>
        <w:t>v</w:t>
      </w:r>
      <w:r w:rsidRPr="00E47369">
        <w:rPr>
          <w:rFonts w:cstheme="minorHAnsi"/>
        </w:rPr>
        <w:t>O(glycolate) intermediate could be detected throughout the reaction and hence its conversion to product is probably rate-limiting. The authors claim that this conversion requires further reaction with the octanol to produce alkene and suggested that reduction to a Re</w:t>
      </w:r>
      <w:r w:rsidRPr="00E47369">
        <w:rPr>
          <w:rFonts w:cstheme="minorHAnsi"/>
          <w:vertAlign w:val="superscript"/>
        </w:rPr>
        <w:t>iii</w:t>
      </w:r>
      <w:r w:rsidRPr="00E47369">
        <w:rPr>
          <w:rFonts w:cstheme="minorHAnsi"/>
        </w:rPr>
        <w:t xml:space="preserve">-diolate precedes alkene extrusion. A small primary kinetic isotope effect (1.4) with 3-D-octanol and a large negative activation entropy (-37 eu) was taken as support for H(D)-transfer from the alcohol to the Re(diolate) as the rate-limiting step. </w:t>
      </w:r>
    </w:p>
    <w:p w14:paraId="2E650D24" w14:textId="77777777" w:rsidR="00536AE9" w:rsidRPr="00E47369" w:rsidRDefault="00536AE9" w:rsidP="003E463F">
      <w:pPr>
        <w:jc w:val="both"/>
        <w:rPr>
          <w:rFonts w:cstheme="minorHAnsi"/>
        </w:rPr>
      </w:pPr>
    </w:p>
    <w:p w14:paraId="75B5E256" w14:textId="77777777" w:rsidR="008E146E" w:rsidRPr="00E47369" w:rsidRDefault="00216D29" w:rsidP="003E463F">
      <w:pPr>
        <w:keepNext/>
        <w:jc w:val="center"/>
        <w:rPr>
          <w:rFonts w:cstheme="minorHAnsi"/>
        </w:rPr>
      </w:pPr>
      <w:r w:rsidRPr="00E47369">
        <w:rPr>
          <w:rFonts w:cstheme="minorHAnsi"/>
        </w:rPr>
        <w:object w:dxaOrig="7181" w:dyaOrig="4857" w14:anchorId="4E7CCC58">
          <v:shape id="_x0000_i1046" type="#_x0000_t75" style="width:339.45pt;height:230.25pt" o:ole="">
            <v:imagedata r:id="rId52" o:title=""/>
          </v:shape>
          <o:OLEObject Type="Embed" ProgID="ChemDraw.Document.6.0" ShapeID="_x0000_i1046" DrawAspect="Content" ObjectID="_1532784900" r:id="rId53"/>
        </w:object>
      </w:r>
    </w:p>
    <w:p w14:paraId="5DB8E94A" w14:textId="77777777" w:rsidR="00216D29" w:rsidRPr="00072EEF" w:rsidRDefault="00810326" w:rsidP="00072EEF">
      <w:pPr>
        <w:pStyle w:val="Caption"/>
      </w:pPr>
      <w:bookmarkStart w:id="73" w:name="_Ref449892384"/>
      <w:bookmarkStart w:id="74" w:name="_Toc457320598"/>
      <w:bookmarkStart w:id="75" w:name="_Toc458938373"/>
      <w:r w:rsidRPr="00072EEF">
        <w:t>Figure I.3.</w:t>
      </w:r>
      <w:r w:rsidR="00443010">
        <w:fldChar w:fldCharType="begin"/>
      </w:r>
      <w:r w:rsidR="00443010">
        <w:instrText xml:space="preserve"> STYLEREF 3 \s </w:instrText>
      </w:r>
      <w:r w:rsidR="00443010">
        <w:fldChar w:fldCharType="separate"/>
      </w:r>
      <w:r w:rsidR="000A0E3D">
        <w:rPr>
          <w:noProof/>
        </w:rPr>
        <w:t>a</w:t>
      </w:r>
      <w:r w:rsidR="00443010">
        <w:rPr>
          <w:noProof/>
        </w:rPr>
        <w:fldChar w:fldCharType="end"/>
      </w:r>
      <w:r w:rsidRPr="00072EEF">
        <w:t>.</w:t>
      </w:r>
      <w:r w:rsidR="00443010">
        <w:fldChar w:fldCharType="begin"/>
      </w:r>
      <w:r w:rsidR="00443010">
        <w:instrText xml:space="preserve"> SEQ Figure_I._3. \* ARABIC \s 3 </w:instrText>
      </w:r>
      <w:r w:rsidR="00443010">
        <w:fldChar w:fldCharType="separate"/>
      </w:r>
      <w:r w:rsidR="000A0E3D">
        <w:rPr>
          <w:noProof/>
        </w:rPr>
        <w:t>19</w:t>
      </w:r>
      <w:r w:rsidR="00443010">
        <w:rPr>
          <w:noProof/>
        </w:rPr>
        <w:fldChar w:fldCharType="end"/>
      </w:r>
      <w:bookmarkEnd w:id="73"/>
      <w:r w:rsidR="008E146E" w:rsidRPr="00072EEF">
        <w:t xml:space="preserve"> </w:t>
      </w:r>
      <w:r w:rsidR="00216D29" w:rsidRPr="00072EEF">
        <w:t>Proposed mechanistic cycle for alcohol-driven, CH</w:t>
      </w:r>
      <w:r w:rsidR="00216D29" w:rsidRPr="00072EEF">
        <w:rPr>
          <w:vertAlign w:val="subscript"/>
        </w:rPr>
        <w:t>3</w:t>
      </w:r>
      <w:r w:rsidR="00216D29" w:rsidRPr="00072EEF">
        <w:t>ReO</w:t>
      </w:r>
      <w:r w:rsidR="00216D29" w:rsidRPr="00072EEF">
        <w:rPr>
          <w:vertAlign w:val="subscript"/>
        </w:rPr>
        <w:t>3</w:t>
      </w:r>
      <w:r w:rsidR="00216D29" w:rsidRPr="00072EEF">
        <w:t>-catalyzed DODH by Abu-Omar</w:t>
      </w:r>
      <w:bookmarkEnd w:id="74"/>
      <w:bookmarkEnd w:id="75"/>
    </w:p>
    <w:p w14:paraId="19DA9307" w14:textId="77777777" w:rsidR="003E463F" w:rsidRPr="00E47369" w:rsidRDefault="003E463F" w:rsidP="003E463F">
      <w:pPr>
        <w:rPr>
          <w:rFonts w:cstheme="minorHAnsi"/>
        </w:rPr>
      </w:pPr>
    </w:p>
    <w:p w14:paraId="71473088" w14:textId="482B64CD" w:rsidR="00216D29" w:rsidRPr="00E47369" w:rsidRDefault="00216D29" w:rsidP="006042D0">
      <w:pPr>
        <w:ind w:firstLine="360"/>
        <w:jc w:val="both"/>
        <w:rPr>
          <w:rFonts w:cstheme="minorHAnsi"/>
        </w:rPr>
      </w:pPr>
      <w:r w:rsidRPr="00E47369">
        <w:rPr>
          <w:rFonts w:cstheme="minorHAnsi"/>
        </w:rPr>
        <w:t xml:space="preserve">A recent computational study by Wang and coworkers analyzed the energetics for various pathways in the alcohol-mediated DODH of glycols catalyzed by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rPr>
          <w:rFonts w:cstheme="minorHAnsi"/>
        </w:rPr>
        <w:t>.</w:t>
      </w:r>
      <w:r w:rsidRPr="00E47369">
        <w:rPr>
          <w:rFonts w:cstheme="minorHAnsi"/>
        </w:rPr>
        <w:fldChar w:fldCharType="begin"/>
      </w:r>
      <w:r w:rsidR="006D0CD6" w:rsidRPr="00E47369">
        <w:rPr>
          <w:rFonts w:cstheme="minorHAnsi"/>
        </w:rPr>
        <w:instrText xml:space="preserve"> ADDIN ZOTERO_ITEM CSL_CITATION {"citationID":"2goh17jgld","properties":{"formattedCitation":"{\\rtf \\super 48\\nosupersub{}}","plainCitation":"48"},"citationItems":[{"id":19,"uris":["http://zotero.org/users/1624234/items/2CW79V7S"],"uri":["http://zotero.org/users/1624234/items/2CW79V7S"],"itemData":{"id":19,"type":"article-journal","title":"Mechanism of the Methyltrioxorhenium-Catalyzed Deoxydehydration of Polyols: A New Pathway Revealed","container-title":"Chemistry – A European Journal","page":"3827–3832","volume":"19","issue":"12","source":"Wiley Online Library","DOI":"10.1002/chem.201204001","ISSN":"1521-3765","shortTitle":"Mechanism of the Methyltrioxorhenium-Catalyzed Deoxydehydration of Polyols","language":"en","author":[{"family":"Qu","given":"Shuanglin"},{"family":"Dang","given":"Yanfeng"},{"family":"Wen","given":"Mingwei"},{"family":"Wang","given":"Zhi-Xiang"}],"issued":{"date-parts":[["2013"]]}}}],"schema":"https://github.com/citation-style-language/schema/raw/master/csl-citation.json"} </w:instrText>
      </w:r>
      <w:r w:rsidRPr="00E47369">
        <w:rPr>
          <w:rFonts w:cstheme="minorHAnsi"/>
        </w:rPr>
        <w:fldChar w:fldCharType="separate"/>
      </w:r>
      <w:r w:rsidRPr="00E47369">
        <w:rPr>
          <w:rFonts w:cstheme="minorHAnsi"/>
          <w:sz w:val="22"/>
          <w:vertAlign w:val="superscript"/>
        </w:rPr>
        <w:t>48</w:t>
      </w:r>
      <w:r w:rsidRPr="00E47369">
        <w:rPr>
          <w:rFonts w:cstheme="minorHAnsi"/>
        </w:rPr>
        <w:fldChar w:fldCharType="end"/>
      </w:r>
      <w:r w:rsidRPr="00E47369">
        <w:rPr>
          <w:rFonts w:cstheme="minorHAnsi"/>
        </w:rPr>
        <w:t xml:space="preserve"> Free energies and enthalpies were calculated using DFT methods with the MO6 functional and corrected for temperature and solvent. Three pathways A, B, C were compared</w:t>
      </w:r>
      <w:r w:rsidRPr="00E47369">
        <w:rPr>
          <w:rFonts w:cstheme="minorHAnsi"/>
          <w:color w:val="000000" w:themeColor="text1"/>
        </w:rPr>
        <w:t>, differing in the timing of the Re</w:t>
      </w:r>
      <w:r w:rsidRPr="00E47369">
        <w:rPr>
          <w:rFonts w:cstheme="minorHAnsi"/>
          <w:color w:val="000000" w:themeColor="text1"/>
          <w:vertAlign w:val="superscript"/>
        </w:rPr>
        <w:t>vii/v</w:t>
      </w:r>
      <w:r w:rsidRPr="00E47369">
        <w:rPr>
          <w:rFonts w:cstheme="minorHAnsi"/>
          <w:color w:val="000000" w:themeColor="text1"/>
        </w:rPr>
        <w:t xml:space="preserve"> reduction and the glycol condensation stage and in the condensation intermediates. In pathway A the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rPr>
          <w:rFonts w:cstheme="minorHAnsi"/>
          <w:color w:val="000000" w:themeColor="text1"/>
        </w:rPr>
        <w:t xml:space="preserve"> reduction precedes the condensation and the highest barrier (45/33 kcal for ΔG</w:t>
      </w:r>
      <w:r w:rsidRPr="00E47369">
        <w:rPr>
          <w:rFonts w:cstheme="minorHAnsi"/>
          <w:color w:val="000000" w:themeColor="text1"/>
          <w:vertAlign w:val="subscript"/>
        </w:rPr>
        <w:t>act</w:t>
      </w:r>
      <w:r w:rsidRPr="00E47369">
        <w:rPr>
          <w:rFonts w:cstheme="minorHAnsi"/>
          <w:color w:val="000000" w:themeColor="text1"/>
        </w:rPr>
        <w:t>/ΔH</w:t>
      </w:r>
      <w:r w:rsidRPr="00E47369">
        <w:rPr>
          <w:rFonts w:cstheme="minorHAnsi"/>
          <w:color w:val="000000" w:themeColor="text1"/>
          <w:vertAlign w:val="subscript"/>
        </w:rPr>
        <w:t>act</w:t>
      </w:r>
      <w:r w:rsidRPr="00E47369">
        <w:rPr>
          <w:rFonts w:cstheme="minorHAnsi"/>
          <w:color w:val="000000" w:themeColor="text1"/>
        </w:rPr>
        <w:t>) was found for intramolecular H-transfer reduction of a Re</w:t>
      </w:r>
      <w:r w:rsidRPr="00E47369">
        <w:rPr>
          <w:rFonts w:cstheme="minorHAnsi"/>
          <w:color w:val="000000" w:themeColor="text1"/>
          <w:vertAlign w:val="superscript"/>
        </w:rPr>
        <w:t>vii</w:t>
      </w:r>
      <w:r w:rsidRPr="00E47369">
        <w:rPr>
          <w:rFonts w:cstheme="minorHAnsi"/>
          <w:color w:val="000000" w:themeColor="text1"/>
        </w:rPr>
        <w:t xml:space="preserve">-alkoxide-OH species. Pathway B, involving initial condensation followed by reduction, was found to have as its highest barrier (53/38 kcal) in the </w:t>
      </w:r>
      <w:r w:rsidRPr="00E47369">
        <w:rPr>
          <w:rFonts w:cstheme="minorHAnsi"/>
        </w:rPr>
        <w:t>H-transfer reduction of a Re</w:t>
      </w:r>
      <w:r w:rsidRPr="00E47369">
        <w:rPr>
          <w:rFonts w:cstheme="minorHAnsi"/>
          <w:vertAlign w:val="superscript"/>
        </w:rPr>
        <w:t>vii</w:t>
      </w:r>
      <w:r w:rsidRPr="00E47369">
        <w:rPr>
          <w:rFonts w:cstheme="minorHAnsi"/>
        </w:rPr>
        <w:t>-H-glycolate by the alcohol. The lowest energy pathway, C (</w:t>
      </w:r>
      <w:r w:rsidR="008E146E" w:rsidRPr="00E47369">
        <w:rPr>
          <w:rFonts w:cstheme="minorHAnsi"/>
        </w:rPr>
        <w:fldChar w:fldCharType="begin"/>
      </w:r>
      <w:r w:rsidR="008E146E" w:rsidRPr="00E47369">
        <w:rPr>
          <w:rFonts w:cstheme="minorHAnsi"/>
        </w:rPr>
        <w:instrText xml:space="preserve"> REF _Ref449892425 \h </w:instrText>
      </w:r>
      <w:r w:rsidR="003E463F" w:rsidRPr="00E47369">
        <w:rPr>
          <w:rFonts w:cstheme="minorHAnsi"/>
        </w:rPr>
        <w:instrText xml:space="preserve"> \* MERGEFORMAT </w:instrText>
      </w:r>
      <w:r w:rsidR="008E146E" w:rsidRPr="00E47369">
        <w:rPr>
          <w:rFonts w:cstheme="minorHAnsi"/>
        </w:rPr>
      </w:r>
      <w:r w:rsidR="008E146E" w:rsidRPr="00E47369">
        <w:rPr>
          <w:rFonts w:cstheme="minorHAnsi"/>
        </w:rPr>
        <w:fldChar w:fldCharType="separate"/>
      </w:r>
      <w:r w:rsidR="000A0E3D" w:rsidRPr="000A0E3D">
        <w:rPr>
          <w:rFonts w:cstheme="minorHAnsi"/>
        </w:rPr>
        <w:t>Figure I.3.a.20</w:t>
      </w:r>
      <w:r w:rsidR="008E146E" w:rsidRPr="00E47369">
        <w:rPr>
          <w:rFonts w:cstheme="minorHAnsi"/>
        </w:rPr>
        <w:fldChar w:fldCharType="end"/>
      </w:r>
      <w:r w:rsidRPr="00E47369">
        <w:rPr>
          <w:rFonts w:cstheme="minorHAnsi"/>
        </w:rPr>
        <w:t xml:space="preserve">), like A, involves initial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rPr>
          <w:rFonts w:cstheme="minorHAnsi"/>
        </w:rPr>
        <w:t xml:space="preserve"> reduction followed by condensation, but differed from A in finding a somewhat lower barrier H-transfer step (39/27 kcal) for the Re</w:t>
      </w:r>
      <w:r w:rsidRPr="00E47369">
        <w:rPr>
          <w:rFonts w:cstheme="minorHAnsi"/>
          <w:vertAlign w:val="superscript"/>
        </w:rPr>
        <w:t>vii</w:t>
      </w:r>
      <w:r w:rsidRPr="00E47369">
        <w:rPr>
          <w:rFonts w:cstheme="minorHAnsi"/>
        </w:rPr>
        <w:t>-alkoxide to form MeReO(OH)</w:t>
      </w:r>
      <w:r w:rsidRPr="00E47369">
        <w:rPr>
          <w:rFonts w:cstheme="minorHAnsi"/>
          <w:vertAlign w:val="subscript"/>
        </w:rPr>
        <w:t>2</w:t>
      </w:r>
      <w:r w:rsidRPr="00E47369">
        <w:rPr>
          <w:rFonts w:cstheme="minorHAnsi"/>
        </w:rPr>
        <w:t>. The possibility that these reactions proceed through a Re</w:t>
      </w:r>
      <w:r w:rsidRPr="00E47369">
        <w:rPr>
          <w:rFonts w:cstheme="minorHAnsi"/>
          <w:vertAlign w:val="superscript"/>
        </w:rPr>
        <w:t>iii</w:t>
      </w:r>
      <w:r w:rsidRPr="00E47369">
        <w:rPr>
          <w:rFonts w:cstheme="minorHAnsi"/>
        </w:rPr>
        <w:t>-glycolate, as proposed by Abu-Omar, was not considered.</w:t>
      </w:r>
    </w:p>
    <w:p w14:paraId="531DCC10" w14:textId="77777777" w:rsidR="008E146E" w:rsidRPr="00E47369" w:rsidRDefault="003E463F" w:rsidP="003E463F">
      <w:pPr>
        <w:keepNext/>
        <w:jc w:val="center"/>
        <w:rPr>
          <w:rFonts w:cstheme="minorHAnsi"/>
        </w:rPr>
      </w:pPr>
      <w:r w:rsidRPr="00E47369">
        <w:rPr>
          <w:rFonts w:cstheme="minorHAnsi"/>
        </w:rPr>
        <w:object w:dxaOrig="12130" w:dyaOrig="10162" w14:anchorId="24B81BFF">
          <v:shape id="_x0000_i1047" type="#_x0000_t75" style="width:401.15pt;height:334.7pt" o:ole="">
            <v:imagedata r:id="rId54" o:title=""/>
          </v:shape>
          <o:OLEObject Type="Embed" ProgID="ChemDraw.Document.6.0" ShapeID="_x0000_i1047" DrawAspect="Content" ObjectID="_1532784901" r:id="rId55"/>
        </w:object>
      </w:r>
    </w:p>
    <w:p w14:paraId="392A68FD" w14:textId="77777777" w:rsidR="00216D29" w:rsidRPr="00072EEF" w:rsidRDefault="00810326" w:rsidP="00072EEF">
      <w:pPr>
        <w:pStyle w:val="Caption"/>
      </w:pPr>
      <w:bookmarkStart w:id="76" w:name="_Ref449892425"/>
      <w:bookmarkStart w:id="77" w:name="_Toc457320599"/>
      <w:bookmarkStart w:id="78" w:name="_Toc458938374"/>
      <w:r w:rsidRPr="00072EEF">
        <w:t>Figure I.3.</w:t>
      </w:r>
      <w:r w:rsidR="00443010">
        <w:fldChar w:fldCharType="begin"/>
      </w:r>
      <w:r w:rsidR="00443010">
        <w:instrText xml:space="preserve"> STYLEREF 3 \s </w:instrText>
      </w:r>
      <w:r w:rsidR="00443010">
        <w:fldChar w:fldCharType="separate"/>
      </w:r>
      <w:r w:rsidR="000A0E3D">
        <w:rPr>
          <w:noProof/>
        </w:rPr>
        <w:t>a</w:t>
      </w:r>
      <w:r w:rsidR="00443010">
        <w:rPr>
          <w:noProof/>
        </w:rPr>
        <w:fldChar w:fldCharType="end"/>
      </w:r>
      <w:r w:rsidRPr="00072EEF">
        <w:t>.</w:t>
      </w:r>
      <w:r w:rsidR="00443010">
        <w:fldChar w:fldCharType="begin"/>
      </w:r>
      <w:r w:rsidR="00443010">
        <w:instrText xml:space="preserve"> SEQ Figure_I._3. \* ARABIC \s 3 </w:instrText>
      </w:r>
      <w:r w:rsidR="00443010">
        <w:fldChar w:fldCharType="separate"/>
      </w:r>
      <w:r w:rsidR="000A0E3D">
        <w:rPr>
          <w:noProof/>
        </w:rPr>
        <w:t>20</w:t>
      </w:r>
      <w:r w:rsidR="00443010">
        <w:rPr>
          <w:noProof/>
        </w:rPr>
        <w:fldChar w:fldCharType="end"/>
      </w:r>
      <w:bookmarkEnd w:id="76"/>
      <w:r w:rsidR="008E146E" w:rsidRPr="00072EEF">
        <w:t xml:space="preserve"> </w:t>
      </w:r>
      <w:r w:rsidR="00216D29" w:rsidRPr="00072EEF">
        <w:t>Calculated lowest energy profile for alcohol-driven, CH</w:t>
      </w:r>
      <w:r w:rsidR="00216D29" w:rsidRPr="00072EEF">
        <w:rPr>
          <w:vertAlign w:val="subscript"/>
        </w:rPr>
        <w:t>3</w:t>
      </w:r>
      <w:r w:rsidR="00216D29" w:rsidRPr="00072EEF">
        <w:t>ReO</w:t>
      </w:r>
      <w:r w:rsidR="00216D29" w:rsidRPr="00072EEF">
        <w:rPr>
          <w:vertAlign w:val="subscript"/>
        </w:rPr>
        <w:t>3</w:t>
      </w:r>
      <w:r w:rsidR="00216D29" w:rsidRPr="00072EEF">
        <w:t>-catalyzed DODH</w:t>
      </w:r>
      <w:bookmarkEnd w:id="77"/>
      <w:bookmarkEnd w:id="78"/>
    </w:p>
    <w:p w14:paraId="2B0A9052" w14:textId="77777777" w:rsidR="003E463F" w:rsidRPr="00E47369" w:rsidRDefault="003E463F" w:rsidP="003E463F">
      <w:pPr>
        <w:rPr>
          <w:rFonts w:cstheme="minorHAnsi"/>
        </w:rPr>
      </w:pPr>
    </w:p>
    <w:p w14:paraId="4F4F6E88" w14:textId="77777777" w:rsidR="00216D29" w:rsidRPr="00E47369" w:rsidRDefault="00216D29" w:rsidP="006042D0">
      <w:pPr>
        <w:ind w:firstLine="360"/>
        <w:jc w:val="both"/>
        <w:rPr>
          <w:rFonts w:cstheme="minorHAnsi"/>
          <w:color w:val="000000" w:themeColor="text1"/>
        </w:rPr>
      </w:pPr>
      <w:r w:rsidRPr="00E47369">
        <w:rPr>
          <w:rFonts w:cstheme="minorHAnsi"/>
        </w:rPr>
        <w:t>Complementing the computational study above, Dethlefsen and Fristrup conducted an experimental mechanistic study</w:t>
      </w:r>
      <w:r w:rsidRPr="00E47369">
        <w:rPr>
          <w:rFonts w:cstheme="minorHAnsi"/>
        </w:rPr>
        <w:fldChar w:fldCharType="begin"/>
      </w:r>
      <w:r w:rsidR="006D0CD6" w:rsidRPr="00E47369">
        <w:rPr>
          <w:rFonts w:cstheme="minorHAnsi"/>
        </w:rPr>
        <w:instrText xml:space="preserve"> ADDIN ZOTERO_ITEM CSL_CITATION {"citationID":"uvrjru0ul","properties":{"formattedCitation":"{\\rtf \\super 49\\nosupersub{}}","plainCitation":"49"},"citationItems":[{"id":1541,"uris":["http://zotero.org/users/1624234/items/CFC2P2PC"],"uri":["http://zotero.org/users/1624234/items/CFC2P2PC"],"itemData":{"id":1541,"type":"article-journal","title":"In Situ Spectroscopic Investigation of the Rhenium-Catalyzed Deoxydehydration of Vicinal Diols","container-title":"ChemCatChem","page":"1184-1196","volume":"7","issue":"7","source":"Wiley Online Library","abstract":"The mechanism of the CH3ReO3-catalyzed deoxydehydration of a vicinal diol to an alkene driven by oxidation of a secondary alcohol was investigated by time-resolved, in situ IR spectroscopy and was found to occur in three steps: 1) reduction of the catalytically active methyltrioxorhenium(VII) to a rhenium(V) complex (the rate-limiting step), 2) condensation of the diol and the rhenium(V) complex to a rhenium(V) diolate, and 3) extrusion of the alkene accompanied by oxidation of the Re center and thus regeneration of CH3ReO3. The reaction follows zero-order kinetics initially but, unexpectedly, accelerates towards the end, which is explained in terms of a deactivating pre-equilibrium, in which the catalytically active CH3ReO3 condenses reversibly with the diol to form an inactive rhenium(VII) diolate. This conclusion is supported by the direct observation of a catalytically inactive species as well as DFT calculations of the IR spectra of the relevant compounds.","DOI":"10.1002/cctc.201403012","ISSN":"1867-3899","journalAbbreviation":"ChemCatChem","language":"en","author":[{"family":"Dethlefsen","given":"Johannes R."},{"family":"Fristrup","given":"Peter"}],"issued":{"date-parts":[["2015",4,7]]}}}],"schema":"https://github.com/citation-style-language/schema/raw/master/csl-citation.json"} </w:instrText>
      </w:r>
      <w:r w:rsidRPr="00E47369">
        <w:rPr>
          <w:rFonts w:cstheme="minorHAnsi"/>
        </w:rPr>
        <w:fldChar w:fldCharType="separate"/>
      </w:r>
      <w:r w:rsidRPr="00E47369">
        <w:rPr>
          <w:rFonts w:cstheme="minorHAnsi"/>
          <w:sz w:val="22"/>
          <w:vertAlign w:val="superscript"/>
        </w:rPr>
        <w:t>49</w:t>
      </w:r>
      <w:r w:rsidRPr="00E47369">
        <w:rPr>
          <w:rFonts w:cstheme="minorHAnsi"/>
        </w:rPr>
        <w:fldChar w:fldCharType="end"/>
      </w:r>
      <w:r w:rsidRPr="00E47369">
        <w:rPr>
          <w:rFonts w:cstheme="minorHAnsi"/>
        </w:rPr>
        <w:t xml:space="preserve">. They observed the reaction over time by spectroscopy, studied the rate of the reaction </w:t>
      </w:r>
      <w:r w:rsidRPr="00E47369">
        <w:rPr>
          <w:rFonts w:cstheme="minorHAnsi"/>
          <w:color w:val="000000" w:themeColor="text1"/>
        </w:rPr>
        <w:t>by varying the concentration in the reagents and observed the KIE by a D-labeling of the alcohol. They found that: 1) the rate limiting step was the oxidation of the alcohol reductant; 2) the reduction of the rhenium center occurs before the formation of the glycolate complex; and 3) a Re</w:t>
      </w:r>
      <w:r w:rsidRPr="00E47369">
        <w:rPr>
          <w:rFonts w:cstheme="minorHAnsi"/>
          <w:color w:val="000000" w:themeColor="text1"/>
          <w:vertAlign w:val="superscript"/>
        </w:rPr>
        <w:t>vii</w:t>
      </w:r>
      <w:r w:rsidRPr="00E47369">
        <w:rPr>
          <w:rFonts w:cstheme="minorHAnsi"/>
          <w:color w:val="000000" w:themeColor="text1"/>
        </w:rPr>
        <w:t xml:space="preserve">-glycolate specie </w:t>
      </w:r>
      <w:r w:rsidRPr="00E47369">
        <w:rPr>
          <w:rFonts w:cstheme="minorHAnsi"/>
          <w:b/>
          <w:color w:val="000000" w:themeColor="text1"/>
        </w:rPr>
        <w:t>16</w:t>
      </w:r>
      <w:r w:rsidRPr="00E47369">
        <w:rPr>
          <w:rFonts w:cstheme="minorHAnsi"/>
          <w:color w:val="000000" w:themeColor="text1"/>
        </w:rPr>
        <w:t xml:space="preserve"> is formed reversibly with the starting rhenium catalyst (CH</w:t>
      </w:r>
      <w:r w:rsidRPr="00E47369">
        <w:rPr>
          <w:rFonts w:cstheme="minorHAnsi"/>
          <w:color w:val="000000" w:themeColor="text1"/>
          <w:vertAlign w:val="subscript"/>
        </w:rPr>
        <w:t>3</w:t>
      </w:r>
      <w:r w:rsidRPr="00E47369">
        <w:rPr>
          <w:rFonts w:cstheme="minorHAnsi"/>
          <w:color w:val="000000" w:themeColor="text1"/>
        </w:rPr>
        <w:t>ReO</w:t>
      </w:r>
      <w:r w:rsidRPr="00E47369">
        <w:rPr>
          <w:rFonts w:cstheme="minorHAnsi"/>
          <w:color w:val="000000" w:themeColor="text1"/>
          <w:vertAlign w:val="subscript"/>
        </w:rPr>
        <w:t>3</w:t>
      </w:r>
      <w:r w:rsidRPr="00E47369">
        <w:rPr>
          <w:rFonts w:cstheme="minorHAnsi"/>
          <w:color w:val="000000" w:themeColor="text1"/>
        </w:rPr>
        <w:t>). (</w:t>
      </w:r>
      <w:r w:rsidR="008E146E" w:rsidRPr="00E47369">
        <w:rPr>
          <w:rFonts w:cstheme="minorHAnsi"/>
          <w:color w:val="000000" w:themeColor="text1"/>
        </w:rPr>
        <w:fldChar w:fldCharType="begin"/>
      </w:r>
      <w:r w:rsidR="008E146E" w:rsidRPr="00E47369">
        <w:rPr>
          <w:rFonts w:cstheme="minorHAnsi"/>
          <w:color w:val="000000" w:themeColor="text1"/>
        </w:rPr>
        <w:instrText xml:space="preserve"> REF _Ref449892461 \h </w:instrText>
      </w:r>
      <w:r w:rsidR="003E463F" w:rsidRPr="00E47369">
        <w:rPr>
          <w:rFonts w:cstheme="minorHAnsi"/>
          <w:color w:val="000000" w:themeColor="text1"/>
        </w:rPr>
        <w:instrText xml:space="preserve"> \* MERGEFORMAT </w:instrText>
      </w:r>
      <w:r w:rsidR="008E146E" w:rsidRPr="00E47369">
        <w:rPr>
          <w:rFonts w:cstheme="minorHAnsi"/>
          <w:color w:val="000000" w:themeColor="text1"/>
        </w:rPr>
      </w:r>
      <w:r w:rsidR="008E146E" w:rsidRPr="00E47369">
        <w:rPr>
          <w:rFonts w:cstheme="minorHAnsi"/>
          <w:color w:val="000000" w:themeColor="text1"/>
        </w:rPr>
        <w:fldChar w:fldCharType="separate"/>
      </w:r>
      <w:r w:rsidR="000A0E3D" w:rsidRPr="000A0E3D">
        <w:rPr>
          <w:rFonts w:cstheme="minorHAnsi"/>
        </w:rPr>
        <w:t>Figure I.3.a.21</w:t>
      </w:r>
      <w:r w:rsidR="008E146E" w:rsidRPr="00E47369">
        <w:rPr>
          <w:rFonts w:cstheme="minorHAnsi"/>
          <w:color w:val="000000" w:themeColor="text1"/>
        </w:rPr>
        <w:fldChar w:fldCharType="end"/>
      </w:r>
      <w:r w:rsidRPr="00E47369">
        <w:rPr>
          <w:rFonts w:cstheme="minorHAnsi"/>
          <w:color w:val="000000" w:themeColor="text1"/>
        </w:rPr>
        <w:t>)</w:t>
      </w:r>
    </w:p>
    <w:p w14:paraId="355041F5" w14:textId="77777777" w:rsidR="00216D29" w:rsidRPr="00E47369" w:rsidRDefault="00216D29" w:rsidP="006042D0">
      <w:pPr>
        <w:ind w:firstLine="360"/>
        <w:jc w:val="both"/>
        <w:rPr>
          <w:rFonts w:cstheme="minorHAnsi"/>
        </w:rPr>
      </w:pPr>
      <w:r w:rsidRPr="00E47369">
        <w:rPr>
          <w:rFonts w:cstheme="minorHAnsi"/>
          <w:color w:val="000000" w:themeColor="text1"/>
        </w:rPr>
        <w:t>The DODH of 1,4-butendiol described by Shiramazu and Toste was recently investigated in a computational study by Wu, Zhang and Su.</w:t>
      </w:r>
      <w:r w:rsidRPr="00E47369">
        <w:rPr>
          <w:rFonts w:cstheme="minorHAnsi"/>
          <w:color w:val="000000" w:themeColor="text1"/>
        </w:rPr>
        <w:fldChar w:fldCharType="begin"/>
      </w:r>
      <w:r w:rsidR="006D0CD6" w:rsidRPr="00E47369">
        <w:rPr>
          <w:rFonts w:cstheme="minorHAnsi"/>
          <w:color w:val="000000" w:themeColor="text1"/>
        </w:rPr>
        <w:instrText xml:space="preserve"> ADDIN ZOTERO_ITEM CSL_CITATION {"citationID":"fqlv86p8o","properties":{"formattedCitation":"{\\rtf \\super 50\\nosupersub{}}","plainCitation":"50"},"citationItems":[{"id":1570,"uris":["http://zotero.org/users/1624234/items/EMV7KPH2"],"uri":["http://zotero.org/users/1624234/items/EMV7KPH2"],"itemData":{"id":1570,"type":"article-journal","title":"Mechanistic Study on Oxorhenium-Catalyzed Deoxydehydration and Allylic Alcohol Isomerization","container-title":"Chemistry – An Asian Journal","page":"n/a-n/a","source":"Wiley Online Library","abstract":"The reaction mechanism of 1,2×n-deoxydehydration (DODH; n=1, 2, 3 …) reactions with 1-butanol as a reductant in the presence of methyltrioxorhenium(VII) catalyst has been investigated by DFT. The reduced rhenium compound, methyloxodihydroxyrhenium(V), serves as the catalytically relevant species in both allylic alcohol isomerization and subsequent DODH processes. Compared with three-step pathway A, involving [1,3]-transposition of allylic alcohols, direct two-step pathway B is an alternative option with lower activation barriers. The rate-limiting step of the DODH reaction is the first hydrogen transfer in methyltrioxorhenium(VII) reduction. Moreover, the increase in the distance between two hydroxyl groups in direct 1,2×n-DODH reactions for C4 and C6 diols results in a higher barrier height.","DOI":"10.1002/asia.201600118","ISSN":"1861-471X","journalAbbreviation":"Chem. Asian J.","language":"en","author":[{"family":"Wu","given":"Di"},{"family":"Zhang","given":"Yugen"},{"family":"Su","given":"Haibin"}],"issued":{"date-parts":[["2016",4,1]]}}}],"schema":"https://github.com/citation-style-language/schema/raw/master/csl-citation.json"} </w:instrText>
      </w:r>
      <w:r w:rsidRPr="00E47369">
        <w:rPr>
          <w:rFonts w:cstheme="minorHAnsi"/>
          <w:color w:val="000000" w:themeColor="text1"/>
        </w:rPr>
        <w:fldChar w:fldCharType="separate"/>
      </w:r>
      <w:r w:rsidRPr="00E47369">
        <w:rPr>
          <w:rFonts w:cstheme="minorHAnsi"/>
          <w:sz w:val="22"/>
          <w:vertAlign w:val="superscript"/>
        </w:rPr>
        <w:t>50</w:t>
      </w:r>
      <w:r w:rsidRPr="00E47369">
        <w:rPr>
          <w:rFonts w:cstheme="minorHAnsi"/>
          <w:color w:val="000000" w:themeColor="text1"/>
        </w:rPr>
        <w:fldChar w:fldCharType="end"/>
      </w:r>
      <w:r w:rsidRPr="00E47369">
        <w:rPr>
          <w:rFonts w:cstheme="minorHAnsi"/>
          <w:color w:val="000000" w:themeColor="text1"/>
        </w:rPr>
        <w:t xml:space="preserve">  Two pathways for the mechanism were considered: A) the isomerization of the allylic alcohol by </w:t>
      </w:r>
      <w:r w:rsidR="007A5CF2" w:rsidRPr="00E47369">
        <w:rPr>
          <w:rFonts w:cstheme="minorHAnsi"/>
          <w:color w:val="000000" w:themeColor="text1"/>
        </w:rPr>
        <w:t>Me</w:t>
      </w:r>
      <w:r w:rsidRPr="00E47369">
        <w:rPr>
          <w:rFonts w:cstheme="minorHAnsi"/>
          <w:color w:val="000000" w:themeColor="text1"/>
        </w:rPr>
        <w:t>ReO</w:t>
      </w:r>
      <w:r w:rsidRPr="00E47369">
        <w:rPr>
          <w:rFonts w:cstheme="minorHAnsi"/>
          <w:color w:val="000000" w:themeColor="text1"/>
          <w:vertAlign w:val="subscript"/>
        </w:rPr>
        <w:t>3</w:t>
      </w:r>
      <w:r w:rsidRPr="00E47369">
        <w:rPr>
          <w:rFonts w:cstheme="minorHAnsi"/>
          <w:color w:val="000000" w:themeColor="text1"/>
        </w:rPr>
        <w:t xml:space="preserve"> followed by the DODH reaction; and B) the direct DODH of the 1,4-butendiol. The kinetic comparison of both pathways showed path B to </w:t>
      </w:r>
      <w:r w:rsidRPr="00E47369">
        <w:rPr>
          <w:rFonts w:cstheme="minorHAnsi"/>
        </w:rPr>
        <w:t xml:space="preserve">be more favored than </w:t>
      </w:r>
      <w:r w:rsidRPr="00E47369">
        <w:rPr>
          <w:rFonts w:cstheme="minorHAnsi"/>
          <w:color w:val="000000" w:themeColor="text1"/>
        </w:rPr>
        <w:t>path A. Like Fristrup in the case of vicinal diol Su and co-worker</w:t>
      </w:r>
      <w:r w:rsidR="0078566E">
        <w:rPr>
          <w:rFonts w:cstheme="minorHAnsi"/>
          <w:color w:val="000000" w:themeColor="text1"/>
        </w:rPr>
        <w:t>s</w:t>
      </w:r>
      <w:r w:rsidRPr="00E47369">
        <w:rPr>
          <w:rFonts w:cstheme="minorHAnsi"/>
          <w:color w:val="000000" w:themeColor="text1"/>
        </w:rPr>
        <w:t xml:space="preserve"> found the first step of the mechanism to be the reduction of rhenium center. In the case of the direct DODH of 1,4-butendiol the rate-limiting step appears to be </w:t>
      </w:r>
      <w:r w:rsidRPr="00E47369">
        <w:rPr>
          <w:rFonts w:cstheme="minorHAnsi"/>
        </w:rPr>
        <w:t>extrusion of the olefin.</w:t>
      </w:r>
    </w:p>
    <w:p w14:paraId="62FF12B8" w14:textId="77777777" w:rsidR="00536AE9" w:rsidRPr="00E47369" w:rsidRDefault="00536AE9" w:rsidP="003E463F">
      <w:pPr>
        <w:jc w:val="both"/>
        <w:rPr>
          <w:rFonts w:cstheme="minorHAnsi"/>
        </w:rPr>
      </w:pPr>
    </w:p>
    <w:p w14:paraId="6E7DF7F4" w14:textId="77777777" w:rsidR="008E146E" w:rsidRPr="00E47369" w:rsidRDefault="00216D29" w:rsidP="003E463F">
      <w:pPr>
        <w:keepNext/>
        <w:jc w:val="center"/>
        <w:rPr>
          <w:rFonts w:cstheme="minorHAnsi"/>
        </w:rPr>
      </w:pPr>
      <w:r w:rsidRPr="00E47369">
        <w:rPr>
          <w:rFonts w:cstheme="minorHAnsi"/>
        </w:rPr>
        <w:object w:dxaOrig="6341" w:dyaOrig="3977" w14:anchorId="4616B8D0">
          <v:shape id="_x0000_i1048" type="#_x0000_t75" style="width:318.85pt;height:200.95pt" o:ole="">
            <v:imagedata r:id="rId56" o:title=""/>
          </v:shape>
          <o:OLEObject Type="Embed" ProgID="ChemDraw.Document.6.0" ShapeID="_x0000_i1048" DrawAspect="Content" ObjectID="_1532784902" r:id="rId57"/>
        </w:object>
      </w:r>
    </w:p>
    <w:p w14:paraId="719E470B" w14:textId="77777777" w:rsidR="00216D29" w:rsidRPr="00072EEF" w:rsidRDefault="00810326" w:rsidP="00072EEF">
      <w:pPr>
        <w:pStyle w:val="Caption"/>
      </w:pPr>
      <w:bookmarkStart w:id="79" w:name="_Ref449892461"/>
      <w:bookmarkStart w:id="80" w:name="_Toc457320600"/>
      <w:bookmarkStart w:id="81" w:name="_Toc458938375"/>
      <w:r w:rsidRPr="00072EEF">
        <w:t>Figure I.3.</w:t>
      </w:r>
      <w:r w:rsidR="00443010">
        <w:fldChar w:fldCharType="begin"/>
      </w:r>
      <w:r w:rsidR="00443010">
        <w:instrText xml:space="preserve"> STYLEREF 3 \s </w:instrText>
      </w:r>
      <w:r w:rsidR="00443010">
        <w:fldChar w:fldCharType="separate"/>
      </w:r>
      <w:r w:rsidR="000A0E3D">
        <w:rPr>
          <w:noProof/>
        </w:rPr>
        <w:t>a</w:t>
      </w:r>
      <w:r w:rsidR="00443010">
        <w:rPr>
          <w:noProof/>
        </w:rPr>
        <w:fldChar w:fldCharType="end"/>
      </w:r>
      <w:r w:rsidRPr="00072EEF">
        <w:t>.</w:t>
      </w:r>
      <w:r w:rsidR="00443010">
        <w:fldChar w:fldCharType="begin"/>
      </w:r>
      <w:r w:rsidR="00443010">
        <w:instrText xml:space="preserve"> SEQ Figure_I._3. \* ARABIC \s 3 </w:instrText>
      </w:r>
      <w:r w:rsidR="00443010">
        <w:fldChar w:fldCharType="separate"/>
      </w:r>
      <w:r w:rsidR="000A0E3D">
        <w:rPr>
          <w:noProof/>
        </w:rPr>
        <w:t>21</w:t>
      </w:r>
      <w:r w:rsidR="00443010">
        <w:rPr>
          <w:noProof/>
        </w:rPr>
        <w:fldChar w:fldCharType="end"/>
      </w:r>
      <w:bookmarkEnd w:id="79"/>
      <w:r w:rsidR="008E146E" w:rsidRPr="00072EEF">
        <w:t xml:space="preserve"> </w:t>
      </w:r>
      <w:r w:rsidR="00216D29" w:rsidRPr="00072EEF">
        <w:t>Proposed mechanistic cycle for alcohol-driven, CH</w:t>
      </w:r>
      <w:r w:rsidR="00216D29" w:rsidRPr="00072EEF">
        <w:rPr>
          <w:vertAlign w:val="subscript"/>
        </w:rPr>
        <w:t>3</w:t>
      </w:r>
      <w:r w:rsidR="00216D29" w:rsidRPr="00072EEF">
        <w:t>ReO</w:t>
      </w:r>
      <w:r w:rsidR="00216D29" w:rsidRPr="00072EEF">
        <w:rPr>
          <w:vertAlign w:val="subscript"/>
        </w:rPr>
        <w:t>3</w:t>
      </w:r>
      <w:r w:rsidR="00216D29" w:rsidRPr="00072EEF">
        <w:t>-catalyzed DODH by Fristrup</w:t>
      </w:r>
      <w:bookmarkEnd w:id="80"/>
      <w:bookmarkEnd w:id="81"/>
    </w:p>
    <w:p w14:paraId="6018777E" w14:textId="77777777" w:rsidR="00216D29" w:rsidRDefault="00216D29" w:rsidP="003E463F">
      <w:pPr>
        <w:jc w:val="center"/>
        <w:rPr>
          <w:rFonts w:cstheme="minorHAnsi"/>
        </w:rPr>
      </w:pPr>
    </w:p>
    <w:p w14:paraId="761D658B" w14:textId="77777777" w:rsidR="001539C6" w:rsidRPr="00E47369" w:rsidRDefault="001539C6" w:rsidP="003E463F">
      <w:pPr>
        <w:jc w:val="center"/>
        <w:rPr>
          <w:rFonts w:cstheme="minorHAnsi"/>
        </w:rPr>
      </w:pPr>
    </w:p>
    <w:p w14:paraId="25ACF86A" w14:textId="77777777" w:rsidR="00216D29" w:rsidRPr="00E47369" w:rsidRDefault="00216D29" w:rsidP="006042D0">
      <w:pPr>
        <w:pStyle w:val="Heading41"/>
        <w:rPr>
          <w:rFonts w:cstheme="minorHAnsi"/>
        </w:rPr>
      </w:pPr>
      <w:r w:rsidRPr="00E47369">
        <w:rPr>
          <w:rFonts w:cstheme="minorHAnsi"/>
        </w:rPr>
        <w:t>Elemental reductants</w:t>
      </w:r>
    </w:p>
    <w:p w14:paraId="77C2B39A" w14:textId="60CD7271" w:rsidR="00536AE9" w:rsidRPr="00E47369" w:rsidRDefault="00216D29" w:rsidP="006042D0">
      <w:pPr>
        <w:ind w:firstLine="360"/>
        <w:jc w:val="both"/>
        <w:rPr>
          <w:rFonts w:cstheme="minorHAnsi"/>
        </w:rPr>
      </w:pPr>
      <w:r w:rsidRPr="00E47369">
        <w:rPr>
          <w:rFonts w:cstheme="minorHAnsi"/>
          <w:color w:val="000000" w:themeColor="text1"/>
        </w:rPr>
        <w:t>A new class of</w:t>
      </w:r>
      <w:r w:rsidR="001539C6">
        <w:rPr>
          <w:rFonts w:cstheme="minorHAnsi"/>
          <w:color w:val="000000" w:themeColor="text1"/>
        </w:rPr>
        <w:t xml:space="preserve"> DODH</w:t>
      </w:r>
      <w:r w:rsidRPr="00E47369">
        <w:rPr>
          <w:rFonts w:cstheme="minorHAnsi"/>
          <w:color w:val="000000" w:themeColor="text1"/>
        </w:rPr>
        <w:t xml:space="preserve"> reducing agent, elements, was reported by McClain and Nicholas</w:t>
      </w:r>
      <w:r w:rsidRPr="00E47369">
        <w:rPr>
          <w:rFonts w:cstheme="minorHAnsi"/>
          <w:color w:val="000000" w:themeColor="text1"/>
        </w:rPr>
        <w:fldChar w:fldCharType="begin"/>
      </w:r>
      <w:r w:rsidR="006D0CD6" w:rsidRPr="00E47369">
        <w:rPr>
          <w:rFonts w:cstheme="minorHAnsi"/>
          <w:color w:val="000000" w:themeColor="text1"/>
        </w:rPr>
        <w:instrText xml:space="preserve"> ADDIN ZOTERO_ITEM CSL_CITATION {"citationID":"g9hp8b2dd","properties":{"formattedCitation":"{\\rtf \\super 51\\nosupersub{}}","plainCitation":"51"},"citationItems":[{"id":99,"uris":["http://zotero.org/users/1624234/items/6RNU4835"],"uri":["http://zotero.org/users/1624234/items/6RNU4835"],"itemData":{"id":99,"type":"article-journal","title":"Elemental Reductants for the Deoxydehydration of Glycols","container-title":"ACS Catalysis","page":"2109-2112","volume":"4","issue":"7","source":"ACS Publications","abstract":"The elements zinc, iron, manganese, and carbon are demonstrated to be practical reductants for the oxorhenium catalyzed deoxydehydration (DODH) of biomass model polyols. These reductants and their oxidization products remain heterogeneous throughout the reaction, which aids in their separation. Their effectiveness is shown with the catalysts ammonium perrhenate and trans-[(Py)4Re(O)2]+Z? (1). Stoichiometric experiments with the Re(V) complex indicate a likely rhenium 5?7 oxidation cycle for the deoxydehydration of polyols reported herein.","DOI":"10.1021/cs500461v","journalAbbreviation":"ACS Catal.","author":[{"family":"Michael McClain","given":"J."},{"family":"Nicholas","given":"Kenneth M."}],"issued":{"date-parts":[["2014"]]}}}],"schema":"https://github.com/citation-style-language/schema/raw/master/csl-citation.json"} </w:instrText>
      </w:r>
      <w:r w:rsidRPr="00E47369">
        <w:rPr>
          <w:rFonts w:cstheme="minorHAnsi"/>
          <w:color w:val="000000" w:themeColor="text1"/>
        </w:rPr>
        <w:fldChar w:fldCharType="separate"/>
      </w:r>
      <w:r w:rsidRPr="00E47369">
        <w:rPr>
          <w:rFonts w:cstheme="minorHAnsi"/>
          <w:sz w:val="22"/>
          <w:vertAlign w:val="superscript"/>
        </w:rPr>
        <w:t>51</w:t>
      </w:r>
      <w:r w:rsidRPr="00E47369">
        <w:rPr>
          <w:rFonts w:cstheme="minorHAnsi"/>
          <w:color w:val="000000" w:themeColor="text1"/>
        </w:rPr>
        <w:fldChar w:fldCharType="end"/>
      </w:r>
      <w:r w:rsidRPr="00E47369">
        <w:rPr>
          <w:rFonts w:cstheme="minorHAnsi"/>
          <w:color w:val="000000" w:themeColor="text1"/>
        </w:rPr>
        <w:t>. They described the efficiency of elements Zn, Fe, Mn and C as reducing agents on diols (48-85% Yield) using ammonium perrhenate as catalyst. (</w:t>
      </w:r>
      <w:r w:rsidR="00FD5B02" w:rsidRPr="00E47369">
        <w:rPr>
          <w:rFonts w:cstheme="minorHAnsi"/>
          <w:color w:val="000000" w:themeColor="text1"/>
        </w:rPr>
        <w:fldChar w:fldCharType="begin"/>
      </w:r>
      <w:r w:rsidR="00FD5B02" w:rsidRPr="00E47369">
        <w:rPr>
          <w:rFonts w:cstheme="minorHAnsi"/>
          <w:color w:val="000000" w:themeColor="text1"/>
        </w:rPr>
        <w:instrText xml:space="preserve"> REF _Ref449892509 \h </w:instrText>
      </w:r>
      <w:r w:rsidR="003E463F" w:rsidRPr="00E47369">
        <w:rPr>
          <w:rFonts w:cstheme="minorHAnsi"/>
          <w:color w:val="000000" w:themeColor="text1"/>
        </w:rPr>
        <w:instrText xml:space="preserve"> \* MERGEFORMAT </w:instrText>
      </w:r>
      <w:r w:rsidR="00FD5B02" w:rsidRPr="00E47369">
        <w:rPr>
          <w:rFonts w:cstheme="minorHAnsi"/>
          <w:color w:val="000000" w:themeColor="text1"/>
        </w:rPr>
      </w:r>
      <w:r w:rsidR="00FD5B02" w:rsidRPr="00E47369">
        <w:rPr>
          <w:rFonts w:cstheme="minorHAnsi"/>
          <w:color w:val="000000" w:themeColor="text1"/>
        </w:rPr>
        <w:fldChar w:fldCharType="separate"/>
      </w:r>
      <w:r w:rsidR="000A0E3D" w:rsidRPr="000A0E3D">
        <w:rPr>
          <w:rFonts w:cstheme="minorHAnsi"/>
        </w:rPr>
        <w:t>Figure I.3.a.22</w:t>
      </w:r>
      <w:r w:rsidR="00FD5B02" w:rsidRPr="00E47369">
        <w:rPr>
          <w:rFonts w:cstheme="minorHAnsi"/>
          <w:color w:val="000000" w:themeColor="text1"/>
        </w:rPr>
        <w:fldChar w:fldCharType="end"/>
      </w:r>
      <w:r w:rsidRPr="00E47369">
        <w:rPr>
          <w:rFonts w:cstheme="minorHAnsi"/>
          <w:color w:val="000000" w:themeColor="text1"/>
        </w:rPr>
        <w:t xml:space="preserve">) The elemental reducing agents provide </w:t>
      </w:r>
      <w:r w:rsidRPr="00E47369">
        <w:rPr>
          <w:rFonts w:cstheme="minorHAnsi"/>
        </w:rPr>
        <w:t>a cheap and easy to remove alternative to soluble reducing agents.</w:t>
      </w:r>
    </w:p>
    <w:p w14:paraId="03710486" w14:textId="77777777" w:rsidR="008E146E" w:rsidRPr="00E47369" w:rsidRDefault="00216D29" w:rsidP="003E463F">
      <w:pPr>
        <w:keepNext/>
        <w:jc w:val="center"/>
        <w:rPr>
          <w:rFonts w:cstheme="minorHAnsi"/>
        </w:rPr>
      </w:pPr>
      <w:r w:rsidRPr="00E47369">
        <w:rPr>
          <w:rFonts w:cstheme="minorHAnsi"/>
        </w:rPr>
        <w:object w:dxaOrig="6019" w:dyaOrig="1022" w14:anchorId="70BCDFB9">
          <v:shape id="_x0000_i1049" type="#_x0000_t75" style="width:268.2pt;height:46.7pt" o:ole="">
            <v:imagedata r:id="rId58" o:title=""/>
          </v:shape>
          <o:OLEObject Type="Embed" ProgID="ChemDraw.Document.6.0" ShapeID="_x0000_i1049" DrawAspect="Content" ObjectID="_1532784903" r:id="rId59"/>
        </w:object>
      </w:r>
    </w:p>
    <w:p w14:paraId="21C7399C" w14:textId="77777777" w:rsidR="00216D29" w:rsidRPr="00072EEF" w:rsidRDefault="00810326" w:rsidP="00072EEF">
      <w:pPr>
        <w:pStyle w:val="Caption"/>
      </w:pPr>
      <w:bookmarkStart w:id="82" w:name="_Ref449892509"/>
      <w:bookmarkStart w:id="83" w:name="_Toc457320601"/>
      <w:bookmarkStart w:id="84" w:name="_Toc458938376"/>
      <w:r w:rsidRPr="00072EEF">
        <w:t>Figure I.3.</w:t>
      </w:r>
      <w:r w:rsidR="00443010">
        <w:fldChar w:fldCharType="begin"/>
      </w:r>
      <w:r w:rsidR="00443010">
        <w:instrText xml:space="preserve"> STYLEREF 3 \s </w:instrText>
      </w:r>
      <w:r w:rsidR="00443010">
        <w:fldChar w:fldCharType="separate"/>
      </w:r>
      <w:r w:rsidR="000A0E3D">
        <w:rPr>
          <w:noProof/>
        </w:rPr>
        <w:t>a</w:t>
      </w:r>
      <w:r w:rsidR="00443010">
        <w:rPr>
          <w:noProof/>
        </w:rPr>
        <w:fldChar w:fldCharType="end"/>
      </w:r>
      <w:r w:rsidRPr="00072EEF">
        <w:t>.</w:t>
      </w:r>
      <w:r w:rsidR="00443010">
        <w:fldChar w:fldCharType="begin"/>
      </w:r>
      <w:r w:rsidR="00443010">
        <w:instrText xml:space="preserve"> SEQ Figure_I._3. \* ARABIC \s 3 </w:instrText>
      </w:r>
      <w:r w:rsidR="00443010">
        <w:fldChar w:fldCharType="separate"/>
      </w:r>
      <w:r w:rsidR="000A0E3D">
        <w:rPr>
          <w:noProof/>
        </w:rPr>
        <w:t>22</w:t>
      </w:r>
      <w:r w:rsidR="00443010">
        <w:rPr>
          <w:noProof/>
        </w:rPr>
        <w:fldChar w:fldCharType="end"/>
      </w:r>
      <w:bookmarkEnd w:id="82"/>
      <w:r w:rsidR="008E146E" w:rsidRPr="00072EEF">
        <w:t xml:space="preserve"> </w:t>
      </w:r>
      <w:r w:rsidR="00216D29" w:rsidRPr="00072EEF">
        <w:t>Summary of DODH system using elemental reductant</w:t>
      </w:r>
      <w:bookmarkEnd w:id="83"/>
      <w:bookmarkEnd w:id="84"/>
    </w:p>
    <w:p w14:paraId="72F9E099" w14:textId="77777777" w:rsidR="00216D29" w:rsidRPr="00E47369" w:rsidRDefault="00216D29" w:rsidP="003E463F">
      <w:pPr>
        <w:jc w:val="center"/>
        <w:rPr>
          <w:rFonts w:cstheme="minorHAnsi"/>
        </w:rPr>
      </w:pPr>
    </w:p>
    <w:p w14:paraId="772A3FFF" w14:textId="77777777" w:rsidR="00216D29" w:rsidRPr="00E47369" w:rsidRDefault="00216D29" w:rsidP="006042D0">
      <w:pPr>
        <w:pStyle w:val="Heading41"/>
        <w:rPr>
          <w:rFonts w:cstheme="minorHAnsi"/>
        </w:rPr>
      </w:pPr>
      <w:r w:rsidRPr="00E47369">
        <w:rPr>
          <w:rFonts w:cstheme="minorHAnsi"/>
        </w:rPr>
        <w:t>Heterogeneous ReO</w:t>
      </w:r>
      <w:r w:rsidRPr="00E47369">
        <w:rPr>
          <w:rFonts w:cstheme="minorHAnsi"/>
          <w:vertAlign w:val="subscript"/>
        </w:rPr>
        <w:t>x</w:t>
      </w:r>
      <w:r w:rsidRPr="00E47369">
        <w:rPr>
          <w:rFonts w:cstheme="minorHAnsi"/>
        </w:rPr>
        <w:t xml:space="preserve"> DODH catalyst</w:t>
      </w:r>
    </w:p>
    <w:p w14:paraId="2AE60190" w14:textId="77777777" w:rsidR="00216D29" w:rsidRPr="00E47369" w:rsidRDefault="00216D29" w:rsidP="006042D0">
      <w:pPr>
        <w:ind w:firstLine="360"/>
        <w:jc w:val="both"/>
        <w:rPr>
          <w:rFonts w:cstheme="minorHAnsi"/>
        </w:rPr>
      </w:pPr>
      <w:r w:rsidRPr="00E47369">
        <w:rPr>
          <w:rFonts w:cstheme="minorHAnsi"/>
        </w:rPr>
        <w:t>In an initial effort to develop heterogeneous (supported) DODH catalysts potentially suitable for industrial scale processes Nicholas, Jentoft and co-workers reported on the catalytic properties of a material prepared by treatment of activated carbon with ammonium perrhenate.</w:t>
      </w:r>
      <w:r w:rsidRPr="00E47369">
        <w:rPr>
          <w:rFonts w:cstheme="minorHAnsi"/>
        </w:rPr>
        <w:fldChar w:fldCharType="begin"/>
      </w:r>
      <w:r w:rsidR="006D0CD6" w:rsidRPr="00E47369">
        <w:rPr>
          <w:rFonts w:cstheme="minorHAnsi"/>
        </w:rPr>
        <w:instrText xml:space="preserve"> ADDIN ZOTERO_ITEM CSL_CITATION {"citationID":"2ajfd0k5eh","properties":{"formattedCitation":"{\\rtf \\super 52\\nosupersub{}}","plainCitation":"52"},"citationItems":[{"id":234,"uris":["http://zotero.org/users/1624234/items/FZ9PG7TS"],"uri":["http://zotero.org/users/1624234/items/FZ9PG7TS"],"itemData":{"id":234,"type":"article-journal","title":"Deoxydehydration of Glycols Catalyzed by Carbon-Supported Perrhenate","container-title":"ChemCatChem","page":"3567-3570","volume":"5","issue":"12","source":"Wiley Online Library","DOI":"10.1002/cctc.201300545","ISSN":"1867-3899","journalAbbreviation":"ChemCatChem","language":"en","author":[{"family":"Denning","given":"Alana L."},{"family":"Dang","given":"Huong"},{"family":"Liu","given":"Zhimin"},{"family":"Nicholas","given":"Kenneth M."},{"family":"Jentoft","given":"Friederike C."}],"issued":{"date-parts":[["2013"]]}}}],"schema":"https://github.com/citation-style-language/schema/raw/master/csl-citation.json"} </w:instrText>
      </w:r>
      <w:r w:rsidRPr="00E47369">
        <w:rPr>
          <w:rFonts w:cstheme="minorHAnsi"/>
        </w:rPr>
        <w:fldChar w:fldCharType="separate"/>
      </w:r>
      <w:r w:rsidRPr="00E47369">
        <w:rPr>
          <w:rFonts w:cstheme="minorHAnsi"/>
          <w:sz w:val="22"/>
          <w:vertAlign w:val="superscript"/>
        </w:rPr>
        <w:t>52</w:t>
      </w:r>
      <w:r w:rsidRPr="00E47369">
        <w:rPr>
          <w:rFonts w:cstheme="minorHAnsi"/>
        </w:rPr>
        <w:fldChar w:fldCharType="end"/>
      </w:r>
      <w:r w:rsidRPr="00E47369">
        <w:rPr>
          <w:rFonts w:cstheme="minorHAnsi"/>
        </w:rPr>
        <w:t xml:space="preserve"> This material was found to be active for the hydrogenative DODH of representative glycols at 150-175</w:t>
      </w:r>
      <w:r w:rsidRPr="00E47369">
        <w:rPr>
          <w:rFonts w:cstheme="minorHAnsi"/>
          <w:vertAlign w:val="superscript"/>
        </w:rPr>
        <w:t>o</w:t>
      </w:r>
      <w:r w:rsidRPr="00E47369">
        <w:rPr>
          <w:rFonts w:cstheme="minorHAnsi"/>
        </w:rPr>
        <w:t>C in aromatic solvents under 6-12 atm H</w:t>
      </w:r>
      <w:r w:rsidRPr="00E47369">
        <w:rPr>
          <w:rFonts w:cstheme="minorHAnsi"/>
          <w:vertAlign w:val="subscript"/>
        </w:rPr>
        <w:t>2</w:t>
      </w:r>
      <w:r w:rsidRPr="00E47369">
        <w:rPr>
          <w:rFonts w:cstheme="minorHAnsi"/>
        </w:rPr>
        <w:t xml:space="preserve"> (</w:t>
      </w:r>
      <w:r w:rsidR="00FD5B02" w:rsidRPr="00E47369">
        <w:rPr>
          <w:rFonts w:cstheme="minorHAnsi"/>
        </w:rPr>
        <w:fldChar w:fldCharType="begin"/>
      </w:r>
      <w:r w:rsidR="00FD5B02" w:rsidRPr="00E47369">
        <w:rPr>
          <w:rFonts w:cstheme="minorHAnsi"/>
        </w:rPr>
        <w:instrText xml:space="preserve"> REF _Ref449892536 \h </w:instrText>
      </w:r>
      <w:r w:rsidR="003E463F" w:rsidRPr="00E47369">
        <w:rPr>
          <w:rFonts w:cstheme="minorHAnsi"/>
        </w:rPr>
        <w:instrText xml:space="preserve"> \* MERGEFORMAT </w:instrText>
      </w:r>
      <w:r w:rsidR="00FD5B02" w:rsidRPr="00E47369">
        <w:rPr>
          <w:rFonts w:cstheme="minorHAnsi"/>
        </w:rPr>
      </w:r>
      <w:r w:rsidR="00FD5B02" w:rsidRPr="00E47369">
        <w:rPr>
          <w:rFonts w:cstheme="minorHAnsi"/>
        </w:rPr>
        <w:fldChar w:fldCharType="separate"/>
      </w:r>
      <w:r w:rsidR="000A0E3D" w:rsidRPr="000A0E3D">
        <w:rPr>
          <w:rFonts w:cstheme="minorHAnsi"/>
        </w:rPr>
        <w:t>Figure I.3.a.23</w:t>
      </w:r>
      <w:r w:rsidR="00FD5B02" w:rsidRPr="00E47369">
        <w:rPr>
          <w:rFonts w:cstheme="minorHAnsi"/>
        </w:rPr>
        <w:fldChar w:fldCharType="end"/>
      </w:r>
      <w:r w:rsidRPr="00E47369">
        <w:rPr>
          <w:rFonts w:cstheme="minorHAnsi"/>
        </w:rPr>
        <w:t>). Under these conditions alkenes were produced selectively in moderate to excellent yields (40-90%) with no over-reduction to alkanes; l-diethyl tartrate was converted stereoselectively to diethyl fumarate. From a preparative scale experiment corresponding ketones, dimeric ethers and acetals were identified as minor by-products, apparently from acid-promoted dehydration processes. Catalyst recovery and filtrate activity tests show partial loss of activity by the recovered catalyst and suggest catalysis by both homogeneous and heterogeneous components. Partial leaching of a catalytically active species apparently occurs under operating conditions that is re-adsorbed at room temperature. The ReO</w:t>
      </w:r>
      <w:r w:rsidRPr="00E47369">
        <w:rPr>
          <w:rFonts w:cstheme="minorHAnsi"/>
          <w:vertAlign w:val="subscript"/>
        </w:rPr>
        <w:t>x</w:t>
      </w:r>
      <w:r w:rsidRPr="00E47369">
        <w:rPr>
          <w:rFonts w:cstheme="minorHAnsi"/>
        </w:rPr>
        <w:t>/C material also catalyzes moderately efficient DODH reactions (40-52 %) with hydrogen transfer reductants, including 3-hexanol, benzyl alcohol and tetralin.</w:t>
      </w:r>
    </w:p>
    <w:p w14:paraId="54D6C8C1" w14:textId="77777777" w:rsidR="00FD5B02" w:rsidRPr="00E47369" w:rsidRDefault="00216D29" w:rsidP="003E463F">
      <w:pPr>
        <w:keepNext/>
        <w:jc w:val="center"/>
        <w:rPr>
          <w:rFonts w:cstheme="minorHAnsi"/>
        </w:rPr>
      </w:pPr>
      <w:r w:rsidRPr="00E47369">
        <w:rPr>
          <w:rFonts w:cstheme="minorHAnsi"/>
        </w:rPr>
        <w:object w:dxaOrig="4195" w:dyaOrig="1804" w14:anchorId="18DFA615">
          <v:shape id="_x0000_i1050" type="#_x0000_t75" style="width:211.25pt;height:87.8pt" o:ole="">
            <v:imagedata r:id="rId60" o:title=""/>
          </v:shape>
          <o:OLEObject Type="Embed" ProgID="ChemDraw.Document.6.0" ShapeID="_x0000_i1050" DrawAspect="Content" ObjectID="_1532784904" r:id="rId61"/>
        </w:object>
      </w:r>
    </w:p>
    <w:p w14:paraId="4EE06CFA" w14:textId="270F9BEB" w:rsidR="00216D29" w:rsidRPr="00072EEF" w:rsidRDefault="00810326" w:rsidP="00072EEF">
      <w:pPr>
        <w:pStyle w:val="Caption"/>
      </w:pPr>
      <w:bookmarkStart w:id="85" w:name="_Ref449892536"/>
      <w:bookmarkStart w:id="86" w:name="_Toc457320602"/>
      <w:bookmarkStart w:id="87" w:name="_Toc458938377"/>
      <w:r w:rsidRPr="00072EEF">
        <w:t>Figure I.3.</w:t>
      </w:r>
      <w:r w:rsidR="00443010">
        <w:fldChar w:fldCharType="begin"/>
      </w:r>
      <w:r w:rsidR="00443010">
        <w:instrText xml:space="preserve"> STYLEREF 3 \s </w:instrText>
      </w:r>
      <w:r w:rsidR="00443010">
        <w:fldChar w:fldCharType="separate"/>
      </w:r>
      <w:r w:rsidR="000A0E3D">
        <w:rPr>
          <w:noProof/>
        </w:rPr>
        <w:t>a</w:t>
      </w:r>
      <w:r w:rsidR="00443010">
        <w:rPr>
          <w:noProof/>
        </w:rPr>
        <w:fldChar w:fldCharType="end"/>
      </w:r>
      <w:r w:rsidRPr="00072EEF">
        <w:t>.</w:t>
      </w:r>
      <w:r w:rsidR="00443010">
        <w:fldChar w:fldCharType="begin"/>
      </w:r>
      <w:r w:rsidR="00443010">
        <w:instrText xml:space="preserve"> SEQ Figure_I._3. \* ARABIC \s 3 </w:instrText>
      </w:r>
      <w:r w:rsidR="00443010">
        <w:fldChar w:fldCharType="separate"/>
      </w:r>
      <w:r w:rsidR="000A0E3D">
        <w:rPr>
          <w:noProof/>
        </w:rPr>
        <w:t>23</w:t>
      </w:r>
      <w:r w:rsidR="00443010">
        <w:rPr>
          <w:noProof/>
        </w:rPr>
        <w:fldChar w:fldCharType="end"/>
      </w:r>
      <w:bookmarkEnd w:id="85"/>
      <w:r w:rsidR="00FD5B02" w:rsidRPr="00072EEF">
        <w:t xml:space="preserve"> </w:t>
      </w:r>
      <w:r w:rsidR="00216D29" w:rsidRPr="00072EEF">
        <w:t xml:space="preserve">Summary of DODH system using </w:t>
      </w:r>
      <w:r w:rsidR="002F0E0A">
        <w:t>h</w:t>
      </w:r>
      <w:r w:rsidR="00216D29" w:rsidRPr="00072EEF">
        <w:t>eterogeneous rhenium catalyst</w:t>
      </w:r>
      <w:bookmarkEnd w:id="86"/>
      <w:bookmarkEnd w:id="87"/>
    </w:p>
    <w:p w14:paraId="12C19CFF" w14:textId="77777777" w:rsidR="00536AE9" w:rsidRPr="00E47369" w:rsidRDefault="00536AE9" w:rsidP="00536AE9">
      <w:pPr>
        <w:rPr>
          <w:rFonts w:cstheme="minorHAnsi"/>
        </w:rPr>
      </w:pPr>
    </w:p>
    <w:p w14:paraId="28B0A4E0" w14:textId="77777777" w:rsidR="00216D29" w:rsidRPr="00E47369" w:rsidRDefault="00216D29" w:rsidP="006042D0">
      <w:pPr>
        <w:ind w:firstLine="360"/>
        <w:jc w:val="both"/>
        <w:rPr>
          <w:rFonts w:cstheme="minorHAnsi"/>
        </w:rPr>
      </w:pPr>
      <w:r w:rsidRPr="00E47369">
        <w:rPr>
          <w:rFonts w:cstheme="minorHAnsi"/>
        </w:rPr>
        <w:t>With similar yields Palkovits and co-worker reported a titania supported ReO</w:t>
      </w:r>
      <w:r w:rsidRPr="00E47369">
        <w:rPr>
          <w:rFonts w:cstheme="minorHAnsi"/>
          <w:vertAlign w:val="subscript"/>
        </w:rPr>
        <w:t>x</w:t>
      </w:r>
      <w:r w:rsidRPr="00E47369">
        <w:rPr>
          <w:rFonts w:cstheme="minorHAnsi"/>
        </w:rPr>
        <w:t xml:space="preserve"> catalyst using 3-octanol as reducing agent</w:t>
      </w:r>
      <w:r w:rsidRPr="00E47369">
        <w:rPr>
          <w:rFonts w:cstheme="minorHAnsi"/>
        </w:rPr>
        <w:fldChar w:fldCharType="begin"/>
      </w:r>
      <w:r w:rsidR="006D0CD6" w:rsidRPr="00E47369">
        <w:rPr>
          <w:rFonts w:cstheme="minorHAnsi"/>
        </w:rPr>
        <w:instrText xml:space="preserve"> ADDIN ZOTERO_ITEM CSL_CITATION {"citationID":"h51gm3i82","properties":{"formattedCitation":"{\\rtf \\super 53\\nosupersub{}}","plainCitation":"53"},"citationItems":[{"id":1544,"uris":["http://zotero.org/users/1624234/items/DUD8V3F6"],"uri":["http://zotero.org/users/1624234/items/DUD8V3F6"],"itemData":{"id":1544,"type":"article-journal","title":"ReOx/TiO2: A Recyclable Solid Catalyst for Deoxydehydration","container-title":"ACS Catalysis","page":"677-680","volume":"6","issue":"2","source":"ACS Publications","abstract":"Deoxydehydration (DODH) enables the transformation of two adjacent hydroxyl functions into a C?C double bond: e.g., facilitating synthesis of 1,3,5-hexatriene from sorbitol. Here we report the first stable heterogeneous catalyst for DODH based on ReOx supported on TiO2. ReOx/TiO2 exhibits not only catalytic activity and selectivity comparable to those of previously described molecular rhenium catalysts but also excellent stability without deactivation over at least six consecutive runs. X-ray absorption spectroscopy (XAFS) measurements indicate a mixture of Re(VII), Re(IV), and Re(0) species at a ratio of 0.47:0.27:0.25, remaining comparatively stable during catalysis.","DOI":"10.1021/acscatal.5b01936","shortTitle":"ReOx/TiO2","journalAbbreviation":"ACS Catal.","author":[{"family":"Sandbrink","given":"Lennart"},{"family":"Klindtworth","given":"Elisabeth"},{"family":"Islam","given":"Husn-Ubayda"},{"family":"Beale","given":"Andrew M."},{"family":"Palkovits","given":"Regina"}],"issued":{"date-parts":[["2016",2,5]]}}}],"schema":"https://github.com/citation-style-language/schema/raw/master/csl-citation.json"} </w:instrText>
      </w:r>
      <w:r w:rsidRPr="00E47369">
        <w:rPr>
          <w:rFonts w:cstheme="minorHAnsi"/>
        </w:rPr>
        <w:fldChar w:fldCharType="separate"/>
      </w:r>
      <w:r w:rsidRPr="00E47369">
        <w:rPr>
          <w:rFonts w:cstheme="minorHAnsi"/>
          <w:sz w:val="22"/>
          <w:vertAlign w:val="superscript"/>
        </w:rPr>
        <w:t>53</w:t>
      </w:r>
      <w:r w:rsidRPr="00E47369">
        <w:rPr>
          <w:rFonts w:cstheme="minorHAnsi"/>
        </w:rPr>
        <w:fldChar w:fldCharType="end"/>
      </w:r>
      <w:r w:rsidRPr="00E47369">
        <w:rPr>
          <w:rFonts w:cstheme="minorHAnsi"/>
        </w:rPr>
        <w:t xml:space="preserve">. They first did a screening of various </w:t>
      </w:r>
      <w:r w:rsidR="00F029F7">
        <w:rPr>
          <w:rFonts w:cstheme="minorHAnsi"/>
        </w:rPr>
        <w:t xml:space="preserve">catalyst </w:t>
      </w:r>
      <w:r w:rsidRPr="00E47369">
        <w:rPr>
          <w:rFonts w:cstheme="minorHAnsi"/>
        </w:rPr>
        <w:t xml:space="preserve">support </w:t>
      </w:r>
      <w:r w:rsidR="00F029F7">
        <w:rPr>
          <w:rFonts w:cstheme="minorHAnsi"/>
        </w:rPr>
        <w:t>and</w:t>
      </w:r>
      <w:r w:rsidRPr="00E47369">
        <w:rPr>
          <w:rFonts w:cstheme="minorHAnsi"/>
        </w:rPr>
        <w:t xml:space="preserve"> </w:t>
      </w:r>
      <w:r w:rsidR="00F029F7">
        <w:rPr>
          <w:rFonts w:cstheme="minorHAnsi"/>
        </w:rPr>
        <w:t xml:space="preserve">found </w:t>
      </w:r>
      <w:r w:rsidRPr="00E47369">
        <w:rPr>
          <w:rFonts w:cstheme="minorHAnsi"/>
        </w:rPr>
        <w:t>TiO</w:t>
      </w:r>
      <w:r w:rsidRPr="00E47369">
        <w:rPr>
          <w:rFonts w:cstheme="minorHAnsi"/>
          <w:vertAlign w:val="subscript"/>
        </w:rPr>
        <w:t>2</w:t>
      </w:r>
      <w:r w:rsidRPr="00E47369">
        <w:rPr>
          <w:rFonts w:cstheme="minorHAnsi"/>
        </w:rPr>
        <w:t xml:space="preserve"> to be the most suitable along with a characterization of the </w:t>
      </w:r>
      <w:r w:rsidRPr="00E47369">
        <w:rPr>
          <w:rFonts w:cstheme="minorHAnsi"/>
          <w:color w:val="000000" w:themeColor="text1"/>
        </w:rPr>
        <w:t>heterogeneous catalys</w:t>
      </w:r>
      <w:r w:rsidR="00F029F7">
        <w:rPr>
          <w:rFonts w:cstheme="minorHAnsi"/>
          <w:color w:val="000000" w:themeColor="text1"/>
        </w:rPr>
        <w:t>t before and after reaction. Th</w:t>
      </w:r>
      <w:r w:rsidRPr="00E47369">
        <w:rPr>
          <w:rFonts w:cstheme="minorHAnsi"/>
          <w:color w:val="000000" w:themeColor="text1"/>
        </w:rPr>
        <w:t>e</w:t>
      </w:r>
      <w:r w:rsidR="00F029F7">
        <w:rPr>
          <w:rFonts w:cstheme="minorHAnsi"/>
          <w:color w:val="000000" w:themeColor="text1"/>
        </w:rPr>
        <w:t>y</w:t>
      </w:r>
      <w:r w:rsidRPr="00E47369">
        <w:rPr>
          <w:rFonts w:cstheme="minorHAnsi"/>
          <w:color w:val="000000" w:themeColor="text1"/>
        </w:rPr>
        <w:t xml:space="preserve"> were able to reuse this supported rhenium catalyst six times without </w:t>
      </w:r>
      <w:r w:rsidRPr="00E47369">
        <w:rPr>
          <w:rFonts w:cstheme="minorHAnsi"/>
        </w:rPr>
        <w:t>loss of activity.</w:t>
      </w:r>
    </w:p>
    <w:p w14:paraId="1BB1EEBB" w14:textId="77777777" w:rsidR="00216D29" w:rsidRPr="00E47369" w:rsidRDefault="00216D29" w:rsidP="003E463F">
      <w:pPr>
        <w:ind w:firstLine="720"/>
        <w:jc w:val="both"/>
        <w:rPr>
          <w:rFonts w:cstheme="minorHAnsi"/>
        </w:rPr>
      </w:pPr>
    </w:p>
    <w:p w14:paraId="14204F1B" w14:textId="77777777" w:rsidR="00216D29" w:rsidRPr="00E47369" w:rsidRDefault="00216D29" w:rsidP="000351A7">
      <w:pPr>
        <w:pStyle w:val="Heading3"/>
      </w:pPr>
      <w:bookmarkStart w:id="88" w:name="_Toc458938275"/>
      <w:r w:rsidRPr="00E47369">
        <w:t>Non-precious metal catalyzed DODH</w:t>
      </w:r>
      <w:bookmarkEnd w:id="88"/>
      <w:r w:rsidRPr="00E47369">
        <w:t xml:space="preserve"> </w:t>
      </w:r>
    </w:p>
    <w:p w14:paraId="36878A1D" w14:textId="77777777" w:rsidR="00216D29" w:rsidRPr="00E47369" w:rsidRDefault="00216D29" w:rsidP="006042D0">
      <w:pPr>
        <w:ind w:firstLine="360"/>
        <w:jc w:val="both"/>
        <w:rPr>
          <w:rFonts w:cstheme="minorHAnsi"/>
        </w:rPr>
      </w:pPr>
      <w:r w:rsidRPr="00E47369">
        <w:rPr>
          <w:rFonts w:cstheme="minorHAnsi"/>
        </w:rPr>
        <w:t>Until recently, all of the reported metal-catalyzed DODH systems have utilized oxo-rhenium catalysts. The low natural abundance and high cost of rhenium and its derivatives</w:t>
      </w:r>
      <w:r w:rsidRPr="00E47369">
        <w:rPr>
          <w:rFonts w:cstheme="minorHAnsi"/>
        </w:rPr>
        <w:fldChar w:fldCharType="begin"/>
      </w:r>
      <w:r w:rsidR="006D0CD6" w:rsidRPr="00E47369">
        <w:rPr>
          <w:rFonts w:cstheme="minorHAnsi"/>
        </w:rPr>
        <w:instrText xml:space="preserve"> ADDIN ZOTERO_ITEM CSL_CITATION {"citationID":"1lkbrfe11t","properties":{"formattedCitation":"{\\rtf \\super 54\\nosupersub{}}","plainCitation":"54"},"citationItems":[{"id":1583,"uris":["http://zotero.org/users/1624234/items/HQQWNKEF"],"uri":["http://zotero.org/users/1624234/items/HQQWNKEF"],"itemData":{"id":1583,"type":"book","title":"Rhenium is one of the rarest elements in the Earth's crust with an average concentration of ca. 7 parts per billion by weight, making it the 77th most abundant element in Earth's crust. Nature's Building Blocks: An A-Z Guide to the Elements","publisher":"Oxford University Press","publisher-place":"Oxford ; New York","number-of-pages":"720","edition":"New Rev Up edition","source":"Amazon","event-place":"Oxford ; New York","abstract":"Rhenium is one of the rarest elements in the Earth's crust with an average concentration of ca. 7 parts per billion by weight, making it the 77th most abundant element in Earth's crust.","ISBN":"978-0-19-960563-7","shortTitle":"Nature's Building Blocks","language":"English","author":[{"family":"Emsley","given":"John"}],"issued":{"date-parts":[["2011",10,1]]}}}],"schema":"https://github.com/citation-style-language/schema/raw/master/csl-citation.json"} </w:instrText>
      </w:r>
      <w:r w:rsidRPr="00E47369">
        <w:rPr>
          <w:rFonts w:cstheme="minorHAnsi"/>
        </w:rPr>
        <w:fldChar w:fldCharType="separate"/>
      </w:r>
      <w:r w:rsidRPr="00E47369">
        <w:rPr>
          <w:rFonts w:cstheme="minorHAnsi"/>
          <w:sz w:val="22"/>
          <w:vertAlign w:val="superscript"/>
        </w:rPr>
        <w:t>54</w:t>
      </w:r>
      <w:r w:rsidRPr="00E47369">
        <w:rPr>
          <w:rFonts w:cstheme="minorHAnsi"/>
        </w:rPr>
        <w:fldChar w:fldCharType="end"/>
      </w:r>
      <w:r w:rsidRPr="00E47369">
        <w:rPr>
          <w:rFonts w:cstheme="minorHAnsi"/>
        </w:rPr>
        <w:t xml:space="preserve"> provides an incentive for the discovery of non-precious metal catalysts for deoxydehydration that could be practically applied to large-scale biomass conversion processes. </w:t>
      </w:r>
    </w:p>
    <w:p w14:paraId="08CA4312" w14:textId="77777777" w:rsidR="00FD5B02" w:rsidRPr="00E47369" w:rsidRDefault="00216D29" w:rsidP="003E463F">
      <w:pPr>
        <w:keepNext/>
        <w:jc w:val="center"/>
        <w:rPr>
          <w:rFonts w:cstheme="minorHAnsi"/>
        </w:rPr>
      </w:pPr>
      <w:r w:rsidRPr="00E47369">
        <w:rPr>
          <w:rFonts w:cstheme="minorHAnsi"/>
        </w:rPr>
        <w:object w:dxaOrig="5671" w:dyaOrig="2976" w14:anchorId="56F3406E">
          <v:shape id="_x0000_i1051" type="#_x0000_t75" style="width:246.05pt;height:128.2pt" o:ole="">
            <v:imagedata r:id="rId62" o:title=""/>
          </v:shape>
          <o:OLEObject Type="Embed" ProgID="ChemDraw.Document.6.0" ShapeID="_x0000_i1051" DrawAspect="Content" ObjectID="_1532784905" r:id="rId63"/>
        </w:object>
      </w:r>
    </w:p>
    <w:p w14:paraId="527BB66C" w14:textId="6F00DFFE" w:rsidR="00216D29" w:rsidRPr="00072EEF" w:rsidRDefault="00810326" w:rsidP="00072EEF">
      <w:pPr>
        <w:pStyle w:val="Caption"/>
      </w:pPr>
      <w:bookmarkStart w:id="89" w:name="_Ref449892586"/>
      <w:bookmarkStart w:id="90" w:name="_Toc457320603"/>
      <w:bookmarkStart w:id="91" w:name="_Toc458938378"/>
      <w:r w:rsidRPr="00072EEF">
        <w:t>Figure I.3.</w:t>
      </w:r>
      <w:r w:rsidR="00443010">
        <w:fldChar w:fldCharType="begin"/>
      </w:r>
      <w:r w:rsidR="00443010">
        <w:instrText xml:space="preserve"> STYLEREF 3 \s </w:instrText>
      </w:r>
      <w:r w:rsidR="00443010">
        <w:fldChar w:fldCharType="separate"/>
      </w:r>
      <w:r w:rsidR="000A0E3D">
        <w:rPr>
          <w:noProof/>
        </w:rPr>
        <w:t>b</w:t>
      </w:r>
      <w:r w:rsidR="00443010">
        <w:rPr>
          <w:noProof/>
        </w:rPr>
        <w:fldChar w:fldCharType="end"/>
      </w:r>
      <w:r w:rsidRPr="00072EEF">
        <w:t>.</w:t>
      </w:r>
      <w:r w:rsidR="00443010">
        <w:fldChar w:fldCharType="begin"/>
      </w:r>
      <w:r w:rsidR="00443010">
        <w:instrText xml:space="preserve"> SEQ Figure_I._3. \* ARABIC \s 3 </w:instrText>
      </w:r>
      <w:r w:rsidR="00443010">
        <w:fldChar w:fldCharType="separate"/>
      </w:r>
      <w:r w:rsidR="000A0E3D">
        <w:rPr>
          <w:noProof/>
        </w:rPr>
        <w:t>1</w:t>
      </w:r>
      <w:r w:rsidR="00443010">
        <w:rPr>
          <w:noProof/>
        </w:rPr>
        <w:fldChar w:fldCharType="end"/>
      </w:r>
      <w:bookmarkEnd w:id="89"/>
      <w:r w:rsidR="00FD5B02" w:rsidRPr="00072EEF">
        <w:t xml:space="preserve"> </w:t>
      </w:r>
      <w:r w:rsidR="00216D29" w:rsidRPr="00072EEF">
        <w:t xml:space="preserve">Summary of DODH system using </w:t>
      </w:r>
      <w:r w:rsidR="002F0E0A">
        <w:t>n</w:t>
      </w:r>
      <w:r w:rsidR="00216D29" w:rsidRPr="00072EEF">
        <w:t>on precious metal catalyst</w:t>
      </w:r>
      <w:bookmarkEnd w:id="90"/>
      <w:bookmarkEnd w:id="91"/>
    </w:p>
    <w:p w14:paraId="6F121F81" w14:textId="77777777" w:rsidR="00AC4068" w:rsidRPr="00E47369" w:rsidRDefault="00AC4068" w:rsidP="003E463F">
      <w:pPr>
        <w:jc w:val="center"/>
        <w:rPr>
          <w:rFonts w:cstheme="minorHAnsi"/>
        </w:rPr>
      </w:pPr>
    </w:p>
    <w:p w14:paraId="254F82A3" w14:textId="77777777" w:rsidR="00216D29" w:rsidRPr="00E47369" w:rsidRDefault="00216D29" w:rsidP="00C36752">
      <w:pPr>
        <w:pStyle w:val="Heading41"/>
        <w:numPr>
          <w:ilvl w:val="0"/>
          <w:numId w:val="29"/>
        </w:numPr>
        <w:rPr>
          <w:rFonts w:cstheme="minorHAnsi"/>
        </w:rPr>
      </w:pPr>
      <w:r w:rsidRPr="00E47369">
        <w:rPr>
          <w:rFonts w:cstheme="minorHAnsi"/>
        </w:rPr>
        <w:t>Molybdenum</w:t>
      </w:r>
    </w:p>
    <w:p w14:paraId="76537AE8" w14:textId="77777777" w:rsidR="00216D29" w:rsidRPr="00E47369" w:rsidRDefault="00216D29" w:rsidP="006042D0">
      <w:pPr>
        <w:ind w:firstLine="360"/>
        <w:jc w:val="both"/>
        <w:rPr>
          <w:rFonts w:cstheme="minorHAnsi"/>
          <w:color w:val="000000" w:themeColor="text1"/>
        </w:rPr>
      </w:pPr>
      <w:r w:rsidRPr="00E47369">
        <w:rPr>
          <w:rFonts w:cstheme="minorHAnsi"/>
        </w:rPr>
        <w:t>Molybdenum’s relative abundance</w:t>
      </w:r>
      <w:r w:rsidRPr="00E47369">
        <w:rPr>
          <w:rFonts w:cstheme="minorHAnsi"/>
        </w:rPr>
        <w:fldChar w:fldCharType="begin"/>
      </w:r>
      <w:r w:rsidR="006D0CD6" w:rsidRPr="00E47369">
        <w:rPr>
          <w:rFonts w:cstheme="minorHAnsi"/>
        </w:rPr>
        <w:instrText xml:space="preserve"> ADDIN ZOTERO_ITEM CSL_CITATION {"citationID":"m813tn5sf","properties":{"formattedCitation":"{\\rtf \\super 55\\nosupersub{}}","plainCitation":"55"},"citationItems":[{"id":1586,"uris":["http://zotero.org/users/1624234/items/4JQMIIA5"],"uri":["http://zotero.org/users/1624234/items/4JQMIIA5"],"itemData":{"id":1586,"type":"book","title":"Molybdenum’s abundance in the earth’s crust is 1.2 parts per million by weight. Concise Encyclopedia Chemistry","publisher":"De Gruyter","number-of-pages":"1201","edition":"Rev Sub edition","source":"Amazon","abstract":"Translated and revised from the original German edition of 1993, this reference for chemists, chemical engineers, and students contains some 12,000 entries and 1,600 figures, formulas, and tables. Arranged alphabetically, the work contains an immense amount of material on all fields of chemistry, in","ISBN":"978-3-11-011451-5","language":"English","translator":[{"family":"Eagleson","given":"Mary"}],"issued":{"date-parts":[["1994",2]]}}}],"schema":"https://github.com/citation-style-language/schema/raw/master/csl-citation.json"} </w:instrText>
      </w:r>
      <w:r w:rsidRPr="00E47369">
        <w:rPr>
          <w:rFonts w:cstheme="minorHAnsi"/>
        </w:rPr>
        <w:fldChar w:fldCharType="separate"/>
      </w:r>
      <w:r w:rsidRPr="00E47369">
        <w:rPr>
          <w:rFonts w:cstheme="minorHAnsi"/>
          <w:sz w:val="22"/>
          <w:vertAlign w:val="superscript"/>
        </w:rPr>
        <w:t>55</w:t>
      </w:r>
      <w:r w:rsidRPr="00E47369">
        <w:rPr>
          <w:rFonts w:cstheme="minorHAnsi"/>
        </w:rPr>
        <w:fldChar w:fldCharType="end"/>
      </w:r>
      <w:r w:rsidRPr="00E47369">
        <w:rPr>
          <w:rFonts w:cstheme="minorHAnsi"/>
        </w:rPr>
        <w:t xml:space="preserve"> and lower </w:t>
      </w:r>
      <w:r w:rsidRPr="00E47369">
        <w:rPr>
          <w:rFonts w:cstheme="minorHAnsi"/>
          <w:color w:val="000000" w:themeColor="text1"/>
        </w:rPr>
        <w:t xml:space="preserve">cost stimulated investigations to evaluate the scope and efficacy of Mo-catalyzed DODH reactions. Three brief notes </w:t>
      </w:r>
      <w:r w:rsidRPr="00E47369">
        <w:rPr>
          <w:rFonts w:cstheme="minorHAnsi"/>
        </w:rPr>
        <w:t>of modest Mo-based DODH activity have appeared (</w:t>
      </w:r>
      <w:r w:rsidR="00FD5B02" w:rsidRPr="00E47369">
        <w:rPr>
          <w:rFonts w:cstheme="minorHAnsi"/>
        </w:rPr>
        <w:fldChar w:fldCharType="begin"/>
      </w:r>
      <w:r w:rsidR="00FD5B02" w:rsidRPr="00E47369">
        <w:rPr>
          <w:rFonts w:cstheme="minorHAnsi"/>
        </w:rPr>
        <w:instrText xml:space="preserve"> REF _Ref449892586 \h </w:instrText>
      </w:r>
      <w:r w:rsidR="003E463F" w:rsidRPr="00E47369">
        <w:rPr>
          <w:rFonts w:cstheme="minorHAnsi"/>
        </w:rPr>
        <w:instrText xml:space="preserve"> \* MERGEFORMAT </w:instrText>
      </w:r>
      <w:r w:rsidR="00FD5B02" w:rsidRPr="00E47369">
        <w:rPr>
          <w:rFonts w:cstheme="minorHAnsi"/>
        </w:rPr>
      </w:r>
      <w:r w:rsidR="00FD5B02" w:rsidRPr="00E47369">
        <w:rPr>
          <w:rFonts w:cstheme="minorHAnsi"/>
        </w:rPr>
        <w:fldChar w:fldCharType="separate"/>
      </w:r>
      <w:r w:rsidR="000A0E3D" w:rsidRPr="000A0E3D">
        <w:rPr>
          <w:rFonts w:cstheme="minorHAnsi"/>
        </w:rPr>
        <w:t>Figure I.3.b.1</w:t>
      </w:r>
      <w:r w:rsidR="00FD5B02" w:rsidRPr="00E47369">
        <w:rPr>
          <w:rFonts w:cstheme="minorHAnsi"/>
        </w:rPr>
        <w:fldChar w:fldCharType="end"/>
      </w:r>
      <w:r w:rsidRPr="00E47369">
        <w:rPr>
          <w:rFonts w:cstheme="minorHAnsi"/>
        </w:rPr>
        <w:t>), the first with styrene oxide and styrene diol promoted by (dithiocarbamate)</w:t>
      </w:r>
      <w:r w:rsidRPr="00E47369">
        <w:rPr>
          <w:rFonts w:cstheme="minorHAnsi"/>
          <w:vertAlign w:val="subscript"/>
        </w:rPr>
        <w:t>2</w:t>
      </w:r>
      <w:r w:rsidRPr="00E47369">
        <w:rPr>
          <w:rFonts w:cstheme="minorHAnsi"/>
        </w:rPr>
        <w:t>MoO</w:t>
      </w:r>
      <w:r w:rsidRPr="00E47369">
        <w:rPr>
          <w:rFonts w:cstheme="minorHAnsi"/>
          <w:vertAlign w:val="subscript"/>
        </w:rPr>
        <w:t>2</w:t>
      </w:r>
      <w:r w:rsidRPr="00E47369">
        <w:rPr>
          <w:rFonts w:cstheme="minorHAnsi"/>
        </w:rPr>
        <w:t>/Na</w:t>
      </w:r>
      <w:r w:rsidRPr="00E47369">
        <w:rPr>
          <w:rFonts w:cstheme="minorHAnsi"/>
          <w:vertAlign w:val="subscript"/>
        </w:rPr>
        <w:t>2</w:t>
      </w:r>
      <w:r w:rsidRPr="00E47369">
        <w:rPr>
          <w:rFonts w:cstheme="minorHAnsi"/>
        </w:rPr>
        <w:t>SO</w:t>
      </w:r>
      <w:r w:rsidRPr="00E47369">
        <w:rPr>
          <w:rFonts w:cstheme="minorHAnsi"/>
          <w:vertAlign w:val="subscript"/>
        </w:rPr>
        <w:t>3</w:t>
      </w:r>
      <w:r w:rsidRPr="00E47369">
        <w:rPr>
          <w:rFonts w:cstheme="minorHAnsi"/>
        </w:rPr>
        <w:t xml:space="preserve"> (</w:t>
      </w:r>
      <w:r w:rsidRPr="00E47369">
        <w:rPr>
          <w:rFonts w:cstheme="minorHAnsi"/>
          <w:b/>
        </w:rPr>
        <w:t>17</w:t>
      </w:r>
      <w:r w:rsidRPr="00E47369">
        <w:rPr>
          <w:rFonts w:cstheme="minorHAnsi"/>
        </w:rPr>
        <w:t>, 10-30 % yield);</w:t>
      </w:r>
      <w:r w:rsidRPr="00E47369">
        <w:rPr>
          <w:rFonts w:cstheme="minorHAnsi"/>
        </w:rPr>
        <w:fldChar w:fldCharType="begin"/>
      </w:r>
      <w:r w:rsidR="006D0CD6" w:rsidRPr="00E47369">
        <w:rPr>
          <w:rFonts w:cstheme="minorHAnsi"/>
        </w:rPr>
        <w:instrText xml:space="preserve"> ADDIN ZOTERO_ITEM CSL_CITATION {"citationID":"21qksb8m88","properties":{"formattedCitation":"{\\rtf \\super 56\\nosupersub{}}","plainCitation":"56"},"citationItems":[{"id":20,"uris":["http://zotero.org/users/1624234/items/2DQSU3WD"],"uri":["http://zotero.org/users/1624234/items/2DQSU3WD"],"itemData":{"id":20,"type":"article-journal","title":"Dioxomolybdenum(VI) Complexes with Acylpyrazolonate Ligands: Synthesis, Structures, and Catalytic Properties","container-title":"European Journal of Inorganic Chemistry","page":"3352-3361","volume":"2013","issue":"19","source":"Wiley Online Library","abstract":"The complexes [Mo(O)2(QR)2] [R = cyclohexyl (1), ethylcyclopentyl (2), hexyl (3), and neopentyl (4)] have been obtained in good yields by treatment of [Mo(O)2(acac)2] with 2 equivalents of acylpyrazolone compounds HQR [HQR = 3-methyl-1-phenyl-4-alkylcarbonyl-5-pyrazolone; R = cyclohexyl (HQCy), ethylcyclopentyl (HQEtCp), hexyl (HQHe), neopentyl (HQnPe)]. They were isolated as yellow crystalline solids and characterized spectroscopically [IR, 1H and 13C(1H) NMR] and structurally (X-ray for 2 and 3). The deoxygenation of selected epoxide substrates to alkenes by employing compounds 1 and 3 as catalysts and PPh3 as the oxygen acceptor showed good activities in toluene. The use of the ionic liquid [C4mim]PF6 as solvent gave lower yields, but the resulting catalytic system could be conveniently recycled. The [Mo(O)2(QR)2] derivatives 1 and 3 were also found to be moderately active catalysts for the deoxydehydration of vicinal diols.","DOI":"10.1002/ejic.201300098","ISSN":"1099-0682","shortTitle":"Dioxomolybdenum(VI) Complexes with Acylpyrazolonate Ligands","journalAbbreviation":"Eur. J. Inorg. Chem.","language":"en","author":[{"family":"Hills","given":"Lily"},{"family":"Moyano","given":"Raquel"},{"family":"Montilla","given":"Francisco"},{"family":"Pastor","given":"Antonio"},{"family":"Galindo","given":"Agustín"},{"family":"Álvarez","given":"Eleuterio"},{"family":"Marchetti","given":"Fabio"},{"family":"Pettinari","given":"Claudio"}],"issued":{"date-parts":[["2013"]],"season":"juillet"}}}],"schema":"https://github.com/citation-style-language/schema/raw/master/csl-citation.json"} </w:instrText>
      </w:r>
      <w:r w:rsidRPr="00E47369">
        <w:rPr>
          <w:rFonts w:cstheme="minorHAnsi"/>
        </w:rPr>
        <w:fldChar w:fldCharType="separate"/>
      </w:r>
      <w:r w:rsidRPr="00E47369">
        <w:rPr>
          <w:rFonts w:cstheme="minorHAnsi"/>
          <w:sz w:val="22"/>
          <w:vertAlign w:val="superscript"/>
        </w:rPr>
        <w:t>56</w:t>
      </w:r>
      <w:r w:rsidRPr="00E47369">
        <w:rPr>
          <w:rFonts w:cstheme="minorHAnsi"/>
        </w:rPr>
        <w:fldChar w:fldCharType="end"/>
      </w:r>
      <w:r w:rsidRPr="00E47369">
        <w:rPr>
          <w:rFonts w:cstheme="minorHAnsi"/>
        </w:rPr>
        <w:t xml:space="preserve"> two examples employed (acylpyrazonolate)MoO</w:t>
      </w:r>
      <w:r w:rsidRPr="00E47369">
        <w:rPr>
          <w:rFonts w:cstheme="minorHAnsi"/>
          <w:vertAlign w:val="subscript"/>
        </w:rPr>
        <w:t>2</w:t>
      </w:r>
      <w:r w:rsidRPr="00E47369">
        <w:rPr>
          <w:rFonts w:cstheme="minorHAnsi"/>
        </w:rPr>
        <w:t>/PPh</w:t>
      </w:r>
      <w:r w:rsidRPr="00E47369">
        <w:rPr>
          <w:rFonts w:cstheme="minorHAnsi"/>
          <w:vertAlign w:val="subscript"/>
        </w:rPr>
        <w:t>3</w:t>
      </w:r>
      <w:r w:rsidRPr="00E47369">
        <w:rPr>
          <w:rFonts w:cstheme="minorHAnsi"/>
        </w:rPr>
        <w:t xml:space="preserve"> (</w:t>
      </w:r>
      <w:r w:rsidRPr="00E47369">
        <w:rPr>
          <w:rFonts w:cstheme="minorHAnsi"/>
          <w:b/>
        </w:rPr>
        <w:t>18</w:t>
      </w:r>
      <w:r w:rsidRPr="00E47369">
        <w:rPr>
          <w:rFonts w:cstheme="minorHAnsi"/>
        </w:rPr>
        <w:t>; 10, 55% yields);</w:t>
      </w:r>
      <w:r w:rsidRPr="00E47369">
        <w:rPr>
          <w:rFonts w:cstheme="minorHAnsi"/>
        </w:rPr>
        <w:fldChar w:fldCharType="begin"/>
      </w:r>
      <w:r w:rsidR="006D0CD6" w:rsidRPr="00E47369">
        <w:rPr>
          <w:rFonts w:cstheme="minorHAnsi"/>
        </w:rPr>
        <w:instrText xml:space="preserve"> ADDIN ZOTERO_ITEM CSL_CITATION {"citationID":"1i5evms737","properties":{"formattedCitation":"{\\rtf \\super 56\\nosupersub{}}","plainCitation":"56"},"citationItems":[{"id":20,"uris":["http://zotero.org/users/1624234/items/2DQSU3WD"],"uri":["http://zotero.org/users/1624234/items/2DQSU3WD"],"itemData":{"id":20,"type":"article-journal","title":"Dioxomolybdenum(VI) Complexes with Acylpyrazolonate Ligands: Synthesis, Structures, and Catalytic Properties","container-title":"European Journal of Inorganic Chemistry","page":"3352-3361","volume":"2013","issue":"19","source":"Wiley Online Library","abstract":"The complexes [Mo(O)2(QR)2] [R = cyclohexyl (1), ethylcyclopentyl (2), hexyl (3), and neopentyl (4)] have been obtained in good yields by treatment of [Mo(O)2(acac)2] with 2 equivalents of acylpyrazolone compounds HQR [HQR = 3-methyl-1-phenyl-4-alkylcarbonyl-5-pyrazolone; R = cyclohexyl (HQCy), ethylcyclopentyl (HQEtCp), hexyl (HQHe), neopentyl (HQnPe)]. They were isolated as yellow crystalline solids and characterized spectroscopically [IR, 1H and 13C(1H) NMR] and structurally (X-ray for 2 and 3). The deoxygenation of selected epoxide substrates to alkenes by employing compounds 1 and 3 as catalysts and PPh3 as the oxygen acceptor showed good activities in toluene. The use of the ionic liquid [C4mim]PF6 as solvent gave lower yields, but the resulting catalytic system could be conveniently recycled. The [Mo(O)2(QR)2] derivatives 1 and 3 were also found to be moderately active catalysts for the deoxydehydration of vicinal diols.","DOI":"10.1002/ejic.201300098","ISSN":"1099-0682","shortTitle":"Dioxomolybdenum(VI) Complexes with Acylpyrazolonate Ligands","journalAbbreviation":"Eur. J. Inorg. Chem.","language":"en","author":[{"family":"Hills","given":"Lily"},{"family":"Moyano","given":"Raquel"},{"family":"Montilla","given":"Francisco"},{"family":"Pastor","given":"Antonio"},{"family":"Galindo","given":"Agustín"},{"family":"Álvarez","given":"Eleuterio"},{"family":"Marchetti","given":"Fabio"},{"family":"Pettinari","given":"Claudio"}],"issued":{"date-parts":[["2013"]],"season":"juillet"}}}],"schema":"https://github.com/citation-style-language/schema/raw/master/csl-citation.json"} </w:instrText>
      </w:r>
      <w:r w:rsidRPr="00E47369">
        <w:rPr>
          <w:rFonts w:cstheme="minorHAnsi"/>
        </w:rPr>
        <w:fldChar w:fldCharType="separate"/>
      </w:r>
      <w:r w:rsidRPr="00E47369">
        <w:rPr>
          <w:rFonts w:cstheme="minorHAnsi"/>
          <w:sz w:val="22"/>
          <w:vertAlign w:val="superscript"/>
        </w:rPr>
        <w:t>56</w:t>
      </w:r>
      <w:r w:rsidRPr="00E47369">
        <w:rPr>
          <w:rFonts w:cstheme="minorHAnsi"/>
        </w:rPr>
        <w:fldChar w:fldCharType="end"/>
      </w:r>
      <w:r w:rsidRPr="00E47369">
        <w:rPr>
          <w:rFonts w:cstheme="minorHAnsi"/>
        </w:rPr>
        <w:t xml:space="preserve"> and a survey from Fristrup group of several oxo-Mo-complexes with no reductant gave 35-45% olefin yields from tetradecanediol, with (NH</w:t>
      </w:r>
      <w:r w:rsidRPr="00E47369">
        <w:rPr>
          <w:rFonts w:cstheme="minorHAnsi"/>
          <w:vertAlign w:val="subscript"/>
        </w:rPr>
        <w:t>4</w:t>
      </w:r>
      <w:r w:rsidRPr="00E47369">
        <w:rPr>
          <w:rFonts w:cstheme="minorHAnsi"/>
        </w:rPr>
        <w:t>)</w:t>
      </w:r>
      <w:r w:rsidRPr="00E47369">
        <w:rPr>
          <w:rFonts w:cstheme="minorHAnsi"/>
          <w:vertAlign w:val="subscript"/>
        </w:rPr>
        <w:t>6</w:t>
      </w:r>
      <w:r w:rsidRPr="00E47369">
        <w:rPr>
          <w:rFonts w:cstheme="minorHAnsi"/>
        </w:rPr>
        <w:t>Mo</w:t>
      </w:r>
      <w:r w:rsidRPr="00E47369">
        <w:rPr>
          <w:rFonts w:cstheme="minorHAnsi"/>
          <w:vertAlign w:val="subscript"/>
        </w:rPr>
        <w:t>7</w:t>
      </w:r>
      <w:r w:rsidRPr="00E47369">
        <w:rPr>
          <w:rFonts w:cstheme="minorHAnsi"/>
        </w:rPr>
        <w:t>O</w:t>
      </w:r>
      <w:r w:rsidRPr="00E47369">
        <w:rPr>
          <w:rFonts w:cstheme="minorHAnsi"/>
          <w:vertAlign w:val="subscript"/>
        </w:rPr>
        <w:t>24</w:t>
      </w:r>
      <w:r w:rsidRPr="00E47369">
        <w:rPr>
          <w:rFonts w:cstheme="minorHAnsi"/>
        </w:rPr>
        <w:t xml:space="preserve"> </w:t>
      </w:r>
      <w:r w:rsidRPr="00E47369">
        <w:rPr>
          <w:rFonts w:cstheme="minorHAnsi"/>
        </w:rPr>
        <w:fldChar w:fldCharType="begin"/>
      </w:r>
      <w:r w:rsidR="006D0CD6" w:rsidRPr="00E47369">
        <w:rPr>
          <w:rFonts w:cstheme="minorHAnsi"/>
        </w:rPr>
        <w:instrText xml:space="preserve"> ADDIN ZOTERO_ITEM CSL_CITATION {"citationID":"28f8g4e6ou","properties":{"formattedCitation":"{\\rtf \\super 57\\nosupersub{}}","plainCitation":"57"},"citationItems":[{"id":151,"uris":["http://zotero.org/users/1624234/items/9KPTDUW8"],"uri":["http://zotero.org/users/1624234/items/9KPTDUW8"],"itemData":{"id":151,"type":"article-journal","title":"Molybdenum-Catalyzed Deoxydehydration of Vicinal Diols","container-title":"ChemSusChem","page":"425-428","volume":"7","issue":"2","source":"Wiley Online Library","abstract":"The commercially available (NH4)6Mo7O24 and other molybdenum compounds are shown to be viable substitutes for the typically employed rhenium compounds in the catalytic deoxydehydration of aliphatic diols into the corresponding alkenes. The transformation, which represents a model system for the various hydroxyl groups found in biomass-derived carbohydrates, can be conducted in an inert solvent (dodecane), under solvent-free conditions, and in a solvent capable of dissolving biomass-derived polyols (1,5-pentanediol). The reaction is driven by the simultaneous oxidative deformylation of the diol resulting in an overall disproportionation of the substrate.","DOI":"10.1002/cssc.201300945","ISSN":"1864-564X","journalAbbreviation":"ChemSusChem","language":"en","author":[{"family":"Dethlefsen","given":"Johannes R."},{"family":"Lupp","given":"Daniel"},{"family":"Oh","given":"Byung-Chang"},{"family":"Fristrup","given":"Peter"}],"issued":{"date-parts":[["2014"]],"season":"février"}}}],"schema":"https://github.com/citation-style-language/schema/raw/master/csl-citation.json"} </w:instrText>
      </w:r>
      <w:r w:rsidRPr="00E47369">
        <w:rPr>
          <w:rFonts w:cstheme="minorHAnsi"/>
        </w:rPr>
        <w:fldChar w:fldCharType="separate"/>
      </w:r>
      <w:r w:rsidRPr="00E47369">
        <w:rPr>
          <w:rFonts w:cstheme="minorHAnsi"/>
          <w:sz w:val="22"/>
          <w:vertAlign w:val="superscript"/>
        </w:rPr>
        <w:t>57</w:t>
      </w:r>
      <w:r w:rsidRPr="00E47369">
        <w:rPr>
          <w:rFonts w:cstheme="minorHAnsi"/>
        </w:rPr>
        <w:fldChar w:fldCharType="end"/>
      </w:r>
      <w:r w:rsidRPr="00E47369">
        <w:rPr>
          <w:rFonts w:cstheme="minorHAnsi"/>
        </w:rPr>
        <w:t xml:space="preserve"> and MoO</w:t>
      </w:r>
      <w:r w:rsidRPr="00E47369">
        <w:rPr>
          <w:rFonts w:cstheme="minorHAnsi"/>
          <w:vertAlign w:val="subscript"/>
        </w:rPr>
        <w:t>2</w:t>
      </w:r>
      <w:r w:rsidRPr="00E47369">
        <w:rPr>
          <w:rFonts w:cstheme="minorHAnsi"/>
        </w:rPr>
        <w:t>(DMF)</w:t>
      </w:r>
      <w:r w:rsidRPr="00E47369">
        <w:rPr>
          <w:rFonts w:cstheme="minorHAnsi"/>
          <w:vertAlign w:val="subscript"/>
        </w:rPr>
        <w:t>2</w:t>
      </w:r>
      <w:r w:rsidRPr="00E47369">
        <w:rPr>
          <w:rFonts w:cstheme="minorHAnsi"/>
        </w:rPr>
        <w:t>Cl</w:t>
      </w:r>
      <w:r w:rsidRPr="00E47369">
        <w:rPr>
          <w:rFonts w:cstheme="minorHAnsi"/>
          <w:vertAlign w:val="subscript"/>
        </w:rPr>
        <w:t>2</w:t>
      </w:r>
      <w:r w:rsidRPr="00E47369">
        <w:rPr>
          <w:rFonts w:cstheme="minorHAnsi"/>
        </w:rPr>
        <w:t xml:space="preserve"> </w:t>
      </w:r>
      <w:r w:rsidRPr="00E47369">
        <w:rPr>
          <w:rFonts w:cstheme="minorHAnsi"/>
        </w:rPr>
        <w:fldChar w:fldCharType="begin"/>
      </w:r>
      <w:r w:rsidR="006D0CD6" w:rsidRPr="00E47369">
        <w:rPr>
          <w:rFonts w:cstheme="minorHAnsi"/>
        </w:rPr>
        <w:instrText xml:space="preserve"> ADDIN ZOTERO_ITEM CSL_CITATION {"citationID":"2j2hbnnvcm","properties":{"formattedCitation":"{\\rtf \\super 58\\nosupersub{}}","plainCitation":"58"},"citationItems":[{"id":1585,"uris":["http://zotero.org/users/1624234/items/RCCN7W58"],"uri":["http://zotero.org/users/1624234/items/RCCN7W58"],"itemData":{"id":1585,"type":"article-journal","title":"unpublished results, 2012.","author":[{"family":"Maradur","given":"S"},{"family":"Nicholas","given":"K. M."}],"issued":{"date-parts":[["2012"]]}}}],"schema":"https://github.com/citation-style-language/schema/raw/master/csl-citation.json"} </w:instrText>
      </w:r>
      <w:r w:rsidRPr="00E47369">
        <w:rPr>
          <w:rFonts w:cstheme="minorHAnsi"/>
        </w:rPr>
        <w:fldChar w:fldCharType="separate"/>
      </w:r>
      <w:r w:rsidRPr="00E47369">
        <w:rPr>
          <w:rFonts w:cstheme="minorHAnsi"/>
          <w:sz w:val="22"/>
          <w:vertAlign w:val="superscript"/>
        </w:rPr>
        <w:t>58</w:t>
      </w:r>
      <w:r w:rsidRPr="00E47369">
        <w:rPr>
          <w:rFonts w:cstheme="minorHAnsi"/>
        </w:rPr>
        <w:fldChar w:fldCharType="end"/>
      </w:r>
      <w:r w:rsidRPr="00E47369">
        <w:rPr>
          <w:rFonts w:cstheme="minorHAnsi"/>
        </w:rPr>
        <w:t xml:space="preserve"> being the best. In a follow up publication Fristrup and co-worker conducted a </w:t>
      </w:r>
      <w:r w:rsidRPr="00E47369">
        <w:rPr>
          <w:rFonts w:cstheme="minorHAnsi"/>
          <w:color w:val="000000" w:themeColor="text1"/>
        </w:rPr>
        <w:t>computational study of the molybdenum ((NH</w:t>
      </w:r>
      <w:r w:rsidRPr="00E47369">
        <w:rPr>
          <w:rFonts w:cstheme="minorHAnsi"/>
          <w:color w:val="000000" w:themeColor="text1"/>
          <w:vertAlign w:val="subscript"/>
        </w:rPr>
        <w:t>4</w:t>
      </w:r>
      <w:r w:rsidRPr="00E47369">
        <w:rPr>
          <w:rFonts w:cstheme="minorHAnsi"/>
          <w:color w:val="000000" w:themeColor="text1"/>
        </w:rPr>
        <w:t>)</w:t>
      </w:r>
      <w:r w:rsidRPr="00E47369">
        <w:rPr>
          <w:rFonts w:cstheme="minorHAnsi"/>
          <w:color w:val="000000" w:themeColor="text1"/>
          <w:vertAlign w:val="subscript"/>
        </w:rPr>
        <w:t>6</w:t>
      </w:r>
      <w:r w:rsidRPr="00E47369">
        <w:rPr>
          <w:rFonts w:cstheme="minorHAnsi"/>
          <w:color w:val="000000" w:themeColor="text1"/>
        </w:rPr>
        <w:t>Mo</w:t>
      </w:r>
      <w:r w:rsidRPr="00E47369">
        <w:rPr>
          <w:rFonts w:cstheme="minorHAnsi"/>
          <w:color w:val="000000" w:themeColor="text1"/>
          <w:vertAlign w:val="subscript"/>
        </w:rPr>
        <w:t>7</w:t>
      </w:r>
      <w:r w:rsidRPr="00E47369">
        <w:rPr>
          <w:rFonts w:cstheme="minorHAnsi"/>
          <w:color w:val="000000" w:themeColor="text1"/>
        </w:rPr>
        <w:t>O</w:t>
      </w:r>
      <w:r w:rsidRPr="00E47369">
        <w:rPr>
          <w:rFonts w:cstheme="minorHAnsi"/>
          <w:color w:val="000000" w:themeColor="text1"/>
          <w:vertAlign w:val="subscript"/>
        </w:rPr>
        <w:t>24</w:t>
      </w:r>
      <w:r w:rsidRPr="00E47369">
        <w:rPr>
          <w:rFonts w:cstheme="minorHAnsi"/>
          <w:color w:val="000000" w:themeColor="text1"/>
        </w:rPr>
        <w:t>) catalyzed DODH system(</w:t>
      </w:r>
      <w:r w:rsidR="00FD5B02" w:rsidRPr="00E47369">
        <w:rPr>
          <w:rFonts w:cstheme="minorHAnsi"/>
          <w:color w:val="000000" w:themeColor="text1"/>
        </w:rPr>
        <w:fldChar w:fldCharType="begin"/>
      </w:r>
      <w:r w:rsidR="00FD5B02" w:rsidRPr="00E47369">
        <w:rPr>
          <w:rFonts w:cstheme="minorHAnsi"/>
          <w:color w:val="000000" w:themeColor="text1"/>
        </w:rPr>
        <w:instrText xml:space="preserve"> REF _Ref449892631 \h </w:instrText>
      </w:r>
      <w:r w:rsidR="003E463F" w:rsidRPr="00E47369">
        <w:rPr>
          <w:rFonts w:cstheme="minorHAnsi"/>
          <w:color w:val="000000" w:themeColor="text1"/>
        </w:rPr>
        <w:instrText xml:space="preserve"> \* MERGEFORMAT </w:instrText>
      </w:r>
      <w:r w:rsidR="00FD5B02" w:rsidRPr="00E47369">
        <w:rPr>
          <w:rFonts w:cstheme="minorHAnsi"/>
          <w:color w:val="000000" w:themeColor="text1"/>
        </w:rPr>
      </w:r>
      <w:r w:rsidR="00FD5B02" w:rsidRPr="00E47369">
        <w:rPr>
          <w:rFonts w:cstheme="minorHAnsi"/>
          <w:color w:val="000000" w:themeColor="text1"/>
        </w:rPr>
        <w:fldChar w:fldCharType="separate"/>
      </w:r>
      <w:r w:rsidR="000A0E3D" w:rsidRPr="000A0E3D">
        <w:rPr>
          <w:rFonts w:cstheme="minorHAnsi"/>
        </w:rPr>
        <w:t>Figure I.3.b.2</w:t>
      </w:r>
      <w:r w:rsidR="00FD5B02" w:rsidRPr="00E47369">
        <w:rPr>
          <w:rFonts w:cstheme="minorHAnsi"/>
          <w:color w:val="000000" w:themeColor="text1"/>
        </w:rPr>
        <w:fldChar w:fldCharType="end"/>
      </w:r>
      <w:r w:rsidRPr="00E47369">
        <w:rPr>
          <w:rFonts w:cstheme="minorHAnsi"/>
          <w:color w:val="000000" w:themeColor="text1"/>
        </w:rPr>
        <w:t>).</w:t>
      </w:r>
      <w:r w:rsidRPr="00E47369">
        <w:rPr>
          <w:rFonts w:cstheme="minorHAnsi"/>
          <w:color w:val="000000" w:themeColor="text1"/>
        </w:rPr>
        <w:fldChar w:fldCharType="begin"/>
      </w:r>
      <w:r w:rsidR="006D0CD6" w:rsidRPr="00E47369">
        <w:rPr>
          <w:rFonts w:cstheme="minorHAnsi"/>
          <w:color w:val="000000" w:themeColor="text1"/>
        </w:rPr>
        <w:instrText xml:space="preserve"> ADDIN ZOTERO_ITEM CSL_CITATION {"citationID":"1s47gultef","properties":{"formattedCitation":"{\\rtf \\super 59\\nosupersub{}}","plainCitation":"59"},"citationItems":[{"id":359,"uris":["http://zotero.org/users/1624234/items/Q3MEG6MX"],"uri":["http://zotero.org/users/1624234/items/Q3MEG6MX"],"itemData":{"id":359,"type":"article-journal","title":"DFT Study of the Molybdenum-Catalyzed Deoxydehydration of Vicinal Diols","container-title":"Chemistry – A European Journal","page":"3435-3442","volume":"21","issue":"8","source":"Wiley Online Library","abstract":"The mechanism of the molybdenum-catalyzed deoxydehydration (DODH) of vicinal diols has been investigated using density functional theory. The proposed catalytic cycle involves condensation of the diol with an MoVI oxo complex, oxidative cleavage of the diol resulting in an MoIV complex, and extrusion of the alkene. We have compared the proposed pathway with several alternatives, and the results have been corroborated by comparison with the molybdenum-catalyzed sulfoxide reduction recently published by Sanz et al. and with experimental observations for the DODH itself. Improved understanding of the mechanism should expedite future optimization of molybdenum-catalyzed biomass transformations.","DOI":"10.1002/chem.201405473","ISSN":"1521-3765","journalAbbreviation":"Chem. Eur. J.","language":"en","author":[{"family":"Lupp","given":"Daniel"},{"family":"Christensen","given":"Niels Johan"},{"family":"Dethlefsen","given":"Johannes R."},{"family":"Fristrup","given":"Peter"}],"issued":{"date-parts":[["2015"]],"season":"février"}}}],"schema":"https://github.com/citation-style-language/schema/raw/master/csl-citation.json"} </w:instrText>
      </w:r>
      <w:r w:rsidRPr="00E47369">
        <w:rPr>
          <w:rFonts w:cstheme="minorHAnsi"/>
          <w:color w:val="000000" w:themeColor="text1"/>
        </w:rPr>
        <w:fldChar w:fldCharType="separate"/>
      </w:r>
      <w:r w:rsidRPr="00E47369">
        <w:rPr>
          <w:rFonts w:cstheme="minorHAnsi"/>
          <w:sz w:val="22"/>
          <w:vertAlign w:val="superscript"/>
        </w:rPr>
        <w:t>59</w:t>
      </w:r>
      <w:r w:rsidRPr="00E47369">
        <w:rPr>
          <w:rFonts w:cstheme="minorHAnsi"/>
          <w:color w:val="000000" w:themeColor="text1"/>
        </w:rPr>
        <w:fldChar w:fldCharType="end"/>
      </w:r>
      <w:r w:rsidRPr="00E47369">
        <w:rPr>
          <w:rFonts w:cstheme="minorHAnsi"/>
          <w:color w:val="000000" w:themeColor="text1"/>
        </w:rPr>
        <w:t xml:space="preserve"> They suggested the plausible formation of a molybdenum diglycolate forming acetaldehyde and formaldehyde (20.8 kcal/mol barrier) before the extrusion of the alkene (19.1 kcal/mol barrier). More recently the Fristrup group reported the use of (NH</w:t>
      </w:r>
      <w:r w:rsidRPr="00E47369">
        <w:rPr>
          <w:rFonts w:cstheme="minorHAnsi"/>
          <w:color w:val="000000" w:themeColor="text1"/>
          <w:vertAlign w:val="subscript"/>
        </w:rPr>
        <w:t>4</w:t>
      </w:r>
      <w:r w:rsidRPr="00E47369">
        <w:rPr>
          <w:rFonts w:cstheme="minorHAnsi"/>
          <w:color w:val="000000" w:themeColor="text1"/>
        </w:rPr>
        <w:t>)</w:t>
      </w:r>
      <w:r w:rsidRPr="00E47369">
        <w:rPr>
          <w:rFonts w:cstheme="minorHAnsi"/>
          <w:color w:val="000000" w:themeColor="text1"/>
          <w:vertAlign w:val="subscript"/>
        </w:rPr>
        <w:t>6</w:t>
      </w:r>
      <w:r w:rsidRPr="00E47369">
        <w:rPr>
          <w:rFonts w:cstheme="minorHAnsi"/>
          <w:color w:val="000000" w:themeColor="text1"/>
        </w:rPr>
        <w:t>Mo</w:t>
      </w:r>
      <w:r w:rsidRPr="00E47369">
        <w:rPr>
          <w:rFonts w:cstheme="minorHAnsi"/>
          <w:color w:val="000000" w:themeColor="text1"/>
          <w:vertAlign w:val="subscript"/>
        </w:rPr>
        <w:t>7</w:t>
      </w:r>
      <w:r w:rsidRPr="00E47369">
        <w:rPr>
          <w:rFonts w:cstheme="minorHAnsi"/>
          <w:color w:val="000000" w:themeColor="text1"/>
        </w:rPr>
        <w:t>O</w:t>
      </w:r>
      <w:r w:rsidRPr="00E47369">
        <w:rPr>
          <w:rFonts w:cstheme="minorHAnsi"/>
          <w:color w:val="000000" w:themeColor="text1"/>
          <w:vertAlign w:val="subscript"/>
        </w:rPr>
        <w:t>24</w:t>
      </w:r>
      <w:r w:rsidRPr="00E47369">
        <w:rPr>
          <w:rFonts w:cstheme="minorHAnsi"/>
          <w:color w:val="000000" w:themeColor="text1"/>
        </w:rPr>
        <w:t xml:space="preserve"> (AHM) to catalyze efficient DODH reactions with isopropanol as reducing agent and solvent.</w:t>
      </w:r>
      <w:r w:rsidRPr="00E47369">
        <w:rPr>
          <w:rFonts w:cstheme="minorHAnsi"/>
          <w:color w:val="000000" w:themeColor="text1"/>
        </w:rPr>
        <w:fldChar w:fldCharType="begin"/>
      </w:r>
      <w:r w:rsidR="006D0CD6" w:rsidRPr="00E47369">
        <w:rPr>
          <w:rFonts w:cstheme="minorHAnsi"/>
          <w:color w:val="000000" w:themeColor="text1"/>
        </w:rPr>
        <w:instrText xml:space="preserve"> ADDIN ZOTERO_ITEM CSL_CITATION {"citationID":"2bj89uev26","properties":{"formattedCitation":"{\\rtf \\super 60\\nosupersub{}}","plainCitation":"60"},"citationItems":[{"id":1552,"uris":["http://zotero.org/users/1624234/items/ZSV4XVTR"],"uri":["http://zotero.org/users/1624234/items/ZSV4XVTR"],"itemData":{"id":1552,"type":"article-journal","title":"Molybdenum-Catalyzed Conversion of Diols and Biomass-Derived Polyols to Alkenes Using Isopropyl Alcohol as Reductant and Solvent","container-title":"ACS Catalysis","page":"3638-3647","volume":"5","issue":"6","source":"ACS Publications","abstract":"Chemical processes capable of reducing the high oxygen content of biomass-derived polyols are in demand in order to produce renewable substitutes for chemicals of fossil origin. Deoxydehydration (DODH) is an attractive reaction that in a single step transforms a vicinal diol into an alkene, but the reaction requires a homogeneous catalyst, a reductant, and a solvent, which are typically expensive, unsustainable, or inefficient. Herein, we present the use of molybdenum(VI)-based compounds, in particular the cheap and commercially available (NH4)6Mo7O24·4H2O, as catalysts for the DODH of vicinal diols in isopropyl alcohol (iPrOH), which serves as both the solvent and reductant. The reaction proceeds at 240?250 °C in a pressurized autoclave, and the alkene yield from simple aliphatic diols can be as high as 77%. The major byproducts are carbonyl compounds?formed by dehydration of the diol?and the alcohols formed by transfer hydrogenation of the carbonyl compounds; the total yield of reduced species (i.e., alkene and alcohols) can be as high as 92%. The DODH of glycerol yields allyl alcohol, which undergoes subsequent Mo-catalyzed deoxygenation to propylene driven by the oxidation of iPrOH; a major byproduct is the homocoupled product 1,5-hexadiene. Further insight in this Mo-catalyzed deoxygenation is gained by an investigation of model compounds: The allylic alcohol 1-hexen-3-ol is deoxygenated to hexene isomers in a yield of 65%, while benzyl alcohol is deoxygenated to toluene in a yield of 93%. The DODH of erythritol yields 39% 2,5-dihydrofuran, while the DODH of the proposed intermediate 1,4-anhydroerythritol yields 75%. The mechanism of the DODH of 1,4-anhydroerythritol was investigated by means of density functional theory (DFT), and the rate-determining step (24.1 kcal/mol) was found to be reduction of a molybdenum(VI) diolate to a molybdenum(IV) diolate.","DOI":"10.1021/acscatal.5b00427","journalAbbreviation":"ACS Catal.","author":[{"family":"Dethlefsen","given":"Johannes R."},{"family":"Lupp","given":"Daniel"},{"family":"Teshome","given":"Ayele"},{"family":"Nielsen","given":"Lasse B."},{"family":"Fristrup","given":"Peter"}],"issued":{"date-parts":[["2015",6,5]]}}}],"schema":"https://github.com/citation-style-language/schema/raw/master/csl-citation.json"} </w:instrText>
      </w:r>
      <w:r w:rsidRPr="00E47369">
        <w:rPr>
          <w:rFonts w:cstheme="minorHAnsi"/>
          <w:color w:val="000000" w:themeColor="text1"/>
        </w:rPr>
        <w:fldChar w:fldCharType="separate"/>
      </w:r>
      <w:r w:rsidRPr="00E47369">
        <w:rPr>
          <w:rFonts w:cstheme="minorHAnsi"/>
          <w:sz w:val="22"/>
          <w:vertAlign w:val="superscript"/>
        </w:rPr>
        <w:t>60</w:t>
      </w:r>
      <w:r w:rsidRPr="00E47369">
        <w:rPr>
          <w:rFonts w:cstheme="minorHAnsi"/>
          <w:color w:val="000000" w:themeColor="text1"/>
        </w:rPr>
        <w:fldChar w:fldCharType="end"/>
      </w:r>
      <w:r w:rsidRPr="00E47369">
        <w:rPr>
          <w:rFonts w:cstheme="minorHAnsi"/>
          <w:color w:val="000000" w:themeColor="text1"/>
        </w:rPr>
        <w:t xml:space="preserve"> Under these conditions they reached the high yield of 77% in alkene with tetrabutyl ammonium hydroxide as a 3 equivalent additive at 240</w:t>
      </w:r>
      <w:r w:rsidRPr="00E47369">
        <w:rPr>
          <w:rFonts w:cstheme="minorHAnsi"/>
          <w:color w:val="000000" w:themeColor="text1"/>
          <w:vertAlign w:val="superscript"/>
        </w:rPr>
        <w:t>o</w:t>
      </w:r>
      <w:r w:rsidRPr="00E47369">
        <w:rPr>
          <w:rFonts w:cstheme="minorHAnsi"/>
          <w:color w:val="000000" w:themeColor="text1"/>
        </w:rPr>
        <w:t xml:space="preserve">C for 12-18h. The Fristrup group conducted a computational study of this system as well, demonstrating that similar to the computational study of </w:t>
      </w:r>
      <w:r w:rsidR="005F4630">
        <w:rPr>
          <w:rFonts w:cstheme="minorHAnsi"/>
          <w:color w:val="000000" w:themeColor="text1"/>
        </w:rPr>
        <w:t>molybdenum</w:t>
      </w:r>
      <w:r w:rsidRPr="00E47369">
        <w:rPr>
          <w:rFonts w:cstheme="minorHAnsi"/>
          <w:color w:val="000000" w:themeColor="text1"/>
        </w:rPr>
        <w:t xml:space="preserve"> catalyzed, alcohol driven DODH reaction, the oxidation of the alcohol and the extrusion of the alkene have the highest energy barriers at 24.1 and 13.8 kcal/mol respectively. </w:t>
      </w:r>
    </w:p>
    <w:p w14:paraId="7B9F125C" w14:textId="77777777" w:rsidR="00216D29" w:rsidRPr="00E47369" w:rsidRDefault="00216D29" w:rsidP="003E463F">
      <w:pPr>
        <w:jc w:val="both"/>
        <w:rPr>
          <w:rFonts w:cstheme="minorHAnsi"/>
        </w:rPr>
      </w:pPr>
    </w:p>
    <w:p w14:paraId="20904BD5" w14:textId="77777777" w:rsidR="00FD5B02" w:rsidRPr="00E47369" w:rsidRDefault="003E463F" w:rsidP="003E463F">
      <w:pPr>
        <w:keepNext/>
        <w:jc w:val="center"/>
        <w:rPr>
          <w:rFonts w:cstheme="minorHAnsi"/>
        </w:rPr>
      </w:pPr>
      <w:r w:rsidRPr="00E47369">
        <w:rPr>
          <w:rFonts w:cstheme="minorHAnsi"/>
        </w:rPr>
        <w:object w:dxaOrig="20491" w:dyaOrig="8266" w14:anchorId="4CFB9CC5">
          <v:shape id="_x0000_i1052" type="#_x0000_t75" style="width:406.7pt;height:163.8pt" o:ole="">
            <v:imagedata r:id="rId64" o:title=""/>
          </v:shape>
          <o:OLEObject Type="Embed" ProgID="ChemDraw.Document.6.0" ShapeID="_x0000_i1052" DrawAspect="Content" ObjectID="_1532784906" r:id="rId65"/>
        </w:object>
      </w:r>
    </w:p>
    <w:p w14:paraId="5ABA0052" w14:textId="77777777" w:rsidR="00216D29" w:rsidRPr="00072EEF" w:rsidRDefault="00810326" w:rsidP="00072EEF">
      <w:pPr>
        <w:pStyle w:val="Caption"/>
      </w:pPr>
      <w:bookmarkStart w:id="92" w:name="_Ref449892631"/>
      <w:bookmarkStart w:id="93" w:name="_Toc457320604"/>
      <w:bookmarkStart w:id="94" w:name="_Toc458938379"/>
      <w:r w:rsidRPr="00072EEF">
        <w:t>Figure I.3.</w:t>
      </w:r>
      <w:r w:rsidR="00443010">
        <w:fldChar w:fldCharType="begin"/>
      </w:r>
      <w:r w:rsidR="00443010">
        <w:instrText xml:space="preserve"> STYLEREF 3 \s </w:instrText>
      </w:r>
      <w:r w:rsidR="00443010">
        <w:fldChar w:fldCharType="separate"/>
      </w:r>
      <w:r w:rsidR="000A0E3D">
        <w:rPr>
          <w:noProof/>
        </w:rPr>
        <w:t>b</w:t>
      </w:r>
      <w:r w:rsidR="00443010">
        <w:rPr>
          <w:noProof/>
        </w:rPr>
        <w:fldChar w:fldCharType="end"/>
      </w:r>
      <w:r w:rsidRPr="00072EEF">
        <w:t>.</w:t>
      </w:r>
      <w:r w:rsidR="00443010">
        <w:fldChar w:fldCharType="begin"/>
      </w:r>
      <w:r w:rsidR="00443010">
        <w:instrText xml:space="preserve"> SEQ Figure_I._3. \* ARABIC \s 3 </w:instrText>
      </w:r>
      <w:r w:rsidR="00443010">
        <w:fldChar w:fldCharType="separate"/>
      </w:r>
      <w:r w:rsidR="000A0E3D">
        <w:rPr>
          <w:noProof/>
        </w:rPr>
        <w:t>2</w:t>
      </w:r>
      <w:r w:rsidR="00443010">
        <w:rPr>
          <w:noProof/>
        </w:rPr>
        <w:fldChar w:fldCharType="end"/>
      </w:r>
      <w:bookmarkEnd w:id="92"/>
      <w:r w:rsidR="00FD5B02" w:rsidRPr="00072EEF">
        <w:t xml:space="preserve"> </w:t>
      </w:r>
      <w:r w:rsidR="00216D29" w:rsidRPr="00072EEF">
        <w:t>Calculated lowest energy profile for diol-driven (left) and for isopropanol-driven (right), MoO</w:t>
      </w:r>
      <w:r w:rsidR="00216D29" w:rsidRPr="00072EEF">
        <w:rPr>
          <w:vertAlign w:val="subscript"/>
        </w:rPr>
        <w:t>3</w:t>
      </w:r>
      <w:r w:rsidR="00216D29" w:rsidRPr="00072EEF">
        <w:t>-catalyzed DODH</w:t>
      </w:r>
      <w:bookmarkEnd w:id="93"/>
      <w:bookmarkEnd w:id="94"/>
    </w:p>
    <w:p w14:paraId="2CAB30BE" w14:textId="77777777" w:rsidR="003E463F" w:rsidRPr="00E47369" w:rsidRDefault="003E463F" w:rsidP="003E463F">
      <w:pPr>
        <w:rPr>
          <w:rFonts w:cstheme="minorHAnsi"/>
        </w:rPr>
      </w:pPr>
    </w:p>
    <w:p w14:paraId="3E79B287" w14:textId="77777777" w:rsidR="00216D29" w:rsidRPr="00E47369" w:rsidRDefault="00216D29" w:rsidP="009B3170">
      <w:pPr>
        <w:ind w:firstLine="360"/>
        <w:jc w:val="both"/>
        <w:rPr>
          <w:rFonts w:cstheme="minorHAnsi"/>
        </w:rPr>
      </w:pPr>
      <w:r w:rsidRPr="00E47369">
        <w:rPr>
          <w:rFonts w:cstheme="minorHAnsi"/>
          <w:color w:val="000000" w:themeColor="text1"/>
        </w:rPr>
        <w:t xml:space="preserve">Following the advances in molybdenum catalyzed DODH reaction, Okuda and co-worker have reported a new bis(phenolato)molybdenum complex </w:t>
      </w:r>
      <w:r w:rsidRPr="00E47369">
        <w:rPr>
          <w:rFonts w:cstheme="minorHAnsi"/>
          <w:b/>
          <w:color w:val="000000" w:themeColor="text1"/>
        </w:rPr>
        <w:t>19</w:t>
      </w:r>
      <w:r w:rsidRPr="00E47369">
        <w:rPr>
          <w:rFonts w:cstheme="minorHAnsi"/>
          <w:color w:val="000000" w:themeColor="text1"/>
        </w:rPr>
        <w:t xml:space="preserve"> that catalyzes DODH in moderate to good </w:t>
      </w:r>
      <w:r w:rsidRPr="00E47369">
        <w:rPr>
          <w:rFonts w:cstheme="minorHAnsi"/>
        </w:rPr>
        <w:t>yield using 3-octanol as reducing agent (200</w:t>
      </w:r>
      <w:r w:rsidRPr="00E47369">
        <w:rPr>
          <w:rFonts w:cstheme="minorHAnsi"/>
          <w:vertAlign w:val="superscript"/>
        </w:rPr>
        <w:t>o</w:t>
      </w:r>
      <w:r w:rsidRPr="00E47369">
        <w:rPr>
          <w:rFonts w:cstheme="minorHAnsi"/>
        </w:rPr>
        <w:t>C, 18h).</w:t>
      </w:r>
      <w:r w:rsidRPr="00E47369">
        <w:rPr>
          <w:rFonts w:cstheme="minorHAnsi"/>
        </w:rPr>
        <w:fldChar w:fldCharType="begin"/>
      </w:r>
      <w:r w:rsidR="006D0CD6" w:rsidRPr="00E47369">
        <w:rPr>
          <w:rFonts w:cstheme="minorHAnsi"/>
        </w:rPr>
        <w:instrText xml:space="preserve"> ADDIN ZOTERO_ITEM CSL_CITATION {"citationID":"2js3cm7tuc","properties":{"formattedCitation":"{\\rtf \\super 61\\nosupersub{}}","plainCitation":"61"},"citationItems":[{"id":1567,"uris":["http://zotero.org/users/1624234/items/FJ44XFHB"],"uri":["http://zotero.org/users/1624234/items/FJ44XFHB"],"itemData":{"id":1567,"type":"article-journal","title":"Bis(phenolato)molybdenum Complexes as Catalyst Precursors for the Deoxydehydration of Biomass-Derived Polyols","container-title":"Polyhedron","source":"ScienceDirect","abstract":"Bio-based polyols can be converted to olefins and furan derivatives in one step by combined reduction and dehydration (deoxydehydration, DODH). A series of octahedral complexes of hexavalent molybdenum containing an (OSSO)-type bis(phenolate) ligand were prepared and structurally characterized. These complexes were screened as catalysts for the deoxydehydration of anhydroerythritol using 3-octanol as reducing agent. Microwave heating allows a lower reaction temperature.","URL":"http://www.sciencedirect.com/science/article/pii/S027753871630064X","DOI":"10.1016/j.poly.2016.03.053","ISSN":"0277-5387","journalAbbreviation":"Polyhedron","author":[{"family":"Beckerle","given":"Klaus"},{"family":"Sauer","given":"Andreas"},{"family":"Spaniol","given":"Thomas P."},{"family":"Okuda","given":"Jun"}],"accessed":{"date-parts":[["2016",4,14]]}}}],"schema":"https://github.com/citation-style-language/schema/raw/master/csl-citation.json"} </w:instrText>
      </w:r>
      <w:r w:rsidRPr="00E47369">
        <w:rPr>
          <w:rFonts w:cstheme="minorHAnsi"/>
        </w:rPr>
        <w:fldChar w:fldCharType="separate"/>
      </w:r>
      <w:r w:rsidRPr="00E47369">
        <w:rPr>
          <w:rFonts w:cstheme="minorHAnsi"/>
          <w:sz w:val="22"/>
          <w:vertAlign w:val="superscript"/>
        </w:rPr>
        <w:t>61</w:t>
      </w:r>
      <w:r w:rsidRPr="00E47369">
        <w:rPr>
          <w:rFonts w:cstheme="minorHAnsi"/>
        </w:rPr>
        <w:fldChar w:fldCharType="end"/>
      </w:r>
      <w:r w:rsidRPr="00E47369">
        <w:rPr>
          <w:rFonts w:cstheme="minorHAnsi"/>
        </w:rPr>
        <w:t xml:space="preserve"> </w:t>
      </w:r>
    </w:p>
    <w:p w14:paraId="5DC2C626" w14:textId="77777777" w:rsidR="00AC4068" w:rsidRPr="00E47369" w:rsidRDefault="00AC4068" w:rsidP="003E463F">
      <w:pPr>
        <w:jc w:val="both"/>
        <w:rPr>
          <w:rFonts w:cstheme="minorHAnsi"/>
        </w:rPr>
      </w:pPr>
    </w:p>
    <w:p w14:paraId="1438893B" w14:textId="77777777" w:rsidR="00216D29" w:rsidRPr="00E47369" w:rsidRDefault="00216D29" w:rsidP="006042D0">
      <w:pPr>
        <w:pStyle w:val="Heading41"/>
        <w:rPr>
          <w:rFonts w:cstheme="minorHAnsi"/>
        </w:rPr>
      </w:pPr>
      <w:r w:rsidRPr="00E47369">
        <w:rPr>
          <w:rFonts w:cstheme="minorHAnsi"/>
        </w:rPr>
        <w:t>Vanadium</w:t>
      </w:r>
    </w:p>
    <w:p w14:paraId="57F565B6" w14:textId="3CF11A2C" w:rsidR="009B3170" w:rsidRDefault="009B3170" w:rsidP="00CC29E4">
      <w:pPr>
        <w:jc w:val="both"/>
      </w:pPr>
      <w:bookmarkStart w:id="95" w:name="_Toc457320605"/>
      <w:bookmarkStart w:id="96" w:name="_Toc457320753"/>
      <w:bookmarkStart w:id="97" w:name="_Toc457670637"/>
      <w:r w:rsidRPr="00E47369">
        <w:t>Recently, a more thorough study of DODH reactions catalyzed by non-precious vanadium complexes</w:t>
      </w:r>
      <w:r w:rsidRPr="00E47369">
        <w:fldChar w:fldCharType="begin"/>
      </w:r>
      <w:r w:rsidRPr="00E47369">
        <w:instrText xml:space="preserve"> ADDIN ZOTERO_ITEM CSL_CITATION {"citationID":"v0rq01tuv","properties":{"formattedCitation":"{\\rtf \\super 62\\nosupersub{}}","plainCitation":"62"},"citationItems":[{"id":1588,"uris":["http://zotero.org/users/1624234/items/U46DVIAP"],"uri":["http://zotero.org/users/1624234/items/U46DVIAP"],"itemData":{"id":1588,"type":"book","title":"Vanadium’s abundance in the earth’s crust is 120 parts per million by weight. Nature's Building Blocks: An A-Z Guide to the Elements","publisher":"Oxford University Press","publisher-place":"Oxford ; New York","number-of-pages":"720","edition":"New Rev Up edition","source":"Amazon","event-place":"Oxford ; New York","abstract":"Rhenium is one of the rarest elements in the Earth's crust with an average concentration of ca. 7 parts per billion by weight, making it the 77th most abundant element in Earth's crust.","ISBN":"978-0-19-960563-7","shortTitle":"Nature's Building Blocks","language":"English","author":[{"family":"Emsley","given":"John"}],"issued":{"date-parts":[["2011",10,1]]}}}],"schema":"https://github.com/citation-style-language/schema/raw/master/csl-citation.json"} </w:instrText>
      </w:r>
      <w:r w:rsidRPr="00E47369">
        <w:fldChar w:fldCharType="separate"/>
      </w:r>
      <w:r w:rsidRPr="00E47369">
        <w:rPr>
          <w:sz w:val="22"/>
          <w:vertAlign w:val="superscript"/>
        </w:rPr>
        <w:t>62</w:t>
      </w:r>
      <w:r w:rsidRPr="00E47369">
        <w:fldChar w:fldCharType="end"/>
      </w:r>
      <w:r w:rsidRPr="00E47369">
        <w:t xml:space="preserve"> was reported by Nicholas and coworkers. Several inexpensive and readily available oxo-vanadium compounds, including metavandate salts (Z</w:t>
      </w:r>
      <w:r w:rsidRPr="00E47369">
        <w:rPr>
          <w:vertAlign w:val="superscript"/>
        </w:rPr>
        <w:t>+</w:t>
      </w:r>
      <w:r w:rsidRPr="00E47369">
        <w:t>VO</w:t>
      </w:r>
      <w:r w:rsidRPr="00E47369">
        <w:rPr>
          <w:vertAlign w:val="subscript"/>
        </w:rPr>
        <w:t>3</w:t>
      </w:r>
      <w:r w:rsidRPr="00E47369">
        <w:rPr>
          <w:vertAlign w:val="superscript"/>
        </w:rPr>
        <w:t>-</w:t>
      </w:r>
      <w:r w:rsidRPr="00E47369">
        <w:t>) and dioxo-vanadium complexes, were evaluated for their catalytic activity with representative glycols (</w:t>
      </w:r>
      <w:r w:rsidRPr="00E47369">
        <w:fldChar w:fldCharType="begin"/>
      </w:r>
      <w:r w:rsidRPr="00E47369">
        <w:instrText xml:space="preserve"> REF _Ref449892689 \h  \* MERGEFORMAT </w:instrText>
      </w:r>
      <w:r w:rsidRPr="00E47369">
        <w:fldChar w:fldCharType="separate"/>
      </w:r>
      <w:r w:rsidR="000A0E3D" w:rsidRPr="00924E73">
        <w:t>Figure I.3.</w:t>
      </w:r>
      <w:r w:rsidR="000A0E3D">
        <w:t>b</w:t>
      </w:r>
      <w:r w:rsidR="000A0E3D" w:rsidRPr="00924E73">
        <w:t>.</w:t>
      </w:r>
      <w:r w:rsidR="000A0E3D">
        <w:t>3</w:t>
      </w:r>
      <w:r w:rsidRPr="00E47369">
        <w:fldChar w:fldCharType="end"/>
      </w:r>
      <w:r w:rsidRPr="00E47369">
        <w:t>).</w:t>
      </w:r>
      <w:r w:rsidRPr="00E47369">
        <w:fldChar w:fldCharType="begin"/>
      </w:r>
      <w:r w:rsidRPr="00E47369">
        <w:instrText xml:space="preserve"> ADDIN ZOTERO_ITEM CSL_CITATION {"citationID":"g9pe3snlu","properties":{"formattedCitation":"{\\rtf \\super 63\\nosupersub{}}","plainCitation":"63"},"citationItems":[{"id":214,"uris":["http://zotero.org/users/1624234/items/EI6TJT62"],"uri":["http://zotero.org/users/1624234/items/EI6TJT62"],"itemData":{"id":214,"type":"article-journal","title":"Vanadium-catalyzed deoxydehydration of glycols","container-title":"Chemical Communications","page":"8199","volume":"49","issue":"74","source":"CrossRef","DOI":"10.1039/c3cc44656e","ISSN":"1359-7345, 1364-548X","author":[{"family":"Chapman","given":"Garry"},{"family":"Nicholas","given":"Kenneth M."}],"issued":{"date-parts":[["2013"]]}}}],"schema":"https://github.com/citation-style-language/schema/raw/master/csl-citation.json"} </w:instrText>
      </w:r>
      <w:r w:rsidRPr="00E47369">
        <w:fldChar w:fldCharType="separate"/>
      </w:r>
      <w:r w:rsidRPr="00E47369">
        <w:rPr>
          <w:sz w:val="22"/>
          <w:vertAlign w:val="superscript"/>
        </w:rPr>
        <w:t>63</w:t>
      </w:r>
      <w:r w:rsidRPr="00E47369">
        <w:fldChar w:fldCharType="end"/>
      </w:r>
      <w:r w:rsidRPr="00E47369">
        <w:t xml:space="preserve"> Among these, Bu</w:t>
      </w:r>
      <w:r w:rsidRPr="00E47369">
        <w:rPr>
          <w:vertAlign w:val="subscript"/>
        </w:rPr>
        <w:t>4</w:t>
      </w:r>
      <w:r w:rsidRPr="00E47369">
        <w:t>N[(2,6-pyridinecarboxylate)VO</w:t>
      </w:r>
      <w:r w:rsidRPr="00E47369">
        <w:rPr>
          <w:vertAlign w:val="subscript"/>
        </w:rPr>
        <w:t>2</w:t>
      </w:r>
      <w:r w:rsidRPr="00E47369">
        <w:t>] (</w:t>
      </w:r>
      <w:r w:rsidRPr="00E47369">
        <w:rPr>
          <w:b/>
        </w:rPr>
        <w:t>20</w:t>
      </w:r>
      <w:r w:rsidRPr="00E47369">
        <w:t>) was found to be the most effective with either PPh</w:t>
      </w:r>
      <w:r w:rsidRPr="00E47369">
        <w:rPr>
          <w:vertAlign w:val="subscript"/>
        </w:rPr>
        <w:t>3</w:t>
      </w:r>
      <w:r w:rsidRPr="00E47369">
        <w:t xml:space="preserve"> or </w:t>
      </w:r>
      <w:r w:rsidR="0002387B" w:rsidRPr="00E47369">
        <w:t>Na</w:t>
      </w:r>
      <w:r w:rsidR="0002387B" w:rsidRPr="00E47369">
        <w:rPr>
          <w:vertAlign w:val="subscript"/>
        </w:rPr>
        <w:t>2</w:t>
      </w:r>
      <w:r w:rsidR="0002387B" w:rsidRPr="00E47369">
        <w:t>SO</w:t>
      </w:r>
      <w:r w:rsidR="0002387B">
        <w:rPr>
          <w:vertAlign w:val="subscript"/>
        </w:rPr>
        <w:t>3</w:t>
      </w:r>
      <w:r w:rsidR="0002387B" w:rsidRPr="00E47369">
        <w:t xml:space="preserve"> </w:t>
      </w:r>
      <w:r w:rsidRPr="00E47369">
        <w:t>serving as the reductant. Under optimized conditions (150-170</w:t>
      </w:r>
      <w:r w:rsidRPr="00E47369">
        <w:rPr>
          <w:vertAlign w:val="superscript"/>
        </w:rPr>
        <w:t>o</w:t>
      </w:r>
      <w:r w:rsidRPr="00E47369">
        <w:t xml:space="preserve">C, aromatic solvent, 10 mol % </w:t>
      </w:r>
      <w:r w:rsidRPr="00E47369">
        <w:rPr>
          <w:b/>
        </w:rPr>
        <w:t>20</w:t>
      </w:r>
      <w:r w:rsidRPr="00E47369">
        <w:t xml:space="preserve">, 24-48 h) high </w:t>
      </w:r>
      <w:r w:rsidRPr="00E47369">
        <w:rPr>
          <w:color w:val="000000" w:themeColor="text1"/>
        </w:rPr>
        <w:t>conversions and good yields of alkene were achieved. Highly selective syn-elimination was observed in the conversion of l-diethyl tartrate to diethyl fumarate catalyzed by PPh</w:t>
      </w:r>
      <w:r w:rsidRPr="00E47369">
        <w:rPr>
          <w:color w:val="000000" w:themeColor="text1"/>
          <w:vertAlign w:val="subscript"/>
        </w:rPr>
        <w:t>3</w:t>
      </w:r>
      <w:r w:rsidRPr="00E47369">
        <w:rPr>
          <w:color w:val="000000" w:themeColor="text1"/>
        </w:rPr>
        <w:t>/</w:t>
      </w:r>
      <w:r w:rsidRPr="00E47369">
        <w:rPr>
          <w:b/>
          <w:color w:val="000000" w:themeColor="text1"/>
        </w:rPr>
        <w:t>20</w:t>
      </w:r>
      <w:r w:rsidRPr="00E47369">
        <w:rPr>
          <w:color w:val="000000" w:themeColor="text1"/>
        </w:rPr>
        <w:t xml:space="preserve"> (</w:t>
      </w:r>
      <w:r w:rsidRPr="00E47369">
        <w:rPr>
          <w:color w:val="000000" w:themeColor="text1"/>
        </w:rPr>
        <w:fldChar w:fldCharType="begin"/>
      </w:r>
      <w:r w:rsidRPr="00E47369">
        <w:rPr>
          <w:color w:val="000000" w:themeColor="text1"/>
        </w:rPr>
        <w:instrText xml:space="preserve"> REF _Ref449892689 \h  \* MERGEFORMAT </w:instrText>
      </w:r>
      <w:r w:rsidRPr="00E47369">
        <w:rPr>
          <w:color w:val="000000" w:themeColor="text1"/>
        </w:rPr>
      </w:r>
      <w:r w:rsidRPr="00E47369">
        <w:rPr>
          <w:color w:val="000000" w:themeColor="text1"/>
        </w:rPr>
        <w:fldChar w:fldCharType="separate"/>
      </w:r>
      <w:r w:rsidR="000A0E3D" w:rsidRPr="00924E73">
        <w:t>Figure I.3.</w:t>
      </w:r>
      <w:r w:rsidR="000A0E3D">
        <w:t>b</w:t>
      </w:r>
      <w:r w:rsidR="000A0E3D" w:rsidRPr="00924E73">
        <w:t>.</w:t>
      </w:r>
      <w:r w:rsidR="000A0E3D">
        <w:t>3</w:t>
      </w:r>
      <w:r w:rsidRPr="00E47369">
        <w:rPr>
          <w:color w:val="000000" w:themeColor="text1"/>
        </w:rPr>
        <w:fldChar w:fldCharType="end"/>
      </w:r>
      <w:r w:rsidRPr="00E47369">
        <w:rPr>
          <w:color w:val="000000" w:themeColor="text1"/>
        </w:rPr>
        <w:t>(c) ). This result supports a proposed catalytic cycle involving a reduction/condensation sequence (in either order) followed by stereoselective olefin extrusion from a V</w:t>
      </w:r>
      <w:r w:rsidRPr="00E47369">
        <w:rPr>
          <w:color w:val="000000" w:themeColor="text1"/>
          <w:vertAlign w:val="superscript"/>
        </w:rPr>
        <w:t>iii</w:t>
      </w:r>
      <w:r w:rsidRPr="00E47369">
        <w:rPr>
          <w:color w:val="000000" w:themeColor="text1"/>
        </w:rPr>
        <w:t>-glycolate intermediate, (dipic)V</w:t>
      </w:r>
      <w:r w:rsidRPr="00E47369">
        <w:rPr>
          <w:color w:val="000000" w:themeColor="text1"/>
          <w:vertAlign w:val="superscript"/>
        </w:rPr>
        <w:t>V</w:t>
      </w:r>
      <w:r w:rsidRPr="00E47369">
        <w:rPr>
          <w:color w:val="000000" w:themeColor="text1"/>
        </w:rPr>
        <w:t>(glycolate)</w:t>
      </w:r>
      <w:r w:rsidRPr="00E47369">
        <w:rPr>
          <w:color w:val="000000" w:themeColor="text1"/>
          <w:vertAlign w:val="superscript"/>
        </w:rPr>
        <w:t>-</w:t>
      </w:r>
      <w:r w:rsidRPr="00E47369">
        <w:rPr>
          <w:color w:val="000000" w:themeColor="text1"/>
        </w:rPr>
        <w:t>. The Na</w:t>
      </w:r>
      <w:r w:rsidRPr="00E47369">
        <w:rPr>
          <w:color w:val="000000" w:themeColor="text1"/>
          <w:vertAlign w:val="subscript"/>
        </w:rPr>
        <w:t>2</w:t>
      </w:r>
      <w:r w:rsidRPr="00E47369">
        <w:rPr>
          <w:color w:val="000000" w:themeColor="text1"/>
        </w:rPr>
        <w:t>SO</w:t>
      </w:r>
      <w:r w:rsidRPr="00E47369">
        <w:rPr>
          <w:color w:val="000000" w:themeColor="text1"/>
          <w:vertAlign w:val="subscript"/>
        </w:rPr>
        <w:t>3</w:t>
      </w:r>
      <w:r w:rsidRPr="00E47369">
        <w:rPr>
          <w:color w:val="000000" w:themeColor="text1"/>
        </w:rPr>
        <w:t>/</w:t>
      </w:r>
      <w:r w:rsidRPr="00E47369">
        <w:rPr>
          <w:b/>
          <w:color w:val="000000" w:themeColor="text1"/>
        </w:rPr>
        <w:t>20</w:t>
      </w:r>
      <w:r w:rsidRPr="00E47369">
        <w:rPr>
          <w:color w:val="000000" w:themeColor="text1"/>
        </w:rPr>
        <w:t xml:space="preserve"> combination is also highly efficient for the deoxygenation of epoxides to olefins (</w:t>
      </w:r>
      <w:r w:rsidR="00C76FF1" w:rsidRPr="00E47369">
        <w:rPr>
          <w:color w:val="000000" w:themeColor="text1"/>
        </w:rPr>
        <w:fldChar w:fldCharType="begin"/>
      </w:r>
      <w:r w:rsidR="00C76FF1" w:rsidRPr="00E47369">
        <w:rPr>
          <w:color w:val="000000" w:themeColor="text1"/>
        </w:rPr>
        <w:instrText xml:space="preserve"> REF _Ref449892689 \h  \* MERGEFORMAT </w:instrText>
      </w:r>
      <w:r w:rsidR="00C76FF1" w:rsidRPr="00E47369">
        <w:rPr>
          <w:color w:val="000000" w:themeColor="text1"/>
        </w:rPr>
      </w:r>
      <w:r w:rsidR="00C76FF1" w:rsidRPr="00E47369">
        <w:rPr>
          <w:color w:val="000000" w:themeColor="text1"/>
        </w:rPr>
        <w:fldChar w:fldCharType="separate"/>
      </w:r>
      <w:r w:rsidR="000A0E3D" w:rsidRPr="00924E73">
        <w:t>Figure I.3.</w:t>
      </w:r>
      <w:r w:rsidR="000A0E3D">
        <w:t>b</w:t>
      </w:r>
      <w:r w:rsidR="000A0E3D" w:rsidRPr="00924E73">
        <w:t>.</w:t>
      </w:r>
      <w:r w:rsidR="000A0E3D">
        <w:t>3</w:t>
      </w:r>
      <w:r w:rsidR="00C76FF1" w:rsidRPr="00E47369">
        <w:rPr>
          <w:color w:val="000000" w:themeColor="text1"/>
        </w:rPr>
        <w:fldChar w:fldCharType="end"/>
      </w:r>
      <w:r w:rsidRPr="00E47369">
        <w:rPr>
          <w:color w:val="000000" w:themeColor="text1"/>
        </w:rPr>
        <w:t>).</w:t>
      </w:r>
      <w:r w:rsidRPr="00E47369">
        <w:rPr>
          <w:color w:val="000000" w:themeColor="text1"/>
        </w:rPr>
        <w:fldChar w:fldCharType="begin"/>
      </w:r>
      <w:r w:rsidR="00A074C8">
        <w:rPr>
          <w:color w:val="000000" w:themeColor="text1"/>
        </w:rPr>
        <w:instrText xml:space="preserve"> ADDIN ZOTERO_ITEM CSL_CITATION {"citationID":"1a0mbd7j7q","properties":{"formattedCitation":"{\\rtf \\super 64\\nosupersub{}}","plainCitation":"64"},"citationItems":[{"id":1589,"uris":["http://zotero.org/users/1624234/items/HHUM2IVE"],"uri":["http://zotero.org/users/1624234/items/HHUM2IVE"],"itemData":{"id":1589,"type":"article-journal","title":"unpublished results","author":[{"family":"Chapman","given":"Garry"},{"family":"Nicholas","given":"Kenneth M."}],"issued":{"date-parts":[["2014"]]}}}],"schema":"https://github.com/citation-style-language/schema/raw/master/csl-citation.json"} </w:instrText>
      </w:r>
      <w:r w:rsidRPr="00E47369">
        <w:rPr>
          <w:color w:val="000000" w:themeColor="text1"/>
        </w:rPr>
        <w:fldChar w:fldCharType="separate"/>
      </w:r>
      <w:r w:rsidRPr="00E47369">
        <w:rPr>
          <w:sz w:val="22"/>
          <w:vertAlign w:val="superscript"/>
        </w:rPr>
        <w:t>64</w:t>
      </w:r>
      <w:r w:rsidRPr="00E47369">
        <w:rPr>
          <w:color w:val="000000" w:themeColor="text1"/>
        </w:rPr>
        <w:fldChar w:fldCharType="end"/>
      </w:r>
      <w:r w:rsidRPr="00E47369">
        <w:rPr>
          <w:color w:val="000000" w:themeColor="text1"/>
        </w:rPr>
        <w:t xml:space="preserve"> Following this report Galindo published computational studies of </w:t>
      </w:r>
      <w:r w:rsidRPr="00E47369">
        <w:rPr>
          <w:b/>
          <w:color w:val="000000" w:themeColor="text1"/>
        </w:rPr>
        <w:t xml:space="preserve">20 </w:t>
      </w:r>
      <w:r w:rsidRPr="00E47369">
        <w:rPr>
          <w:color w:val="000000" w:themeColor="text1"/>
        </w:rPr>
        <w:t>(Bu</w:t>
      </w:r>
      <w:r w:rsidRPr="00E47369">
        <w:rPr>
          <w:color w:val="000000" w:themeColor="text1"/>
          <w:vertAlign w:val="subscript"/>
        </w:rPr>
        <w:t>4</w:t>
      </w:r>
      <w:r w:rsidRPr="00E47369">
        <w:rPr>
          <w:color w:val="000000" w:themeColor="text1"/>
        </w:rPr>
        <w:t>N[(2,6-pyridinecarboxylate)VO</w:t>
      </w:r>
      <w:r w:rsidRPr="00E47369">
        <w:rPr>
          <w:color w:val="000000" w:themeColor="text1"/>
          <w:vertAlign w:val="subscript"/>
        </w:rPr>
        <w:t>2</w:t>
      </w:r>
      <w:r w:rsidRPr="00E47369">
        <w:rPr>
          <w:color w:val="000000" w:themeColor="text1"/>
        </w:rPr>
        <w:t>])-catalyzed DODH using triphenylphosphine reductant</w:t>
      </w:r>
      <w:r w:rsidRPr="00E47369">
        <w:rPr>
          <w:color w:val="000000" w:themeColor="text1"/>
        </w:rPr>
        <w:fldChar w:fldCharType="begin"/>
      </w:r>
      <w:r w:rsidRPr="00E47369">
        <w:rPr>
          <w:color w:val="000000" w:themeColor="text1"/>
        </w:rPr>
        <w:instrText xml:space="preserve"> ADDIN ZOTERO_ITEM CSL_CITATION {"citationID":"1lgehpbcqc","properties":{"formattedCitation":"{\\rtf \\super 65\\nosupersub{}}","plainCitation":"65"},"citationItems":[{"id":1520,"uris":["http://zotero.org/users/1624234/items/8U7PT2RK"],"uri":["http://zotero.org/users/1624234/items/8U7PT2RK"],"itemData":{"id":1520,"type":"article-journal","title":"DFT Studies on the Mechanism of the Vanadium-Catalyzed Deoxydehydration of Diols","container-title":"Inorganic Chemistry","page":"2284-2289","volume":"55","issue":"5","source":"ACS Publications","abstract":"The mechanism of the vanadium-catalyzed deoxydehydration of glycols to alkenes by phosphanes (Chapman, G.; Nicholas, K. M. Chem. Commun. 2013, 49, 8199?8201) has been investigated with density functional calculations. Two alternative pathways, A and B, have been evaluated, and the three stages generally recognized in DODH processes have been identified: (i) activation of the diol by condensation on the vanadium complex and eventual formation of vanadium-glycolate, (ii) oxygen atom transfer to phosphane with reduction to a vanadium(III) species, and, finally, (iii) alkene extrusion from the vanadium-glycolate with regeneration of the starting catalyst. Pathway B, in which the reduction by the phosphane from vanadium(V) to V(III) species occurred before the diol condensation, is energetically preferred to pathway A, in which the diol activation preceded the oxo-transfer to the phosphane reductant.","DOI":"10.1021/acs.inorgchem.5b02649","ISSN":"0020-1669","journalAbbreviation":"Inorg. Chem.","author":[{"family":"Galindo","given":"Agustín"}],"issued":{"date-parts":[["2016",3,7]]}}}],"schema":"https://github.com/citation-style-language/schema/raw/master/csl-citation.json"} </w:instrText>
      </w:r>
      <w:r w:rsidRPr="00E47369">
        <w:rPr>
          <w:color w:val="000000" w:themeColor="text1"/>
        </w:rPr>
        <w:fldChar w:fldCharType="separate"/>
      </w:r>
      <w:r w:rsidRPr="00E47369">
        <w:rPr>
          <w:sz w:val="22"/>
          <w:vertAlign w:val="superscript"/>
        </w:rPr>
        <w:t>65</w:t>
      </w:r>
      <w:r w:rsidRPr="00E47369">
        <w:rPr>
          <w:color w:val="000000" w:themeColor="text1"/>
        </w:rPr>
        <w:fldChar w:fldCharType="end"/>
      </w:r>
      <w:r w:rsidRPr="00E47369">
        <w:rPr>
          <w:color w:val="000000" w:themeColor="text1"/>
        </w:rPr>
        <w:t>. The pathway of reduction of the metal center from V</w:t>
      </w:r>
      <w:r w:rsidRPr="00E47369">
        <w:rPr>
          <w:color w:val="000000" w:themeColor="text1"/>
          <w:vertAlign w:val="superscript"/>
        </w:rPr>
        <w:t>v</w:t>
      </w:r>
      <w:r w:rsidRPr="00E47369">
        <w:rPr>
          <w:color w:val="000000" w:themeColor="text1"/>
        </w:rPr>
        <w:t xml:space="preserve"> to V</w:t>
      </w:r>
      <w:r w:rsidRPr="00E47369">
        <w:rPr>
          <w:color w:val="000000" w:themeColor="text1"/>
          <w:vertAlign w:val="superscript"/>
        </w:rPr>
        <w:t>iii</w:t>
      </w:r>
      <w:r w:rsidRPr="00E47369">
        <w:rPr>
          <w:color w:val="000000" w:themeColor="text1"/>
        </w:rPr>
        <w:t xml:space="preserve"> by triphenylphosphine happening first was shown to be favored over activation </w:t>
      </w:r>
      <w:r>
        <w:t>of the diol</w:t>
      </w:r>
      <w:r w:rsidRPr="00E47369">
        <w:t>.</w:t>
      </w:r>
      <w:bookmarkEnd w:id="95"/>
      <w:bookmarkEnd w:id="96"/>
      <w:bookmarkEnd w:id="97"/>
    </w:p>
    <w:p w14:paraId="7C4BE9AE" w14:textId="77777777" w:rsidR="009B3170" w:rsidRPr="00E47369" w:rsidRDefault="009B3170" w:rsidP="009B3170"/>
    <w:p w14:paraId="0750AE01" w14:textId="77777777" w:rsidR="00216D29" w:rsidRPr="00E47369" w:rsidRDefault="00742B50" w:rsidP="003E463F">
      <w:pPr>
        <w:jc w:val="center"/>
        <w:rPr>
          <w:rFonts w:cstheme="minorHAnsi"/>
        </w:rPr>
      </w:pPr>
      <w:r w:rsidRPr="00E47369">
        <w:rPr>
          <w:rFonts w:cstheme="minorHAnsi"/>
        </w:rPr>
        <w:object w:dxaOrig="10111" w:dyaOrig="3552" w14:anchorId="6BB9FF1D">
          <v:shape id="_x0000_i1053" type="#_x0000_t75" style="width:376.6pt;height:128.2pt" o:ole="">
            <v:imagedata r:id="rId66" o:title=""/>
          </v:shape>
          <o:OLEObject Type="Embed" ProgID="ChemDraw.Document.6.0" ShapeID="_x0000_i1053" DrawAspect="Content" ObjectID="_1532784907" r:id="rId67"/>
        </w:object>
      </w:r>
    </w:p>
    <w:p w14:paraId="3D2FFE28" w14:textId="77777777" w:rsidR="00FD5B02" w:rsidRPr="00E47369" w:rsidRDefault="00216D29" w:rsidP="003E463F">
      <w:pPr>
        <w:keepNext/>
        <w:jc w:val="center"/>
        <w:rPr>
          <w:rFonts w:cstheme="minorHAnsi"/>
        </w:rPr>
      </w:pPr>
      <w:r w:rsidRPr="00E47369">
        <w:rPr>
          <w:rFonts w:cstheme="minorHAnsi"/>
        </w:rPr>
        <w:object w:dxaOrig="6094" w:dyaOrig="2724" w14:anchorId="597CFBA9">
          <v:shape id="_x0000_i1054" type="#_x0000_t75" style="width:303.05pt;height:132.15pt" o:ole="">
            <v:imagedata r:id="rId68" o:title=""/>
          </v:shape>
          <o:OLEObject Type="Embed" ProgID="ChemDraw.Document.6.0" ShapeID="_x0000_i1054" DrawAspect="Content" ObjectID="_1532784908" r:id="rId69"/>
        </w:object>
      </w:r>
    </w:p>
    <w:p w14:paraId="75361B4C" w14:textId="77777777" w:rsidR="009B3170" w:rsidRPr="00924E73" w:rsidRDefault="00810326" w:rsidP="00924E73">
      <w:pPr>
        <w:pStyle w:val="Caption"/>
      </w:pPr>
      <w:bookmarkStart w:id="98" w:name="_Ref449892689"/>
      <w:bookmarkStart w:id="99" w:name="_Toc458938380"/>
      <w:r w:rsidRPr="00924E73">
        <w:t>Figure I.3.</w:t>
      </w:r>
      <w:r w:rsidR="00443010">
        <w:fldChar w:fldCharType="begin"/>
      </w:r>
      <w:r w:rsidR="00443010">
        <w:instrText xml:space="preserve"> STYLEREF 3 \s </w:instrText>
      </w:r>
      <w:r w:rsidR="00443010">
        <w:fldChar w:fldCharType="separate"/>
      </w:r>
      <w:r w:rsidR="000A0E3D">
        <w:rPr>
          <w:noProof/>
        </w:rPr>
        <w:t>b</w:t>
      </w:r>
      <w:r w:rsidR="00443010">
        <w:rPr>
          <w:noProof/>
        </w:rPr>
        <w:fldChar w:fldCharType="end"/>
      </w:r>
      <w:r w:rsidRPr="00924E73">
        <w:t>.</w:t>
      </w:r>
      <w:r w:rsidR="00443010">
        <w:fldChar w:fldCharType="begin"/>
      </w:r>
      <w:r w:rsidR="00443010">
        <w:instrText xml:space="preserve"> SEQ Figure_I._3. \* ARABIC \s 3 </w:instrText>
      </w:r>
      <w:r w:rsidR="00443010">
        <w:fldChar w:fldCharType="separate"/>
      </w:r>
      <w:r w:rsidR="000A0E3D">
        <w:rPr>
          <w:noProof/>
        </w:rPr>
        <w:t>3</w:t>
      </w:r>
      <w:r w:rsidR="00443010">
        <w:rPr>
          <w:noProof/>
        </w:rPr>
        <w:fldChar w:fldCharType="end"/>
      </w:r>
      <w:bookmarkEnd w:id="98"/>
      <w:r w:rsidR="00FD5B02" w:rsidRPr="00924E73">
        <w:t xml:space="preserve"> </w:t>
      </w:r>
      <w:r w:rsidR="00216D29" w:rsidRPr="00924E73">
        <w:t>Vanadium catalyzed DODH and DO</w:t>
      </w:r>
      <w:bookmarkEnd w:id="99"/>
    </w:p>
    <w:p w14:paraId="37C2197D" w14:textId="77777777" w:rsidR="00924E73" w:rsidRDefault="00924E73" w:rsidP="006042D0">
      <w:pPr>
        <w:ind w:firstLine="360"/>
        <w:jc w:val="both"/>
        <w:rPr>
          <w:rFonts w:cstheme="minorHAnsi"/>
          <w:color w:val="000000" w:themeColor="text1"/>
        </w:rPr>
      </w:pPr>
    </w:p>
    <w:p w14:paraId="2C589306" w14:textId="77777777" w:rsidR="00216D29" w:rsidRPr="00E47369" w:rsidRDefault="00216D29" w:rsidP="006042D0">
      <w:pPr>
        <w:ind w:firstLine="360"/>
        <w:jc w:val="both"/>
        <w:rPr>
          <w:rFonts w:cstheme="minorHAnsi"/>
        </w:rPr>
      </w:pPr>
      <w:r w:rsidRPr="00E47369">
        <w:rPr>
          <w:rFonts w:cstheme="minorHAnsi"/>
          <w:color w:val="000000" w:themeColor="text1"/>
        </w:rPr>
        <w:t xml:space="preserve">The recent advances toward </w:t>
      </w:r>
      <w:r w:rsidR="005F4630">
        <w:rPr>
          <w:rFonts w:cstheme="minorHAnsi"/>
          <w:color w:val="000000" w:themeColor="text1"/>
        </w:rPr>
        <w:t>non</w:t>
      </w:r>
      <w:r w:rsidRPr="00E47369">
        <w:rPr>
          <w:rFonts w:cstheme="minorHAnsi"/>
          <w:color w:val="000000" w:themeColor="text1"/>
        </w:rPr>
        <w:t xml:space="preserve"> precious transition metal catalyzed DODH reactions are providing good alternatives to rhenium catalysts, inexpensive reducing agents such as hydrogen and carbon monoxide, and greener solvents such as isopropanol. The </w:t>
      </w:r>
      <w:r w:rsidRPr="00E47369">
        <w:rPr>
          <w:rFonts w:cstheme="minorHAnsi"/>
          <w:b/>
          <w:color w:val="000000" w:themeColor="text1"/>
        </w:rPr>
        <w:t>21</w:t>
      </w:r>
      <w:r w:rsidRPr="00E47369">
        <w:rPr>
          <w:rFonts w:cstheme="minorHAnsi"/>
          <w:color w:val="000000" w:themeColor="text1"/>
        </w:rPr>
        <w:t>/H</w:t>
      </w:r>
      <w:r w:rsidRPr="00E47369">
        <w:rPr>
          <w:rFonts w:cstheme="minorHAnsi"/>
          <w:color w:val="000000" w:themeColor="text1"/>
          <w:vertAlign w:val="subscript"/>
        </w:rPr>
        <w:t>2</w:t>
      </w:r>
      <w:r w:rsidRPr="00E47369">
        <w:rPr>
          <w:rFonts w:cstheme="minorHAnsi"/>
          <w:color w:val="000000" w:themeColor="text1"/>
        </w:rPr>
        <w:t xml:space="preserve"> or CO combination is the most economical report </w:t>
      </w:r>
      <w:r w:rsidR="005F4630">
        <w:rPr>
          <w:rFonts w:cstheme="minorHAnsi"/>
          <w:color w:val="000000" w:themeColor="text1"/>
        </w:rPr>
        <w:t>providing</w:t>
      </w:r>
      <w:r w:rsidRPr="00E47369">
        <w:rPr>
          <w:rFonts w:cstheme="minorHAnsi"/>
          <w:color w:val="000000" w:themeColor="text1"/>
        </w:rPr>
        <w:t xml:space="preserve"> potential for the DODH reaction to be done on</w:t>
      </w:r>
      <w:r w:rsidR="005F4630">
        <w:rPr>
          <w:rFonts w:cstheme="minorHAnsi"/>
          <w:color w:val="000000" w:themeColor="text1"/>
        </w:rPr>
        <w:t xml:space="preserve"> an</w:t>
      </w:r>
      <w:r w:rsidRPr="00E47369">
        <w:rPr>
          <w:rFonts w:cstheme="minorHAnsi"/>
          <w:color w:val="000000" w:themeColor="text1"/>
        </w:rPr>
        <w:t xml:space="preserve"> industrial scale.</w:t>
      </w:r>
    </w:p>
    <w:p w14:paraId="5D0D1303" w14:textId="77777777" w:rsidR="00216D29" w:rsidRPr="00E47369" w:rsidRDefault="00216D29" w:rsidP="003E463F">
      <w:pPr>
        <w:ind w:firstLine="720"/>
        <w:jc w:val="both"/>
        <w:rPr>
          <w:rFonts w:cstheme="minorHAnsi"/>
        </w:rPr>
      </w:pPr>
    </w:p>
    <w:p w14:paraId="599F3F04" w14:textId="77777777" w:rsidR="00216D29" w:rsidRPr="00E47369" w:rsidRDefault="00216D29" w:rsidP="00BA0582">
      <w:pPr>
        <w:pStyle w:val="Heading2"/>
      </w:pPr>
      <w:bookmarkStart w:id="100" w:name="_Toc458938276"/>
      <w:r w:rsidRPr="00E47369">
        <w:t xml:space="preserve">Applications of DODH </w:t>
      </w:r>
      <w:r w:rsidR="00317102">
        <w:t>S</w:t>
      </w:r>
      <w:r w:rsidRPr="00E47369">
        <w:t>ystems</w:t>
      </w:r>
      <w:bookmarkEnd w:id="100"/>
    </w:p>
    <w:p w14:paraId="4D416FFE" w14:textId="77777777" w:rsidR="00216D29" w:rsidRPr="00E47369" w:rsidRDefault="00216D29" w:rsidP="006042D0">
      <w:pPr>
        <w:ind w:firstLine="360"/>
        <w:jc w:val="both"/>
        <w:rPr>
          <w:rFonts w:cstheme="minorHAnsi"/>
        </w:rPr>
      </w:pPr>
      <w:r w:rsidRPr="00E47369">
        <w:rPr>
          <w:rFonts w:cstheme="minorHAnsi"/>
        </w:rPr>
        <w:t xml:space="preserve">Even though the </w:t>
      </w:r>
      <w:r w:rsidRPr="00E47369">
        <w:rPr>
          <w:rFonts w:cstheme="minorHAnsi"/>
          <w:color w:val="000000" w:themeColor="text1"/>
        </w:rPr>
        <w:t>DODH reaction has been developed in order to directly transform biomass-derived polyols to olefins, we have seen the use of the DODH reaction as a step in a synthetic sequence. Shiramazu and Toste were the first to report the synthesis of adipic acid from mucic acid as a two steps process (</w:t>
      </w:r>
      <w:r w:rsidR="00FD5B02" w:rsidRPr="00E47369">
        <w:rPr>
          <w:rFonts w:cstheme="minorHAnsi"/>
          <w:color w:val="000000" w:themeColor="text1"/>
        </w:rPr>
        <w:fldChar w:fldCharType="begin"/>
      </w:r>
      <w:r w:rsidR="00FD5B02" w:rsidRPr="00E47369">
        <w:rPr>
          <w:rFonts w:cstheme="minorHAnsi"/>
          <w:color w:val="000000" w:themeColor="text1"/>
        </w:rPr>
        <w:instrText xml:space="preserve"> REF _Ref449892951 \h </w:instrText>
      </w:r>
      <w:r w:rsidR="003E463F" w:rsidRPr="00E47369">
        <w:rPr>
          <w:rFonts w:cstheme="minorHAnsi"/>
          <w:color w:val="000000" w:themeColor="text1"/>
        </w:rPr>
        <w:instrText xml:space="preserve"> \* MERGEFORMAT </w:instrText>
      </w:r>
      <w:r w:rsidR="00FD5B02" w:rsidRPr="00E47369">
        <w:rPr>
          <w:rFonts w:cstheme="minorHAnsi"/>
          <w:color w:val="000000" w:themeColor="text1"/>
        </w:rPr>
      </w:r>
      <w:r w:rsidR="00FD5B02" w:rsidRPr="00E47369">
        <w:rPr>
          <w:rFonts w:cstheme="minorHAnsi"/>
          <w:color w:val="000000" w:themeColor="text1"/>
        </w:rPr>
        <w:fldChar w:fldCharType="separate"/>
      </w:r>
      <w:r w:rsidR="000A0E3D" w:rsidRPr="000A0E3D">
        <w:rPr>
          <w:rFonts w:cstheme="minorHAnsi"/>
        </w:rPr>
        <w:t>Figure I. 4.1</w:t>
      </w:r>
      <w:r w:rsidR="00FD5B02" w:rsidRPr="00E47369">
        <w:rPr>
          <w:rFonts w:cstheme="minorHAnsi"/>
          <w:color w:val="000000" w:themeColor="text1"/>
        </w:rPr>
        <w:fldChar w:fldCharType="end"/>
      </w:r>
      <w:r w:rsidRPr="00E47369">
        <w:rPr>
          <w:rFonts w:cstheme="minorHAnsi"/>
          <w:color w:val="000000" w:themeColor="text1"/>
        </w:rPr>
        <w:t>), DODH followed by hydrogenation, with 99% overall yield.</w:t>
      </w:r>
      <w:r w:rsidRPr="00E47369">
        <w:rPr>
          <w:rFonts w:cstheme="minorHAnsi"/>
          <w:color w:val="000000" w:themeColor="text1"/>
        </w:rPr>
        <w:fldChar w:fldCharType="begin"/>
      </w:r>
      <w:r w:rsidR="006D0CD6" w:rsidRPr="00E47369">
        <w:rPr>
          <w:rFonts w:cstheme="minorHAnsi"/>
          <w:color w:val="000000" w:themeColor="text1"/>
        </w:rPr>
        <w:instrText xml:space="preserve"> ADDIN ZOTERO_ITEM CSL_CITATION {"citationID":"hnaol2crj","properties":{"formattedCitation":"{\\rtf \\super 45\\nosupersub{}}","plainCitation":"45"},"citationItems":[{"id":405,"uris":["http://zotero.org/users/1624234/items/T47EEJV6"],"uri":["http://zotero.org/users/1624234/items/T47EEJV6"],"itemData":{"id":405,"type":"article-journal","title":"Expanding the Scope of Biomass-Derived Chemicals through Tandem Reactions Based on Oxorhenium-Catalyzed Deoxydehydration","container-title":"Angewandte Chemie International Edition","page":"12905-12909","volume":"52","issue":"49","source":"Wiley Online Library","DOI":"10.1002/anie.201307564","ISSN":"1521-3773","journalAbbreviation":"Angew. Chem. Int. Ed.","language":"en","author":[{"family":"Shiramizu","given":"Mika"},{"family":"Toste","given":"F. Dean"}],"issued":{"date-parts":[["2013"]]}}}],"schema":"https://github.com/citation-style-language/schema/raw/master/csl-citation.json"} </w:instrText>
      </w:r>
      <w:r w:rsidRPr="00E47369">
        <w:rPr>
          <w:rFonts w:cstheme="minorHAnsi"/>
          <w:color w:val="000000" w:themeColor="text1"/>
        </w:rPr>
        <w:fldChar w:fldCharType="separate"/>
      </w:r>
      <w:r w:rsidRPr="00E47369">
        <w:rPr>
          <w:rFonts w:cstheme="minorHAnsi"/>
          <w:sz w:val="22"/>
          <w:vertAlign w:val="superscript"/>
        </w:rPr>
        <w:t>45</w:t>
      </w:r>
      <w:r w:rsidRPr="00E47369">
        <w:rPr>
          <w:rFonts w:cstheme="minorHAnsi"/>
          <w:color w:val="000000" w:themeColor="text1"/>
        </w:rPr>
        <w:fldChar w:fldCharType="end"/>
      </w:r>
      <w:r w:rsidRPr="00E47369">
        <w:rPr>
          <w:rFonts w:cstheme="minorHAnsi"/>
          <w:color w:val="000000" w:themeColor="text1"/>
        </w:rPr>
        <w:t xml:space="preserve"> The Zhang group provided a more extensive study of this two step proce</w:t>
      </w:r>
      <w:r w:rsidRPr="00E47369">
        <w:rPr>
          <w:rFonts w:cstheme="minorHAnsi"/>
        </w:rPr>
        <w:t>ss.</w:t>
      </w:r>
      <w:r w:rsidRPr="00E47369">
        <w:rPr>
          <w:rFonts w:cstheme="minorHAnsi"/>
        </w:rPr>
        <w:fldChar w:fldCharType="begin"/>
      </w:r>
      <w:r w:rsidR="006D0CD6" w:rsidRPr="00E47369">
        <w:rPr>
          <w:rFonts w:cstheme="minorHAnsi"/>
        </w:rPr>
        <w:instrText xml:space="preserve"> ADDIN ZOTERO_ITEM CSL_CITATION {"citationID":"2d7oghes0s","properties":{"formattedCitation":"{\\rtf \\super 67\\uc0\\u8211{}69\\nosupersub{}}","plainCitation":"67–69"},"citationItems":[{"id":1551,"uris":["http://zotero.org/users/1624234/items/WDKPBZFB"],"uri":["http://zotero.org/users/1624234/items/WDKPBZFB"],"itemData":{"id":1551,"type":"patent","title":"Chemical process to convert mucic acid to adipic acid","abstract":"The present invention provides a method of synthesizing an ester of a saturated carboxylic acid from a saturated polyhydroxycarboxylic acid by performing a deoxydehydration reaction and a hydrogen transfer reaction.","URL":"http://www.google.com/patents/WO2015084265A1","note":"International Classification C07C57/16, C07C55/14, C07C51/09, C07C69/44, C07C67/00; Cooperative Classification C07C51/377, C07C51/09, C07C67/303, C07C67/08","number":"WO2015084265 A1","author":[{"family":"Zhang","given":"Yugen"},{"family":"LI","given":"Xiukai"}],"issued":{"date-parts":[["2015",6,11]]},"accessed":{"date-parts":[["2016",4,14]]},"submitted":{"date-parts":[["2014",12,4]]}}},{"id":258,"uris":["http://zotero.org/users/1624234/items/HKKQASP5"],"uri":["http://zotero.org/users/1624234/items/HKKQASP5"],"itemData":{"id":258,"type":"article-journal","title":"Highly Efficient Chemical Process To Convert Mucic Acid into Adipic Acid and DFT Studies of the Mechanism of the Rhenium-Catalyzed Deoxydehydration","container-title":"Angewandte Chemie International Edition","page":"4200-4204","volume":"53","issue":"16","source":"Wiley Online Library","abstract":"The production of bulk chemicals and fuels from renewable bio-based feedstocks is of significant importance for the sustainability of human society. Adipic acid, as one of the most-demanded drop-in chemicals from a bioresource, is used primarily for the large-volume production of nylon-6,6 polyamide. It is highly desirable to develop sustainable and environmentally friendly processes for the production of adipic acid from renewable feedstocks. However, currently there is no suitable bio-adipic acid synthesis process. Demonstrated herein is the highly efficient synthetic protocol for the conversion of mucic acid into adipic acid through the oxorhenium-complex-catalyzed deoxydehydration (DODH) reaction and subsequent Pt/C-catalyzed transfer hydrogenation. Quantitative yields (99 %) were achieved for the conversion of mucic acid into muconic acid and adipic acid either in separate sequences or in a one-step process.","DOI":"10.1002/anie.201310991","ISSN":"1521-3773","journalAbbreviation":"Angew. Chem. Int. Ed.","language":"en","author":[{"family":"Li","given":"Xiukai"},{"family":"Wu","given":"Di"},{"family":"Lu","given":"Ting"},{"family":"Yi","given":"Guangshun"},{"family":"Su","given":"Haibin"},{"family":"Zhang","given":"Yugen"}],"issued":{"date-parts":[["2014"]],"season":"avril"}}},{"id":1425,"uris":["http://zotero.org/users/1624234/items/4XQPTWRE"],"uri":["http://zotero.org/users/1624234/items/4XQPTWRE"],"itemData":{"id":1425,"type":"article-journal","title":"Production of Adipic Acid from Sugar Beet Residue by Combined Biological and Chemical Catalysis","container-title":"ChemCatChem","page":"n/a-n/a","source":"Wiley Online Library","abstract":"Adipic acid is one of the most important industrial dicarboxylic acids and is used mainly as a precursor to nylon-6,6. Currently, commercial adipic acid is produced primarily from benzene by a chemical route that is associated with environmental, health, and safety concerns. Herein, we report a new process to produce adipic acid from an inexpensive renewable feedstock, sugar beet residue by combining an engineered Escherichia coli strain and Re-based chemical catalysts. The engineered E. coli converted d-galacturonic acid to mucic acid, which was precipitated easily with acid, and the mucic acid was further converted to adipic acid by a deoxydehydration reaction catalyzed by an oxorhenium complex followed by a Pt/C-catalyzed hydrogenation reaction under mild conditions. A high selectivity to the free acid products was achieved by tuning the acidity of the Re-based catalysts. Finally, adipic acid was produced directly from sugar beet residue that was hydrolyzed enzymatically with engineered E. coli and two chemical catalysts in a yield of 8.4 %, which signifies a new route for the production of adipic acid.","DOI":"10.1002/cctc.201600069","ISSN":"1867-3899","journalAbbreviation":"ChemCatChem","language":"en","author":[{"family":"Zhang","given":"Hongfang"},{"family":"Li","given":"Xiukai"},{"family":"Su","given":"Xiaoyun"},{"family":"Ang","given":"Ee Lui"},{"family":"Zhang","given":"Yugen"},{"family":"Zhao","given":"Huimin"}],"issued":{"date-parts":[["2016",3,1]]}}}],"schema":"https://github.com/citation-style-language/schema/raw/master/csl-citation.json"} </w:instrText>
      </w:r>
      <w:r w:rsidRPr="00E47369">
        <w:rPr>
          <w:rFonts w:cstheme="minorHAnsi"/>
        </w:rPr>
        <w:fldChar w:fldCharType="separate"/>
      </w:r>
      <w:r w:rsidRPr="00E47369">
        <w:rPr>
          <w:rFonts w:cstheme="minorHAnsi"/>
          <w:sz w:val="22"/>
          <w:vertAlign w:val="superscript"/>
        </w:rPr>
        <w:t>67–69</w:t>
      </w:r>
      <w:r w:rsidRPr="00E47369">
        <w:rPr>
          <w:rFonts w:cstheme="minorHAnsi"/>
        </w:rPr>
        <w:fldChar w:fldCharType="end"/>
      </w:r>
    </w:p>
    <w:p w14:paraId="6272408F" w14:textId="77777777" w:rsidR="00536AE9" w:rsidRPr="00E47369" w:rsidRDefault="00536AE9" w:rsidP="003E463F">
      <w:pPr>
        <w:ind w:firstLine="720"/>
        <w:jc w:val="both"/>
        <w:rPr>
          <w:rFonts w:cstheme="minorHAnsi"/>
        </w:rPr>
      </w:pPr>
    </w:p>
    <w:p w14:paraId="54238D42" w14:textId="77777777" w:rsidR="00FD5B02" w:rsidRPr="00E47369" w:rsidRDefault="00742B50" w:rsidP="003E463F">
      <w:pPr>
        <w:keepNext/>
        <w:jc w:val="center"/>
        <w:rPr>
          <w:rFonts w:cstheme="minorHAnsi"/>
        </w:rPr>
      </w:pPr>
      <w:r w:rsidRPr="00E47369">
        <w:rPr>
          <w:rFonts w:cstheme="minorHAnsi"/>
        </w:rPr>
        <w:object w:dxaOrig="9561" w:dyaOrig="1291" w14:anchorId="2ACF739D">
          <v:shape id="_x0000_i1055" type="#_x0000_t75" style="width:381.35pt;height:51.45pt" o:ole="">
            <v:imagedata r:id="rId70" o:title=""/>
          </v:shape>
          <o:OLEObject Type="Embed" ProgID="ChemDraw.Document.6.0" ShapeID="_x0000_i1055" DrawAspect="Content" ObjectID="_1532784909" r:id="rId71"/>
        </w:object>
      </w:r>
    </w:p>
    <w:p w14:paraId="72EEF89C" w14:textId="77777777" w:rsidR="00216D29" w:rsidRPr="00072EEF" w:rsidRDefault="0081532D" w:rsidP="00072EEF">
      <w:pPr>
        <w:pStyle w:val="Caption"/>
      </w:pPr>
      <w:bookmarkStart w:id="101" w:name="_Ref449892951"/>
      <w:bookmarkStart w:id="102" w:name="_Ref449892943"/>
      <w:bookmarkStart w:id="103" w:name="_Toc457670653"/>
      <w:r w:rsidRPr="00072EEF">
        <w:t>Figure I. 4.</w:t>
      </w:r>
      <w:r w:rsidR="00443010">
        <w:fldChar w:fldCharType="begin"/>
      </w:r>
      <w:r w:rsidR="00443010">
        <w:instrText xml:space="preserve"> SEQ Figure_I._4. \* ARABIC </w:instrText>
      </w:r>
      <w:r w:rsidR="00443010">
        <w:fldChar w:fldCharType="separate"/>
      </w:r>
      <w:r w:rsidR="000A0E3D">
        <w:rPr>
          <w:noProof/>
        </w:rPr>
        <w:t>1</w:t>
      </w:r>
      <w:r w:rsidR="00443010">
        <w:rPr>
          <w:noProof/>
        </w:rPr>
        <w:fldChar w:fldCharType="end"/>
      </w:r>
      <w:bookmarkEnd w:id="101"/>
      <w:r w:rsidR="00FD5B02" w:rsidRPr="00072EEF">
        <w:t xml:space="preserve"> </w:t>
      </w:r>
      <w:r w:rsidR="00216D29" w:rsidRPr="00072EEF">
        <w:t>Synthesis of adipic acid from mucic acid via DODH and Hydrogenation two steps process</w:t>
      </w:r>
      <w:bookmarkEnd w:id="102"/>
      <w:bookmarkEnd w:id="103"/>
    </w:p>
    <w:p w14:paraId="54C47E7E" w14:textId="77777777" w:rsidR="00216D29" w:rsidRPr="00E47369" w:rsidRDefault="00216D29" w:rsidP="003E463F">
      <w:pPr>
        <w:rPr>
          <w:rFonts w:cstheme="minorHAnsi"/>
        </w:rPr>
      </w:pPr>
    </w:p>
    <w:p w14:paraId="11359180" w14:textId="77777777" w:rsidR="00216D29" w:rsidRPr="00E47369" w:rsidRDefault="00216D29" w:rsidP="006042D0">
      <w:pPr>
        <w:ind w:firstLine="360"/>
        <w:rPr>
          <w:rFonts w:cstheme="minorHAnsi"/>
        </w:rPr>
      </w:pPr>
      <w:r w:rsidRPr="00E47369">
        <w:rPr>
          <w:rFonts w:cstheme="minorHAnsi"/>
        </w:rPr>
        <w:t xml:space="preserve">Tomishige </w:t>
      </w:r>
      <w:r w:rsidRPr="00E47369">
        <w:rPr>
          <w:rFonts w:cstheme="minorHAnsi"/>
          <w:color w:val="000000" w:themeColor="text1"/>
        </w:rPr>
        <w:t>and co-workers applied the concept of DODH followed by hydrogenation to a wider range of polyols.</w:t>
      </w:r>
      <w:r w:rsidRPr="00E47369">
        <w:rPr>
          <w:rFonts w:cstheme="minorHAnsi"/>
          <w:color w:val="000000" w:themeColor="text1"/>
        </w:rPr>
        <w:fldChar w:fldCharType="begin"/>
      </w:r>
      <w:r w:rsidR="006D0CD6" w:rsidRPr="00E47369">
        <w:rPr>
          <w:rFonts w:cstheme="minorHAnsi"/>
          <w:color w:val="000000" w:themeColor="text1"/>
        </w:rPr>
        <w:instrText xml:space="preserve"> ADDIN ZOTERO_ITEM CSL_CITATION {"citationID":"znVM1mK5","properties":{"formattedCitation":"{\\rtf \\super 70,71\\nosupersub{}}","plainCitation":"70,71"},"citationItems":[{"id":1667,"uris":["http://zotero.org/users/1624234/items/SN7WCNA6"],"uri":["http://zotero.org/users/1624234/items/SN7WCNA6"],"itemData":{"id":1667,"type":"article-journal","title":"Performance, Structure, and Mechanism of ReOx–Pd/CeO2 Catalyst for Simultaneous Removal of Vicinal OH Groups with H2","container-title":"ACS Catalysis","page":"3213-3226","source":"ACS Publications","abstract":"The ceria-supported rhenium catalyst modified with palladium (ReOx?Pd/CeO2 (Re = 2 wt %, Pd/Re = 0.25)) is still the best catalyst for simultaneous hydrodeoxygenation. Higher Re loading amount decreased the activity. The simultaneous hydrodeoxygenation of cyclic vicinal diols occurs with high cis-stereoselectivity. ReOx?Pd/CeO2 catalysts were characterized by means of XRD, TEM, H2-TPR, XAFS, XPS, Raman, and DFT calculations. The Re species on ReOx?Pd/CeO2 (Re = 2 wt %, Pd/Re = 0.25) catalyst after reduction and after stoichiometric reaction of 1,2-hexanediol to 1-hexene were ReIV and ReVI, and the ReIV species were converted to ReVI through the stoichiometric reaction. The Re species on ReOx?Pd/CeO2 are proposed to be randomly located on the CeO2 surface, and probably only monomeric Re species have catalytic activity for simultaneous hydrodeoxygenation. This model can explain the higher activity of Re = 2 wt % catalyst than those of higher Re loading catalysts. The reaction is proposed to proceed by the tetra/hexavalent redox cycle of the Re center in the catalysis followed by hydrogenation.","DOI":"10.1021/acscatal.6b00491","journalAbbreviation":"ACS Catal.","author":[{"family":"Ota","given":"Nobuhiko"},{"family":"Tamura","given":"Masazumi"},{"family":"Nakagawa","given":"Yoshinao"},{"family":"Okumura","given":"Kazu"},{"family":"Tomishige","given":"Keiichi"}],"issued":{"date-parts":[["2016",4,5]]}}},{"id":373,"uris":["http://zotero.org/users/1624234/items/QTQ9U8P8"],"uri":["http://zotero.org/users/1624234/items/QTQ9U8P8"],"itemData":{"id":373,"type":"article-journal","title":"Hydrodeoxygenation of Vicinal OH Groups over Heterogeneous Rhenium Catalyst Promoted by Palladium and Ceria Support","container-title":"Angewandte Chemie International Edition","page":"1897-1900","volume":"54","issue":"6","source":"Wiley Online Library","abstract":"Heterogeneous ReOx–Pd/CeO2 catalyst showed excellent performance for simultaneous hydrodeoxygenation of vicinal OH groups. High yield (&gt;99 %), turnover frequency (300 h−1), and turnover number (10 000) are achieved in the reaction of 1,4-anhydroerythritol to tetrahydrofuran. This catalyst can be applied to sugar alcohols, and mono-alcohols and diols are obtained in high yields (≥85 %) from substrates with even and odd numbers of OH groups, respectively. The high catalytic performance of ReOx–Pd/CeO2 can be assigned to rhenium species with +4 or +5 valence state, and the formation of this species is promoted by H2/Pd and the ceria support.","DOI":"10.1002/anie.201410352","ISSN":"1521-3773","journalAbbreviation":"Angew. Chem. Int. Ed.","language":"en","author":[{"family":"Ota","given":"Nobuhiko"},{"family":"Tamura","given":"Masazumi"},{"family":"Nakagawa","given":"Yoshinao"},{"family":"Okumura","given":"Kazu"},{"family":"Tomishige","given":"Keiichi"}],"issued":{"date-parts":[["2015"]],"season":"février"}}}],"schema":"https://github.com/citation-style-language/schema/raw/master/csl-citation.json"} </w:instrText>
      </w:r>
      <w:r w:rsidRPr="00E47369">
        <w:rPr>
          <w:rFonts w:cstheme="minorHAnsi"/>
          <w:color w:val="000000" w:themeColor="text1"/>
        </w:rPr>
        <w:fldChar w:fldCharType="separate"/>
      </w:r>
      <w:r w:rsidRPr="00E47369">
        <w:rPr>
          <w:rFonts w:cstheme="minorHAnsi"/>
          <w:sz w:val="22"/>
          <w:vertAlign w:val="superscript"/>
        </w:rPr>
        <w:t>70,71</w:t>
      </w:r>
      <w:r w:rsidRPr="00E47369">
        <w:rPr>
          <w:rFonts w:cstheme="minorHAnsi"/>
          <w:color w:val="000000" w:themeColor="text1"/>
        </w:rPr>
        <w:fldChar w:fldCharType="end"/>
      </w:r>
      <w:r w:rsidRPr="00E47369">
        <w:rPr>
          <w:rFonts w:cstheme="minorHAnsi"/>
          <w:color w:val="000000" w:themeColor="text1"/>
        </w:rPr>
        <w:t xml:space="preserve"> Using heterogeneous catalyst ReO</w:t>
      </w:r>
      <w:r w:rsidRPr="00E47369">
        <w:rPr>
          <w:rFonts w:cstheme="minorHAnsi"/>
          <w:color w:val="000000" w:themeColor="text1"/>
          <w:vertAlign w:val="subscript"/>
        </w:rPr>
        <w:t>x</w:t>
      </w:r>
      <w:r w:rsidRPr="00E47369">
        <w:rPr>
          <w:rFonts w:cstheme="minorHAnsi"/>
          <w:color w:val="000000" w:themeColor="text1"/>
        </w:rPr>
        <w:t>-Pd/CeO</w:t>
      </w:r>
      <w:r w:rsidRPr="00E47369">
        <w:rPr>
          <w:rFonts w:cstheme="minorHAnsi"/>
          <w:color w:val="000000" w:themeColor="text1"/>
          <w:vertAlign w:val="subscript"/>
        </w:rPr>
        <w:t>2</w:t>
      </w:r>
      <w:r w:rsidRPr="00E47369">
        <w:rPr>
          <w:rFonts w:cstheme="minorHAnsi"/>
          <w:color w:val="000000" w:themeColor="text1"/>
        </w:rPr>
        <w:t xml:space="preserve"> they obtained 85 to 98 % yields of saturated alcohols and diols from glycerol, erythritol, xylitol </w:t>
      </w:r>
      <w:r w:rsidRPr="00E47369">
        <w:rPr>
          <w:rFonts w:cstheme="minorHAnsi"/>
        </w:rPr>
        <w:t>and sorbitol (</w:t>
      </w:r>
      <w:r w:rsidR="00FD5B02" w:rsidRPr="00E47369">
        <w:rPr>
          <w:rFonts w:cstheme="minorHAnsi"/>
        </w:rPr>
        <w:fldChar w:fldCharType="begin"/>
      </w:r>
      <w:r w:rsidR="00FD5B02" w:rsidRPr="00E47369">
        <w:rPr>
          <w:rFonts w:cstheme="minorHAnsi"/>
        </w:rPr>
        <w:instrText xml:space="preserve"> REF _Ref449893019 \h </w:instrText>
      </w:r>
      <w:r w:rsidR="003E463F" w:rsidRPr="00E47369">
        <w:rPr>
          <w:rFonts w:cstheme="minorHAnsi"/>
        </w:rPr>
        <w:instrText xml:space="preserve"> \* MERGEFORMAT </w:instrText>
      </w:r>
      <w:r w:rsidR="00FD5B02" w:rsidRPr="00E47369">
        <w:rPr>
          <w:rFonts w:cstheme="minorHAnsi"/>
        </w:rPr>
      </w:r>
      <w:r w:rsidR="00FD5B02" w:rsidRPr="00E47369">
        <w:rPr>
          <w:rFonts w:cstheme="minorHAnsi"/>
        </w:rPr>
        <w:fldChar w:fldCharType="separate"/>
      </w:r>
      <w:r w:rsidR="000A0E3D" w:rsidRPr="000A0E3D">
        <w:rPr>
          <w:rFonts w:cstheme="minorHAnsi"/>
        </w:rPr>
        <w:t>Figure I. 4.2</w:t>
      </w:r>
      <w:r w:rsidR="00FD5B02" w:rsidRPr="00E47369">
        <w:rPr>
          <w:rFonts w:cstheme="minorHAnsi"/>
        </w:rPr>
        <w:fldChar w:fldCharType="end"/>
      </w:r>
      <w:r w:rsidRPr="00E47369">
        <w:rPr>
          <w:rFonts w:cstheme="minorHAnsi"/>
        </w:rPr>
        <w:t>). The overall transformation</w:t>
      </w:r>
      <w:r w:rsidRPr="00E47369">
        <w:rPr>
          <w:rFonts w:cstheme="minorHAnsi"/>
          <w:color w:val="000000" w:themeColor="text1"/>
        </w:rPr>
        <w:t>, vicinal hydrodeoxygenation, is done in a single reactor</w:t>
      </w:r>
      <w:r w:rsidRPr="00E47369">
        <w:rPr>
          <w:rFonts w:cstheme="minorHAnsi"/>
        </w:rPr>
        <w:t xml:space="preserve">. </w:t>
      </w:r>
    </w:p>
    <w:p w14:paraId="4F1B9A4A" w14:textId="77777777" w:rsidR="00536AE9" w:rsidRPr="00E47369" w:rsidRDefault="00536AE9" w:rsidP="003E463F">
      <w:pPr>
        <w:rPr>
          <w:rFonts w:cstheme="minorHAnsi"/>
        </w:rPr>
      </w:pPr>
    </w:p>
    <w:p w14:paraId="70FAEAF6" w14:textId="77777777" w:rsidR="00FD5B02" w:rsidRPr="00E47369" w:rsidRDefault="00216D29" w:rsidP="003E463F">
      <w:pPr>
        <w:keepNext/>
        <w:jc w:val="center"/>
        <w:rPr>
          <w:rFonts w:cstheme="minorHAnsi"/>
        </w:rPr>
      </w:pPr>
      <w:r w:rsidRPr="00E47369">
        <w:rPr>
          <w:rFonts w:cstheme="minorHAnsi"/>
        </w:rPr>
        <w:object w:dxaOrig="4051" w:dyaOrig="861" w14:anchorId="7393131E">
          <v:shape id="_x0000_i1056" type="#_x0000_t75" style="width:200.2pt;height:41.15pt" o:ole="">
            <v:imagedata r:id="rId72" o:title=""/>
          </v:shape>
          <o:OLEObject Type="Embed" ProgID="ChemDraw.Document.6.0" ShapeID="_x0000_i1056" DrawAspect="Content" ObjectID="_1532784910" r:id="rId73"/>
        </w:object>
      </w:r>
    </w:p>
    <w:p w14:paraId="6514D6A7" w14:textId="77777777" w:rsidR="00216D29" w:rsidRPr="00072EEF" w:rsidRDefault="0081532D" w:rsidP="00072EEF">
      <w:pPr>
        <w:pStyle w:val="Caption"/>
      </w:pPr>
      <w:bookmarkStart w:id="104" w:name="_Ref449893019"/>
      <w:bookmarkStart w:id="105" w:name="_Toc457670654"/>
      <w:r w:rsidRPr="00072EEF">
        <w:t>Figure I. 4.</w:t>
      </w:r>
      <w:r w:rsidR="00443010">
        <w:fldChar w:fldCharType="begin"/>
      </w:r>
      <w:r w:rsidR="00443010">
        <w:instrText xml:space="preserve"> SEQ Figure_I._4. \* ARABIC </w:instrText>
      </w:r>
      <w:r w:rsidR="00443010">
        <w:fldChar w:fldCharType="separate"/>
      </w:r>
      <w:r w:rsidR="000A0E3D">
        <w:rPr>
          <w:noProof/>
        </w:rPr>
        <w:t>2</w:t>
      </w:r>
      <w:r w:rsidR="00443010">
        <w:rPr>
          <w:noProof/>
        </w:rPr>
        <w:fldChar w:fldCharType="end"/>
      </w:r>
      <w:bookmarkEnd w:id="104"/>
      <w:r w:rsidR="00FD5B02" w:rsidRPr="00072EEF">
        <w:t xml:space="preserve"> </w:t>
      </w:r>
      <w:r w:rsidR="00216D29" w:rsidRPr="00072EEF">
        <w:t>Simultaneous DODH and hydrogenation of diols by ReO</w:t>
      </w:r>
      <w:r w:rsidR="00216D29" w:rsidRPr="00072EEF">
        <w:rPr>
          <w:vertAlign w:val="subscript"/>
        </w:rPr>
        <w:t>x</w:t>
      </w:r>
      <w:r w:rsidR="00216D29" w:rsidRPr="00072EEF">
        <w:t>-Pd/CeO</w:t>
      </w:r>
      <w:r w:rsidR="00216D29" w:rsidRPr="00072EEF">
        <w:rPr>
          <w:vertAlign w:val="subscript"/>
        </w:rPr>
        <w:t>2</w:t>
      </w:r>
      <w:r w:rsidR="00216D29" w:rsidRPr="00072EEF">
        <w:t xml:space="preserve"> heterogeneous catalyst</w:t>
      </w:r>
      <w:bookmarkEnd w:id="105"/>
    </w:p>
    <w:p w14:paraId="6B7BA519" w14:textId="77777777" w:rsidR="00216D29" w:rsidRPr="00E47369" w:rsidRDefault="00216D29" w:rsidP="003E463F">
      <w:pPr>
        <w:jc w:val="both"/>
        <w:rPr>
          <w:rFonts w:cstheme="minorHAnsi"/>
        </w:rPr>
      </w:pPr>
    </w:p>
    <w:p w14:paraId="0179A786" w14:textId="77777777" w:rsidR="00216D29" w:rsidRPr="00E47369" w:rsidRDefault="00216D29" w:rsidP="006042D0">
      <w:pPr>
        <w:ind w:firstLine="360"/>
        <w:jc w:val="both"/>
        <w:rPr>
          <w:rFonts w:cstheme="minorHAnsi"/>
        </w:rPr>
      </w:pPr>
      <w:r w:rsidRPr="00E47369">
        <w:rPr>
          <w:rFonts w:cstheme="minorHAnsi"/>
        </w:rPr>
        <w:t>In a different process Krische and co-workers utilized a vanadium catalyzed DODH in their benzannulation reaction to form fluoranthenes and acenes (</w:t>
      </w:r>
      <w:r w:rsidR="00FD5B02" w:rsidRPr="00E47369">
        <w:rPr>
          <w:rFonts w:cstheme="minorHAnsi"/>
        </w:rPr>
        <w:fldChar w:fldCharType="begin"/>
      </w:r>
      <w:r w:rsidR="00FD5B02" w:rsidRPr="00E47369">
        <w:rPr>
          <w:rFonts w:cstheme="minorHAnsi"/>
        </w:rPr>
        <w:instrText xml:space="preserve"> REF _Ref449893049 \h </w:instrText>
      </w:r>
      <w:r w:rsidR="003E463F" w:rsidRPr="00E47369">
        <w:rPr>
          <w:rFonts w:cstheme="minorHAnsi"/>
        </w:rPr>
        <w:instrText xml:space="preserve"> \* MERGEFORMAT </w:instrText>
      </w:r>
      <w:r w:rsidR="00FD5B02" w:rsidRPr="00E47369">
        <w:rPr>
          <w:rFonts w:cstheme="minorHAnsi"/>
        </w:rPr>
      </w:r>
      <w:r w:rsidR="00FD5B02" w:rsidRPr="00E47369">
        <w:rPr>
          <w:rFonts w:cstheme="minorHAnsi"/>
        </w:rPr>
        <w:fldChar w:fldCharType="separate"/>
      </w:r>
      <w:r w:rsidR="000A0E3D" w:rsidRPr="000A0E3D">
        <w:rPr>
          <w:rFonts w:cstheme="minorHAnsi"/>
        </w:rPr>
        <w:t>Figure I. 4.3</w:t>
      </w:r>
      <w:r w:rsidR="00FD5B02" w:rsidRPr="00E47369">
        <w:rPr>
          <w:rFonts w:cstheme="minorHAnsi"/>
        </w:rPr>
        <w:fldChar w:fldCharType="end"/>
      </w:r>
      <w:r w:rsidRPr="00E47369">
        <w:rPr>
          <w:rFonts w:cstheme="minorHAnsi"/>
        </w:rPr>
        <w:t>).</w:t>
      </w:r>
      <w:r w:rsidRPr="00E47369">
        <w:rPr>
          <w:rFonts w:cstheme="minorHAnsi"/>
        </w:rPr>
        <w:fldChar w:fldCharType="begin"/>
      </w:r>
      <w:r w:rsidR="006D0CD6" w:rsidRPr="00E47369">
        <w:rPr>
          <w:rFonts w:cstheme="minorHAnsi"/>
        </w:rPr>
        <w:instrText xml:space="preserve"> ADDIN ZOTERO_ITEM CSL_CITATION {"citationID":"250n7qtcr7","properties":{"formattedCitation":"{\\rtf \\super 72\\nosupersub{}}","plainCitation":"72"},"citationItems":[{"id":85,"uris":["http://zotero.org/users/1624234/items/67NK6MAE"],"uri":["http://zotero.org/users/1624234/items/67NK6MAE"],"itemData":{"id":85,"type":"article-journal","title":"Benzannulation via Ruthenium-Catalyzed Diol–Diene [4+2] Cycloaddition: One- and Two-Directional Syntheses of Fluoranthenes and Acenes","container-title":"Journal of the American Chemical Society","page":"5920-5922","volume":"136","issue":"16","source":"ACS Publications","abstract":"A new benzannulation protocol is described and applied to the synthesis of polycyclic aromatic hydrocarbons. Ruthenium(0)-catalyzed diol?diene [4+2] cycloaddition delivers cyclohex-1-ene-4,5-diols, which are subject to aromatization upon dehydration or Nicholas diol deoxydehydration. Employing diol and tetraol reactants, benzannulation can be conducted efficiently in one- and two-directional modes, respectively, as illustrated in the construction of substituted fluoranthenes and acenes.","DOI":"10.1021/ja502659t","ISSN":"0002-7863","shortTitle":"Benzannulation via Ruthenium-Catalyzed Diol–Diene [4+2] Cycloaddition","journalAbbreviation":"J. Am. Chem. Soc.","author":[{"family":"Geary","given":"Laina M."},{"family":"Chen","given":"Te-Yu"},{"family":"Montgomery","given":"T. Patrick"},{"family":"Krische","given":"Michael J."}],"issued":{"date-parts":[["2014"]],"season":"avril"}}}],"schema":"https://github.com/citation-style-language/schema/raw/master/csl-citation.json"} </w:instrText>
      </w:r>
      <w:r w:rsidRPr="00E47369">
        <w:rPr>
          <w:rFonts w:cstheme="minorHAnsi"/>
        </w:rPr>
        <w:fldChar w:fldCharType="separate"/>
      </w:r>
      <w:r w:rsidRPr="00E47369">
        <w:rPr>
          <w:rFonts w:cstheme="minorHAnsi"/>
          <w:sz w:val="22"/>
          <w:vertAlign w:val="superscript"/>
        </w:rPr>
        <w:t>72</w:t>
      </w:r>
      <w:r w:rsidRPr="00E47369">
        <w:rPr>
          <w:rFonts w:cstheme="minorHAnsi"/>
        </w:rPr>
        <w:fldChar w:fldCharType="end"/>
      </w:r>
      <w:r w:rsidRPr="00E47369">
        <w:rPr>
          <w:rFonts w:cstheme="minorHAnsi"/>
        </w:rPr>
        <w:t xml:space="preserve"> In </w:t>
      </w:r>
      <w:r w:rsidRPr="00E47369">
        <w:rPr>
          <w:rFonts w:cstheme="minorHAnsi"/>
          <w:color w:val="000000" w:themeColor="text1"/>
        </w:rPr>
        <w:t xml:space="preserve">the first step they used a ruthenium catalyzed [4+2] cycloaddition of cyclohexendiols. In the second step they effected DODH using the vanadium catalyst </w:t>
      </w:r>
      <w:r w:rsidRPr="00E47369">
        <w:rPr>
          <w:rFonts w:cstheme="minorHAnsi"/>
          <w:b/>
          <w:color w:val="000000" w:themeColor="text1"/>
        </w:rPr>
        <w:t>20</w:t>
      </w:r>
      <w:r w:rsidRPr="00E47369">
        <w:rPr>
          <w:rFonts w:cstheme="minorHAnsi"/>
          <w:color w:val="000000" w:themeColor="text1"/>
        </w:rPr>
        <w:t xml:space="preserve"> along with sodium sulfite as reducing agent and finally treated </w:t>
      </w:r>
      <w:r w:rsidRPr="00E47369">
        <w:rPr>
          <w:rFonts w:cstheme="minorHAnsi"/>
        </w:rPr>
        <w:t>the DODH product with charcoal to aromatize it into naphthalene derivatives.</w:t>
      </w:r>
    </w:p>
    <w:p w14:paraId="331C6179" w14:textId="77777777" w:rsidR="00536AE9" w:rsidRPr="00E47369" w:rsidRDefault="00536AE9" w:rsidP="003E463F">
      <w:pPr>
        <w:jc w:val="both"/>
        <w:rPr>
          <w:rFonts w:cstheme="minorHAnsi"/>
        </w:rPr>
      </w:pPr>
    </w:p>
    <w:p w14:paraId="62D435B9" w14:textId="77777777" w:rsidR="00FD5B02" w:rsidRPr="00E47369" w:rsidRDefault="00742B50" w:rsidP="003E463F">
      <w:pPr>
        <w:keepNext/>
        <w:jc w:val="center"/>
        <w:rPr>
          <w:rFonts w:cstheme="minorHAnsi"/>
        </w:rPr>
      </w:pPr>
      <w:r w:rsidRPr="00E47369">
        <w:rPr>
          <w:rFonts w:cstheme="minorHAnsi"/>
        </w:rPr>
        <w:object w:dxaOrig="9475" w:dyaOrig="1108" w14:anchorId="6C5151DE">
          <v:shape id="_x0000_i1057" type="#_x0000_t75" style="width:380.55pt;height:46.7pt" o:ole="">
            <v:imagedata r:id="rId74" o:title=""/>
          </v:shape>
          <o:OLEObject Type="Embed" ProgID="ChemDraw.Document.6.0" ShapeID="_x0000_i1057" DrawAspect="Content" ObjectID="_1532784911" r:id="rId75"/>
        </w:object>
      </w:r>
    </w:p>
    <w:p w14:paraId="021DEC97" w14:textId="77777777" w:rsidR="00216D29" w:rsidRPr="00072EEF" w:rsidRDefault="00BE514F" w:rsidP="00072EEF">
      <w:pPr>
        <w:pStyle w:val="Caption"/>
      </w:pPr>
      <w:bookmarkStart w:id="106" w:name="_Ref449893049"/>
      <w:bookmarkStart w:id="107" w:name="_Toc457670655"/>
      <w:r w:rsidRPr="00072EEF">
        <w:t>Figure I. 4.</w:t>
      </w:r>
      <w:r w:rsidR="00443010">
        <w:fldChar w:fldCharType="begin"/>
      </w:r>
      <w:r w:rsidR="00443010">
        <w:instrText xml:space="preserve"> SEQ Figure_I._4. \* ARABIC </w:instrText>
      </w:r>
      <w:r w:rsidR="00443010">
        <w:fldChar w:fldCharType="separate"/>
      </w:r>
      <w:r w:rsidR="000A0E3D">
        <w:rPr>
          <w:noProof/>
        </w:rPr>
        <w:t>3</w:t>
      </w:r>
      <w:r w:rsidR="00443010">
        <w:rPr>
          <w:noProof/>
        </w:rPr>
        <w:fldChar w:fldCharType="end"/>
      </w:r>
      <w:bookmarkEnd w:id="106"/>
      <w:r w:rsidR="00FD5B02" w:rsidRPr="00072EEF">
        <w:t xml:space="preserve"> </w:t>
      </w:r>
      <w:r w:rsidR="00216D29" w:rsidRPr="00072EEF">
        <w:t>Benzannulation reaction to form substituted naphthalene</w:t>
      </w:r>
      <w:bookmarkEnd w:id="107"/>
    </w:p>
    <w:p w14:paraId="510A07B7" w14:textId="77777777" w:rsidR="00216D29" w:rsidRPr="00E47369" w:rsidRDefault="00216D29" w:rsidP="003E463F">
      <w:pPr>
        <w:jc w:val="both"/>
        <w:rPr>
          <w:rFonts w:cstheme="minorHAnsi"/>
        </w:rPr>
      </w:pPr>
    </w:p>
    <w:p w14:paraId="08D6CD6E" w14:textId="77777777" w:rsidR="00216D29" w:rsidRPr="00E47369" w:rsidRDefault="00216D29" w:rsidP="00BA0582">
      <w:pPr>
        <w:pStyle w:val="Heading2"/>
      </w:pPr>
      <w:bookmarkStart w:id="108" w:name="_Toc458938277"/>
      <w:r w:rsidRPr="00E47369">
        <w:t>Conclusions and Future Prospects</w:t>
      </w:r>
      <w:bookmarkEnd w:id="108"/>
    </w:p>
    <w:p w14:paraId="3393A631" w14:textId="77777777" w:rsidR="00216D29" w:rsidRPr="00E47369" w:rsidRDefault="00216D29" w:rsidP="006042D0">
      <w:pPr>
        <w:ind w:firstLine="360"/>
        <w:jc w:val="both"/>
        <w:rPr>
          <w:rFonts w:cstheme="minorHAnsi"/>
        </w:rPr>
      </w:pPr>
      <w:r w:rsidRPr="00E47369">
        <w:rPr>
          <w:rFonts w:cstheme="minorHAnsi"/>
          <w:color w:val="000000" w:themeColor="text1"/>
        </w:rPr>
        <w:t xml:space="preserve">A graphical summary </w:t>
      </w:r>
      <w:r w:rsidRPr="00E47369">
        <w:rPr>
          <w:rFonts w:cstheme="minorHAnsi"/>
        </w:rPr>
        <w:t>of the catalytic glycol deoxydehydration and epoxide deoxygenation reactions reported to date is given in</w:t>
      </w:r>
      <w:r w:rsidR="007A5CF2" w:rsidRPr="00E47369">
        <w:rPr>
          <w:rFonts w:cstheme="minorHAnsi"/>
        </w:rPr>
        <w:t xml:space="preserve"> </w:t>
      </w:r>
      <w:r w:rsidR="007A5CF2" w:rsidRPr="00E47369">
        <w:rPr>
          <w:rFonts w:cstheme="minorHAnsi"/>
        </w:rPr>
        <w:fldChar w:fldCharType="begin"/>
      </w:r>
      <w:r w:rsidR="007A5CF2" w:rsidRPr="00E47369">
        <w:rPr>
          <w:rFonts w:cstheme="minorHAnsi"/>
        </w:rPr>
        <w:instrText xml:space="preserve"> REF _Ref449894014 \h </w:instrText>
      </w:r>
      <w:r w:rsidR="003E463F" w:rsidRPr="00E47369">
        <w:rPr>
          <w:rFonts w:cstheme="minorHAnsi"/>
        </w:rPr>
        <w:instrText xml:space="preserve"> \* MERGEFORMAT </w:instrText>
      </w:r>
      <w:r w:rsidR="007A5CF2" w:rsidRPr="00E47369">
        <w:rPr>
          <w:rFonts w:cstheme="minorHAnsi"/>
        </w:rPr>
      </w:r>
      <w:r w:rsidR="007A5CF2" w:rsidRPr="00E47369">
        <w:rPr>
          <w:rFonts w:cstheme="minorHAnsi"/>
        </w:rPr>
        <w:fldChar w:fldCharType="separate"/>
      </w:r>
      <w:r w:rsidR="000A0E3D" w:rsidRPr="000A0E3D">
        <w:rPr>
          <w:rFonts w:cstheme="minorHAnsi"/>
        </w:rPr>
        <w:t>Figure I. 5.1</w:t>
      </w:r>
      <w:r w:rsidR="007A5CF2" w:rsidRPr="00E47369">
        <w:rPr>
          <w:rFonts w:cstheme="minorHAnsi"/>
        </w:rPr>
        <w:fldChar w:fldCharType="end"/>
      </w:r>
      <w:r w:rsidRPr="00E47369">
        <w:rPr>
          <w:rFonts w:cstheme="minorHAnsi"/>
        </w:rPr>
        <w:t>.</w:t>
      </w:r>
    </w:p>
    <w:p w14:paraId="425B663D" w14:textId="77777777" w:rsidR="00536AE9" w:rsidRPr="00E47369" w:rsidRDefault="00536AE9" w:rsidP="003E463F">
      <w:pPr>
        <w:jc w:val="both"/>
        <w:rPr>
          <w:rFonts w:cstheme="minorHAnsi"/>
        </w:rPr>
      </w:pPr>
    </w:p>
    <w:p w14:paraId="476E1417" w14:textId="77777777" w:rsidR="007A5CF2" w:rsidRPr="00E47369" w:rsidRDefault="00742B50" w:rsidP="003E463F">
      <w:pPr>
        <w:keepNext/>
        <w:jc w:val="center"/>
        <w:rPr>
          <w:rFonts w:cstheme="minorHAnsi"/>
        </w:rPr>
      </w:pPr>
      <w:r w:rsidRPr="00E47369">
        <w:rPr>
          <w:rFonts w:cstheme="minorHAnsi"/>
        </w:rPr>
        <w:object w:dxaOrig="8707" w:dyaOrig="3592" w14:anchorId="06BEA81D">
          <v:shape id="_x0000_i1058" type="#_x0000_t75" style="width:396.4pt;height:165.35pt" o:ole="">
            <v:imagedata r:id="rId76" o:title=""/>
          </v:shape>
          <o:OLEObject Type="Embed" ProgID="ChemDraw.Document.6.0" ShapeID="_x0000_i1058" DrawAspect="Content" ObjectID="_1532784912" r:id="rId77"/>
        </w:object>
      </w:r>
    </w:p>
    <w:p w14:paraId="65059FB4" w14:textId="77777777" w:rsidR="00216D29" w:rsidRPr="00072EEF" w:rsidRDefault="00BE514F" w:rsidP="00072EEF">
      <w:pPr>
        <w:pStyle w:val="Caption"/>
      </w:pPr>
      <w:bookmarkStart w:id="109" w:name="_Ref449894014"/>
      <w:bookmarkStart w:id="110" w:name="_Toc457670677"/>
      <w:r w:rsidRPr="00072EEF">
        <w:t>Figure I. 5.</w:t>
      </w:r>
      <w:r w:rsidR="00443010">
        <w:fldChar w:fldCharType="begin"/>
      </w:r>
      <w:r w:rsidR="00443010">
        <w:instrText xml:space="preserve"> SEQ Figure_I._5. \* ARABIC </w:instrText>
      </w:r>
      <w:r w:rsidR="00443010">
        <w:fldChar w:fldCharType="separate"/>
      </w:r>
      <w:r w:rsidR="000A0E3D">
        <w:rPr>
          <w:noProof/>
        </w:rPr>
        <w:t>1</w:t>
      </w:r>
      <w:r w:rsidR="00443010">
        <w:rPr>
          <w:noProof/>
        </w:rPr>
        <w:fldChar w:fldCharType="end"/>
      </w:r>
      <w:bookmarkStart w:id="111" w:name="_Ref449893223"/>
      <w:bookmarkStart w:id="112" w:name="_Ref449893095"/>
      <w:bookmarkEnd w:id="109"/>
      <w:r w:rsidR="007A5CF2" w:rsidRPr="00072EEF">
        <w:t xml:space="preserve"> </w:t>
      </w:r>
      <w:r w:rsidR="00216D29" w:rsidRPr="00072EEF">
        <w:t>Summary of DODH systems</w:t>
      </w:r>
      <w:bookmarkEnd w:id="110"/>
      <w:bookmarkEnd w:id="111"/>
      <w:bookmarkEnd w:id="112"/>
    </w:p>
    <w:p w14:paraId="23CCA511" w14:textId="77777777" w:rsidR="00536AE9" w:rsidRPr="00E47369" w:rsidRDefault="00536AE9" w:rsidP="00536AE9">
      <w:pPr>
        <w:rPr>
          <w:rFonts w:cstheme="minorHAnsi"/>
        </w:rPr>
      </w:pPr>
    </w:p>
    <w:p w14:paraId="7CE54D7F" w14:textId="77777777" w:rsidR="00216D29" w:rsidRPr="00E47369" w:rsidRDefault="00216D29" w:rsidP="006042D0">
      <w:pPr>
        <w:ind w:firstLine="360"/>
        <w:jc w:val="both"/>
        <w:rPr>
          <w:rFonts w:cstheme="minorHAnsi"/>
        </w:rPr>
      </w:pPr>
      <w:r w:rsidRPr="00E47369">
        <w:rPr>
          <w:rFonts w:cstheme="minorHAnsi"/>
        </w:rPr>
        <w:t xml:space="preserve">Since its discovery, the catalytic deoxydehydration reaction has seen rapid development. A variety of oxo-metal catalysts (mostly of rhenium) and reductants, including phosphines, hydrogen, sulfite and alcohols, have been shown to be effective. Numerous glycols and a growing set of biomass-derived polyol substrates undergo the reaction with good efficiency. The reactions are typically regiospecific and highly stereoselective. Results from experimental and computational mechanistic studies suggest the general operation of a catalytic process involving three basic stages: glycol condensation to a M-glycolate, reduction of the oxo-metal; and alkene extrusion from the reduced metal-glycolate. The preferred sequence of the condensation and reduction steps and which step of the catalytic pathway is turnover-limiting depends on the catalyst and the reductant. Recent practical DODH developments include the discovery of non-precious V- and Mo-oxo DODH catalytic systems and supported oxo-rhenium catalysts. </w:t>
      </w:r>
    </w:p>
    <w:p w14:paraId="03DAF68E" w14:textId="77777777" w:rsidR="00216D29" w:rsidRPr="00E47369" w:rsidRDefault="00216D29" w:rsidP="006042D0">
      <w:pPr>
        <w:ind w:firstLine="360"/>
        <w:jc w:val="both"/>
        <w:rPr>
          <w:rFonts w:cstheme="minorHAnsi"/>
        </w:rPr>
      </w:pPr>
      <w:r w:rsidRPr="00E47369">
        <w:rPr>
          <w:rFonts w:cstheme="minorHAnsi"/>
        </w:rPr>
        <w:t xml:space="preserve">There remain important needs for new more active, economical deoxygenation catalysts, reductants and practical reaction media, to improve the efficiency and extend the substrate scope to higher polyols. Reacting further the alkene to increase its carbon backbone is of importance as it could allow the small biomass derived polyols to be converted in highly valuable chemicals. In addition the involvement of the reducing agent in this C-C bond forming secondary reaction would make it an atom economical process. </w:t>
      </w:r>
    </w:p>
    <w:p w14:paraId="02314AFB" w14:textId="23643424" w:rsidR="00216D29" w:rsidRPr="00E47369" w:rsidRDefault="00216D29" w:rsidP="006042D0">
      <w:pPr>
        <w:ind w:firstLine="360"/>
        <w:jc w:val="both"/>
        <w:rPr>
          <w:rFonts w:cstheme="minorHAnsi"/>
        </w:rPr>
      </w:pPr>
      <w:r w:rsidRPr="00E47369">
        <w:rPr>
          <w:rFonts w:cstheme="minorHAnsi"/>
        </w:rPr>
        <w:t>Therefore we explore a new class of reducing agent</w:t>
      </w:r>
      <w:r w:rsidR="005F4630">
        <w:rPr>
          <w:rFonts w:cstheme="minorHAnsi"/>
        </w:rPr>
        <w:t>, h</w:t>
      </w:r>
      <w:r w:rsidRPr="00E47369">
        <w:rPr>
          <w:rFonts w:cstheme="minorHAnsi"/>
        </w:rPr>
        <w:t>ydroaromatics.</w:t>
      </w:r>
      <w:r w:rsidRPr="00E47369">
        <w:rPr>
          <w:rFonts w:cstheme="minorHAnsi"/>
          <w:color w:val="000000" w:themeColor="text1"/>
        </w:rPr>
        <w:t xml:space="preserve"> We started this study by screening </w:t>
      </w:r>
      <w:r w:rsidR="005F4630">
        <w:rPr>
          <w:rFonts w:cstheme="minorHAnsi"/>
          <w:color w:val="000000" w:themeColor="text1"/>
        </w:rPr>
        <w:t xml:space="preserve">the activity of </w:t>
      </w:r>
      <w:r w:rsidRPr="00E47369">
        <w:rPr>
          <w:rFonts w:cstheme="minorHAnsi"/>
          <w:color w:val="000000" w:themeColor="text1"/>
        </w:rPr>
        <w:t>various hydroaromatics. In the screening we found several of these compounds to be highly active. Two of them</w:t>
      </w:r>
      <w:r w:rsidR="005F4630">
        <w:rPr>
          <w:rFonts w:cstheme="minorHAnsi"/>
          <w:color w:val="000000" w:themeColor="text1"/>
        </w:rPr>
        <w:t>,</w:t>
      </w:r>
      <w:r w:rsidRPr="00E47369">
        <w:rPr>
          <w:rFonts w:cstheme="minorHAnsi"/>
          <w:color w:val="000000" w:themeColor="text1"/>
        </w:rPr>
        <w:t xml:space="preserve"> cyclohexadiene and dihydroanth</w:t>
      </w:r>
      <w:r w:rsidR="005F4630">
        <w:rPr>
          <w:rFonts w:cstheme="minorHAnsi"/>
          <w:color w:val="000000" w:themeColor="text1"/>
        </w:rPr>
        <w:t>racene,</w:t>
      </w:r>
      <w:r w:rsidRPr="00E47369">
        <w:rPr>
          <w:rFonts w:cstheme="minorHAnsi"/>
          <w:color w:val="000000" w:themeColor="text1"/>
        </w:rPr>
        <w:t xml:space="preserve"> provided C-</w:t>
      </w:r>
      <w:r w:rsidR="005F4630">
        <w:rPr>
          <w:rFonts w:cstheme="minorHAnsi"/>
          <w:color w:val="000000" w:themeColor="text1"/>
        </w:rPr>
        <w:t>C bond forming tandem reactions:</w:t>
      </w:r>
      <w:r w:rsidRPr="00E47369">
        <w:rPr>
          <w:rFonts w:cstheme="minorHAnsi"/>
          <w:color w:val="000000" w:themeColor="text1"/>
        </w:rPr>
        <w:t xml:space="preserve"> DODH/Diels-Alder. Indoline was found to be the most active hydrogen donor species and was applied to a larger </w:t>
      </w:r>
      <w:r w:rsidR="005F4630">
        <w:rPr>
          <w:rFonts w:cstheme="minorHAnsi"/>
          <w:color w:val="000000" w:themeColor="text1"/>
        </w:rPr>
        <w:t>survey</w:t>
      </w:r>
      <w:r w:rsidRPr="00E47369">
        <w:rPr>
          <w:rFonts w:cstheme="minorHAnsi"/>
          <w:color w:val="000000" w:themeColor="text1"/>
        </w:rPr>
        <w:t xml:space="preserve"> of diols. In competition with other report</w:t>
      </w:r>
      <w:r w:rsidR="005F4630">
        <w:rPr>
          <w:rFonts w:cstheme="minorHAnsi"/>
          <w:color w:val="000000" w:themeColor="text1"/>
        </w:rPr>
        <w:t>ed</w:t>
      </w:r>
      <w:r w:rsidRPr="00E47369">
        <w:rPr>
          <w:rFonts w:cstheme="minorHAnsi"/>
          <w:color w:val="000000" w:themeColor="text1"/>
        </w:rPr>
        <w:t xml:space="preserve"> reducing agent such as alcohol</w:t>
      </w:r>
      <w:r w:rsidR="0002387B">
        <w:rPr>
          <w:rFonts w:cstheme="minorHAnsi"/>
          <w:color w:val="000000" w:themeColor="text1"/>
        </w:rPr>
        <w:t>s,</w:t>
      </w:r>
      <w:r w:rsidRPr="00E47369">
        <w:rPr>
          <w:rFonts w:cstheme="minorHAnsi"/>
          <w:color w:val="000000" w:themeColor="text1"/>
        </w:rPr>
        <w:t xml:space="preserve"> indoline was found to be the most consumed as reducing agent. Th</w:t>
      </w:r>
      <w:r w:rsidR="00E779B6">
        <w:rPr>
          <w:rFonts w:cstheme="minorHAnsi"/>
          <w:color w:val="000000" w:themeColor="text1"/>
        </w:rPr>
        <w:t>is</w:t>
      </w:r>
      <w:r w:rsidRPr="00E47369">
        <w:rPr>
          <w:rFonts w:cstheme="minorHAnsi"/>
          <w:color w:val="000000" w:themeColor="text1"/>
        </w:rPr>
        <w:t xml:space="preserve"> superior activity was in part explained by a unique </w:t>
      </w:r>
      <w:r w:rsidR="00E779B6">
        <w:rPr>
          <w:rFonts w:cstheme="minorHAnsi"/>
          <w:color w:val="000000" w:themeColor="text1"/>
        </w:rPr>
        <w:t xml:space="preserve">bonding </w:t>
      </w:r>
      <w:r w:rsidRPr="00E47369">
        <w:rPr>
          <w:rFonts w:cstheme="minorHAnsi"/>
          <w:color w:val="000000" w:themeColor="text1"/>
        </w:rPr>
        <w:t>affinity</w:t>
      </w:r>
      <w:r w:rsidR="00E779B6">
        <w:rPr>
          <w:rFonts w:cstheme="minorHAnsi"/>
          <w:color w:val="000000" w:themeColor="text1"/>
        </w:rPr>
        <w:t xml:space="preserve"> of</w:t>
      </w:r>
      <w:r w:rsidRPr="00E47369">
        <w:rPr>
          <w:rFonts w:cstheme="minorHAnsi"/>
          <w:color w:val="000000" w:themeColor="text1"/>
        </w:rPr>
        <w:t xml:space="preserve"> </w:t>
      </w:r>
      <w:r w:rsidR="00E779B6" w:rsidRPr="00E47369">
        <w:rPr>
          <w:rFonts w:cstheme="minorHAnsi"/>
          <w:color w:val="000000" w:themeColor="text1"/>
        </w:rPr>
        <w:t xml:space="preserve">indoline </w:t>
      </w:r>
      <w:r w:rsidRPr="00E47369">
        <w:rPr>
          <w:rFonts w:cstheme="minorHAnsi"/>
          <w:color w:val="000000" w:themeColor="text1"/>
        </w:rPr>
        <w:t xml:space="preserve">with the rhenium catalyst which was studied in more detail. </w:t>
      </w:r>
    </w:p>
    <w:p w14:paraId="381624CC" w14:textId="77777777" w:rsidR="00216D29" w:rsidRDefault="00216D29" w:rsidP="006042D0">
      <w:pPr>
        <w:ind w:firstLine="360"/>
        <w:jc w:val="both"/>
        <w:rPr>
          <w:rFonts w:cstheme="minorHAnsi"/>
        </w:rPr>
      </w:pPr>
      <w:r w:rsidRPr="00E47369">
        <w:rPr>
          <w:rFonts w:cstheme="minorHAnsi"/>
        </w:rPr>
        <w:t>Additionally the development of processes utilizing DODH as a key step in synthesis of more valuable chemical</w:t>
      </w:r>
      <w:r w:rsidR="00E779B6">
        <w:rPr>
          <w:rFonts w:cstheme="minorHAnsi"/>
        </w:rPr>
        <w:t>s</w:t>
      </w:r>
      <w:r w:rsidRPr="00E47369">
        <w:rPr>
          <w:rFonts w:cstheme="minorHAnsi"/>
        </w:rPr>
        <w:t xml:space="preserve"> has been very limited so far. In an effort to increase the synthetic value of the DODH reaction we are examining the development of tandem reaction systems coupling the DODH reaction with C-C bond </w:t>
      </w:r>
      <w:r w:rsidRPr="00E47369">
        <w:rPr>
          <w:rFonts w:cstheme="minorHAnsi"/>
          <w:color w:val="000000" w:themeColor="text1"/>
        </w:rPr>
        <w:t xml:space="preserve">forming reactions. The development of tandem reactions based on the DODH process is challenging due to the required compatibility of reagents and catalysts needed for each of the steps. We explore several reactions for coupling with the DODH reaction including crotylation, hetero Diels-Alder, base free Wittig, hydroformylation, hydroacylation, allylation and Heck </w:t>
      </w:r>
      <w:r w:rsidRPr="00E47369">
        <w:rPr>
          <w:rFonts w:cstheme="minorHAnsi"/>
        </w:rPr>
        <w:t>type reactions.</w:t>
      </w:r>
    </w:p>
    <w:p w14:paraId="448E86FE" w14:textId="6E1DFFC4" w:rsidR="0078566E" w:rsidRPr="00E47369" w:rsidRDefault="0078566E" w:rsidP="006042D0">
      <w:pPr>
        <w:ind w:firstLine="360"/>
        <w:jc w:val="both"/>
        <w:rPr>
          <w:rFonts w:cstheme="minorHAnsi"/>
        </w:rPr>
      </w:pPr>
      <w:r>
        <w:rPr>
          <w:rFonts w:cstheme="minorHAnsi"/>
        </w:rPr>
        <w:t xml:space="preserve">Recently in our laboratory we, G. Kasner, M. McClain, Dr. Nicholas and I, discovered </w:t>
      </w:r>
      <w:r w:rsidR="001539C6">
        <w:rPr>
          <w:rFonts w:cstheme="minorHAnsi"/>
        </w:rPr>
        <w:t>and developed</w:t>
      </w:r>
      <w:r>
        <w:rPr>
          <w:rFonts w:cstheme="minorHAnsi"/>
        </w:rPr>
        <w:t xml:space="preserve"> a new catalytic reductive coupling reaction. In th</w:t>
      </w:r>
      <w:r w:rsidR="00F55D3C">
        <w:rPr>
          <w:rFonts w:cstheme="minorHAnsi"/>
        </w:rPr>
        <w:t>is reaction activated alcohols form alkane dimers. This novel and rare C-C bond formation attracted our attention. Dr. Nicholas and I studied the mechanism of this IReO</w:t>
      </w:r>
      <w:r w:rsidR="00F55D3C" w:rsidRPr="00F55D3C">
        <w:rPr>
          <w:rFonts w:cstheme="minorHAnsi"/>
          <w:vertAlign w:val="subscript"/>
        </w:rPr>
        <w:t>2</w:t>
      </w:r>
      <w:r w:rsidR="00F55D3C">
        <w:rPr>
          <w:rFonts w:cstheme="minorHAnsi"/>
        </w:rPr>
        <w:t>(PPh</w:t>
      </w:r>
      <w:r w:rsidR="00F55D3C" w:rsidRPr="00F55D3C">
        <w:rPr>
          <w:rFonts w:cstheme="minorHAnsi"/>
          <w:vertAlign w:val="subscript"/>
        </w:rPr>
        <w:t>3</w:t>
      </w:r>
      <w:r w:rsidR="00F55D3C">
        <w:rPr>
          <w:rFonts w:cstheme="minorHAnsi"/>
        </w:rPr>
        <w:t>)</w:t>
      </w:r>
      <w:r w:rsidR="00F55D3C" w:rsidRPr="00F55D3C">
        <w:rPr>
          <w:rFonts w:cstheme="minorHAnsi"/>
          <w:vertAlign w:val="subscript"/>
        </w:rPr>
        <w:t>2</w:t>
      </w:r>
      <w:r w:rsidR="00F55D3C">
        <w:rPr>
          <w:rFonts w:cstheme="minorHAnsi"/>
        </w:rPr>
        <w:t xml:space="preserve"> catalyzed reductive coupling reaction by running stoichiometric, kinetic and computational experiments. </w:t>
      </w:r>
    </w:p>
    <w:p w14:paraId="2ADDA9CC" w14:textId="77777777" w:rsidR="00B76E24" w:rsidRPr="00E47369" w:rsidRDefault="00B76E24">
      <w:pPr>
        <w:spacing w:line="240" w:lineRule="auto"/>
        <w:rPr>
          <w:rFonts w:cstheme="minorHAnsi"/>
        </w:rPr>
      </w:pPr>
      <w:r w:rsidRPr="00E47369">
        <w:rPr>
          <w:rFonts w:cstheme="minorHAnsi"/>
        </w:rPr>
        <w:br w:type="page"/>
      </w:r>
    </w:p>
    <w:p w14:paraId="14C7C3B0" w14:textId="77777777" w:rsidR="00AB53AF" w:rsidRPr="00E47369" w:rsidRDefault="00F61AA2" w:rsidP="00AB53AF">
      <w:pPr>
        <w:pStyle w:val="Heading1"/>
        <w:rPr>
          <w:rFonts w:asciiTheme="minorHAnsi" w:hAnsiTheme="minorHAnsi" w:cstheme="minorHAnsi"/>
        </w:rPr>
      </w:pPr>
      <w:bookmarkStart w:id="113" w:name="_Toc458938278"/>
      <w:r w:rsidRPr="00E47369">
        <w:rPr>
          <w:rFonts w:asciiTheme="minorHAnsi" w:hAnsiTheme="minorHAnsi" w:cstheme="minorHAnsi"/>
        </w:rPr>
        <w:t>Hydroaromatics as DODH Reducing Agents</w:t>
      </w:r>
      <w:bookmarkEnd w:id="113"/>
    </w:p>
    <w:p w14:paraId="4EAB02D7" w14:textId="77777777" w:rsidR="00A651D8" w:rsidRPr="00E47369" w:rsidRDefault="00A651D8" w:rsidP="00BA0582">
      <w:pPr>
        <w:pStyle w:val="Heading2"/>
        <w:numPr>
          <w:ilvl w:val="0"/>
          <w:numId w:val="6"/>
        </w:numPr>
      </w:pPr>
      <w:bookmarkStart w:id="114" w:name="_Toc453571129"/>
      <w:bookmarkStart w:id="115" w:name="_Toc458938279"/>
      <w:r w:rsidRPr="00E47369">
        <w:t>Introduction</w:t>
      </w:r>
      <w:bookmarkEnd w:id="114"/>
      <w:bookmarkEnd w:id="115"/>
    </w:p>
    <w:p w14:paraId="1198CC06" w14:textId="77777777" w:rsidR="00A651D8" w:rsidRPr="00E47369" w:rsidRDefault="00A651D8" w:rsidP="006042D0">
      <w:pPr>
        <w:ind w:firstLine="360"/>
        <w:jc w:val="both"/>
        <w:rPr>
          <w:rFonts w:cstheme="minorHAnsi"/>
        </w:rPr>
      </w:pPr>
      <w:r w:rsidRPr="00E47369">
        <w:rPr>
          <w:rFonts w:cstheme="minorHAnsi"/>
          <w:color w:val="000000" w:themeColor="text1"/>
        </w:rPr>
        <w:t>The use of alcohols as H-transfer reductants in DODH reactions has also received attention.</w:t>
      </w:r>
      <w:r w:rsidRPr="00E47369">
        <w:rPr>
          <w:rFonts w:cstheme="minorHAnsi"/>
          <w:color w:val="000000" w:themeColor="text1"/>
        </w:rPr>
        <w:fldChar w:fldCharType="begin"/>
      </w:r>
      <w:r w:rsidRPr="00E47369">
        <w:rPr>
          <w:rFonts w:cstheme="minorHAnsi"/>
          <w:color w:val="000000" w:themeColor="text1"/>
        </w:rPr>
        <w:instrText xml:space="preserve"> ADDIN ZOTERO_ITEM CSL_CITATION {"citationID":"1r7k40kjhp","properties":{"formattedCitation":"{\\rtf \\super 41,44\\uc0\\u8211{}46\\nosupersub{}}","plainCitation":"41,44–46"},"citationItems":[{"id":279,"uris":["http://zotero.org/users/1624234/items/J3VCXV7S"],"uri":["http://zotero.org/users/1624234/items/J3VCXV7S"],"itemData":{"id":279,"type":"article-journal","title":"Rhenium-Catalyzed Didehydroxylation of Vicinal Diols to Alkenes Using a Simple Alcohol as a Reducing Agent","container-title":"Journal of the American Chemical Society","page":"11408-11409","volume":"132","issue":"33","source":"ACS Publications","abstract":"A new method for the catalytic didehydroxylation of vicinal diols is described. Employing a readily available low-valent rhenium carbonyl complex and a simple alcohol as a reducing agent, both terminal and internal vicinal diols are deoxygenated to olefins in good yield. The optional addition of acid (TsOH, H2SO4) provides access to lower reaction temperatures. This new system enables the transformation of a four-carbon sugar polyol into an oxygen-reduced compound, providing promising evidence for its practical application to produce unsaturated compounds from biomass-derived materials.","DOI":"10.1021/ja103436v","ISSN":"0002-7863","journalAbbreviation":"J. Am. Chem. Soc.","author":[{"family":"Arceo","given":"Elena"},{"family":"Ellman","given":"Jonathan A."},{"family":"Bergman","given":"Robert G."}],"issued":{"date-parts":[["2010"]],"season":"août"}}},{"id":154,"uris":["http://zotero.org/users/1624234/items/9UNQ7VFF"],"uri":["http://zotero.org/users/1624234/items/9UNQ7VFF"],"itemData":{"id":154,"type":"article-journal","title":"Deoxygenation of Biomass-Derived Feedstocks: Oxorhenium-Catalyzed Deoxydehydration of Sugars and Sugar Alcohols","container-title":"Angewandte Chemie International Edition","page":"8082-8086","volume":"51","issue":"32","source":"CrossRef","DOI":"10.1002/anie.201203877","ISSN":"14337851","shortTitle":"Deoxygenation of Biomass-Derived Feedstocks","author":[{"family":"Shiramizu","given":"Mika"},{"family":"Toste","given":"F. Dean"}],"issued":{"date-parts":[["2012",8,6]]}}},{"id":435,"uris":["http://zotero.org/users/1624234/items/VS4SE8DS"],"uri":["http://zotero.org/users/1624234/items/VS4SE8DS"],"itemData":{"id":435,"type":"article-journal","title":"Catalytic Deoxydehydration of Glycols with Alcohol Reductants","container-title":"ChemSusChem","page":"597-599","volume":"6","issue":"4","source":"CrossRef","DOI":"10.1002/cssc.201200781","ISSN":"18645631","author":[{"family":"Boucher-Jacobs","given":"Camille"},{"family":"Nicholas","given":"Kenneth M."}],"issued":{"date-parts":[["2013",4]]}}},{"id":405,"uris":["http://zotero.org/users/1624234/items/T47EEJV6"],"uri":["http://zotero.org/users/1624234/items/T47EEJV6"],"itemData":{"id":405,"type":"article-journal","title":"Expanding the Scope of Biomass-Derived Chemicals through Tandem Reactions Based on Oxorhenium-Catalyzed Deoxydehydration","container-title":"Angewandte Chemie International Edition","page":"12905-12909","volume":"52","issue":"49","source":"Wiley Online Library","DOI":"10.1002/anie.201307564","ISSN":"1521-3773","journalAbbreviation":"Angew. Chem. Int. Ed.","language":"en","author":[{"family":"Shiramizu","given":"Mika"},{"family":"Toste","given":"F. Dean"}],"issued":{"date-parts":[["2013"]]}}}],"schema":"https://github.com/citation-style-language/schema/raw/master/csl-citation.json"} </w:instrText>
      </w:r>
      <w:r w:rsidRPr="00E47369">
        <w:rPr>
          <w:rFonts w:cstheme="minorHAnsi"/>
          <w:color w:val="000000" w:themeColor="text1"/>
        </w:rPr>
        <w:fldChar w:fldCharType="separate"/>
      </w:r>
      <w:r w:rsidRPr="00E47369">
        <w:rPr>
          <w:rFonts w:cstheme="minorHAnsi"/>
          <w:vertAlign w:val="superscript"/>
        </w:rPr>
        <w:t>41,44–46</w:t>
      </w:r>
      <w:r w:rsidRPr="00E47369">
        <w:rPr>
          <w:rFonts w:cstheme="minorHAnsi"/>
          <w:color w:val="000000" w:themeColor="text1"/>
        </w:rPr>
        <w:fldChar w:fldCharType="end"/>
      </w:r>
      <w:r w:rsidRPr="00E47369">
        <w:rPr>
          <w:rFonts w:cstheme="minorHAnsi"/>
          <w:color w:val="000000" w:themeColor="text1"/>
        </w:rPr>
        <w:t xml:space="preserve"> Typically, secondary alcohols have been used, often as the reaction solvent.</w:t>
      </w:r>
      <w:r w:rsidRPr="00E47369">
        <w:rPr>
          <w:rFonts w:cstheme="minorHAnsi"/>
          <w:color w:val="000000" w:themeColor="text1"/>
        </w:rPr>
        <w:fldChar w:fldCharType="begin"/>
      </w:r>
      <w:r w:rsidRPr="00E47369">
        <w:rPr>
          <w:rFonts w:cstheme="minorHAnsi"/>
          <w:color w:val="000000" w:themeColor="text1"/>
        </w:rPr>
        <w:instrText xml:space="preserve"> ADDIN ZOTERO_ITEM CSL_CITATION {"citationID":"1upa2gqan0","properties":{"formattedCitation":"{\\rtf \\super 41,44\\nosupersub{}}","plainCitation":"41,44"},"citationItems":[{"id":279,"uris":["http://zotero.org/users/1624234/items/J3VCXV7S"],"uri":["http://zotero.org/users/1624234/items/J3VCXV7S"],"itemData":{"id":279,"type":"article-journal","title":"Rhenium-Catalyzed Didehydroxylation of Vicinal Diols to Alkenes Using a Simple Alcohol as a Reducing Agent","container-title":"Journal of the American Chemical Society","page":"11408-11409","volume":"132","issue":"33","source":"ACS Publications","abstract":"A new method for the catalytic didehydroxylation of vicinal diols is described. Employing a readily available low-valent rhenium carbonyl complex and a simple alcohol as a reducing agent, both terminal and internal vicinal diols are deoxygenated to olefins in good yield. The optional addition of acid (TsOH, H2SO4) provides access to lower reaction temperatures. This new system enables the transformation of a four-carbon sugar polyol into an oxygen-reduced compound, providing promising evidence for its practical application to produce unsaturated compounds from biomass-derived materials.","DOI":"10.1021/ja103436v","ISSN":"0002-7863","journalAbbreviation":"J. Am. Chem. Soc.","author":[{"family":"Arceo","given":"Elena"},{"family":"Ellman","given":"Jonathan A."},{"family":"Bergman","given":"Robert G."}],"issued":{"date-parts":[["2010"]],"season":"août"}}},{"id":154,"uris":["http://zotero.org/users/1624234/items/9UNQ7VFF"],"uri":["http://zotero.org/users/1624234/items/9UNQ7VFF"],"itemData":{"id":154,"type":"article-journal","title":"Deoxygenation of Biomass-Derived Feedstocks: Oxorhenium-Catalyzed Deoxydehydration of Sugars and Sugar Alcohols","container-title":"Angewandte Chemie International Edition","page":"8082-8086","volume":"51","issue":"32","source":"CrossRef","DOI":"10.1002/anie.201203877","ISSN":"14337851","shortTitle":"Deoxygenation of Biomass-Derived Feedstocks","author":[{"family":"Shiramizu","given":"Mika"},{"family":"Toste","given":"F. Dean"}],"issued":{"date-parts":[["2012",8,6]]}}}],"schema":"https://github.com/citation-style-language/schema/raw/master/csl-citation.json"} </w:instrText>
      </w:r>
      <w:r w:rsidRPr="00E47369">
        <w:rPr>
          <w:rFonts w:cstheme="minorHAnsi"/>
          <w:color w:val="000000" w:themeColor="text1"/>
        </w:rPr>
        <w:fldChar w:fldCharType="separate"/>
      </w:r>
      <w:r w:rsidRPr="00E47369">
        <w:rPr>
          <w:rFonts w:cstheme="minorHAnsi"/>
          <w:vertAlign w:val="superscript"/>
        </w:rPr>
        <w:t>41,44</w:t>
      </w:r>
      <w:r w:rsidRPr="00E47369">
        <w:rPr>
          <w:rFonts w:cstheme="minorHAnsi"/>
          <w:color w:val="000000" w:themeColor="text1"/>
        </w:rPr>
        <w:fldChar w:fldCharType="end"/>
      </w:r>
      <w:r w:rsidRPr="00E47369">
        <w:rPr>
          <w:rFonts w:cstheme="minorHAnsi"/>
          <w:color w:val="000000" w:themeColor="text1"/>
        </w:rPr>
        <w:t xml:space="preserve"> The activated primary alcohol, benzyl alcohol, has been employed stoichiometrically together with MeReO</w:t>
      </w:r>
      <w:r w:rsidRPr="00E47369">
        <w:rPr>
          <w:rFonts w:cstheme="minorHAnsi"/>
          <w:color w:val="000000" w:themeColor="text1"/>
          <w:vertAlign w:val="subscript"/>
        </w:rPr>
        <w:t>3</w:t>
      </w:r>
      <w:r w:rsidRPr="00E47369">
        <w:rPr>
          <w:rFonts w:cstheme="minorHAnsi"/>
          <w:color w:val="000000" w:themeColor="text1"/>
        </w:rPr>
        <w:t xml:space="preserve"> or NH</w:t>
      </w:r>
      <w:r w:rsidRPr="00E47369">
        <w:rPr>
          <w:rFonts w:cstheme="minorHAnsi"/>
          <w:color w:val="000000" w:themeColor="text1"/>
          <w:vertAlign w:val="subscript"/>
        </w:rPr>
        <w:t>4</w:t>
      </w:r>
      <w:r w:rsidRPr="00E47369">
        <w:rPr>
          <w:rFonts w:cstheme="minorHAnsi"/>
          <w:color w:val="000000" w:themeColor="text1"/>
        </w:rPr>
        <w:t>ReO</w:t>
      </w:r>
      <w:r w:rsidRPr="00E47369">
        <w:rPr>
          <w:rFonts w:cstheme="minorHAnsi"/>
          <w:color w:val="000000" w:themeColor="text1"/>
          <w:vertAlign w:val="subscript"/>
        </w:rPr>
        <w:t>4</w:t>
      </w:r>
      <w:r w:rsidRPr="00E47369">
        <w:rPr>
          <w:rFonts w:cstheme="minorHAnsi"/>
          <w:color w:val="000000" w:themeColor="text1"/>
        </w:rPr>
        <w:t xml:space="preserve"> for the DODH of organic soluble glycols.</w:t>
      </w:r>
      <w:r w:rsidRPr="00E47369">
        <w:rPr>
          <w:rFonts w:cstheme="minorHAnsi"/>
          <w:color w:val="000000" w:themeColor="text1"/>
        </w:rPr>
        <w:fldChar w:fldCharType="begin"/>
      </w:r>
      <w:r w:rsidRPr="00E47369">
        <w:rPr>
          <w:rFonts w:cstheme="minorHAnsi"/>
          <w:color w:val="000000" w:themeColor="text1"/>
        </w:rPr>
        <w:instrText xml:space="preserve"> ADDIN ZOTERO_ITEM CSL_CITATION {"citationID":"1qlgdc8jh4","properties":{"formattedCitation":"{\\rtf \\super 46\\nosupersub{}}","plainCitation":"46"},"citationItems":[{"id":435,"uris":["http://zotero.org/users/1624234/items/VS4SE8DS"],"uri":["http://zotero.org/users/1624234/items/VS4SE8DS"],"itemData":{"id":435,"type":"article-journal","title":"Catalytic Deoxydehydration of Glycols with Alcohol Reductants","container-title":"ChemSusChem","page":"597-599","volume":"6","issue":"4","source":"CrossRef","DOI":"10.1002/cssc.201200781","ISSN":"18645631","author":[{"family":"Boucher-Jacobs","given":"Camille"},{"family":"Nicholas","given":"Kenneth M."}],"issued":{"date-parts":[["2013",4]]}}}],"schema":"https://github.com/citation-style-language/schema/raw/master/csl-citation.json"} </w:instrText>
      </w:r>
      <w:r w:rsidRPr="00E47369">
        <w:rPr>
          <w:rFonts w:cstheme="minorHAnsi"/>
          <w:color w:val="000000" w:themeColor="text1"/>
        </w:rPr>
        <w:fldChar w:fldCharType="separate"/>
      </w:r>
      <w:r w:rsidRPr="00E47369">
        <w:rPr>
          <w:rFonts w:cstheme="minorHAnsi"/>
          <w:vertAlign w:val="superscript"/>
        </w:rPr>
        <w:t>46</w:t>
      </w:r>
      <w:r w:rsidRPr="00E47369">
        <w:rPr>
          <w:rFonts w:cstheme="minorHAnsi"/>
          <w:color w:val="000000" w:themeColor="text1"/>
        </w:rPr>
        <w:fldChar w:fldCharType="end"/>
      </w:r>
      <w:r w:rsidRPr="00E47369">
        <w:rPr>
          <w:rFonts w:cstheme="minorHAnsi"/>
          <w:color w:val="000000" w:themeColor="text1"/>
        </w:rPr>
        <w:t xml:space="preserve"> Shiramizu and Toste found 1-butanol to be effective as a reducing agent and solvent in combination with perrhenic acid as catalyst.</w:t>
      </w:r>
      <w:r w:rsidRPr="00E47369">
        <w:rPr>
          <w:rFonts w:cstheme="minorHAnsi"/>
          <w:color w:val="000000" w:themeColor="text1"/>
        </w:rPr>
        <w:fldChar w:fldCharType="begin"/>
      </w:r>
      <w:r w:rsidRPr="00E47369">
        <w:rPr>
          <w:rFonts w:cstheme="minorHAnsi"/>
          <w:color w:val="000000" w:themeColor="text1"/>
        </w:rPr>
        <w:instrText xml:space="preserve"> ADDIN ZOTERO_ITEM CSL_CITATION {"citationID":"qa8tm2m1u","properties":{"formattedCitation":"{\\rtf \\super 45\\nosupersub{}}","plainCitation":"45"},"citationItems":[{"id":405,"uris":["http://zotero.org/users/1624234/items/T47EEJV6"],"uri":["http://zotero.org/users/1624234/items/T47EEJV6"],"itemData":{"id":405,"type":"article-journal","title":"Expanding the Scope of Biomass-Derived Chemicals through Tandem Reactions Based on Oxorhenium-Catalyzed Deoxydehydration","container-title":"Angewandte Chemie International Edition","page":"12905-12909","volume":"52","issue":"49","source":"Wiley Online Library","DOI":"10.1002/anie.201307564","ISSN":"1521-3773","journalAbbreviation":"Angew. Chem. Int. Ed.","language":"en","author":[{"family":"Shiramizu","given":"Mika"},{"family":"Toste","given":"F. Dean"}],"issued":{"date-parts":[["2013"]]}}}],"schema":"https://github.com/citation-style-language/schema/raw/master/csl-citation.json"} </w:instrText>
      </w:r>
      <w:r w:rsidRPr="00E47369">
        <w:rPr>
          <w:rFonts w:cstheme="minorHAnsi"/>
          <w:color w:val="000000" w:themeColor="text1"/>
        </w:rPr>
        <w:fldChar w:fldCharType="separate"/>
      </w:r>
      <w:r w:rsidRPr="00E47369">
        <w:rPr>
          <w:rFonts w:cstheme="minorHAnsi"/>
          <w:vertAlign w:val="superscript"/>
        </w:rPr>
        <w:t>45</w:t>
      </w:r>
      <w:r w:rsidRPr="00E47369">
        <w:rPr>
          <w:rFonts w:cstheme="minorHAnsi"/>
          <w:color w:val="000000" w:themeColor="text1"/>
        </w:rPr>
        <w:fldChar w:fldCharType="end"/>
      </w:r>
      <w:r w:rsidRPr="00E47369">
        <w:rPr>
          <w:rFonts w:cstheme="minorHAnsi"/>
          <w:color w:val="000000" w:themeColor="text1"/>
        </w:rPr>
        <w:t xml:space="preserve"> The mechanistic details of the alcohol-driven DODH have been the subject of some debate regarding which Re-intermediates react with the reductant and how the hydrogens </w:t>
      </w:r>
      <w:r w:rsidRPr="00E47369">
        <w:rPr>
          <w:rFonts w:cstheme="minorHAnsi"/>
        </w:rPr>
        <w:t>are transferred.</w:t>
      </w:r>
      <w:r w:rsidRPr="00E47369">
        <w:rPr>
          <w:rFonts w:cstheme="minorHAnsi"/>
        </w:rPr>
        <w:fldChar w:fldCharType="begin"/>
      </w:r>
      <w:r w:rsidRPr="00E47369">
        <w:rPr>
          <w:rFonts w:cstheme="minorHAnsi"/>
        </w:rPr>
        <w:instrText xml:space="preserve"> ADDIN ZOTERO_ITEM CSL_CITATION {"citationID":"1q22qj0di2","properties":{"formattedCitation":"{\\rtf \\super 48,73,74\\nosupersub{}}","plainCitation":"48,73,74"},"citationItems":[{"id":190,"uris":["http://zotero.org/users/1624234/items/CSPTPQED"],"uri":["http://zotero.org/users/1624234/items/CSPTPQED"],"itemData":{"id":190,"type":"article-journal","title":"Mechanism of MTO-Catalyzed Deoxydehydration of Diols to Alkenes Using Sacrificial Alcohols","container-title":"Organometallics","page":"3210-3219","volume":"32","issue":"11","source":"ACS Publications","abstract":"Catalytic deoxydehydration (DODH) of vicinal diols is carried out employing methyltrioxorhenium (MTO) as the catalyst and a sacrificial alcohol as the reducing agent. The reaction kinetics feature an induction period when MTO is added last and show zero-order in [diol] and half-order dependence on [catalyst]. The rate-determining step involves reaction with alcohol, as evidenced by a KIE of 1.4 and a large negative entropy of activation (?S? = ?154 ± 33 J mol?1 K?1). The active form of the catalyst is methyldioxorhenium(V) (MDO), which is formed by reduction of MTO by alcohol or via a novel C?C bond cleavage of an MTO-diolate complex. The majority of the MDO-diolate complex is present in dinuclear form, giving rise to the [Re]1/2 dependence. The MDO-diolate complex undergoes further reduction by alcohol in the rate-determining step to give rise to a putative rhenium(III) diolate. The latter is the active species in DODH extruding stereoselectively trans-stilbene from (R,R)-(+)-hydrobenzoin to regenerate MDO and complete the catalytic cycle.","DOI":"10.1021/om400127z","ISSN":"0276-7333","journalAbbreviation":"Organometallics","author":[{"family":"Liu","given":"Shuo"},{"family":"Senocak","given":"Aysegul"},{"family":"Smeltz","given":"Jessica L."},{"family":"Yang","given":"Linan"},{"family":"Wegenhart","given":"Benjamin"},{"family":"Yi","given":"Jing"},{"family":"Kenttämaa","given":"Hilkka I."},{"family":"Ison","given":"Elon A."},{"family":"Abu-Omar","given":"Mahdi M."}],"issued":{"date-parts":[["2013"]],"season":"juin"}}},{"id":356,"uris":["http://zotero.org/users/1624234/items/PZXJVJPG"],"uri":["http://zotero.org/users/1624234/items/PZXJVJPG"],"itemData":{"id":356,"type":"article-journal","title":"In Situ Spectroscopic Investigation of the Rhenium-Catalyzed Deoxydehydration of Vicinal Diols","container-title":"ChemCatChem","page":"n/a-n/a","source":"Wiley Online Library","abstract":"The mechanism of the CH3ReO3-catalyzed deoxydehydration of a vicinal diol to an alkene driven by oxidation of a secondary alcohol was investigated by time-resolved, in situ IR spectroscopy and was found to occur in three steps: 1) reduction of the catalytically active methyltrioxorhenium(VII) to a rhenium(V) complex (the rate-limiting step), 2) condensation of the diol and the rhenium(V) complex to a rhenium(V) diolate, and 3) extrusion of the alkene accompanied by oxidation of the Re center and thus regeneration of CH3ReO3. The reaction follows zero-order kinetics initially but, unexpectedly, accelerates towards the end, which is explained in terms of a deactivating pre-equilibrium, in which the catalytically active CH3ReO3 condenses reversibly with the diol to form an inactive rhenium(VII) diolate. This conclusion is supported by the direct observation of a catalytically inactive species as well as DFT calculations of the IR spectra of the relevant compounds.","DOI":"10.1002/cctc.201403012","ISSN":"1867-3899","journalAbbreviation":"ChemCatChem","language":"en","author":[{"family":"Dethlefsen","given":"Johannes R."},{"family":"Fristrup","given":"Peter"}],"issued":{"date-parts":[["2015",3,10]]}}},{"id":19,"uris":["http://zotero.org/users/1624234/items/2CW79V7S"],"uri":["http://zotero.org/users/1624234/items/2CW79V7S"],"itemData":{"id":19,"type":"article-journal","title":"Mechanism of the Methyltrioxorhenium-Catalyzed Deoxydehydration of Polyols: A New Pathway Revealed","container-title":"Chemistry – A European Journal","page":"3827–3832","volume":"19","issue":"12","source":"Wiley Online Library","DOI":"10.1002/chem.201204001","ISSN":"1521-3765","shortTitle":"Mechanism of the Methyltrioxorhenium-Catalyzed Deoxydehydration of Polyols","language":"en","author":[{"family":"Qu","given":"Shuanglin"},{"family":"Dang","given":"Yanfeng"},{"family":"Wen","given":"Mingwei"},{"family":"Wang","given":"Zhi-Xiang"}],"issued":{"date-parts":[["2013"]]}}}],"schema":"https://github.com/citation-style-language/schema/raw/master/csl-citation.json"} </w:instrText>
      </w:r>
      <w:r w:rsidRPr="00E47369">
        <w:rPr>
          <w:rFonts w:cstheme="minorHAnsi"/>
        </w:rPr>
        <w:fldChar w:fldCharType="separate"/>
      </w:r>
      <w:r w:rsidRPr="00E47369">
        <w:rPr>
          <w:rFonts w:cstheme="minorHAnsi"/>
          <w:vertAlign w:val="superscript"/>
        </w:rPr>
        <w:t>48,73,74</w:t>
      </w:r>
      <w:r w:rsidRPr="00E47369">
        <w:rPr>
          <w:rFonts w:cstheme="minorHAnsi"/>
        </w:rPr>
        <w:fldChar w:fldCharType="end"/>
      </w:r>
      <w:r w:rsidRPr="00E47369">
        <w:rPr>
          <w:rFonts w:cstheme="minorHAnsi"/>
        </w:rPr>
        <w:t xml:space="preserve"> </w:t>
      </w:r>
    </w:p>
    <w:p w14:paraId="2DD7B475" w14:textId="56310E17" w:rsidR="00A651D8" w:rsidRPr="00E47369" w:rsidRDefault="00A651D8" w:rsidP="006042D0">
      <w:pPr>
        <w:ind w:firstLine="360"/>
        <w:jc w:val="both"/>
        <w:rPr>
          <w:rFonts w:cstheme="minorHAnsi"/>
        </w:rPr>
      </w:pPr>
      <w:r w:rsidRPr="00E47369">
        <w:rPr>
          <w:rFonts w:cstheme="minorHAnsi"/>
        </w:rPr>
        <w:t>Hydroaromatics (HA), several of which are abundant in fossil-resources, have been employed as liquid organic hydrogen carriers for hydrogenation reactions and for hydrogen storage.</w:t>
      </w:r>
      <w:r w:rsidRPr="00E47369">
        <w:rPr>
          <w:rFonts w:cstheme="minorHAnsi"/>
        </w:rPr>
        <w:fldChar w:fldCharType="begin"/>
      </w:r>
      <w:r w:rsidRPr="00E47369">
        <w:rPr>
          <w:rFonts w:cstheme="minorHAnsi"/>
        </w:rPr>
        <w:instrText xml:space="preserve"> ADDIN ZOTERO_ITEM CSL_CITATION {"citationID":"1plt67s9rs","properties":{"formattedCitation":"{\\rtf \\super 75\\nosupersub{}}","plainCitation":"75"},"citationItems":[{"id":300,"uris":["http://zotero.org/users/1624234/items/KFUJNW4T"],"uri":["http://zotero.org/users/1624234/items/KFUJNW4T"],"itemData":{"id":300,"type":"article-journal","title":"Catalysed low temperature H2 release from nitrogen heterocycles","container-title":"New Journal of Chemistry","page":"1675-1678","volume":"30","issue":"11","source":"pubs.rsc.org","abstract":"In an experimental and computational study, nitrogen- and oxygen-containing heterocycles were compared with carbocycles as liquid substrates for hydrogen release with heterogeneous catalysts. Heteroatom substitution, particularly by nitrogen, favours low temperature H2 release; indoline was fully dehydrogenated in less than 30 min with Pd/C at 110 °C.","DOI":"10.1039/B608914C","ISSN":"1369-9261","journalAbbreviation":"New J. Chem.","language":"en","author":[{"family":"Moores","given":"Audrey"},{"family":"Poyatos","given":"Macarena"},{"family":"Luo","given":"Yi"},{"family":"Crabtree","given":"Robert H."}],"issued":{"date-parts":[["2006",11,8]]}}}],"schema":"https://github.com/citation-style-language/schema/raw/master/csl-citation.json"} </w:instrText>
      </w:r>
      <w:r w:rsidRPr="00E47369">
        <w:rPr>
          <w:rFonts w:cstheme="minorHAnsi"/>
        </w:rPr>
        <w:fldChar w:fldCharType="separate"/>
      </w:r>
      <w:r w:rsidRPr="00E47369">
        <w:rPr>
          <w:rFonts w:cstheme="minorHAnsi"/>
          <w:vertAlign w:val="superscript"/>
        </w:rPr>
        <w:t>75</w:t>
      </w:r>
      <w:r w:rsidRPr="00E47369">
        <w:rPr>
          <w:rFonts w:cstheme="minorHAnsi"/>
        </w:rPr>
        <w:fldChar w:fldCharType="end"/>
      </w:r>
      <w:r w:rsidRPr="00E47369">
        <w:rPr>
          <w:rFonts w:cstheme="minorHAnsi"/>
        </w:rPr>
        <w:t xml:space="preserve"> The catalytic activity of redox-active solid metal oxides, e.g. V</w:t>
      </w:r>
      <w:r w:rsidRPr="00E47369">
        <w:rPr>
          <w:rFonts w:cstheme="minorHAnsi"/>
          <w:vertAlign w:val="subscript"/>
        </w:rPr>
        <w:t>2</w:t>
      </w:r>
      <w:r w:rsidRPr="00E47369">
        <w:rPr>
          <w:rFonts w:cstheme="minorHAnsi"/>
        </w:rPr>
        <w:t>O</w:t>
      </w:r>
      <w:r w:rsidRPr="00E47369">
        <w:rPr>
          <w:rFonts w:cstheme="minorHAnsi"/>
          <w:vertAlign w:val="subscript"/>
        </w:rPr>
        <w:t>5</w:t>
      </w:r>
      <w:r w:rsidRPr="00E47369">
        <w:rPr>
          <w:rFonts w:cstheme="minorHAnsi"/>
        </w:rPr>
        <w:t>, Fe</w:t>
      </w:r>
      <w:r w:rsidRPr="00E47369">
        <w:rPr>
          <w:rFonts w:cstheme="minorHAnsi"/>
          <w:vertAlign w:val="subscript"/>
        </w:rPr>
        <w:t>x</w:t>
      </w:r>
      <w:r w:rsidRPr="00E47369">
        <w:rPr>
          <w:rFonts w:cstheme="minorHAnsi"/>
        </w:rPr>
        <w:t>O</w:t>
      </w:r>
      <w:r w:rsidRPr="00E47369">
        <w:rPr>
          <w:rFonts w:cstheme="minorHAnsi"/>
          <w:vertAlign w:val="subscript"/>
        </w:rPr>
        <w:t>y</w:t>
      </w:r>
      <w:r w:rsidRPr="00E47369">
        <w:rPr>
          <w:rFonts w:cstheme="minorHAnsi"/>
        </w:rPr>
        <w:t>, for the dehydrogenation of alkyl aromatics, used for the production of styrene from ethyl benzene,</w:t>
      </w:r>
      <w:r w:rsidRPr="00E47369">
        <w:rPr>
          <w:rFonts w:cstheme="minorHAnsi"/>
        </w:rPr>
        <w:fldChar w:fldCharType="begin"/>
      </w:r>
      <w:r w:rsidR="00A074C8">
        <w:rPr>
          <w:rFonts w:cstheme="minorHAnsi"/>
        </w:rPr>
        <w:instrText xml:space="preserve"> ADDIN ZOTERO_ITEM CSL_CITATION {"citationID":"EvsT1xqI","properties":{"formattedCitation":"{\\rtf \\super 76\\uc0\\u8211{}80\\nosupersub{}}","plainCitation":"76–80"},"citationItems":[{"id":1469,"uris":["http://zotero.org/users/1624234/items/UCTT9R2G"],"uri":["http://zotero.org/users/1624234/items/UCTT9R2G"],"itemData":{"id":1469,"type":"article-journal","title":"Dehydrogenation of Ethylbenzene to Styrene with Carbon Dioxide Over ZrO2-based Composite Oxide Catalysts","page":"56 - 59","volume":"12","issue":"1","DOI":"10.1007/s10563-007-9039-8","journalAbbreviation":"Catalysis Surveys from Asia","author":[{"family":"Reddy","given":"Benjaram M."},{"family":"Han","given":"Dae-Soo"},{"family":"Jiang","given":"Nanzhe"},{"family":"Park","given":"Sang-Eon"}],"issued":{"date-parts":[["2008"]]}}},{"id":1486,"uris":["http://zotero.org/users/1624234/items/35ICBWPN"],"uri":["http://zotero.org/users/1624234/items/35ICBWPN"],"itemData":{"id":1486,"type":"article-journal","title":"Understanding Hydrogen Atom Transfer: From Bond Strengths to Marcus Theory","container-title":"Accounts of Chemical Research","page":"36-46","volume":"44","issue":"1","source":"ACS Publications","abstract":"Hydrogen atom transfer (HAT), a key step in many chemical, environmental, and biological processes, is one of the fundamental chemical reactions: A?H + B ? A + H?B. Traditional HAT involves p-block radicals such as tert-BuO? abstracting H? from organic molecules. More recently, the recognition that transition metal species undergo HAT has led to a broader perspective, with HAT viewed as a type of proton-coupled electron transfer (PCET). When transition metal complexes oxidize substrates by removing H? (e? + H+), typically the electron transfers to the metal and the proton to a ligand. Examples with iron-imidazolinate, vanadium-oxo, and many other complexes are discussed. Although these complexes may not ?look like? main group radicals, they have the same pattern of reactivity. For instance, their HAT rate constants parallel the A?H bond strengths within a series of similar reactions. Like main group radicals, they abstract H? much faster from O?H bonds than from C?H bonds of the same strength, showing that driving force is not the only determinant of reactivity. This Account describes our development of a conceptual framework for HAT with a Marcus theory approach. In the simplest model, the cross relation uses the self-exchange rate constants (kAH/A for AH + A) and the equilibrium constant to predict the rate constant for AH + B: kAH/B = (kAH/AkBH/BKeqf)1/2. For a variety of transition metal oxidants, kAH/B is predicted within one or two orders of magnitude with only a few exceptions. For 36 organic reactions of oxyl radicals, kAH/B is predicted with an average deviation of a factor of 3.8, and within a factor of 5 for all but six of the reactions. These reactions involve both O?H or C?H bonds, occur in either water or organic solvents, and occur over a range of 1028 in Keq and 1013 in kAH/B. The treatment of organic reactions includes the well-established kinetic solvent effect on HAT reactions. This is one of a number of secondary effects that the simple cross relation does not include, such as hydrogen tunneling and the involvement of precursor and successor complexes. This Account includes a number of case studies to illustrate these and various other issues. The success of the cross relation, despite its simplicity, shows that the Marcus approach based on free energies and intrinsic barriers captures much of the essential chemistry of HAT reactions. Among the insights derived from the analysis is that reactions correlate with free energies, not with bond enthalpies. Moreover, the radical character or spin state of an oxidant is not a primary determinant of HAT abstracting ability. The intrinsic barriers for HAT reactions can be understood, at least in part, as Marcus-type inner-sphere reorganization energies. The intrinsic barriers for diverse cross reactions are accurately obtained from the HAT self-exchange rate constants, a remarkable and unprecedented result for any type of chemical reaction other than electron transfer. The Marcus cross relation thus provides a valuable new framework for understanding and predicting HAT reactivity.","DOI":"10.1021/ar100093z","ISSN":"0001-4842","shortTitle":"Understanding Hydrogen Atom Transfer","journalAbbreviation":"Acc. Chem. Res.","author":[{"family":"Mayer","given":"James M."}],"issued":{"date-parts":[["2011",1,18]]}}},{"id":36,"uris":["http://zotero.org/users/1624234/items/37WQHGTT"],"uri":["http://zotero.org/users/1624234/items/37WQHGTT"],"itemData":{"id":36,"type":"article-journal","title":"Dehydroaromatization with V2O5","container-title":"Synlett","page":"1675-1678","volume":"24","issue":"13","source":"CrossRef","DOI":"10.1055/s-0033-1339277","ISSN":"0936-5214, 1437-2096","language":"en","author":[{"family":"Karki","given":"Megha"},{"family":"Araujo","given":"Hugo"},{"family":"Magolan","given":"Jakob"}],"issued":{"date-parts":[["2013",7,12]]}}},{"id":2073,"uris":["http://zotero.org/users/1624234/items/S85PWJUS"],"uri":["http://zotero.org/users/1624234/items/S85PWJUS"],"itemData":{"id":2073,"type":"article-journal","title":"Iron Oxide Catalysts for Dehydrogenation of Ethylbenzene in the Presence of Steam","container-title":"Catalysis Reviews","page":"285-305","volume":"8","issue":"1","source":"Taylor and Francis+NEJM","abstract":"Catalyst research for ethylbenzene (EB) dehydrogenation has been interest to many chemical manufacturers because styrene monomer is such a large-volume chemical and a steady growth of styrene markets is predicted. EB is relatively easy to dehydrogenate and the reaction may be effected by a simple thermal gas-phase process as observed by Berthelot in 1869 [l]. However, a much higher selectivity to styrene is obtained by contact catalysts. The historical evolution of EB dehydrogenation processes has been summarized by Kearby [21 and others [3].","DOI":"10.1080/01614947408071864","ISSN":"0161-4940","author":[{"family":"Lee","given":"Emerson H."}],"issued":{"date-parts":[["1974",1,1]]}}},{"id":407,"uris":["http://zotero.org/users/1624234/items/T6MB86PF"],"uri":["http://zotero.org/users/1624234/items/T6MB86PF"],"itemData":{"id":407,"type":"article-journal","title":"Iridium-Catalyzed C-3 Allylation of Indoles with Allylic Alcohols Promoted by a Brønsted Acid","container-title":"Synthesis","page":"1717-1724","volume":"46","issue":"13","source":"CrossRef","DOI":"10.1055/s-0033-1341156","ISSN":"0039-7881, 1437-210X","language":"en","author":[{"family":"Chen","given":"Shu-jie"},{"family":"Lu","given":"Guo-ping"},{"family":"Cai","given":"Chun"}],"issued":{"date-parts":[["2014",4,10]]}}}],"schema":"https://github.com/citation-style-language/schema/raw/master/csl-citation.json"} </w:instrText>
      </w:r>
      <w:r w:rsidRPr="00E47369">
        <w:rPr>
          <w:rFonts w:cstheme="minorHAnsi"/>
        </w:rPr>
        <w:fldChar w:fldCharType="separate"/>
      </w:r>
      <w:r w:rsidR="00A074C8" w:rsidRPr="00A074C8">
        <w:rPr>
          <w:rFonts w:ascii="Times New Roman" w:hAnsi="Times New Roman"/>
          <w:vertAlign w:val="superscript"/>
        </w:rPr>
        <w:t>76–80</w:t>
      </w:r>
      <w:r w:rsidRPr="00E47369">
        <w:rPr>
          <w:rFonts w:cstheme="minorHAnsi"/>
        </w:rPr>
        <w:fldChar w:fldCharType="end"/>
      </w:r>
      <w:r w:rsidRPr="00E47369">
        <w:rPr>
          <w:rFonts w:cstheme="minorHAnsi"/>
        </w:rPr>
        <w:t xml:space="preserve"> suggested to us the potential use of these reductants in homogeneous oxometal-catalyzed reactions. However, rather little is known about their reactivity with soluble oxo-metal species.</w:t>
      </w:r>
      <w:r w:rsidRPr="00E47369">
        <w:rPr>
          <w:rFonts w:cstheme="minorHAnsi"/>
        </w:rPr>
        <w:fldChar w:fldCharType="begin"/>
      </w:r>
      <w:r w:rsidRPr="00E47369">
        <w:rPr>
          <w:rFonts w:cstheme="minorHAnsi"/>
        </w:rPr>
        <w:instrText xml:space="preserve"> ADDIN ZOTERO_ITEM CSL_CITATION {"citationID":"11b58ejen5","properties":{"formattedCitation":"{\\rtf \\super 81,82\\nosupersub{}}","plainCitation":"81,82"},"citationItems":[{"id":157,"uris":["http://zotero.org/users/1624234/items/A49RCV5E"],"uri":["http://zotero.org/users/1624234/items/A49RCV5E"],"itemData":{"id":157,"type":"article-journal","title":"Slow Hydrogen Atom Transfer Reactions of Oxo- and Hydroxo-Vanadium Compounds: The Importance of Intrinsic Barriers","container-title":"Journal of the American Chemical Society","page":"4729-4743","volume":"131","issue":"13","source":"ACS Publications","abstract":"Reactions are described that interconvert vanadium(IV) oxo?hydroxo complexes [VIVO(OH)(R2bpy)2]BF4 (1a?c) and vanadium(V) dioxo complexes [VVO2(R2bpy)2]BF4 (2a?c) [R2bpy = 4,4?-di-tert-butyl-2,2?-bipyridine (tBu2bpy), a; 4,4?-dimethyl-2,2?-bipyridine (Me2bpy), b; 2,2?-bipyridine (bpy), c]. These are rare examples of pairs of isolated, sterically unencumbered, first-row metal?oxo/hydroxo complexes that differ by a hydrogen atom (H+ + e?). The VIV-tBu2bpy derivative 1a has a useful 1H NMR spectrum, despite being paramagnetic. Complex 2a abstracts H? from organic substrates with weak O?H and C?H bonds, converting 2,6-tBu2-4-MeO-C6H2OH (ArOH) and 2,2,6,6-tetramethyl-N-hydroxypiperidine (TEMPOH) to their corresponding radicals ArO? and TEMPO, hydroquinone to benzoquinone, and dihydroanthracene to anthracene. The equilibrium constant for 2a + ArOH ? 1a + ArO? is (4 ± 2) ? 10?3, implying that the VO?H bond dissociation free energy (BDFE) is 70.6 ± 1.2 kcal mol?1. Consistent with this value, 1a is oxidized by 2,4,6-tBu3C6H2O?. All of these reactions are surprisingly slow, typically occurring over hours at ambient temperatures. The net hydrogen-atom pseudo-self-exchange 1a + 2b ? 2a + 1b, using the tBu- and Me-bpy substituents as labels, also occurs slowly, with kse = 1.3 ? 10?2 M?1 s?1 at 298 K, ?H? = 15 ± 2 kcal mol?1, and ?S? = 16 ± 5 cal mol?1 K. Using this kse and the BDFE, the vanadium reactions are shown to follow the Marcus cross relation moderately well, with calculated rate constants within 102 of the observed values. The vanadium self-exchange reaction is ca. 106 slower than that for the related RuIVO(py)(bpy)22+/RuIIIOH(py)(bpy)22+ self-exchange. The origin of this dramatic difference has been probed with DFT calculations on the self-exchange reactions of 1c + 2c and on monocationic ruthenium complexes with pyrrolate or fluoride in place of the py ligands. The calculations reproduce the difference in barrier heights and show that transfer of a hydrogen atom involves more structural reorganization for vanadium than the Ru analogues. The vanadium complexes have larger changes in the metal?oxo and metal?hydroxo bond lengths, which is traced to the difference in d-orbital occupancy in the two systems. This study thus highlights the importance of intrinsic barriers in the transfer of a hydrogen atom, in addition to the thermochemical (bond strength) factors that have been previously emphasized.","DOI":"10.1021/ja808698x","ISSN":"0002-7863","shortTitle":"Slow Hydrogen Atom Transfer Reactions of Oxo- and Hydroxo-Vanadium Compounds","journalAbbreviation":"J. Am. Chem. Soc.","author":[{"family":"Waidmann","given":"Christopher R."},{"family":"Zhou","given":"Xin"},{"family":"Tsai","given":"Erin A."},{"family":"Kaminsky","given":"Werner"},{"family":"Hrovat","given":"David A."},{"family":"Borden","given":"Weston Thatcher"},{"family":"Mayer","given":"James M."}],"issued":{"date-parts":[["2009"]],"season":"avril"}}},{"id":230,"uris":["http://zotero.org/users/1624234/items/FNEFTCGP"],"uri":["http://zotero.org/users/1624234/items/FNEFTCGP"],"itemData":{"id":230,"type":"article-journal","title":"Oxidations of NADH Analogues by cis-[RuIV(bpy)2(py)(O)]2+ Occur by Hydrogen-Atom Transfer Rather than by Hydride Transfer","container-title":"Inorganic Chemistry","page":"2150-2158","volume":"44","issue":"7","source":"ACS Publications","abstract":"Oxidations of the NADH analogues 10-methyl-9,10-dihydroacridine (AcrH2) and N-benzyl 1,4-dihydronicotinamide (BNAH) by cis-[RuIV(bpy)2(py)(O)]2+ (RuIVO2+) have been studied to probe the preferences for hydrogen-atom transfer vs hydride transfer mechanisms for the C?H bond oxidation. 1H NMR spectra of completed reactions of AcrH2 and RuIVO2+, after more than ?20 min, reveal the predominant products to be 10-methylacridone (AcrO) and cis-[RuII(bpy)2(py)(MeCN)]2+. Over the first few seconds of the reaction, however, as monitored by stopped-flow optical spectroscopy, the 10-methylacridinium cation (AcrH+) is observed. AcrH+ is the product of net hydride removal from AcrH2, but hydride transfer cannot be the dominant pathway because AcrH+ is formed in only 40?50% yield and its subsequent oxidation to AcrO is relatively slow. Kinetic studies show that the reaction is first order in both RuIVO2+ and AcrH2, with k = (5.7 ± 0.3) ? 103 M-1 s-1 at 25 °C, ?H? = 5.3 ± 0.3 kcal mol-1 and ?S? = ?23 ± 1 cal mol-1 K-1. A large kinetic isotope effect is observed, kAcrH2/kAcrD2 = 12 ± 1. The kinetics of this reaction are significantly affected by O2. The rate constants for the oxidations of AcrH2 and BNAH correlate well with those for a series of hydrocarbon C?H bond oxidations by RuIVO2+. The data indicate a mechanism of initial hydrogen-atom abstraction. The acridinyl radical, AcrH?, then rapidly reacts by electron transfer (to give AcrH+) or by C?O bond formation (leading to AcrO). Thermochemical analyses show that H? and H- transfer from AcrH2 to RuIVO2+ are comparably exoergic:? ?G° = ?10 ± 2 kcal mol-1 (H?) and ?6 ± 5 kcal mol-1 (H-). That a hydrogen-atom transfer is preferred kinetically suggests that this mechanism has an equal or lower intrinsic barrier than a hydride transfer pathway.","DOI":"10.1021/ic048170q","ISSN":"0020-1669","journalAbbreviation":"Inorg. Chem.","author":[{"family":"Matsuo","given":"Takashi"},{"family":"Mayer","given":"James M."}],"issued":{"date-parts":[["2005"]],"season":"avril"}}}],"schema":"https://github.com/citation-style-language/schema/raw/master/csl-citation.json"} </w:instrText>
      </w:r>
      <w:r w:rsidRPr="00E47369">
        <w:rPr>
          <w:rFonts w:cstheme="minorHAnsi"/>
        </w:rPr>
        <w:fldChar w:fldCharType="separate"/>
      </w:r>
      <w:r w:rsidRPr="00E47369">
        <w:rPr>
          <w:rFonts w:cstheme="minorHAnsi"/>
          <w:vertAlign w:val="superscript"/>
        </w:rPr>
        <w:t>81,82</w:t>
      </w:r>
      <w:r w:rsidRPr="00E47369">
        <w:rPr>
          <w:rFonts w:cstheme="minorHAnsi"/>
        </w:rPr>
        <w:fldChar w:fldCharType="end"/>
      </w:r>
      <w:r w:rsidRPr="00E47369">
        <w:rPr>
          <w:rFonts w:cstheme="minorHAnsi"/>
        </w:rPr>
        <w:t xml:space="preserve"> In the first report of ostensibly heterogeneous catalytic DODH reactions using perrhenate supported on carbon,</w:t>
      </w:r>
      <w:r w:rsidRPr="00E47369">
        <w:rPr>
          <w:rFonts w:cstheme="minorHAnsi"/>
        </w:rPr>
        <w:fldChar w:fldCharType="begin"/>
      </w:r>
      <w:r w:rsidRPr="00E47369">
        <w:rPr>
          <w:rFonts w:cstheme="minorHAnsi"/>
        </w:rPr>
        <w:instrText xml:space="preserve"> ADDIN ZOTERO_ITEM CSL_CITATION {"citationID":"2gg543cgbu","properties":{"formattedCitation":"{\\rtf \\super 52\\nosupersub{}}","plainCitation":"52"},"citationItems":[{"id":234,"uris":["http://zotero.org/users/1624234/items/FZ9PG7TS"],"uri":["http://zotero.org/users/1624234/items/FZ9PG7TS"],"itemData":{"id":234,"type":"article-journal","title":"Deoxydehydration of Glycols Catalyzed by Carbon-Supported Perrhenate","container-title":"ChemCatChem","page":"3567-3570","volume":"5","issue":"12","source":"Wiley Online Library","DOI":"10.1002/cctc.201300545","ISSN":"1867-3899","journalAbbreviation":"ChemCatChem","language":"en","author":[{"family":"Denning","given":"Alana L."},{"family":"Dang","given":"Huong"},{"family":"Liu","given":"Zhimin"},{"family":"Nicholas","given":"Kenneth M."},{"family":"Jentoft","given":"Friederike C."}],"issued":{"date-parts":[["2013"]]}}}],"schema":"https://github.com/citation-style-language/schema/raw/master/csl-citation.json"} </w:instrText>
      </w:r>
      <w:r w:rsidRPr="00E47369">
        <w:rPr>
          <w:rFonts w:cstheme="minorHAnsi"/>
        </w:rPr>
        <w:fldChar w:fldCharType="separate"/>
      </w:r>
      <w:r w:rsidRPr="00E47369">
        <w:rPr>
          <w:rFonts w:cstheme="minorHAnsi"/>
          <w:vertAlign w:val="superscript"/>
        </w:rPr>
        <w:t>52</w:t>
      </w:r>
      <w:r w:rsidRPr="00E47369">
        <w:rPr>
          <w:rFonts w:cstheme="minorHAnsi"/>
        </w:rPr>
        <w:fldChar w:fldCharType="end"/>
      </w:r>
      <w:r w:rsidRPr="00E47369">
        <w:rPr>
          <w:rFonts w:cstheme="minorHAnsi"/>
          <w:vertAlign w:val="superscript"/>
        </w:rPr>
        <w:t xml:space="preserve"> </w:t>
      </w:r>
      <w:r w:rsidRPr="00E47369">
        <w:rPr>
          <w:rFonts w:cstheme="minorHAnsi"/>
        </w:rPr>
        <w:t>the primary reductant employed was hydrogen, but a few examples of H-transfer reductants, e.g. benzyl alcohol and tetrahydronaphthalene, were also noted. Here we report the development of efficient homogeneous catalytic DODH reactions with hydroaromatic hydrogen donors and provide insights into the nature of the reactive intermediates involved. Hydroaromatic</w:t>
      </w:r>
      <w:r w:rsidR="00E779B6">
        <w:rPr>
          <w:rFonts w:cstheme="minorHAnsi"/>
        </w:rPr>
        <w:t>s</w:t>
      </w:r>
      <w:r w:rsidRPr="00E47369">
        <w:rPr>
          <w:rFonts w:cstheme="minorHAnsi"/>
        </w:rPr>
        <w:t xml:space="preserve"> </w:t>
      </w:r>
      <w:r w:rsidR="00E779B6">
        <w:rPr>
          <w:rFonts w:cstheme="minorHAnsi"/>
        </w:rPr>
        <w:t>can be seen as</w:t>
      </w:r>
      <w:r w:rsidRPr="00E47369">
        <w:rPr>
          <w:rFonts w:cstheme="minorHAnsi"/>
        </w:rPr>
        <w:t xml:space="preserve"> hydrogen carrier</w:t>
      </w:r>
      <w:r w:rsidR="00E779B6">
        <w:rPr>
          <w:rFonts w:cstheme="minorHAnsi"/>
        </w:rPr>
        <w:t>s</w:t>
      </w:r>
      <w:r w:rsidRPr="00E47369">
        <w:rPr>
          <w:rFonts w:cstheme="minorHAnsi"/>
        </w:rPr>
        <w:t xml:space="preserve"> and could </w:t>
      </w:r>
      <w:r w:rsidR="00E779B6">
        <w:rPr>
          <w:rFonts w:cstheme="minorHAnsi"/>
        </w:rPr>
        <w:t>carry</w:t>
      </w:r>
      <w:r w:rsidRPr="00E47369">
        <w:rPr>
          <w:rFonts w:cstheme="minorHAnsi"/>
        </w:rPr>
        <w:t xml:space="preserve"> hydrogen </w:t>
      </w:r>
      <w:r w:rsidR="00E779B6" w:rsidRPr="00E47369">
        <w:rPr>
          <w:rFonts w:cstheme="minorHAnsi"/>
        </w:rPr>
        <w:t xml:space="preserve">safely </w:t>
      </w:r>
      <w:r w:rsidRPr="00E47369">
        <w:rPr>
          <w:rFonts w:cstheme="minorHAnsi"/>
        </w:rPr>
        <w:t>to the reaction mixture. Some hydrogen donors are able to provide two equivalent</w:t>
      </w:r>
      <w:r w:rsidR="00C5416D">
        <w:rPr>
          <w:rFonts w:cstheme="minorHAnsi"/>
        </w:rPr>
        <w:t>s</w:t>
      </w:r>
      <w:r w:rsidRPr="00E47369">
        <w:rPr>
          <w:rFonts w:cstheme="minorHAnsi"/>
        </w:rPr>
        <w:t xml:space="preserve"> of hydrogen which could lower the loading in reducing agent. Fin</w:t>
      </w:r>
      <w:r w:rsidR="00E779B6">
        <w:rPr>
          <w:rFonts w:cstheme="minorHAnsi"/>
        </w:rPr>
        <w:t>ally some other hydroaromatic s</w:t>
      </w:r>
      <w:r w:rsidR="00A542F3">
        <w:rPr>
          <w:rFonts w:cstheme="minorHAnsi"/>
        </w:rPr>
        <w:t>pecies could lea</w:t>
      </w:r>
      <w:r w:rsidRPr="00E47369">
        <w:rPr>
          <w:rFonts w:cstheme="minorHAnsi"/>
        </w:rPr>
        <w:t xml:space="preserve">d us </w:t>
      </w:r>
      <w:r w:rsidR="00E779B6">
        <w:rPr>
          <w:rFonts w:cstheme="minorHAnsi"/>
        </w:rPr>
        <w:t xml:space="preserve">to </w:t>
      </w:r>
      <w:r w:rsidRPr="00E47369">
        <w:rPr>
          <w:rFonts w:cstheme="minorHAnsi"/>
        </w:rPr>
        <w:t>tandem DODH/C-C bond forming reaction</w:t>
      </w:r>
      <w:r w:rsidR="00E779B6">
        <w:rPr>
          <w:rFonts w:cstheme="minorHAnsi"/>
        </w:rPr>
        <w:t>s</w:t>
      </w:r>
      <w:r w:rsidRPr="00E47369">
        <w:rPr>
          <w:rFonts w:cstheme="minorHAnsi"/>
        </w:rPr>
        <w:t>.</w:t>
      </w:r>
    </w:p>
    <w:p w14:paraId="4732C1C6" w14:textId="77777777" w:rsidR="00A651D8" w:rsidRPr="00E47369" w:rsidRDefault="00A651D8" w:rsidP="00A651D8">
      <w:pPr>
        <w:jc w:val="both"/>
        <w:rPr>
          <w:rFonts w:cstheme="minorHAnsi"/>
        </w:rPr>
      </w:pPr>
      <w:r w:rsidRPr="00E47369">
        <w:rPr>
          <w:rFonts w:cstheme="minorHAnsi"/>
        </w:rPr>
        <w:t>Most results from this chapter have been published in 2015.</w:t>
      </w:r>
      <w:r w:rsidRPr="00E47369">
        <w:rPr>
          <w:rFonts w:cstheme="minorHAnsi"/>
        </w:rPr>
        <w:fldChar w:fldCharType="begin"/>
      </w:r>
      <w:r w:rsidRPr="00E47369">
        <w:rPr>
          <w:rFonts w:cstheme="minorHAnsi"/>
        </w:rPr>
        <w:instrText xml:space="preserve"> ADDIN ZOTERO_ITEM CSL_CITATION {"citationID":"12f1tjruqt","properties":{"formattedCitation":"{\\rtf \\super 83\\nosupersub{}}","plainCitation":"83"},"citationItems":[{"id":1671,"uris":["http://zotero.org/users/1624234/items/BTSVQIK3"],"uri":["http://zotero.org/users/1624234/items/BTSVQIK3"],"itemData":{"id":1671,"type":"article-journal","title":"Oxo-Rhenium-Catalyzed Deoxydehydration of Polyols with Hydroaromatic Reductants","container-title":"Organometallics","page":"1985-1990","volume":"34","issue":"10","source":"ACS Publications","abstract":"Several dihydroaromatic compounds are shown to be effective reducing agents in the oxo-metal-catalyzed deoxydehydration of diols and polyols to produce olefins and the corresponding arenes. NH4ReO4 and MeReO3 are active catalysts for the reactions. The most effective of the hydroaromatic reductants is indoline, which is oxidized to indole. Yields for a variety of diols and polyols range from 35% to 99%. Two hydrogen donors, 1,3-cyclohexadiene and dihydroanthracene, engage in tandem DODH/cycloaddition reactions. Competition experiments show that indoline is more reactive than representative alcohols in H-transfer. Indoline is shown to reduce MeReO3 to MeReO2 via an isolable adduct, MeReO3(indoline) (4), which has been structurally characterized and is suggested to be an intermediate in the catalytic DODH process.","DOI":"10.1021/acs.organomet.5b00226","ISSN":"0276-7333","journalAbbreviation":"Organometallics","author":[{"family":"Boucher-Jacobs","given":"Camille"},{"family":"Nicholas","given":"Kenneth M."}],"issued":{"date-parts":[["2015",5,26]]}}}],"schema":"https://github.com/citation-style-language/schema/raw/master/csl-citation.json"} </w:instrText>
      </w:r>
      <w:r w:rsidRPr="00E47369">
        <w:rPr>
          <w:rFonts w:cstheme="minorHAnsi"/>
        </w:rPr>
        <w:fldChar w:fldCharType="separate"/>
      </w:r>
      <w:r w:rsidRPr="00E47369">
        <w:rPr>
          <w:rFonts w:cstheme="minorHAnsi"/>
          <w:sz w:val="22"/>
          <w:vertAlign w:val="superscript"/>
        </w:rPr>
        <w:t>83</w:t>
      </w:r>
      <w:r w:rsidRPr="00E47369">
        <w:rPr>
          <w:rFonts w:cstheme="minorHAnsi"/>
        </w:rPr>
        <w:fldChar w:fldCharType="end"/>
      </w:r>
    </w:p>
    <w:p w14:paraId="01409789" w14:textId="77777777" w:rsidR="00A651D8" w:rsidRPr="00E47369" w:rsidRDefault="00A651D8" w:rsidP="00A651D8">
      <w:pPr>
        <w:jc w:val="both"/>
        <w:rPr>
          <w:rFonts w:cstheme="minorHAnsi"/>
        </w:rPr>
      </w:pPr>
    </w:p>
    <w:p w14:paraId="260204A4" w14:textId="3D1F2C20" w:rsidR="00A651D8" w:rsidRPr="00E47369" w:rsidRDefault="00A651D8" w:rsidP="00BA0582">
      <w:pPr>
        <w:pStyle w:val="Heading2"/>
      </w:pPr>
      <w:bookmarkStart w:id="116" w:name="_Toc453571130"/>
      <w:bookmarkStart w:id="117" w:name="_Toc458938280"/>
      <w:r w:rsidRPr="00E47369">
        <w:t>Hydroaromatic</w:t>
      </w:r>
      <w:r w:rsidR="005B6220">
        <w:t>s</w:t>
      </w:r>
      <w:r w:rsidRPr="00E47369">
        <w:t xml:space="preserve"> as </w:t>
      </w:r>
      <w:r w:rsidR="00D717AF">
        <w:t>R</w:t>
      </w:r>
      <w:r w:rsidRPr="00E47369">
        <w:t xml:space="preserve">eductants for DODH and </w:t>
      </w:r>
      <w:r w:rsidR="00D717AF">
        <w:t>T</w:t>
      </w:r>
      <w:r w:rsidRPr="00E47369">
        <w:t xml:space="preserve">andem DODH/Diels Alder </w:t>
      </w:r>
      <w:bookmarkEnd w:id="116"/>
      <w:r w:rsidR="00D717AF">
        <w:t>R</w:t>
      </w:r>
      <w:r w:rsidR="00C5416D" w:rsidRPr="00E47369">
        <w:t>eactions</w:t>
      </w:r>
      <w:bookmarkEnd w:id="117"/>
    </w:p>
    <w:p w14:paraId="405CD0FD" w14:textId="3C751E90" w:rsidR="00A651D8" w:rsidRPr="00C70710" w:rsidRDefault="00A651D8" w:rsidP="00C70710">
      <w:pPr>
        <w:ind w:firstLine="360"/>
        <w:jc w:val="both"/>
      </w:pPr>
      <w:r w:rsidRPr="00E47369">
        <w:rPr>
          <w:rFonts w:cstheme="minorHAnsi"/>
        </w:rPr>
        <w:t>A set of six potential hydrogen donors were tested for efficacy under typical DODH conditions with diethyl tartrate (DET) and 1,2-octanediol as representative glycols. In these reactions (</w:t>
      </w:r>
      <w:r w:rsidR="00C70710">
        <w:rPr>
          <w:rFonts w:cstheme="minorHAnsi"/>
        </w:rPr>
        <w:t>Table II. 2.1</w:t>
      </w:r>
      <w:r w:rsidRPr="00E47369">
        <w:rPr>
          <w:rFonts w:cstheme="minorHAnsi"/>
        </w:rPr>
        <w:t xml:space="preserve">) we obtained moderate to very good yields of the alkene, from 70 to 99% </w:t>
      </w:r>
      <w:r w:rsidR="00DD0FA8">
        <w:rPr>
          <w:rFonts w:cstheme="minorHAnsi"/>
        </w:rPr>
        <w:t>with</w:t>
      </w:r>
      <w:r w:rsidRPr="00E47369">
        <w:rPr>
          <w:rFonts w:cstheme="minorHAnsi"/>
        </w:rPr>
        <w:t xml:space="preserve"> diethyl tartrate (DET) and 40 to 70% </w:t>
      </w:r>
      <w:r w:rsidR="00DD0FA8">
        <w:rPr>
          <w:rFonts w:cstheme="minorHAnsi"/>
        </w:rPr>
        <w:t>with</w:t>
      </w:r>
      <w:r w:rsidRPr="00E47369">
        <w:rPr>
          <w:rFonts w:cstheme="minorHAnsi"/>
        </w:rPr>
        <w:t xml:space="preserve"> octane diol (yields determined by NMR). In the cases of entries 2.1.5a and 2.1.6a</w:t>
      </w:r>
      <w:r w:rsidRPr="00E47369">
        <w:rPr>
          <w:rFonts w:cstheme="minorHAnsi"/>
          <w:color w:val="000000" w:themeColor="text1"/>
        </w:rPr>
        <w:t xml:space="preserve">, the DODH product, diethyl fumarate (DEF), underwent a tandem </w:t>
      </w:r>
      <w:r w:rsidRPr="00E47369">
        <w:rPr>
          <w:rFonts w:cstheme="minorHAnsi"/>
        </w:rPr>
        <w:t>Diels-Alder (DA) reaction</w:t>
      </w:r>
      <w:r w:rsidRPr="00E47369">
        <w:rPr>
          <w:rFonts w:cstheme="minorHAnsi"/>
        </w:rPr>
        <w:fldChar w:fldCharType="begin"/>
      </w:r>
      <w:r w:rsidRPr="00E47369">
        <w:rPr>
          <w:rFonts w:cstheme="minorHAnsi"/>
        </w:rPr>
        <w:instrText xml:space="preserve"> ADDIN ZOTERO_ITEM CSL_CITATION {"citationID":"2qnvrqsbbh","properties":{"formattedCitation":"{\\rtf \\super 45\\nosupersub{}}","plainCitation":"45"},"citationItems":[{"id":405,"uris":["http://zotero.org/users/1624234/items/T47EEJV6"],"uri":["http://zotero.org/users/1624234/items/T47EEJV6"],"itemData":{"id":405,"type":"article-journal","title":"Expanding the Scope of Biomass-Derived Chemicals through Tandem Reactions Based on Oxorhenium-Catalyzed Deoxydehydration","container-title":"Angewandte Chemie International Edition","page":"12905-12909","volume":"52","issue":"49","source":"Wiley Online Library","DOI":"10.1002/anie.201307564","ISSN":"1521-3773","journalAbbreviation":"Angew. Chem. Int. Ed.","language":"en","author":[{"family":"Shiramizu","given":"Mika"},{"family":"Toste","given":"F. Dean"}],"issued":{"date-parts":[["2013"]]}}}],"schema":"https://github.com/citation-style-language/schema/raw/master/csl-citation.json"} </w:instrText>
      </w:r>
      <w:r w:rsidRPr="00E47369">
        <w:rPr>
          <w:rFonts w:cstheme="minorHAnsi"/>
        </w:rPr>
        <w:fldChar w:fldCharType="separate"/>
      </w:r>
      <w:r w:rsidRPr="00E47369">
        <w:rPr>
          <w:rFonts w:cstheme="minorHAnsi"/>
          <w:vertAlign w:val="superscript"/>
        </w:rPr>
        <w:t>45</w:t>
      </w:r>
      <w:r w:rsidRPr="00E47369">
        <w:rPr>
          <w:rFonts w:cstheme="minorHAnsi"/>
        </w:rPr>
        <w:fldChar w:fldCharType="end"/>
      </w:r>
      <w:r w:rsidRPr="00E47369">
        <w:rPr>
          <w:rFonts w:cstheme="minorHAnsi"/>
        </w:rPr>
        <w:t xml:space="preserve"> (</w:t>
      </w:r>
      <w:r w:rsidRPr="00E47369">
        <w:rPr>
          <w:rFonts w:cstheme="minorHAnsi"/>
        </w:rPr>
        <w:fldChar w:fldCharType="begin"/>
      </w:r>
      <w:r w:rsidRPr="00E47369">
        <w:rPr>
          <w:rFonts w:cstheme="minorHAnsi"/>
        </w:rPr>
        <w:instrText xml:space="preserve"> REF _Ref451762219 \h </w:instrText>
      </w:r>
      <w:r w:rsidR="00E47369">
        <w:rPr>
          <w:rFonts w:cstheme="minorHAnsi"/>
        </w:rPr>
        <w:instrText xml:space="preserve"> \* MERGEFORMAT </w:instrText>
      </w:r>
      <w:r w:rsidRPr="00E47369">
        <w:rPr>
          <w:rFonts w:cstheme="minorHAnsi"/>
        </w:rPr>
      </w:r>
      <w:r w:rsidRPr="00E47369">
        <w:rPr>
          <w:rFonts w:cstheme="minorHAnsi"/>
        </w:rPr>
        <w:fldChar w:fldCharType="separate"/>
      </w:r>
      <w:r w:rsidR="000A0E3D" w:rsidRPr="000A0E3D">
        <w:rPr>
          <w:rFonts w:cstheme="minorHAnsi"/>
        </w:rPr>
        <w:t xml:space="preserve">Figure II. </w:t>
      </w:r>
      <w:r w:rsidR="000A0E3D" w:rsidRPr="000A0E3D">
        <w:rPr>
          <w:rFonts w:cstheme="minorHAnsi"/>
          <w:noProof/>
        </w:rPr>
        <w:t>2.1</w:t>
      </w:r>
      <w:r w:rsidRPr="00E47369">
        <w:rPr>
          <w:rFonts w:cstheme="minorHAnsi"/>
        </w:rPr>
        <w:fldChar w:fldCharType="end"/>
      </w:r>
      <w:r w:rsidRPr="00E47369">
        <w:rPr>
          <w:rFonts w:cstheme="minorHAnsi"/>
        </w:rPr>
        <w:t xml:space="preserve"> and </w:t>
      </w:r>
      <w:r w:rsidRPr="00E47369">
        <w:rPr>
          <w:rFonts w:cstheme="minorHAnsi"/>
        </w:rPr>
        <w:fldChar w:fldCharType="begin"/>
      </w:r>
      <w:r w:rsidRPr="00E47369">
        <w:rPr>
          <w:rFonts w:cstheme="minorHAnsi"/>
        </w:rPr>
        <w:instrText xml:space="preserve"> REF _Ref451762278 \h </w:instrText>
      </w:r>
      <w:r w:rsidR="00E47369">
        <w:rPr>
          <w:rFonts w:cstheme="minorHAnsi"/>
        </w:rPr>
        <w:instrText xml:space="preserve"> \* MERGEFORMAT </w:instrText>
      </w:r>
      <w:r w:rsidRPr="00E47369">
        <w:rPr>
          <w:rFonts w:cstheme="minorHAnsi"/>
        </w:rPr>
      </w:r>
      <w:r w:rsidRPr="00E47369">
        <w:rPr>
          <w:rFonts w:cstheme="minorHAnsi"/>
        </w:rPr>
        <w:fldChar w:fldCharType="separate"/>
      </w:r>
      <w:r w:rsidR="000A0E3D" w:rsidRPr="000A0E3D">
        <w:rPr>
          <w:rFonts w:cstheme="minorHAnsi"/>
        </w:rPr>
        <w:t xml:space="preserve">Figure II. </w:t>
      </w:r>
      <w:r w:rsidR="000A0E3D" w:rsidRPr="000A0E3D">
        <w:rPr>
          <w:rFonts w:cstheme="minorHAnsi"/>
          <w:noProof/>
        </w:rPr>
        <w:t>2.2</w:t>
      </w:r>
      <w:r w:rsidRPr="00E47369">
        <w:rPr>
          <w:rFonts w:cstheme="minorHAnsi"/>
        </w:rPr>
        <w:fldChar w:fldCharType="end"/>
      </w:r>
      <w:r w:rsidRPr="00E47369">
        <w:rPr>
          <w:rFonts w:cstheme="minorHAnsi"/>
        </w:rPr>
        <w:t xml:space="preserve">). In the first case (entry </w:t>
      </w:r>
      <w:r w:rsidR="00BE514F" w:rsidRPr="00E47369">
        <w:rPr>
          <w:rFonts w:cstheme="minorHAnsi"/>
        </w:rPr>
        <w:t>II.</w:t>
      </w:r>
      <w:r w:rsidRPr="00E47369">
        <w:rPr>
          <w:rFonts w:cstheme="minorHAnsi"/>
        </w:rPr>
        <w:t xml:space="preserve">2.1.5.a) 1,3-cyclohexadiene serves both as the </w:t>
      </w:r>
      <w:r w:rsidRPr="00E47369">
        <w:rPr>
          <w:rFonts w:cstheme="minorHAnsi"/>
          <w:color w:val="000000" w:themeColor="text1"/>
        </w:rPr>
        <w:t xml:space="preserve">reducing agent for the DODH reaction and as the diene for the Diels-Alder reaction, providing the trans-cycloadduct </w:t>
      </w:r>
      <w:r w:rsidRPr="00E47369">
        <w:rPr>
          <w:rFonts w:cstheme="minorHAnsi"/>
          <w:b/>
          <w:color w:val="000000" w:themeColor="text1"/>
        </w:rPr>
        <w:t>1</w:t>
      </w:r>
      <w:r w:rsidRPr="00E47369">
        <w:rPr>
          <w:rFonts w:cstheme="minorHAnsi"/>
          <w:b/>
          <w:color w:val="000000" w:themeColor="text1"/>
        </w:rPr>
        <w:fldChar w:fldCharType="begin"/>
      </w:r>
      <w:r w:rsidRPr="00E47369">
        <w:rPr>
          <w:rFonts w:cstheme="minorHAnsi"/>
          <w:b/>
          <w:color w:val="000000" w:themeColor="text1"/>
        </w:rPr>
        <w:instrText xml:space="preserve"> ADDIN ZOTERO_ITEM CSL_CITATION {"citationID":"1hik9n4l1l","properties":{"formattedCitation":"{\\rtf \\super 84\\nosupersub{}}","plainCitation":"84"},"citationItems":[{"id":310,"uris":["http://zotero.org/users/1624234/items/M9DHR2SB"],"uri":["http://zotero.org/users/1624234/items/M9DHR2SB"],"itemData":{"id":310,"type":"article-journal","title":"Electron-transfer pathway for photoinduced Diels–Alder cycloadditions","container-title":"Journal of Photochemistry and Photobiology A: Chemistry","page":"87-94","volume":"122","issue":"2","source":"ScienceDirect","abstract":"The photoinduced [4 + 2] cycloadditions of anthracene to maleic anhydride and various maleimides yield the Diels–Alder adducts in high (chemical) yields. Analysis of the efficiency of these photoreactions as a function of the dienophile concentration leads to limiting quantum efficiencies of Φ = 0.014 and Φ = 0.16 for maleic anhydride and N-(pentafluorophenyl)maleimide, respectively. Picosecond time-resolved spectroscopy reveals the one-electron transfer from excited (singlet) anthracene to the dienophile acceptor (resulting in the formation of anthracene cation radical and dienophile anion radical) as the critical step prior to cycloaddition. Competition between coupling, back-electron transfer and dissociation of the ion-radical pair which depends on the solvent polarity and the presence of added (inert) salt, limits the quantum yields of adduct formation.","DOI":"10.1016/S1010-6030(99)00007-6","ISSN":"1010-6030","journalAbbreviation":"Journal of Photochemistry and Photobiology A: Chemistry","author":[{"family":"Sun","given":"Duoli"},{"family":"Hubig","given":"Stephan M."},{"family":"Kochi","given":"Jay K."}],"issued":{"date-parts":[["1999",3,19]]}}}],"schema":"https://github.com/citation-style-language/schema/raw/master/csl-citation.json"} </w:instrText>
      </w:r>
      <w:r w:rsidRPr="00E47369">
        <w:rPr>
          <w:rFonts w:cstheme="minorHAnsi"/>
          <w:b/>
          <w:color w:val="000000" w:themeColor="text1"/>
        </w:rPr>
        <w:fldChar w:fldCharType="separate"/>
      </w:r>
      <w:r w:rsidRPr="00E47369">
        <w:rPr>
          <w:rFonts w:cstheme="minorHAnsi"/>
          <w:sz w:val="22"/>
          <w:vertAlign w:val="superscript"/>
        </w:rPr>
        <w:t>84</w:t>
      </w:r>
      <w:r w:rsidRPr="00E47369">
        <w:rPr>
          <w:rFonts w:cstheme="minorHAnsi"/>
          <w:b/>
          <w:color w:val="000000" w:themeColor="text1"/>
        </w:rPr>
        <w:fldChar w:fldCharType="end"/>
      </w:r>
      <w:r w:rsidRPr="00E47369">
        <w:rPr>
          <w:rFonts w:cstheme="minorHAnsi"/>
          <w:color w:val="000000" w:themeColor="text1"/>
        </w:rPr>
        <w:t xml:space="preserve"> in 78 to 90% yield depending on the solvent used. In the second case (entry </w:t>
      </w:r>
      <w:r w:rsidR="00BE514F" w:rsidRPr="00E47369">
        <w:rPr>
          <w:rFonts w:cstheme="minorHAnsi"/>
          <w:color w:val="000000" w:themeColor="text1"/>
        </w:rPr>
        <w:t>II.</w:t>
      </w:r>
      <w:r w:rsidRPr="00E47369">
        <w:rPr>
          <w:rFonts w:cstheme="minorHAnsi"/>
          <w:color w:val="000000" w:themeColor="text1"/>
        </w:rPr>
        <w:t xml:space="preserve">2.1.6.a), 9,10-dihydroanthracene was employed as the reductant </w:t>
      </w:r>
      <w:r w:rsidRPr="00E47369">
        <w:rPr>
          <w:rFonts w:cstheme="minorHAnsi"/>
        </w:rPr>
        <w:t xml:space="preserve">for DET, expecting to generate anthracene and fumarate, which would engage in cycloaddition. Indeed, the trans-adduct </w:t>
      </w:r>
      <w:r w:rsidRPr="00E47369">
        <w:rPr>
          <w:rFonts w:cstheme="minorHAnsi"/>
          <w:b/>
        </w:rPr>
        <w:t>2</w:t>
      </w:r>
      <w:r w:rsidRPr="00E47369">
        <w:rPr>
          <w:rFonts w:cstheme="minorHAnsi"/>
          <w:b/>
        </w:rPr>
        <w:fldChar w:fldCharType="begin"/>
      </w:r>
      <w:r w:rsidRPr="00E47369">
        <w:rPr>
          <w:rFonts w:cstheme="minorHAnsi"/>
          <w:b/>
        </w:rPr>
        <w:instrText xml:space="preserve"> ADDIN ZOTERO_ITEM CSL_CITATION {"citationID":"bk8p452pd","properties":{"formattedCitation":"{\\rtf \\super 85\\nosupersub{}}","plainCitation":"85"},"citationItems":[{"id":416,"uris":["http://zotero.org/users/1624234/items/TVDSJ7EG"],"uri":["http://zotero.org/users/1624234/items/TVDSJ7EG"],"itemData":{"id":416,"type":"article-journal","title":"Synthesis of Phthalocyanine Fused with Bicyclo[2.2.2]octadienes and Thermal Conversion into Naphthalocyanine","container-title":"HETEROCYCLES","page":"835","volume":"74","issue":"1","source":"CrossRef","DOI":"10.3987/COM-07-S(W)75","ISSN":"0385-5414","language":"en","author":[{"family":"Ono","given":"Noboru"},{"family":"Akiyama","given":"Taiji"},{"family":"Hirao","given":"Atsuko"},{"family":"Okujima","given":"Tetsuo"},{"family":"Yamada","given":"Hiroko"},{"family":"Uno","given":"Hidemitsu"}],"issued":{"date-parts":[["2007"]]}}}],"schema":"https://github.com/citation-style-language/schema/raw/master/csl-citation.json"} </w:instrText>
      </w:r>
      <w:r w:rsidRPr="00E47369">
        <w:rPr>
          <w:rFonts w:cstheme="minorHAnsi"/>
          <w:b/>
        </w:rPr>
        <w:fldChar w:fldCharType="separate"/>
      </w:r>
      <w:r w:rsidRPr="00E47369">
        <w:rPr>
          <w:rFonts w:cstheme="minorHAnsi"/>
          <w:sz w:val="22"/>
          <w:vertAlign w:val="superscript"/>
        </w:rPr>
        <w:t>85</w:t>
      </w:r>
      <w:r w:rsidRPr="00E47369">
        <w:rPr>
          <w:rFonts w:cstheme="minorHAnsi"/>
          <w:b/>
        </w:rPr>
        <w:fldChar w:fldCharType="end"/>
      </w:r>
      <w:r w:rsidRPr="00E47369">
        <w:rPr>
          <w:rFonts w:cstheme="minorHAnsi"/>
        </w:rPr>
        <w:t xml:space="preserve"> was formed, albeit in a modest 40% yield, with about 25% of fumarate remaining. </w:t>
      </w:r>
    </w:p>
    <w:p w14:paraId="43CA5E04" w14:textId="77777777" w:rsidR="00A651D8" w:rsidRPr="00E47369" w:rsidRDefault="00A651D8" w:rsidP="00A651D8">
      <w:pPr>
        <w:keepNext/>
        <w:jc w:val="center"/>
        <w:rPr>
          <w:rFonts w:cstheme="minorHAnsi"/>
        </w:rPr>
      </w:pPr>
      <w:r w:rsidRPr="00E47369">
        <w:rPr>
          <w:rFonts w:cstheme="minorHAnsi"/>
        </w:rPr>
        <w:object w:dxaOrig="8496" w:dyaOrig="1927" w14:anchorId="5B441AC1">
          <v:shape id="_x0000_i1059" type="#_x0000_t75" style="width:381.35pt;height:81.5pt" o:ole="">
            <v:imagedata r:id="rId78" o:title=""/>
          </v:shape>
          <o:OLEObject Type="Embed" ProgID="ChemDraw.Document.6.0" ShapeID="_x0000_i1059" DrawAspect="Content" ObjectID="_1532784913" r:id="rId79"/>
        </w:object>
      </w:r>
    </w:p>
    <w:p w14:paraId="45858CB4" w14:textId="77777777" w:rsidR="00A651D8" w:rsidRPr="00072EEF" w:rsidRDefault="00A651D8" w:rsidP="00072EEF">
      <w:pPr>
        <w:pStyle w:val="Caption"/>
      </w:pPr>
      <w:bookmarkStart w:id="118" w:name="_Ref451762219"/>
      <w:bookmarkStart w:id="119" w:name="_Toc458938381"/>
      <w:r w:rsidRPr="00072EEF">
        <w:t xml:space="preserve">Figure II. </w:t>
      </w:r>
      <w:r w:rsidR="00443010">
        <w:fldChar w:fldCharType="begin"/>
      </w:r>
      <w:r w:rsidR="00443010">
        <w:instrText xml:space="preserve"> STYLEREF 2 \s </w:instrText>
      </w:r>
      <w:r w:rsidR="00443010">
        <w:fldChar w:fldCharType="separate"/>
      </w:r>
      <w:r w:rsidR="000A0E3D">
        <w:rPr>
          <w:noProof/>
        </w:rPr>
        <w:t>2</w:t>
      </w:r>
      <w:r w:rsidR="00443010">
        <w:rPr>
          <w:noProof/>
        </w:rPr>
        <w:fldChar w:fldCharType="end"/>
      </w:r>
      <w:r w:rsidR="00BE514F" w:rsidRPr="00072EEF">
        <w:t>.</w:t>
      </w:r>
      <w:r w:rsidR="00443010">
        <w:fldChar w:fldCharType="begin"/>
      </w:r>
      <w:r w:rsidR="00443010">
        <w:instrText xml:space="preserve"> SEQ Figure_II. \* ARABIC \s 2 </w:instrText>
      </w:r>
      <w:r w:rsidR="00443010">
        <w:fldChar w:fldCharType="separate"/>
      </w:r>
      <w:r w:rsidR="000A0E3D">
        <w:rPr>
          <w:noProof/>
        </w:rPr>
        <w:t>1</w:t>
      </w:r>
      <w:r w:rsidR="00443010">
        <w:rPr>
          <w:noProof/>
        </w:rPr>
        <w:fldChar w:fldCharType="end"/>
      </w:r>
      <w:bookmarkEnd w:id="118"/>
      <w:r w:rsidRPr="00072EEF">
        <w:t xml:space="preserve"> Tandem DODH/DA with DET and 1,3-cyclohexadiene</w:t>
      </w:r>
      <w:bookmarkEnd w:id="119"/>
    </w:p>
    <w:p w14:paraId="2F73B9A5" w14:textId="77777777" w:rsidR="00A651D8" w:rsidRPr="00E47369" w:rsidRDefault="00A651D8" w:rsidP="00A651D8">
      <w:pPr>
        <w:rPr>
          <w:rFonts w:cstheme="minorHAnsi"/>
        </w:rPr>
      </w:pPr>
    </w:p>
    <w:p w14:paraId="05A5CA22" w14:textId="77777777" w:rsidR="00A651D8" w:rsidRPr="00E47369" w:rsidRDefault="00A651D8" w:rsidP="006042D0">
      <w:pPr>
        <w:ind w:firstLine="360"/>
        <w:jc w:val="both"/>
        <w:rPr>
          <w:rFonts w:cstheme="minorHAnsi"/>
        </w:rPr>
      </w:pPr>
      <w:r w:rsidRPr="00E47369">
        <w:rPr>
          <w:rFonts w:cstheme="minorHAnsi"/>
        </w:rPr>
        <w:t>Tetrahydronaphthalene (THN) from coal has been studied as a hydrogen donor.</w:t>
      </w:r>
      <w:r w:rsidRPr="00E47369">
        <w:rPr>
          <w:rFonts w:cstheme="minorHAnsi"/>
        </w:rPr>
        <w:fldChar w:fldCharType="begin"/>
      </w:r>
      <w:r w:rsidRPr="00E47369">
        <w:rPr>
          <w:rFonts w:cstheme="minorHAnsi"/>
        </w:rPr>
        <w:instrText xml:space="preserve"> ADDIN ZOTERO_ITEM CSL_CITATION {"citationID":"19lsesatq1","properties":{"formattedCitation":"{\\rtf \\super 86\\uc0\\u8211{}88\\nosupersub{}}","plainCitation":"86–88"},"citationItems":[{"id":1502,"uris":["http://zotero.org/users/1624234/items/WUKRB8Q7"],"uri":["http://zotero.org/users/1624234/items/WUKRB8Q7"],"itemData":{"id":1502,"type":"article-journal","title":"Elucidation of Hydrogen Mobility in Coal Using a Fixed Bed Flow Reactor -Hydrogen Transfer Reaction between Tritiated Hydrogen, Coal, and Tetralin-","container-title":"Energy &amp; Fuels","page":"1483-1489","volume":"16","issue":"6","source":"ACS Publications","abstract":"Hydrogen transfer reactions of coal with tritiated gaseous hydrogen in the presence of tetralin were performed using a flow reactor under the following conditions:? pressure 50 kg/cm2, temperature 200?400 °C, and reaction time 120?420 min. When Wandoan coal (WA) was used as a coal sample, functional groups participated in the hydrogen transfer reaction even at 200 °C and then decomposed at 250 °C. At 300 °C, ether bonds were cleaved to generate hydroxy groups which were decomposed at 350 °C. When the higher rank Pocahontas coal (POC) was used, functional groups participated in the hydrogen transfer reaction even at 250 °C and then decomposed at 300 °C. Further, ether bonds were cleaved at 350 °C to generate hydroxy groups which were decomposed at 400 °C. These results showed that in the case of POC coal, a 50 °C higher temperature was needed to obtain functional group behavior similar to the case of WA coal.","DOI":"10.1021/ef020078w","ISSN":"0887-0624","journalAbbreviation":"Energy Fuels","author":[{"family":"Ishihara","given":"Atsushi"},{"family":"Sutrisna","given":"I. Putu"},{"family":"Ifuku","given":"Masahiro"},{"family":"Qian","given":"Eika Weihua"},{"family":"Kabe","given":"Toshiaki"}],"issued":{"date-parts":[["2002",11,1]]}}},{"id":1505,"uris":["http://zotero.org/users/1624234/items/MF94VESX"],"uri":["http://zotero.org/users/1624234/items/MF94VESX"],"itemData":{"id":1505,"type":"article-journal","title":"Hydrogenation of anthracene over active carbon-supported nickel catalyst","container-title":"Catalysis Today","page":"361-366","volume":"45","issue":"1–4","source":"ScienceDirect","abstract":"Hydrogen transfer behavior over active carbon and carbon-supported Ni catalyst was examined in the hydrogenation of anthracene with three kinds of hydrogen sources: hydrogen gas, hydrogen-donor tetralin and the combination of both. In tetralin, active carbon itself provided higher conversions of anthracene in the temperature range of 350–400°C than Ni/C catalyst, while under the pressure of hydrogen gas, the addition of Ni metal onto active carbon remarkably promoted the hydrogenation of anthracene, providing a complete conversion at 300°C. When both tetralin and hydrogen gas were used together, an apparent improvement in both conversion and product distribution was observed with active carbon, whereas with Ni/C catalyst, the rate of hydrogen consumed in the hydrogenation was apparently low in the temperature range of 300–320°C, compared to that observed at the same temperatures using hydrogen gas alone.","DOI":"10.1016/S0920-5861(98)00264-8","ISSN":"0920-5861","journalAbbreviation":"Catalysis Today","author":[{"family":"Zhang","given":"Z. -G"},{"family":"Okada","given":"K"},{"family":"Yamamoto","given":"M"},{"family":"Yoshida","given":"T"}],"issued":{"date-parts":[["1998",10,19]]}}},{"id":1508,"uris":["http://zotero.org/users/1624234/items/45WNTX8K"],"uri":["http://zotero.org/users/1624234/items/45WNTX8K"],"itemData":{"id":1508,"type":"article-journal","title":"Kinetic isotope effects and pressure effects in several hydrogen-transfer reactions of tetralin and related compounds","container-title":"The Journal of Organic Chemistry","page":"2210-2216","volume":"50","issue":"13","source":"ACS Publications","DOI":"10.1021/jo00213a002","ISSN":"0022-3263","journalAbbreviation":"J. Org. Chem.","author":[{"family":"Pajak","given":"Janusz"},{"family":"Brower","given":"K. R."}],"issued":{"date-parts":[["1985",6,1]]}}}],"schema":"https://github.com/citation-style-language/schema/raw/master/csl-citation.json"} </w:instrText>
      </w:r>
      <w:r w:rsidRPr="00E47369">
        <w:rPr>
          <w:rFonts w:cstheme="minorHAnsi"/>
        </w:rPr>
        <w:fldChar w:fldCharType="separate"/>
      </w:r>
      <w:r w:rsidRPr="00E47369">
        <w:rPr>
          <w:rFonts w:cstheme="minorHAnsi"/>
          <w:sz w:val="22"/>
          <w:vertAlign w:val="superscript"/>
        </w:rPr>
        <w:t>86–88</w:t>
      </w:r>
      <w:r w:rsidRPr="00E47369">
        <w:rPr>
          <w:rFonts w:cstheme="minorHAnsi"/>
        </w:rPr>
        <w:fldChar w:fldCharType="end"/>
      </w:r>
      <w:r w:rsidRPr="00E47369">
        <w:rPr>
          <w:rFonts w:cstheme="minorHAnsi"/>
        </w:rPr>
        <w:t xml:space="preserve"> An attractive feature of this abundant hydroaromatic is that it could provide two equivalents of hydrogen. We further investigated its efficacy using a half or one equivalent on </w:t>
      </w:r>
      <w:r w:rsidRPr="00E47369">
        <w:rPr>
          <w:rFonts w:cstheme="minorHAnsi"/>
          <w:color w:val="000000" w:themeColor="text1"/>
        </w:rPr>
        <w:t xml:space="preserve">diethyl tartrate and 1,2-octanediol (entries </w:t>
      </w:r>
      <w:r w:rsidR="00BE514F" w:rsidRPr="00E47369">
        <w:rPr>
          <w:rFonts w:cstheme="minorHAnsi"/>
          <w:color w:val="000000" w:themeColor="text1"/>
        </w:rPr>
        <w:t>II.</w:t>
      </w:r>
      <w:r w:rsidRPr="00E47369">
        <w:rPr>
          <w:rFonts w:cstheme="minorHAnsi"/>
          <w:color w:val="000000" w:themeColor="text1"/>
        </w:rPr>
        <w:t>2.1.2.a-d). After only 17h the yields were moderate using half an equiv</w:t>
      </w:r>
      <w:r w:rsidRPr="00E47369">
        <w:rPr>
          <w:rFonts w:cstheme="minorHAnsi"/>
        </w:rPr>
        <w:t>alent of THN, improving somewhat after 48h; use of one equivalent of THN increased the yield further.</w:t>
      </w:r>
    </w:p>
    <w:p w14:paraId="44483000" w14:textId="77777777" w:rsidR="00536AE9" w:rsidRPr="00E47369" w:rsidRDefault="00536AE9" w:rsidP="00A651D8">
      <w:pPr>
        <w:jc w:val="both"/>
        <w:rPr>
          <w:rFonts w:cstheme="minorHAnsi"/>
        </w:rPr>
      </w:pPr>
    </w:p>
    <w:p w14:paraId="20664BF0" w14:textId="77777777" w:rsidR="00A651D8" w:rsidRPr="00E47369" w:rsidRDefault="007D369E" w:rsidP="00A651D8">
      <w:pPr>
        <w:keepNext/>
        <w:jc w:val="center"/>
        <w:rPr>
          <w:rFonts w:cstheme="minorHAnsi"/>
        </w:rPr>
      </w:pPr>
      <w:r w:rsidRPr="00E47369">
        <w:rPr>
          <w:rFonts w:cstheme="minorHAnsi"/>
        </w:rPr>
        <w:object w:dxaOrig="7670" w:dyaOrig="2463" w14:anchorId="5EC33D1F">
          <v:shape id="_x0000_i1060" type="#_x0000_t75" style="width:356.85pt;height:113.95pt" o:ole="">
            <v:imagedata r:id="rId80" o:title=""/>
          </v:shape>
          <o:OLEObject Type="Embed" ProgID="ChemDraw.Document.6.0" ShapeID="_x0000_i1060" DrawAspect="Content" ObjectID="_1532784914" r:id="rId81"/>
        </w:object>
      </w:r>
    </w:p>
    <w:p w14:paraId="0F7C0B29" w14:textId="77777777" w:rsidR="00A651D8" w:rsidRPr="00072EEF" w:rsidRDefault="00A651D8" w:rsidP="00072EEF">
      <w:pPr>
        <w:pStyle w:val="Caption"/>
      </w:pPr>
      <w:bookmarkStart w:id="120" w:name="_Ref451762278"/>
      <w:bookmarkStart w:id="121" w:name="_Toc458938382"/>
      <w:r w:rsidRPr="00072EEF">
        <w:t xml:space="preserve">Figure II. </w:t>
      </w:r>
      <w:r w:rsidR="00443010">
        <w:fldChar w:fldCharType="begin"/>
      </w:r>
      <w:r w:rsidR="00443010">
        <w:instrText xml:space="preserve"> STYLEREF 2 \s </w:instrText>
      </w:r>
      <w:r w:rsidR="00443010">
        <w:fldChar w:fldCharType="separate"/>
      </w:r>
      <w:r w:rsidR="000A0E3D">
        <w:rPr>
          <w:noProof/>
        </w:rPr>
        <w:t>2</w:t>
      </w:r>
      <w:r w:rsidR="00443010">
        <w:rPr>
          <w:noProof/>
        </w:rPr>
        <w:fldChar w:fldCharType="end"/>
      </w:r>
      <w:r w:rsidR="00BE514F" w:rsidRPr="00072EEF">
        <w:t>.</w:t>
      </w:r>
      <w:r w:rsidR="00443010">
        <w:fldChar w:fldCharType="begin"/>
      </w:r>
      <w:r w:rsidR="00443010">
        <w:instrText xml:space="preserve"> SEQ Figure_II. \* ARABIC \s 2 </w:instrText>
      </w:r>
      <w:r w:rsidR="00443010">
        <w:fldChar w:fldCharType="separate"/>
      </w:r>
      <w:r w:rsidR="000A0E3D">
        <w:rPr>
          <w:noProof/>
        </w:rPr>
        <w:t>2</w:t>
      </w:r>
      <w:r w:rsidR="00443010">
        <w:rPr>
          <w:noProof/>
        </w:rPr>
        <w:fldChar w:fldCharType="end"/>
      </w:r>
      <w:bookmarkEnd w:id="120"/>
      <w:r w:rsidRPr="00072EEF">
        <w:t xml:space="preserve"> Tandem DODH/DA with DET and 9,10-dihydroanthracene</w:t>
      </w:r>
      <w:bookmarkEnd w:id="121"/>
    </w:p>
    <w:p w14:paraId="24C4D69F" w14:textId="77777777" w:rsidR="00A651D8" w:rsidRPr="00E47369" w:rsidRDefault="00A651D8" w:rsidP="00A651D8">
      <w:pPr>
        <w:rPr>
          <w:rFonts w:cstheme="minorHAnsi"/>
        </w:rPr>
      </w:pPr>
    </w:p>
    <w:p w14:paraId="2E6A6A7A" w14:textId="77777777" w:rsidR="00A651D8" w:rsidRPr="00E47369" w:rsidRDefault="00A651D8" w:rsidP="00A651D8">
      <w:pPr>
        <w:keepNext/>
        <w:jc w:val="center"/>
        <w:rPr>
          <w:rFonts w:cstheme="minorHAnsi"/>
        </w:rPr>
      </w:pPr>
      <w:r w:rsidRPr="00E47369">
        <w:rPr>
          <w:rFonts w:cstheme="minorHAnsi"/>
          <w:noProof/>
          <w:lang w:bidi="ar-SA"/>
        </w:rPr>
        <w:drawing>
          <wp:inline distT="0" distB="0" distL="0" distR="0" wp14:anchorId="030CB465" wp14:editId="197129E9">
            <wp:extent cx="4860260" cy="12509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023374" cy="1292933"/>
                    </a:xfrm>
                    <a:prstGeom prst="rect">
                      <a:avLst/>
                    </a:prstGeom>
                    <a:noFill/>
                    <a:ln>
                      <a:noFill/>
                    </a:ln>
                  </pic:spPr>
                </pic:pic>
              </a:graphicData>
            </a:graphic>
          </wp:inline>
        </w:drawing>
      </w:r>
    </w:p>
    <w:p w14:paraId="4383A68F" w14:textId="77777777" w:rsidR="00A651D8" w:rsidRPr="00072EEF" w:rsidRDefault="00A651D8" w:rsidP="00072EEF">
      <w:pPr>
        <w:pStyle w:val="Caption"/>
      </w:pPr>
      <w:bookmarkStart w:id="122" w:name="_Toc458938383"/>
      <w:r w:rsidRPr="00072EEF">
        <w:t xml:space="preserve">Figure II. </w:t>
      </w:r>
      <w:r w:rsidR="00443010">
        <w:fldChar w:fldCharType="begin"/>
      </w:r>
      <w:r w:rsidR="00443010">
        <w:instrText xml:space="preserve"> STYLEREF 2 \s </w:instrText>
      </w:r>
      <w:r w:rsidR="00443010">
        <w:fldChar w:fldCharType="separate"/>
      </w:r>
      <w:r w:rsidR="000A0E3D">
        <w:rPr>
          <w:noProof/>
        </w:rPr>
        <w:t>2</w:t>
      </w:r>
      <w:r w:rsidR="00443010">
        <w:rPr>
          <w:noProof/>
        </w:rPr>
        <w:fldChar w:fldCharType="end"/>
      </w:r>
      <w:r w:rsidR="00BE514F" w:rsidRPr="00072EEF">
        <w:t>.</w:t>
      </w:r>
      <w:r w:rsidR="00443010">
        <w:fldChar w:fldCharType="begin"/>
      </w:r>
      <w:r w:rsidR="00443010">
        <w:instrText xml:space="preserve"> SEQ Figure_II. \* ARABIC \s 2 </w:instrText>
      </w:r>
      <w:r w:rsidR="00443010">
        <w:fldChar w:fldCharType="separate"/>
      </w:r>
      <w:r w:rsidR="000A0E3D">
        <w:rPr>
          <w:noProof/>
        </w:rPr>
        <w:t>3</w:t>
      </w:r>
      <w:r w:rsidR="00443010">
        <w:rPr>
          <w:noProof/>
        </w:rPr>
        <w:fldChar w:fldCharType="end"/>
      </w:r>
      <w:r w:rsidRPr="00072EEF">
        <w:t xml:space="preserve"> Activity of HA on DO</w:t>
      </w:r>
      <w:r w:rsidR="00072EEF">
        <w:t>DH of DET and 1,2-octane</w:t>
      </w:r>
      <w:r w:rsidRPr="00072EEF">
        <w:t>diol</w:t>
      </w:r>
      <w:bookmarkEnd w:id="122"/>
    </w:p>
    <w:p w14:paraId="10F46558" w14:textId="77777777" w:rsidR="00AA7A42" w:rsidRPr="00C70710" w:rsidRDefault="00AA7A42" w:rsidP="00C70710">
      <w:bookmarkStart w:id="123" w:name="_Ref451762415"/>
    </w:p>
    <w:p w14:paraId="0AE0A90E" w14:textId="77777777" w:rsidR="00A651D8" w:rsidRPr="00686DC2" w:rsidRDefault="00A651D8" w:rsidP="00686DC2">
      <w:pPr>
        <w:pStyle w:val="Caption"/>
      </w:pPr>
      <w:bookmarkStart w:id="124" w:name="_Ref454192646"/>
      <w:bookmarkStart w:id="125" w:name="_Toc457670484"/>
      <w:r w:rsidRPr="00686DC2">
        <w:t xml:space="preserve">Table II. </w:t>
      </w:r>
      <w:r w:rsidR="00443010">
        <w:fldChar w:fldCharType="begin"/>
      </w:r>
      <w:r w:rsidR="00443010">
        <w:instrText xml:space="preserve"> STYLEREF 2 \s </w:instrText>
      </w:r>
      <w:r w:rsidR="00443010">
        <w:fldChar w:fldCharType="separate"/>
      </w:r>
      <w:r w:rsidR="000A0E3D">
        <w:rPr>
          <w:noProof/>
        </w:rPr>
        <w:t>2</w:t>
      </w:r>
      <w:r w:rsidR="00443010">
        <w:rPr>
          <w:noProof/>
        </w:rPr>
        <w:fldChar w:fldCharType="end"/>
      </w:r>
      <w:r w:rsidR="00BE514F" w:rsidRPr="00686DC2">
        <w:t>.</w:t>
      </w:r>
      <w:r w:rsidR="00443010">
        <w:fldChar w:fldCharType="begin"/>
      </w:r>
      <w:r w:rsidR="00443010">
        <w:instrText xml:space="preserve"> SEQ Table_II._ \* ARABIC \s 2 </w:instrText>
      </w:r>
      <w:r w:rsidR="00443010">
        <w:fldChar w:fldCharType="separate"/>
      </w:r>
      <w:r w:rsidR="000A0E3D">
        <w:rPr>
          <w:noProof/>
        </w:rPr>
        <w:t>1</w:t>
      </w:r>
      <w:r w:rsidR="00443010">
        <w:rPr>
          <w:noProof/>
        </w:rPr>
        <w:fldChar w:fldCharType="end"/>
      </w:r>
      <w:bookmarkEnd w:id="123"/>
      <w:bookmarkEnd w:id="124"/>
      <w:r w:rsidRPr="00686DC2">
        <w:t xml:space="preserve"> Screening hydroaromatic reductants for DODH</w:t>
      </w:r>
      <w:bookmarkEnd w:id="125"/>
    </w:p>
    <w:tbl>
      <w:tblPr>
        <w:tblW w:w="5400" w:type="dxa"/>
        <w:jc w:val="center"/>
        <w:tblLayout w:type="fixed"/>
        <w:tblCellMar>
          <w:left w:w="0" w:type="dxa"/>
          <w:right w:w="0" w:type="dxa"/>
        </w:tblCellMar>
        <w:tblLook w:val="01E0" w:firstRow="1" w:lastRow="1" w:firstColumn="1" w:lastColumn="1" w:noHBand="0" w:noVBand="0"/>
      </w:tblPr>
      <w:tblGrid>
        <w:gridCol w:w="1032"/>
        <w:gridCol w:w="1260"/>
        <w:gridCol w:w="1620"/>
        <w:gridCol w:w="1488"/>
      </w:tblGrid>
      <w:tr w:rsidR="00A651D8" w:rsidRPr="00E47369" w14:paraId="799EF9D0" w14:textId="77777777" w:rsidTr="00243BEC">
        <w:trPr>
          <w:trHeight w:val="576"/>
          <w:jc w:val="center"/>
        </w:trPr>
        <w:tc>
          <w:tcPr>
            <w:tcW w:w="1032" w:type="dxa"/>
            <w:tcBorders>
              <w:top w:val="single" w:sz="4" w:space="0" w:color="FFFFFF" w:themeColor="background1"/>
              <w:left w:val="single" w:sz="6" w:space="0" w:color="F9F9F9"/>
              <w:bottom w:val="single" w:sz="12" w:space="0" w:color="auto"/>
              <w:right w:val="single" w:sz="12" w:space="0" w:color="auto"/>
            </w:tcBorders>
            <w:shd w:val="clear" w:color="auto" w:fill="auto"/>
            <w:tcMar>
              <w:top w:w="15" w:type="dxa"/>
              <w:left w:w="108" w:type="dxa"/>
              <w:bottom w:w="0" w:type="dxa"/>
              <w:right w:w="108" w:type="dxa"/>
            </w:tcMar>
            <w:vAlign w:val="center"/>
            <w:hideMark/>
          </w:tcPr>
          <w:p w14:paraId="67C22785" w14:textId="77777777" w:rsidR="00A651D8" w:rsidRPr="00E47369" w:rsidRDefault="00A651D8" w:rsidP="00EB114B">
            <w:pPr>
              <w:jc w:val="both"/>
              <w:rPr>
                <w:rFonts w:cstheme="minorHAnsi"/>
                <w:sz w:val="20"/>
              </w:rPr>
            </w:pPr>
            <w:r w:rsidRPr="00E47369">
              <w:rPr>
                <w:rFonts w:cstheme="minorHAnsi"/>
                <w:bCs/>
                <w:sz w:val="20"/>
              </w:rPr>
              <w:t>Entry</w:t>
            </w:r>
          </w:p>
        </w:tc>
        <w:tc>
          <w:tcPr>
            <w:tcW w:w="1260" w:type="dxa"/>
            <w:tcBorders>
              <w:top w:val="single" w:sz="4" w:space="0" w:color="FFFFFF" w:themeColor="background1"/>
              <w:left w:val="single" w:sz="12" w:space="0" w:color="auto"/>
              <w:bottom w:val="single" w:sz="12" w:space="0" w:color="auto"/>
            </w:tcBorders>
            <w:shd w:val="clear" w:color="auto" w:fill="auto"/>
            <w:tcMar>
              <w:top w:w="15" w:type="dxa"/>
              <w:left w:w="108" w:type="dxa"/>
              <w:bottom w:w="0" w:type="dxa"/>
              <w:right w:w="108" w:type="dxa"/>
            </w:tcMar>
            <w:vAlign w:val="center"/>
            <w:hideMark/>
          </w:tcPr>
          <w:p w14:paraId="1E730451" w14:textId="77777777" w:rsidR="00A651D8" w:rsidRPr="00E47369" w:rsidRDefault="00A651D8" w:rsidP="00EB114B">
            <w:pPr>
              <w:jc w:val="both"/>
              <w:rPr>
                <w:rFonts w:cstheme="minorHAnsi"/>
                <w:sz w:val="20"/>
              </w:rPr>
            </w:pPr>
            <w:r w:rsidRPr="00E47369">
              <w:rPr>
                <w:rFonts w:cstheme="minorHAnsi"/>
                <w:bCs/>
                <w:sz w:val="20"/>
              </w:rPr>
              <w:t>Reducing agent</w:t>
            </w:r>
          </w:p>
        </w:tc>
        <w:tc>
          <w:tcPr>
            <w:tcW w:w="1620" w:type="dxa"/>
            <w:tcBorders>
              <w:top w:val="single" w:sz="4" w:space="0" w:color="FFFFFF" w:themeColor="background1"/>
              <w:bottom w:val="single" w:sz="12" w:space="0" w:color="auto"/>
              <w:right w:val="single" w:sz="4" w:space="0" w:color="FFFFFF" w:themeColor="background1"/>
            </w:tcBorders>
            <w:shd w:val="clear" w:color="auto" w:fill="auto"/>
            <w:tcMar>
              <w:top w:w="15" w:type="dxa"/>
              <w:left w:w="108" w:type="dxa"/>
              <w:bottom w:w="0" w:type="dxa"/>
              <w:right w:w="108" w:type="dxa"/>
            </w:tcMar>
            <w:vAlign w:val="center"/>
            <w:hideMark/>
          </w:tcPr>
          <w:p w14:paraId="3D795997" w14:textId="77777777" w:rsidR="00A651D8" w:rsidRPr="00E47369" w:rsidRDefault="00A651D8" w:rsidP="00EB114B">
            <w:pPr>
              <w:jc w:val="both"/>
              <w:rPr>
                <w:rFonts w:cstheme="minorHAnsi"/>
                <w:sz w:val="20"/>
              </w:rPr>
            </w:pPr>
            <w:r w:rsidRPr="00E47369">
              <w:rPr>
                <w:rFonts w:cstheme="minorHAnsi"/>
                <w:bCs/>
                <w:sz w:val="20"/>
              </w:rPr>
              <w:t>Glycol</w:t>
            </w:r>
          </w:p>
        </w:tc>
        <w:tc>
          <w:tcPr>
            <w:tcW w:w="1488" w:type="dxa"/>
            <w:tcBorders>
              <w:top w:val="single" w:sz="4" w:space="0" w:color="FFFFFF" w:themeColor="background1"/>
              <w:left w:val="single" w:sz="4" w:space="0" w:color="FFFFFF" w:themeColor="background1"/>
              <w:bottom w:val="single" w:sz="12" w:space="0" w:color="auto"/>
              <w:right w:val="single" w:sz="6" w:space="0" w:color="F9F9F9"/>
            </w:tcBorders>
            <w:shd w:val="clear" w:color="auto" w:fill="auto"/>
            <w:tcMar>
              <w:top w:w="15" w:type="dxa"/>
              <w:left w:w="108" w:type="dxa"/>
              <w:bottom w:w="0" w:type="dxa"/>
              <w:right w:w="108" w:type="dxa"/>
            </w:tcMar>
            <w:vAlign w:val="center"/>
            <w:hideMark/>
          </w:tcPr>
          <w:p w14:paraId="736EB83D" w14:textId="77777777" w:rsidR="00A651D8" w:rsidRPr="00E47369" w:rsidRDefault="00A651D8" w:rsidP="00EB114B">
            <w:pPr>
              <w:jc w:val="both"/>
              <w:rPr>
                <w:rFonts w:cstheme="minorHAnsi"/>
                <w:sz w:val="20"/>
              </w:rPr>
            </w:pPr>
            <w:r w:rsidRPr="00E47369">
              <w:rPr>
                <w:rFonts w:cstheme="minorHAnsi"/>
                <w:bCs/>
                <w:sz w:val="20"/>
              </w:rPr>
              <w:t>Yield (%)</w:t>
            </w:r>
            <w:r w:rsidRPr="00E47369">
              <w:rPr>
                <w:rFonts w:cstheme="minorHAnsi"/>
                <w:bCs/>
                <w:sz w:val="20"/>
                <w:vertAlign w:val="superscript"/>
              </w:rPr>
              <w:t>a</w:t>
            </w:r>
          </w:p>
        </w:tc>
      </w:tr>
      <w:tr w:rsidR="00A651D8" w:rsidRPr="00E47369" w14:paraId="476E27DB" w14:textId="77777777" w:rsidTr="00243BEC">
        <w:trPr>
          <w:trHeight w:val="621"/>
          <w:jc w:val="center"/>
        </w:trPr>
        <w:tc>
          <w:tcPr>
            <w:tcW w:w="1032" w:type="dxa"/>
            <w:tcBorders>
              <w:top w:val="single" w:sz="12" w:space="0" w:color="auto"/>
              <w:left w:val="single" w:sz="6" w:space="0" w:color="F9F9F9"/>
              <w:bottom w:val="single" w:sz="2" w:space="0" w:color="808080" w:themeColor="background1" w:themeShade="80"/>
              <w:right w:val="single" w:sz="12" w:space="0" w:color="auto"/>
            </w:tcBorders>
            <w:shd w:val="clear" w:color="auto" w:fill="FFFFFF"/>
            <w:tcMar>
              <w:top w:w="15" w:type="dxa"/>
              <w:left w:w="108" w:type="dxa"/>
              <w:bottom w:w="0" w:type="dxa"/>
              <w:right w:w="108" w:type="dxa"/>
            </w:tcMar>
            <w:vAlign w:val="center"/>
            <w:hideMark/>
          </w:tcPr>
          <w:p w14:paraId="62E291ED" w14:textId="77777777" w:rsidR="00A651D8" w:rsidRPr="00E47369" w:rsidRDefault="00BE514F" w:rsidP="00EB114B">
            <w:pPr>
              <w:jc w:val="both"/>
              <w:rPr>
                <w:rFonts w:cstheme="minorHAnsi"/>
                <w:sz w:val="20"/>
              </w:rPr>
            </w:pPr>
            <w:r w:rsidRPr="00E47369">
              <w:rPr>
                <w:rFonts w:cstheme="minorHAnsi"/>
                <w:bCs/>
                <w:sz w:val="20"/>
              </w:rPr>
              <w:t>II.</w:t>
            </w:r>
            <w:r w:rsidR="00A651D8" w:rsidRPr="00E47369">
              <w:rPr>
                <w:rFonts w:cstheme="minorHAnsi"/>
                <w:bCs/>
                <w:sz w:val="20"/>
              </w:rPr>
              <w:t>2.1.1</w:t>
            </w:r>
          </w:p>
        </w:tc>
        <w:tc>
          <w:tcPr>
            <w:tcW w:w="1260" w:type="dxa"/>
            <w:tcBorders>
              <w:top w:val="single" w:sz="12" w:space="0" w:color="auto"/>
              <w:left w:val="single" w:sz="12" w:space="0" w:color="auto"/>
              <w:bottom w:val="single" w:sz="2" w:space="0" w:color="808080" w:themeColor="background1" w:themeShade="80"/>
            </w:tcBorders>
            <w:shd w:val="clear" w:color="auto" w:fill="FFFFFF"/>
            <w:tcMar>
              <w:top w:w="15" w:type="dxa"/>
              <w:left w:w="108" w:type="dxa"/>
              <w:bottom w:w="0" w:type="dxa"/>
              <w:right w:w="108" w:type="dxa"/>
            </w:tcMar>
            <w:vAlign w:val="center"/>
            <w:hideMark/>
          </w:tcPr>
          <w:p w14:paraId="29052A8F" w14:textId="77777777" w:rsidR="00A651D8" w:rsidRPr="00E47369" w:rsidRDefault="00A651D8" w:rsidP="00EB114B">
            <w:pPr>
              <w:jc w:val="both"/>
              <w:rPr>
                <w:rFonts w:cstheme="minorHAnsi"/>
                <w:sz w:val="20"/>
              </w:rPr>
            </w:pPr>
            <w:r w:rsidRPr="00E47369">
              <w:rPr>
                <w:rFonts w:cstheme="minorHAnsi"/>
                <w:noProof/>
                <w:sz w:val="20"/>
                <w:lang w:bidi="ar-SA"/>
              </w:rPr>
              <w:drawing>
                <wp:anchor distT="0" distB="0" distL="114300" distR="114300" simplePos="0" relativeHeight="251654656" behindDoc="0" locked="0" layoutInCell="1" allowOverlap="1" wp14:anchorId="2561915C" wp14:editId="5EC0F7D8">
                  <wp:simplePos x="0" y="0"/>
                  <wp:positionH relativeFrom="column">
                    <wp:posOffset>160655</wp:posOffset>
                  </wp:positionH>
                  <wp:positionV relativeFrom="paragraph">
                    <wp:posOffset>-7620</wp:posOffset>
                  </wp:positionV>
                  <wp:extent cx="398780" cy="349885"/>
                  <wp:effectExtent l="0" t="0" r="1270" b="0"/>
                  <wp:wrapNone/>
                  <wp:docPr id="23" name="Objet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t 3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98780" cy="349885"/>
                          </a:xfrm>
                          <a:prstGeom prst="rect">
                            <a:avLst/>
                          </a:prstGeom>
                          <a:noFill/>
                        </pic:spPr>
                      </pic:pic>
                    </a:graphicData>
                  </a:graphic>
                  <wp14:sizeRelH relativeFrom="page">
                    <wp14:pctWidth>0</wp14:pctWidth>
                  </wp14:sizeRelH>
                  <wp14:sizeRelV relativeFrom="page">
                    <wp14:pctHeight>0</wp14:pctHeight>
                  </wp14:sizeRelV>
                </wp:anchor>
              </w:drawing>
            </w:r>
          </w:p>
        </w:tc>
        <w:tc>
          <w:tcPr>
            <w:tcW w:w="1620" w:type="dxa"/>
            <w:tcBorders>
              <w:top w:val="single" w:sz="12" w:space="0" w:color="auto"/>
              <w:bottom w:val="single" w:sz="2" w:space="0" w:color="808080" w:themeColor="background1" w:themeShade="80"/>
            </w:tcBorders>
            <w:shd w:val="clear" w:color="auto" w:fill="FFFFFF"/>
            <w:tcMar>
              <w:top w:w="15" w:type="dxa"/>
              <w:left w:w="108" w:type="dxa"/>
              <w:bottom w:w="0" w:type="dxa"/>
              <w:right w:w="108" w:type="dxa"/>
            </w:tcMar>
            <w:vAlign w:val="center"/>
            <w:hideMark/>
          </w:tcPr>
          <w:p w14:paraId="463E7449" w14:textId="77777777" w:rsidR="00A651D8" w:rsidRPr="00E47369" w:rsidRDefault="00A651D8" w:rsidP="00EB114B">
            <w:pPr>
              <w:jc w:val="both"/>
              <w:rPr>
                <w:rFonts w:cstheme="minorHAnsi"/>
                <w:sz w:val="20"/>
              </w:rPr>
            </w:pPr>
            <w:r w:rsidRPr="00E47369">
              <w:rPr>
                <w:rFonts w:cstheme="minorHAnsi"/>
                <w:sz w:val="20"/>
              </w:rPr>
              <w:t>DET</w:t>
            </w:r>
          </w:p>
        </w:tc>
        <w:tc>
          <w:tcPr>
            <w:tcW w:w="1488" w:type="dxa"/>
            <w:tcBorders>
              <w:top w:val="single" w:sz="12" w:space="0" w:color="auto"/>
              <w:bottom w:val="single" w:sz="2" w:space="0" w:color="808080" w:themeColor="background1" w:themeShade="80"/>
              <w:right w:val="single" w:sz="6" w:space="0" w:color="F9F9F9"/>
            </w:tcBorders>
            <w:shd w:val="clear" w:color="auto" w:fill="FFFFFF"/>
            <w:tcMar>
              <w:top w:w="15" w:type="dxa"/>
              <w:left w:w="108" w:type="dxa"/>
              <w:bottom w:w="0" w:type="dxa"/>
              <w:right w:w="108" w:type="dxa"/>
            </w:tcMar>
            <w:vAlign w:val="center"/>
            <w:hideMark/>
          </w:tcPr>
          <w:p w14:paraId="64FFE12B" w14:textId="77777777" w:rsidR="00A651D8" w:rsidRPr="00E47369" w:rsidRDefault="00A651D8" w:rsidP="00EB114B">
            <w:pPr>
              <w:jc w:val="both"/>
              <w:rPr>
                <w:rFonts w:cstheme="minorHAnsi"/>
                <w:sz w:val="20"/>
              </w:rPr>
            </w:pPr>
            <w:r w:rsidRPr="00E47369">
              <w:rPr>
                <w:rFonts w:cstheme="minorHAnsi"/>
                <w:bCs/>
                <w:sz w:val="20"/>
              </w:rPr>
              <w:t>90</w:t>
            </w:r>
          </w:p>
        </w:tc>
      </w:tr>
      <w:tr w:rsidR="00A651D8" w:rsidRPr="00E47369" w14:paraId="438280C9" w14:textId="77777777" w:rsidTr="00243BEC">
        <w:trPr>
          <w:trHeight w:val="576"/>
          <w:jc w:val="center"/>
        </w:trPr>
        <w:tc>
          <w:tcPr>
            <w:tcW w:w="1032" w:type="dxa"/>
            <w:tcBorders>
              <w:top w:val="single" w:sz="2" w:space="0" w:color="808080" w:themeColor="background1" w:themeShade="80"/>
              <w:left w:val="single" w:sz="6" w:space="0" w:color="F9F9F9"/>
              <w:bottom w:val="single" w:sz="2" w:space="0" w:color="808080" w:themeColor="background1" w:themeShade="80"/>
              <w:right w:val="single" w:sz="12" w:space="0" w:color="auto"/>
            </w:tcBorders>
            <w:shd w:val="clear" w:color="auto" w:fill="auto"/>
            <w:tcMar>
              <w:top w:w="15" w:type="dxa"/>
              <w:left w:w="108" w:type="dxa"/>
              <w:bottom w:w="0" w:type="dxa"/>
              <w:right w:w="108" w:type="dxa"/>
            </w:tcMar>
            <w:vAlign w:val="center"/>
            <w:hideMark/>
          </w:tcPr>
          <w:p w14:paraId="67FBD259" w14:textId="77777777" w:rsidR="00DD0FA8" w:rsidRDefault="00BE514F" w:rsidP="00EB114B">
            <w:pPr>
              <w:jc w:val="both"/>
              <w:rPr>
                <w:rFonts w:cstheme="minorHAnsi"/>
                <w:bCs/>
                <w:sz w:val="20"/>
              </w:rPr>
            </w:pPr>
            <w:r w:rsidRPr="00E47369">
              <w:rPr>
                <w:rFonts w:cstheme="minorHAnsi"/>
                <w:bCs/>
                <w:sz w:val="20"/>
              </w:rPr>
              <w:t>II.</w:t>
            </w:r>
            <w:r w:rsidR="00DD0FA8">
              <w:rPr>
                <w:rFonts w:cstheme="minorHAnsi"/>
                <w:bCs/>
                <w:sz w:val="20"/>
              </w:rPr>
              <w:t>2.1.2.a</w:t>
            </w:r>
          </w:p>
          <w:p w14:paraId="42C19FB6" w14:textId="77777777" w:rsidR="00DD0FA8" w:rsidRDefault="00BE514F" w:rsidP="00EB114B">
            <w:pPr>
              <w:jc w:val="both"/>
              <w:rPr>
                <w:rFonts w:cstheme="minorHAnsi"/>
                <w:bCs/>
                <w:sz w:val="20"/>
              </w:rPr>
            </w:pPr>
            <w:r w:rsidRPr="00E47369">
              <w:rPr>
                <w:rFonts w:cstheme="minorHAnsi"/>
                <w:bCs/>
                <w:sz w:val="20"/>
              </w:rPr>
              <w:t>II.</w:t>
            </w:r>
            <w:r w:rsidR="00DD0FA8">
              <w:rPr>
                <w:rFonts w:cstheme="minorHAnsi"/>
                <w:bCs/>
                <w:sz w:val="20"/>
              </w:rPr>
              <w:t>2.1.2.b</w:t>
            </w:r>
          </w:p>
          <w:p w14:paraId="1918DADE" w14:textId="77777777" w:rsidR="00DD0FA8" w:rsidRDefault="00BE514F" w:rsidP="00EB114B">
            <w:pPr>
              <w:jc w:val="both"/>
              <w:rPr>
                <w:rFonts w:cstheme="minorHAnsi"/>
                <w:bCs/>
                <w:sz w:val="20"/>
              </w:rPr>
            </w:pPr>
            <w:r w:rsidRPr="00E47369">
              <w:rPr>
                <w:rFonts w:cstheme="minorHAnsi"/>
                <w:bCs/>
                <w:sz w:val="20"/>
              </w:rPr>
              <w:t>II.</w:t>
            </w:r>
            <w:r w:rsidR="00DD0FA8">
              <w:rPr>
                <w:rFonts w:cstheme="minorHAnsi"/>
                <w:bCs/>
                <w:sz w:val="20"/>
              </w:rPr>
              <w:t>2.1.2.c</w:t>
            </w:r>
          </w:p>
          <w:p w14:paraId="699130A4" w14:textId="77777777" w:rsidR="00A651D8" w:rsidRPr="00E47369" w:rsidRDefault="00BE514F" w:rsidP="00EB114B">
            <w:pPr>
              <w:jc w:val="both"/>
              <w:rPr>
                <w:rFonts w:cstheme="minorHAnsi"/>
                <w:sz w:val="20"/>
              </w:rPr>
            </w:pPr>
            <w:r w:rsidRPr="00E47369">
              <w:rPr>
                <w:rFonts w:cstheme="minorHAnsi"/>
                <w:bCs/>
                <w:sz w:val="20"/>
              </w:rPr>
              <w:t>II.</w:t>
            </w:r>
            <w:r w:rsidR="00A651D8" w:rsidRPr="00E47369">
              <w:rPr>
                <w:rFonts w:cstheme="minorHAnsi"/>
                <w:bCs/>
                <w:sz w:val="20"/>
              </w:rPr>
              <w:t>2.1.</w:t>
            </w:r>
            <w:r w:rsidR="00A651D8" w:rsidRPr="00E47369">
              <w:rPr>
                <w:rFonts w:cstheme="minorHAnsi"/>
                <w:sz w:val="20"/>
              </w:rPr>
              <w:t>2.d</w:t>
            </w:r>
          </w:p>
        </w:tc>
        <w:tc>
          <w:tcPr>
            <w:tcW w:w="1260" w:type="dxa"/>
            <w:tcBorders>
              <w:top w:val="single" w:sz="2" w:space="0" w:color="808080" w:themeColor="background1" w:themeShade="80"/>
              <w:left w:val="single" w:sz="12" w:space="0" w:color="auto"/>
              <w:bottom w:val="single" w:sz="2" w:space="0" w:color="808080" w:themeColor="background1" w:themeShade="80"/>
            </w:tcBorders>
            <w:shd w:val="clear" w:color="auto" w:fill="FFFFFF"/>
            <w:tcMar>
              <w:top w:w="15" w:type="dxa"/>
              <w:left w:w="108" w:type="dxa"/>
              <w:bottom w:w="0" w:type="dxa"/>
              <w:right w:w="108" w:type="dxa"/>
            </w:tcMar>
            <w:vAlign w:val="center"/>
            <w:hideMark/>
          </w:tcPr>
          <w:p w14:paraId="0203F40D" w14:textId="77777777" w:rsidR="00A651D8" w:rsidRPr="00E47369" w:rsidRDefault="00A651D8" w:rsidP="00EB114B">
            <w:pPr>
              <w:jc w:val="both"/>
              <w:rPr>
                <w:rFonts w:cstheme="minorHAnsi"/>
                <w:sz w:val="20"/>
              </w:rPr>
            </w:pPr>
            <w:bookmarkStart w:id="126" w:name="_GoBack"/>
            <w:bookmarkEnd w:id="126"/>
            <w:r w:rsidRPr="00E47369">
              <w:rPr>
                <w:rFonts w:cstheme="minorHAnsi"/>
                <w:noProof/>
                <w:sz w:val="20"/>
                <w:lang w:bidi="ar-SA"/>
              </w:rPr>
              <w:drawing>
                <wp:anchor distT="0" distB="0" distL="114300" distR="114300" simplePos="0" relativeHeight="251651584" behindDoc="0" locked="0" layoutInCell="1" allowOverlap="1" wp14:anchorId="780872BC" wp14:editId="77268629">
                  <wp:simplePos x="0" y="0"/>
                  <wp:positionH relativeFrom="column">
                    <wp:posOffset>172720</wp:posOffset>
                  </wp:positionH>
                  <wp:positionV relativeFrom="paragraph">
                    <wp:posOffset>5715</wp:posOffset>
                  </wp:positionV>
                  <wp:extent cx="405765" cy="247650"/>
                  <wp:effectExtent l="0" t="0" r="0" b="0"/>
                  <wp:wrapNone/>
                  <wp:docPr id="24" name="Objet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t 4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05765" cy="247650"/>
                          </a:xfrm>
                          <a:prstGeom prst="rect">
                            <a:avLst/>
                          </a:prstGeom>
                          <a:noFill/>
                        </pic:spPr>
                      </pic:pic>
                    </a:graphicData>
                  </a:graphic>
                  <wp14:sizeRelH relativeFrom="page">
                    <wp14:pctWidth>0</wp14:pctWidth>
                  </wp14:sizeRelH>
                  <wp14:sizeRelV relativeFrom="page">
                    <wp14:pctHeight>0</wp14:pctHeight>
                  </wp14:sizeRelV>
                </wp:anchor>
              </w:drawing>
            </w:r>
          </w:p>
        </w:tc>
        <w:tc>
          <w:tcPr>
            <w:tcW w:w="1620" w:type="dxa"/>
            <w:tcBorders>
              <w:top w:val="single" w:sz="2" w:space="0" w:color="808080" w:themeColor="background1" w:themeShade="80"/>
              <w:bottom w:val="single" w:sz="2" w:space="0" w:color="808080" w:themeColor="background1" w:themeShade="80"/>
            </w:tcBorders>
            <w:shd w:val="clear" w:color="auto" w:fill="auto"/>
            <w:tcMar>
              <w:top w:w="15" w:type="dxa"/>
              <w:left w:w="108" w:type="dxa"/>
              <w:bottom w:w="0" w:type="dxa"/>
              <w:right w:w="108" w:type="dxa"/>
            </w:tcMar>
            <w:vAlign w:val="center"/>
            <w:hideMark/>
          </w:tcPr>
          <w:p w14:paraId="6CB63C7C" w14:textId="77777777" w:rsidR="00DD0FA8" w:rsidRDefault="00DD0FA8" w:rsidP="00EB114B">
            <w:pPr>
              <w:jc w:val="both"/>
              <w:rPr>
                <w:rFonts w:cstheme="minorHAnsi"/>
                <w:sz w:val="20"/>
              </w:rPr>
            </w:pPr>
            <w:r>
              <w:rPr>
                <w:rFonts w:cstheme="minorHAnsi"/>
                <w:sz w:val="20"/>
              </w:rPr>
              <w:t>DET</w:t>
            </w:r>
          </w:p>
          <w:p w14:paraId="263B4FDF" w14:textId="77777777" w:rsidR="00DD0FA8" w:rsidRDefault="00DD0FA8" w:rsidP="00EB114B">
            <w:pPr>
              <w:jc w:val="both"/>
              <w:rPr>
                <w:rFonts w:cstheme="minorHAnsi"/>
                <w:sz w:val="20"/>
              </w:rPr>
            </w:pPr>
          </w:p>
          <w:p w14:paraId="4C73DAEE" w14:textId="77777777" w:rsidR="00A651D8" w:rsidRPr="00E47369" w:rsidRDefault="00A651D8" w:rsidP="00EB114B">
            <w:pPr>
              <w:jc w:val="both"/>
              <w:rPr>
                <w:rFonts w:cstheme="minorHAnsi"/>
                <w:sz w:val="20"/>
              </w:rPr>
            </w:pPr>
            <w:r w:rsidRPr="00E47369">
              <w:rPr>
                <w:rFonts w:cstheme="minorHAnsi"/>
                <w:sz w:val="20"/>
              </w:rPr>
              <w:t>1,2-octanediol</w:t>
            </w:r>
          </w:p>
          <w:p w14:paraId="13A2A9CA" w14:textId="77777777" w:rsidR="00A651D8" w:rsidRPr="00E47369" w:rsidRDefault="00A651D8" w:rsidP="00EB114B">
            <w:pPr>
              <w:jc w:val="both"/>
              <w:rPr>
                <w:rFonts w:cstheme="minorHAnsi"/>
                <w:sz w:val="20"/>
              </w:rPr>
            </w:pPr>
          </w:p>
        </w:tc>
        <w:tc>
          <w:tcPr>
            <w:tcW w:w="1488" w:type="dxa"/>
            <w:tcBorders>
              <w:top w:val="single" w:sz="2" w:space="0" w:color="808080" w:themeColor="background1" w:themeShade="80"/>
              <w:bottom w:val="single" w:sz="2" w:space="0" w:color="808080" w:themeColor="background1" w:themeShade="80"/>
              <w:right w:val="single" w:sz="6" w:space="0" w:color="F9F9F9"/>
            </w:tcBorders>
            <w:shd w:val="clear" w:color="auto" w:fill="auto"/>
            <w:tcMar>
              <w:top w:w="15" w:type="dxa"/>
              <w:left w:w="108" w:type="dxa"/>
              <w:bottom w:w="0" w:type="dxa"/>
              <w:right w:w="108" w:type="dxa"/>
            </w:tcMar>
            <w:vAlign w:val="center"/>
            <w:hideMark/>
          </w:tcPr>
          <w:p w14:paraId="62586F3D" w14:textId="77777777" w:rsidR="00DD0FA8" w:rsidRDefault="00DD0FA8" w:rsidP="00EB114B">
            <w:pPr>
              <w:jc w:val="both"/>
              <w:rPr>
                <w:rFonts w:cstheme="minorHAnsi"/>
                <w:bCs/>
                <w:sz w:val="20"/>
              </w:rPr>
            </w:pPr>
            <w:r>
              <w:rPr>
                <w:rFonts w:cstheme="minorHAnsi"/>
                <w:bCs/>
                <w:sz w:val="20"/>
              </w:rPr>
              <w:t>92</w:t>
            </w:r>
          </w:p>
          <w:p w14:paraId="75B07496" w14:textId="77777777" w:rsidR="00DD0FA8" w:rsidRDefault="00A651D8" w:rsidP="00EB114B">
            <w:pPr>
              <w:jc w:val="both"/>
              <w:rPr>
                <w:rFonts w:cstheme="minorHAnsi"/>
                <w:bCs/>
                <w:sz w:val="20"/>
                <w:vertAlign w:val="superscript"/>
              </w:rPr>
            </w:pPr>
            <w:r w:rsidRPr="00E47369">
              <w:rPr>
                <w:rFonts w:cstheme="minorHAnsi"/>
                <w:bCs/>
                <w:sz w:val="20"/>
              </w:rPr>
              <w:t>73</w:t>
            </w:r>
            <w:r w:rsidRPr="00E47369">
              <w:rPr>
                <w:rFonts w:cstheme="minorHAnsi"/>
                <w:bCs/>
                <w:sz w:val="20"/>
                <w:vertAlign w:val="superscript"/>
              </w:rPr>
              <w:t>b</w:t>
            </w:r>
          </w:p>
          <w:p w14:paraId="0D75A13F" w14:textId="77777777" w:rsidR="00DD0FA8" w:rsidRDefault="00A651D8" w:rsidP="00EB114B">
            <w:pPr>
              <w:jc w:val="both"/>
              <w:rPr>
                <w:rFonts w:cstheme="minorHAnsi"/>
                <w:bCs/>
                <w:sz w:val="20"/>
                <w:vertAlign w:val="superscript"/>
              </w:rPr>
            </w:pPr>
            <w:r w:rsidRPr="00E47369">
              <w:rPr>
                <w:rFonts w:cstheme="minorHAnsi"/>
                <w:bCs/>
                <w:sz w:val="20"/>
              </w:rPr>
              <w:t>60</w:t>
            </w:r>
          </w:p>
          <w:p w14:paraId="74B7A003" w14:textId="77777777" w:rsidR="00A651D8" w:rsidRPr="00E47369" w:rsidRDefault="00A651D8" w:rsidP="00EB114B">
            <w:pPr>
              <w:jc w:val="both"/>
              <w:rPr>
                <w:rFonts w:cstheme="minorHAnsi"/>
                <w:sz w:val="20"/>
              </w:rPr>
            </w:pPr>
            <w:r w:rsidRPr="00E47369">
              <w:rPr>
                <w:rFonts w:cstheme="minorHAnsi"/>
                <w:sz w:val="20"/>
              </w:rPr>
              <w:t>48</w:t>
            </w:r>
            <w:r w:rsidRPr="00E47369">
              <w:rPr>
                <w:rFonts w:cstheme="minorHAnsi"/>
                <w:sz w:val="20"/>
                <w:vertAlign w:val="superscript"/>
              </w:rPr>
              <w:t>b</w:t>
            </w:r>
          </w:p>
        </w:tc>
      </w:tr>
      <w:tr w:rsidR="00A651D8" w:rsidRPr="00E47369" w14:paraId="6C39C559" w14:textId="77777777" w:rsidTr="00243BEC">
        <w:trPr>
          <w:trHeight w:val="576"/>
          <w:jc w:val="center"/>
        </w:trPr>
        <w:tc>
          <w:tcPr>
            <w:tcW w:w="1032" w:type="dxa"/>
            <w:tcBorders>
              <w:top w:val="single" w:sz="2" w:space="0" w:color="808080" w:themeColor="background1" w:themeShade="80"/>
              <w:left w:val="single" w:sz="6" w:space="0" w:color="F9F9F9"/>
              <w:bottom w:val="single" w:sz="2" w:space="0" w:color="808080" w:themeColor="background1" w:themeShade="80"/>
              <w:right w:val="single" w:sz="12" w:space="0" w:color="auto"/>
            </w:tcBorders>
            <w:shd w:val="clear" w:color="auto" w:fill="FFFFFF"/>
            <w:tcMar>
              <w:top w:w="15" w:type="dxa"/>
              <w:left w:w="108" w:type="dxa"/>
              <w:bottom w:w="0" w:type="dxa"/>
              <w:right w:w="108" w:type="dxa"/>
            </w:tcMar>
            <w:vAlign w:val="center"/>
            <w:hideMark/>
          </w:tcPr>
          <w:p w14:paraId="009375DE" w14:textId="77777777" w:rsidR="00DD0FA8" w:rsidRDefault="00BE514F" w:rsidP="00EB114B">
            <w:pPr>
              <w:jc w:val="both"/>
              <w:rPr>
                <w:rFonts w:cstheme="minorHAnsi"/>
                <w:bCs/>
                <w:sz w:val="20"/>
              </w:rPr>
            </w:pPr>
            <w:r w:rsidRPr="00E47369">
              <w:rPr>
                <w:rFonts w:cstheme="minorHAnsi"/>
                <w:bCs/>
                <w:sz w:val="20"/>
              </w:rPr>
              <w:t>II.</w:t>
            </w:r>
            <w:r w:rsidR="00DD0FA8">
              <w:rPr>
                <w:rFonts w:cstheme="minorHAnsi"/>
                <w:bCs/>
                <w:sz w:val="20"/>
              </w:rPr>
              <w:t>2.1.3.a</w:t>
            </w:r>
          </w:p>
          <w:p w14:paraId="341D66C5" w14:textId="77777777" w:rsidR="00A651D8" w:rsidRPr="00E47369" w:rsidRDefault="00BE514F" w:rsidP="00EB114B">
            <w:pPr>
              <w:jc w:val="both"/>
              <w:rPr>
                <w:rFonts w:cstheme="minorHAnsi"/>
                <w:sz w:val="20"/>
              </w:rPr>
            </w:pPr>
            <w:r w:rsidRPr="00E47369">
              <w:rPr>
                <w:rFonts w:cstheme="minorHAnsi"/>
                <w:bCs/>
                <w:sz w:val="20"/>
              </w:rPr>
              <w:t>II.</w:t>
            </w:r>
            <w:r w:rsidR="00A651D8" w:rsidRPr="00E47369">
              <w:rPr>
                <w:rFonts w:cstheme="minorHAnsi"/>
                <w:bCs/>
                <w:sz w:val="20"/>
              </w:rPr>
              <w:t>2.1.3.b</w:t>
            </w:r>
          </w:p>
        </w:tc>
        <w:tc>
          <w:tcPr>
            <w:tcW w:w="1260" w:type="dxa"/>
            <w:tcBorders>
              <w:top w:val="single" w:sz="2" w:space="0" w:color="808080" w:themeColor="background1" w:themeShade="80"/>
              <w:left w:val="single" w:sz="12" w:space="0" w:color="auto"/>
              <w:bottom w:val="single" w:sz="2" w:space="0" w:color="808080" w:themeColor="background1" w:themeShade="80"/>
            </w:tcBorders>
            <w:shd w:val="clear" w:color="auto" w:fill="FFFFFF"/>
            <w:tcMar>
              <w:top w:w="15" w:type="dxa"/>
              <w:left w:w="108" w:type="dxa"/>
              <w:bottom w:w="0" w:type="dxa"/>
              <w:right w:w="108" w:type="dxa"/>
            </w:tcMar>
            <w:vAlign w:val="center"/>
            <w:hideMark/>
          </w:tcPr>
          <w:p w14:paraId="66FC51FB" w14:textId="77777777" w:rsidR="00A651D8" w:rsidRPr="00E47369" w:rsidRDefault="00A651D8" w:rsidP="00EB114B">
            <w:pPr>
              <w:jc w:val="both"/>
              <w:rPr>
                <w:rFonts w:cstheme="minorHAnsi"/>
                <w:sz w:val="20"/>
              </w:rPr>
            </w:pPr>
            <w:r w:rsidRPr="00E47369">
              <w:rPr>
                <w:rFonts w:cstheme="minorHAnsi"/>
                <w:noProof/>
                <w:sz w:val="20"/>
                <w:lang w:bidi="ar-SA"/>
              </w:rPr>
              <w:drawing>
                <wp:anchor distT="0" distB="0" distL="114300" distR="114300" simplePos="0" relativeHeight="251649536" behindDoc="0" locked="0" layoutInCell="1" allowOverlap="1" wp14:anchorId="1BF5DA71" wp14:editId="41C9EB28">
                  <wp:simplePos x="0" y="0"/>
                  <wp:positionH relativeFrom="column">
                    <wp:posOffset>172720</wp:posOffset>
                  </wp:positionH>
                  <wp:positionV relativeFrom="paragraph">
                    <wp:posOffset>64135</wp:posOffset>
                  </wp:positionV>
                  <wp:extent cx="374650" cy="305435"/>
                  <wp:effectExtent l="0" t="0" r="6350" b="0"/>
                  <wp:wrapNone/>
                  <wp:docPr id="25" name="Objet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t 4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74650" cy="305435"/>
                          </a:xfrm>
                          <a:prstGeom prst="rect">
                            <a:avLst/>
                          </a:prstGeom>
                          <a:noFill/>
                        </pic:spPr>
                      </pic:pic>
                    </a:graphicData>
                  </a:graphic>
                  <wp14:sizeRelH relativeFrom="page">
                    <wp14:pctWidth>0</wp14:pctWidth>
                  </wp14:sizeRelH>
                  <wp14:sizeRelV relativeFrom="page">
                    <wp14:pctHeight>0</wp14:pctHeight>
                  </wp14:sizeRelV>
                </wp:anchor>
              </w:drawing>
            </w:r>
          </w:p>
        </w:tc>
        <w:tc>
          <w:tcPr>
            <w:tcW w:w="1620" w:type="dxa"/>
            <w:tcBorders>
              <w:top w:val="single" w:sz="2" w:space="0" w:color="808080" w:themeColor="background1" w:themeShade="80"/>
              <w:bottom w:val="single" w:sz="2" w:space="0" w:color="808080" w:themeColor="background1" w:themeShade="80"/>
            </w:tcBorders>
            <w:shd w:val="clear" w:color="auto" w:fill="FFFFFF"/>
            <w:tcMar>
              <w:top w:w="15" w:type="dxa"/>
              <w:left w:w="108" w:type="dxa"/>
              <w:bottom w:w="0" w:type="dxa"/>
              <w:right w:w="108" w:type="dxa"/>
            </w:tcMar>
            <w:vAlign w:val="center"/>
            <w:hideMark/>
          </w:tcPr>
          <w:p w14:paraId="78E1FB49" w14:textId="77777777" w:rsidR="00DD0FA8" w:rsidRDefault="00DD0FA8" w:rsidP="00EB114B">
            <w:pPr>
              <w:jc w:val="both"/>
              <w:rPr>
                <w:rFonts w:cstheme="minorHAnsi"/>
                <w:sz w:val="20"/>
              </w:rPr>
            </w:pPr>
            <w:r>
              <w:rPr>
                <w:rFonts w:cstheme="minorHAnsi"/>
                <w:sz w:val="20"/>
              </w:rPr>
              <w:t>DET</w:t>
            </w:r>
          </w:p>
          <w:p w14:paraId="107213A9" w14:textId="77777777" w:rsidR="00A651D8" w:rsidRPr="00E47369" w:rsidRDefault="00A651D8" w:rsidP="00EB114B">
            <w:pPr>
              <w:jc w:val="both"/>
              <w:rPr>
                <w:rFonts w:cstheme="minorHAnsi"/>
                <w:sz w:val="20"/>
              </w:rPr>
            </w:pPr>
            <w:r w:rsidRPr="00E47369">
              <w:rPr>
                <w:rFonts w:cstheme="minorHAnsi"/>
                <w:sz w:val="20"/>
              </w:rPr>
              <w:t>1,2-octanediol</w:t>
            </w:r>
          </w:p>
        </w:tc>
        <w:tc>
          <w:tcPr>
            <w:tcW w:w="1488" w:type="dxa"/>
            <w:tcBorders>
              <w:top w:val="single" w:sz="2" w:space="0" w:color="808080" w:themeColor="background1" w:themeShade="80"/>
              <w:bottom w:val="single" w:sz="2" w:space="0" w:color="808080" w:themeColor="background1" w:themeShade="80"/>
              <w:right w:val="single" w:sz="6" w:space="0" w:color="F9F9F9"/>
            </w:tcBorders>
            <w:shd w:val="clear" w:color="auto" w:fill="FFFFFF"/>
            <w:tcMar>
              <w:top w:w="15" w:type="dxa"/>
              <w:left w:w="108" w:type="dxa"/>
              <w:bottom w:w="0" w:type="dxa"/>
              <w:right w:w="108" w:type="dxa"/>
            </w:tcMar>
            <w:vAlign w:val="center"/>
            <w:hideMark/>
          </w:tcPr>
          <w:p w14:paraId="036902DB" w14:textId="77777777" w:rsidR="00DD0FA8" w:rsidRDefault="00DD0FA8" w:rsidP="00DD0FA8">
            <w:pPr>
              <w:ind w:right="-108"/>
              <w:jc w:val="both"/>
              <w:rPr>
                <w:rFonts w:cstheme="minorHAnsi"/>
                <w:bCs/>
                <w:sz w:val="20"/>
              </w:rPr>
            </w:pPr>
            <w:r>
              <w:rPr>
                <w:rFonts w:cstheme="minorHAnsi"/>
                <w:bCs/>
                <w:sz w:val="20"/>
              </w:rPr>
              <w:t>99 (99% indole)</w:t>
            </w:r>
          </w:p>
          <w:p w14:paraId="6E9F3178" w14:textId="77777777" w:rsidR="00A651D8" w:rsidRPr="00E47369" w:rsidRDefault="00A651D8" w:rsidP="00DD0FA8">
            <w:pPr>
              <w:ind w:right="-108"/>
              <w:jc w:val="both"/>
              <w:rPr>
                <w:rFonts w:cstheme="minorHAnsi"/>
                <w:sz w:val="20"/>
              </w:rPr>
            </w:pPr>
            <w:r w:rsidRPr="00E47369">
              <w:rPr>
                <w:rFonts w:cstheme="minorHAnsi"/>
                <w:sz w:val="20"/>
              </w:rPr>
              <w:t>70</w:t>
            </w:r>
          </w:p>
        </w:tc>
      </w:tr>
      <w:tr w:rsidR="00A651D8" w:rsidRPr="00E47369" w14:paraId="3ACF1594" w14:textId="77777777" w:rsidTr="00243BEC">
        <w:trPr>
          <w:trHeight w:val="576"/>
          <w:jc w:val="center"/>
        </w:trPr>
        <w:tc>
          <w:tcPr>
            <w:tcW w:w="1032" w:type="dxa"/>
            <w:tcBorders>
              <w:top w:val="single" w:sz="2" w:space="0" w:color="808080" w:themeColor="background1" w:themeShade="80"/>
              <w:left w:val="single" w:sz="6" w:space="0" w:color="F9F9F9"/>
              <w:bottom w:val="single" w:sz="2" w:space="0" w:color="808080" w:themeColor="background1" w:themeShade="80"/>
              <w:right w:val="single" w:sz="12" w:space="0" w:color="auto"/>
            </w:tcBorders>
            <w:shd w:val="clear" w:color="auto" w:fill="auto"/>
            <w:tcMar>
              <w:top w:w="15" w:type="dxa"/>
              <w:left w:w="108" w:type="dxa"/>
              <w:bottom w:w="0" w:type="dxa"/>
              <w:right w:w="108" w:type="dxa"/>
            </w:tcMar>
            <w:vAlign w:val="center"/>
            <w:hideMark/>
          </w:tcPr>
          <w:p w14:paraId="7F54D1CD" w14:textId="77777777" w:rsidR="00A651D8" w:rsidRPr="00E47369" w:rsidRDefault="00BE514F" w:rsidP="00EB114B">
            <w:pPr>
              <w:jc w:val="both"/>
              <w:rPr>
                <w:rFonts w:cstheme="minorHAnsi"/>
                <w:sz w:val="20"/>
              </w:rPr>
            </w:pPr>
            <w:r w:rsidRPr="00E47369">
              <w:rPr>
                <w:rFonts w:cstheme="minorHAnsi"/>
                <w:bCs/>
                <w:sz w:val="20"/>
              </w:rPr>
              <w:t>II.</w:t>
            </w:r>
            <w:r w:rsidR="00A651D8" w:rsidRPr="00E47369">
              <w:rPr>
                <w:rFonts w:cstheme="minorHAnsi"/>
                <w:bCs/>
                <w:sz w:val="20"/>
              </w:rPr>
              <w:t>2.1.4</w:t>
            </w:r>
          </w:p>
        </w:tc>
        <w:tc>
          <w:tcPr>
            <w:tcW w:w="1260" w:type="dxa"/>
            <w:tcBorders>
              <w:top w:val="single" w:sz="2" w:space="0" w:color="808080" w:themeColor="background1" w:themeShade="80"/>
              <w:left w:val="single" w:sz="12" w:space="0" w:color="auto"/>
              <w:bottom w:val="single" w:sz="2" w:space="0" w:color="808080" w:themeColor="background1" w:themeShade="80"/>
            </w:tcBorders>
            <w:shd w:val="clear" w:color="auto" w:fill="auto"/>
            <w:tcMar>
              <w:top w:w="15" w:type="dxa"/>
              <w:left w:w="108" w:type="dxa"/>
              <w:bottom w:w="0" w:type="dxa"/>
              <w:right w:w="108" w:type="dxa"/>
            </w:tcMar>
            <w:vAlign w:val="center"/>
            <w:hideMark/>
          </w:tcPr>
          <w:p w14:paraId="7401AA05" w14:textId="77777777" w:rsidR="00A651D8" w:rsidRPr="00E47369" w:rsidRDefault="00A651D8" w:rsidP="00EB114B">
            <w:pPr>
              <w:jc w:val="both"/>
              <w:rPr>
                <w:rFonts w:cstheme="minorHAnsi"/>
                <w:sz w:val="20"/>
              </w:rPr>
            </w:pPr>
            <w:r w:rsidRPr="00E47369">
              <w:rPr>
                <w:rFonts w:cstheme="minorHAnsi"/>
                <w:noProof/>
                <w:sz w:val="20"/>
                <w:lang w:bidi="ar-SA"/>
              </w:rPr>
              <w:drawing>
                <wp:anchor distT="0" distB="0" distL="114300" distR="114300" simplePos="0" relativeHeight="251648512" behindDoc="0" locked="0" layoutInCell="1" allowOverlap="1" wp14:anchorId="7A4F29A8" wp14:editId="49FE00DA">
                  <wp:simplePos x="0" y="0"/>
                  <wp:positionH relativeFrom="column">
                    <wp:posOffset>152400</wp:posOffset>
                  </wp:positionH>
                  <wp:positionV relativeFrom="paragraph">
                    <wp:posOffset>13335</wp:posOffset>
                  </wp:positionV>
                  <wp:extent cx="415925" cy="339090"/>
                  <wp:effectExtent l="0" t="0" r="3175" b="3810"/>
                  <wp:wrapNone/>
                  <wp:docPr id="26" name="Objet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t 4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15925" cy="339090"/>
                          </a:xfrm>
                          <a:prstGeom prst="rect">
                            <a:avLst/>
                          </a:prstGeom>
                          <a:noFill/>
                        </pic:spPr>
                      </pic:pic>
                    </a:graphicData>
                  </a:graphic>
                  <wp14:sizeRelH relativeFrom="page">
                    <wp14:pctWidth>0</wp14:pctWidth>
                  </wp14:sizeRelH>
                  <wp14:sizeRelV relativeFrom="page">
                    <wp14:pctHeight>0</wp14:pctHeight>
                  </wp14:sizeRelV>
                </wp:anchor>
              </w:drawing>
            </w:r>
          </w:p>
        </w:tc>
        <w:tc>
          <w:tcPr>
            <w:tcW w:w="1620" w:type="dxa"/>
            <w:tcBorders>
              <w:top w:val="single" w:sz="2" w:space="0" w:color="808080" w:themeColor="background1" w:themeShade="80"/>
              <w:bottom w:val="single" w:sz="2" w:space="0" w:color="808080" w:themeColor="background1" w:themeShade="80"/>
              <w:right w:val="single" w:sz="4" w:space="0" w:color="FFFFFF" w:themeColor="background1"/>
            </w:tcBorders>
            <w:shd w:val="clear" w:color="auto" w:fill="auto"/>
            <w:tcMar>
              <w:top w:w="15" w:type="dxa"/>
              <w:left w:w="108" w:type="dxa"/>
              <w:bottom w:w="0" w:type="dxa"/>
              <w:right w:w="108" w:type="dxa"/>
            </w:tcMar>
            <w:vAlign w:val="center"/>
            <w:hideMark/>
          </w:tcPr>
          <w:p w14:paraId="7EE46817" w14:textId="77777777" w:rsidR="00A651D8" w:rsidRPr="00E47369" w:rsidRDefault="00A651D8" w:rsidP="00EB114B">
            <w:pPr>
              <w:jc w:val="both"/>
              <w:rPr>
                <w:rFonts w:cstheme="minorHAnsi"/>
                <w:sz w:val="20"/>
              </w:rPr>
            </w:pPr>
            <w:r w:rsidRPr="00E47369">
              <w:rPr>
                <w:rFonts w:cstheme="minorHAnsi"/>
                <w:sz w:val="20"/>
              </w:rPr>
              <w:t>DET</w:t>
            </w:r>
          </w:p>
        </w:tc>
        <w:tc>
          <w:tcPr>
            <w:tcW w:w="1488" w:type="dxa"/>
            <w:tcBorders>
              <w:top w:val="single" w:sz="2" w:space="0" w:color="808080" w:themeColor="background1" w:themeShade="80"/>
              <w:left w:val="single" w:sz="4" w:space="0" w:color="FFFFFF" w:themeColor="background1"/>
              <w:bottom w:val="single" w:sz="2" w:space="0" w:color="808080" w:themeColor="background1" w:themeShade="80"/>
              <w:right w:val="single" w:sz="6" w:space="0" w:color="F9F9F9"/>
            </w:tcBorders>
            <w:shd w:val="clear" w:color="auto" w:fill="auto"/>
            <w:tcMar>
              <w:top w:w="15" w:type="dxa"/>
              <w:left w:w="108" w:type="dxa"/>
              <w:bottom w:w="0" w:type="dxa"/>
              <w:right w:w="108" w:type="dxa"/>
            </w:tcMar>
            <w:vAlign w:val="center"/>
            <w:hideMark/>
          </w:tcPr>
          <w:p w14:paraId="1B7A3850" w14:textId="77777777" w:rsidR="00A651D8" w:rsidRPr="00E47369" w:rsidRDefault="00A651D8" w:rsidP="00EB114B">
            <w:pPr>
              <w:jc w:val="both"/>
              <w:rPr>
                <w:rFonts w:cstheme="minorHAnsi"/>
                <w:sz w:val="20"/>
              </w:rPr>
            </w:pPr>
            <w:r w:rsidRPr="00E47369">
              <w:rPr>
                <w:rFonts w:cstheme="minorHAnsi"/>
                <w:bCs/>
                <w:sz w:val="20"/>
              </w:rPr>
              <w:t>70</w:t>
            </w:r>
          </w:p>
        </w:tc>
      </w:tr>
      <w:tr w:rsidR="00A651D8" w:rsidRPr="00E47369" w14:paraId="25E58B6A" w14:textId="77777777" w:rsidTr="00243BEC">
        <w:trPr>
          <w:trHeight w:val="576"/>
          <w:jc w:val="center"/>
        </w:trPr>
        <w:tc>
          <w:tcPr>
            <w:tcW w:w="1032" w:type="dxa"/>
            <w:tcBorders>
              <w:top w:val="single" w:sz="2" w:space="0" w:color="808080" w:themeColor="background1" w:themeShade="80"/>
              <w:left w:val="single" w:sz="6" w:space="0" w:color="F9F9F9"/>
              <w:bottom w:val="single" w:sz="2" w:space="0" w:color="808080" w:themeColor="background1" w:themeShade="80"/>
              <w:right w:val="single" w:sz="12" w:space="0" w:color="auto"/>
            </w:tcBorders>
            <w:shd w:val="clear" w:color="auto" w:fill="auto"/>
            <w:tcMar>
              <w:top w:w="15" w:type="dxa"/>
              <w:left w:w="108" w:type="dxa"/>
              <w:bottom w:w="0" w:type="dxa"/>
              <w:right w:w="108" w:type="dxa"/>
            </w:tcMar>
            <w:vAlign w:val="center"/>
          </w:tcPr>
          <w:p w14:paraId="357B914E" w14:textId="77777777" w:rsidR="00DD0FA8" w:rsidRDefault="00BE514F" w:rsidP="00EB114B">
            <w:pPr>
              <w:jc w:val="both"/>
              <w:rPr>
                <w:rFonts w:cstheme="minorHAnsi"/>
                <w:bCs/>
                <w:sz w:val="20"/>
              </w:rPr>
            </w:pPr>
            <w:r w:rsidRPr="00E47369">
              <w:rPr>
                <w:rFonts w:cstheme="minorHAnsi"/>
                <w:bCs/>
                <w:sz w:val="20"/>
              </w:rPr>
              <w:t>II.</w:t>
            </w:r>
            <w:r w:rsidR="00DD0FA8">
              <w:rPr>
                <w:rFonts w:cstheme="minorHAnsi"/>
                <w:bCs/>
                <w:sz w:val="20"/>
              </w:rPr>
              <w:t>2.1.5.a</w:t>
            </w:r>
          </w:p>
          <w:p w14:paraId="60821C33" w14:textId="77777777" w:rsidR="00A651D8" w:rsidRPr="00E47369" w:rsidRDefault="00BE514F" w:rsidP="00EB114B">
            <w:pPr>
              <w:jc w:val="both"/>
              <w:rPr>
                <w:rFonts w:cstheme="minorHAnsi"/>
                <w:bCs/>
                <w:sz w:val="20"/>
              </w:rPr>
            </w:pPr>
            <w:r w:rsidRPr="00E47369">
              <w:rPr>
                <w:rFonts w:cstheme="minorHAnsi"/>
                <w:bCs/>
                <w:sz w:val="20"/>
              </w:rPr>
              <w:t>II.</w:t>
            </w:r>
            <w:r w:rsidR="00A651D8" w:rsidRPr="00E47369">
              <w:rPr>
                <w:rFonts w:cstheme="minorHAnsi"/>
                <w:bCs/>
                <w:sz w:val="20"/>
              </w:rPr>
              <w:t>2.1.5.b</w:t>
            </w:r>
          </w:p>
        </w:tc>
        <w:tc>
          <w:tcPr>
            <w:tcW w:w="1260" w:type="dxa"/>
            <w:tcBorders>
              <w:top w:val="single" w:sz="2" w:space="0" w:color="808080" w:themeColor="background1" w:themeShade="80"/>
              <w:left w:val="single" w:sz="12" w:space="0" w:color="auto"/>
              <w:bottom w:val="single" w:sz="2" w:space="0" w:color="808080" w:themeColor="background1" w:themeShade="80"/>
            </w:tcBorders>
            <w:shd w:val="clear" w:color="auto" w:fill="auto"/>
            <w:tcMar>
              <w:top w:w="15" w:type="dxa"/>
              <w:left w:w="108" w:type="dxa"/>
              <w:bottom w:w="0" w:type="dxa"/>
              <w:right w:w="108" w:type="dxa"/>
            </w:tcMar>
            <w:vAlign w:val="center"/>
          </w:tcPr>
          <w:p w14:paraId="7A80B993" w14:textId="77777777" w:rsidR="00A651D8" w:rsidRPr="00E47369" w:rsidRDefault="00A651D8" w:rsidP="00EB114B">
            <w:pPr>
              <w:jc w:val="both"/>
              <w:rPr>
                <w:rFonts w:cstheme="minorHAnsi"/>
                <w:sz w:val="20"/>
              </w:rPr>
            </w:pPr>
            <w:r w:rsidRPr="00E47369">
              <w:rPr>
                <w:rFonts w:cstheme="minorHAnsi"/>
                <w:noProof/>
                <w:sz w:val="20"/>
                <w:lang w:bidi="ar-SA"/>
              </w:rPr>
              <w:drawing>
                <wp:anchor distT="0" distB="0" distL="114300" distR="114300" simplePos="0" relativeHeight="251650560" behindDoc="0" locked="0" layoutInCell="1" allowOverlap="1" wp14:anchorId="3073778C" wp14:editId="58BE1338">
                  <wp:simplePos x="0" y="0"/>
                  <wp:positionH relativeFrom="column">
                    <wp:posOffset>253365</wp:posOffset>
                  </wp:positionH>
                  <wp:positionV relativeFrom="paragraph">
                    <wp:posOffset>91440</wp:posOffset>
                  </wp:positionV>
                  <wp:extent cx="213995" cy="243205"/>
                  <wp:effectExtent l="0" t="0" r="0" b="4445"/>
                  <wp:wrapNone/>
                  <wp:docPr id="27" name="Obje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t 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13995" cy="243205"/>
                          </a:xfrm>
                          <a:prstGeom prst="rect">
                            <a:avLst/>
                          </a:prstGeom>
                          <a:noFill/>
                        </pic:spPr>
                      </pic:pic>
                    </a:graphicData>
                  </a:graphic>
                  <wp14:sizeRelH relativeFrom="page">
                    <wp14:pctWidth>0</wp14:pctWidth>
                  </wp14:sizeRelH>
                  <wp14:sizeRelV relativeFrom="page">
                    <wp14:pctHeight>0</wp14:pctHeight>
                  </wp14:sizeRelV>
                </wp:anchor>
              </w:drawing>
            </w:r>
          </w:p>
        </w:tc>
        <w:tc>
          <w:tcPr>
            <w:tcW w:w="1620" w:type="dxa"/>
            <w:tcBorders>
              <w:top w:val="single" w:sz="2" w:space="0" w:color="808080" w:themeColor="background1" w:themeShade="80"/>
              <w:bottom w:val="single" w:sz="2" w:space="0" w:color="808080" w:themeColor="background1" w:themeShade="80"/>
              <w:right w:val="single" w:sz="4" w:space="0" w:color="FFFFFF" w:themeColor="background1"/>
            </w:tcBorders>
            <w:shd w:val="clear" w:color="auto" w:fill="auto"/>
            <w:tcMar>
              <w:top w:w="15" w:type="dxa"/>
              <w:left w:w="108" w:type="dxa"/>
              <w:bottom w:w="0" w:type="dxa"/>
              <w:right w:w="108" w:type="dxa"/>
            </w:tcMar>
            <w:vAlign w:val="center"/>
          </w:tcPr>
          <w:p w14:paraId="375C2F91" w14:textId="77777777" w:rsidR="00DD0FA8" w:rsidRDefault="00DD0FA8" w:rsidP="00EB114B">
            <w:pPr>
              <w:jc w:val="both"/>
              <w:rPr>
                <w:rFonts w:cstheme="minorHAnsi"/>
                <w:sz w:val="20"/>
              </w:rPr>
            </w:pPr>
            <w:r>
              <w:rPr>
                <w:rFonts w:cstheme="minorHAnsi"/>
                <w:sz w:val="20"/>
              </w:rPr>
              <w:t>DET</w:t>
            </w:r>
          </w:p>
          <w:p w14:paraId="6699AE8E" w14:textId="77777777" w:rsidR="00A651D8" w:rsidRPr="00E47369" w:rsidRDefault="00A651D8" w:rsidP="00EB114B">
            <w:pPr>
              <w:jc w:val="both"/>
              <w:rPr>
                <w:rFonts w:cstheme="minorHAnsi"/>
                <w:sz w:val="20"/>
              </w:rPr>
            </w:pPr>
            <w:r w:rsidRPr="00E47369">
              <w:rPr>
                <w:rFonts w:cstheme="minorHAnsi"/>
                <w:sz w:val="20"/>
              </w:rPr>
              <w:t>1,2-octanediol</w:t>
            </w:r>
          </w:p>
        </w:tc>
        <w:tc>
          <w:tcPr>
            <w:tcW w:w="1488" w:type="dxa"/>
            <w:tcBorders>
              <w:top w:val="single" w:sz="2" w:space="0" w:color="808080" w:themeColor="background1" w:themeShade="80"/>
              <w:left w:val="single" w:sz="4" w:space="0" w:color="FFFFFF" w:themeColor="background1"/>
              <w:bottom w:val="single" w:sz="2" w:space="0" w:color="808080" w:themeColor="background1" w:themeShade="80"/>
              <w:right w:val="single" w:sz="6" w:space="0" w:color="F9F9F9"/>
            </w:tcBorders>
            <w:shd w:val="clear" w:color="auto" w:fill="auto"/>
            <w:tcMar>
              <w:top w:w="15" w:type="dxa"/>
              <w:left w:w="108" w:type="dxa"/>
              <w:bottom w:w="0" w:type="dxa"/>
              <w:right w:w="108" w:type="dxa"/>
            </w:tcMar>
            <w:vAlign w:val="center"/>
          </w:tcPr>
          <w:p w14:paraId="30CA7878" w14:textId="77777777" w:rsidR="00DD0FA8" w:rsidRDefault="00DD0FA8" w:rsidP="00DD0FA8">
            <w:pPr>
              <w:spacing w:line="240" w:lineRule="auto"/>
              <w:jc w:val="both"/>
              <w:rPr>
                <w:rFonts w:cstheme="minorHAnsi"/>
                <w:bCs/>
                <w:sz w:val="20"/>
                <w:highlight w:val="yellow"/>
              </w:rPr>
            </w:pPr>
            <w:r>
              <w:rPr>
                <w:rFonts w:cstheme="minorHAnsi"/>
                <w:bCs/>
                <w:sz w:val="20"/>
              </w:rPr>
              <w:t xml:space="preserve">78-90 in </w:t>
            </w:r>
            <w:r w:rsidRPr="00E47369">
              <w:rPr>
                <w:rFonts w:cstheme="minorHAnsi"/>
                <w:b/>
                <w:bCs/>
                <w:sz w:val="20"/>
              </w:rPr>
              <w:t>1</w:t>
            </w:r>
          </w:p>
          <w:p w14:paraId="627C693C" w14:textId="77777777" w:rsidR="00DD0FA8" w:rsidRDefault="00A651D8" w:rsidP="00DD0FA8">
            <w:pPr>
              <w:spacing w:line="240" w:lineRule="auto"/>
              <w:jc w:val="both"/>
              <w:rPr>
                <w:rFonts w:cstheme="minorHAnsi"/>
                <w:bCs/>
                <w:sz w:val="20"/>
              </w:rPr>
            </w:pPr>
            <w:r w:rsidRPr="00E47369">
              <w:rPr>
                <w:rFonts w:cstheme="minorHAnsi"/>
                <w:bCs/>
                <w:sz w:val="20"/>
              </w:rPr>
              <w:t>(</w:t>
            </w:r>
            <w:r w:rsidR="007D369E">
              <w:rPr>
                <w:rFonts w:cstheme="minorHAnsi"/>
                <w:sz w:val="20"/>
              </w:rPr>
              <w:t>Figure II.</w:t>
            </w:r>
            <w:r w:rsidR="007D369E" w:rsidRPr="007D369E">
              <w:rPr>
                <w:rFonts w:cstheme="minorHAnsi"/>
                <w:noProof/>
                <w:sz w:val="20"/>
              </w:rPr>
              <w:t>2</w:t>
            </w:r>
            <w:r w:rsidR="007D369E" w:rsidRPr="007D369E">
              <w:rPr>
                <w:rFonts w:cstheme="minorHAnsi"/>
                <w:sz w:val="20"/>
              </w:rPr>
              <w:t>.</w:t>
            </w:r>
            <w:r w:rsidR="007D369E">
              <w:rPr>
                <w:rFonts w:cstheme="minorHAnsi"/>
                <w:bCs/>
                <w:sz w:val="20"/>
              </w:rPr>
              <w:t>1</w:t>
            </w:r>
            <w:r w:rsidRPr="00E47369">
              <w:rPr>
                <w:rFonts w:cstheme="minorHAnsi"/>
                <w:bCs/>
                <w:sz w:val="20"/>
              </w:rPr>
              <w:t>)</w:t>
            </w:r>
          </w:p>
          <w:p w14:paraId="59DE143D" w14:textId="77777777" w:rsidR="00A651D8" w:rsidRDefault="00A651D8" w:rsidP="00DD0FA8">
            <w:pPr>
              <w:spacing w:line="240" w:lineRule="auto"/>
              <w:jc w:val="both"/>
              <w:rPr>
                <w:rFonts w:cstheme="minorHAnsi"/>
                <w:bCs/>
                <w:sz w:val="20"/>
                <w:vertAlign w:val="superscript"/>
              </w:rPr>
            </w:pPr>
            <w:r w:rsidRPr="00E47369">
              <w:rPr>
                <w:rFonts w:cstheme="minorHAnsi"/>
                <w:bCs/>
                <w:sz w:val="20"/>
              </w:rPr>
              <w:t>52</w:t>
            </w:r>
            <w:r w:rsidRPr="00E47369">
              <w:rPr>
                <w:rFonts w:cstheme="minorHAnsi"/>
                <w:bCs/>
                <w:sz w:val="20"/>
                <w:vertAlign w:val="superscript"/>
              </w:rPr>
              <w:t>c</w:t>
            </w:r>
          </w:p>
          <w:p w14:paraId="37BB4226" w14:textId="77777777" w:rsidR="00DD0FA8" w:rsidRPr="00E47369" w:rsidRDefault="00DD0FA8" w:rsidP="00DD0FA8">
            <w:pPr>
              <w:spacing w:line="240" w:lineRule="auto"/>
              <w:jc w:val="both"/>
              <w:rPr>
                <w:rFonts w:cstheme="minorHAnsi"/>
                <w:bCs/>
                <w:sz w:val="20"/>
                <w:highlight w:val="yellow"/>
              </w:rPr>
            </w:pPr>
          </w:p>
        </w:tc>
      </w:tr>
      <w:tr w:rsidR="00A651D8" w:rsidRPr="00E47369" w14:paraId="732BD9D4" w14:textId="77777777" w:rsidTr="00243BEC">
        <w:trPr>
          <w:trHeight w:val="576"/>
          <w:jc w:val="center"/>
        </w:trPr>
        <w:tc>
          <w:tcPr>
            <w:tcW w:w="1032" w:type="dxa"/>
            <w:tcBorders>
              <w:top w:val="single" w:sz="2" w:space="0" w:color="808080" w:themeColor="background1" w:themeShade="80"/>
              <w:left w:val="single" w:sz="6" w:space="0" w:color="F9F9F9"/>
              <w:bottom w:val="single" w:sz="2" w:space="0" w:color="808080" w:themeColor="background1" w:themeShade="80"/>
              <w:right w:val="single" w:sz="12" w:space="0" w:color="auto"/>
            </w:tcBorders>
            <w:shd w:val="clear" w:color="auto" w:fill="auto"/>
            <w:tcMar>
              <w:top w:w="15" w:type="dxa"/>
              <w:left w:w="108" w:type="dxa"/>
              <w:bottom w:w="0" w:type="dxa"/>
              <w:right w:w="108" w:type="dxa"/>
            </w:tcMar>
            <w:vAlign w:val="center"/>
          </w:tcPr>
          <w:p w14:paraId="722232A7" w14:textId="77777777" w:rsidR="00DD0FA8" w:rsidRDefault="00BE514F" w:rsidP="00EB114B">
            <w:pPr>
              <w:jc w:val="both"/>
              <w:rPr>
                <w:rFonts w:cstheme="minorHAnsi"/>
                <w:bCs/>
                <w:sz w:val="20"/>
              </w:rPr>
            </w:pPr>
            <w:r w:rsidRPr="00E47369">
              <w:rPr>
                <w:rFonts w:cstheme="minorHAnsi"/>
                <w:bCs/>
                <w:sz w:val="20"/>
              </w:rPr>
              <w:t>II.</w:t>
            </w:r>
            <w:r w:rsidR="00DD0FA8">
              <w:rPr>
                <w:rFonts w:cstheme="minorHAnsi"/>
                <w:bCs/>
                <w:sz w:val="20"/>
              </w:rPr>
              <w:t>2.1.6.a</w:t>
            </w:r>
          </w:p>
          <w:p w14:paraId="24FE2602" w14:textId="77777777" w:rsidR="00A651D8" w:rsidRPr="00E47369" w:rsidRDefault="00BE514F" w:rsidP="00EB114B">
            <w:pPr>
              <w:jc w:val="both"/>
              <w:rPr>
                <w:rFonts w:cstheme="minorHAnsi"/>
                <w:bCs/>
                <w:sz w:val="20"/>
              </w:rPr>
            </w:pPr>
            <w:r w:rsidRPr="00E47369">
              <w:rPr>
                <w:rFonts w:cstheme="minorHAnsi"/>
                <w:bCs/>
                <w:sz w:val="20"/>
              </w:rPr>
              <w:t>II.</w:t>
            </w:r>
            <w:r w:rsidR="00A651D8" w:rsidRPr="00E47369">
              <w:rPr>
                <w:rFonts w:cstheme="minorHAnsi"/>
                <w:bCs/>
                <w:sz w:val="20"/>
              </w:rPr>
              <w:t>2.1.6.b</w:t>
            </w:r>
          </w:p>
        </w:tc>
        <w:tc>
          <w:tcPr>
            <w:tcW w:w="1260" w:type="dxa"/>
            <w:tcBorders>
              <w:top w:val="single" w:sz="2" w:space="0" w:color="808080" w:themeColor="background1" w:themeShade="80"/>
              <w:left w:val="single" w:sz="12" w:space="0" w:color="auto"/>
              <w:bottom w:val="single" w:sz="2" w:space="0" w:color="808080" w:themeColor="background1" w:themeShade="80"/>
            </w:tcBorders>
            <w:shd w:val="clear" w:color="auto" w:fill="auto"/>
            <w:tcMar>
              <w:top w:w="15" w:type="dxa"/>
              <w:left w:w="108" w:type="dxa"/>
              <w:bottom w:w="0" w:type="dxa"/>
              <w:right w:w="108" w:type="dxa"/>
            </w:tcMar>
            <w:vAlign w:val="center"/>
          </w:tcPr>
          <w:p w14:paraId="4504DF96" w14:textId="77777777" w:rsidR="00A651D8" w:rsidRPr="00E47369" w:rsidRDefault="00A651D8" w:rsidP="00EB114B">
            <w:pPr>
              <w:jc w:val="both"/>
              <w:rPr>
                <w:rFonts w:cstheme="minorHAnsi"/>
                <w:sz w:val="20"/>
              </w:rPr>
            </w:pPr>
            <w:r w:rsidRPr="00E47369">
              <w:rPr>
                <w:rFonts w:cstheme="minorHAnsi"/>
                <w:noProof/>
                <w:sz w:val="20"/>
                <w:lang w:bidi="ar-SA"/>
              </w:rPr>
              <w:drawing>
                <wp:anchor distT="0" distB="0" distL="114300" distR="114300" simplePos="0" relativeHeight="251652608" behindDoc="0" locked="0" layoutInCell="1" allowOverlap="1" wp14:anchorId="0EF431A0" wp14:editId="49207847">
                  <wp:simplePos x="0" y="0"/>
                  <wp:positionH relativeFrom="column">
                    <wp:posOffset>69215</wp:posOffset>
                  </wp:positionH>
                  <wp:positionV relativeFrom="paragraph">
                    <wp:posOffset>80645</wp:posOffset>
                  </wp:positionV>
                  <wp:extent cx="582295" cy="243205"/>
                  <wp:effectExtent l="0" t="0" r="8255" b="4445"/>
                  <wp:wrapNone/>
                  <wp:docPr id="28" name="Obje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t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82295" cy="243205"/>
                          </a:xfrm>
                          <a:prstGeom prst="rect">
                            <a:avLst/>
                          </a:prstGeom>
                          <a:noFill/>
                        </pic:spPr>
                      </pic:pic>
                    </a:graphicData>
                  </a:graphic>
                  <wp14:sizeRelH relativeFrom="page">
                    <wp14:pctWidth>0</wp14:pctWidth>
                  </wp14:sizeRelH>
                  <wp14:sizeRelV relativeFrom="page">
                    <wp14:pctHeight>0</wp14:pctHeight>
                  </wp14:sizeRelV>
                </wp:anchor>
              </w:drawing>
            </w:r>
          </w:p>
        </w:tc>
        <w:tc>
          <w:tcPr>
            <w:tcW w:w="1620" w:type="dxa"/>
            <w:tcBorders>
              <w:top w:val="single" w:sz="2" w:space="0" w:color="808080" w:themeColor="background1" w:themeShade="80"/>
              <w:bottom w:val="single" w:sz="2" w:space="0" w:color="808080" w:themeColor="background1" w:themeShade="80"/>
              <w:right w:val="single" w:sz="4" w:space="0" w:color="FFFFFF" w:themeColor="background1"/>
            </w:tcBorders>
            <w:shd w:val="clear" w:color="auto" w:fill="auto"/>
            <w:tcMar>
              <w:top w:w="15" w:type="dxa"/>
              <w:left w:w="108" w:type="dxa"/>
              <w:bottom w:w="0" w:type="dxa"/>
              <w:right w:w="108" w:type="dxa"/>
            </w:tcMar>
            <w:vAlign w:val="center"/>
          </w:tcPr>
          <w:p w14:paraId="6702548F" w14:textId="77777777" w:rsidR="00DD0FA8" w:rsidRDefault="00DD0FA8" w:rsidP="00EB114B">
            <w:pPr>
              <w:jc w:val="both"/>
              <w:rPr>
                <w:rFonts w:cstheme="minorHAnsi"/>
                <w:sz w:val="20"/>
              </w:rPr>
            </w:pPr>
            <w:r>
              <w:rPr>
                <w:rFonts w:cstheme="minorHAnsi"/>
                <w:sz w:val="20"/>
              </w:rPr>
              <w:t>DET</w:t>
            </w:r>
          </w:p>
          <w:p w14:paraId="5F72CE56" w14:textId="77777777" w:rsidR="00A651D8" w:rsidRPr="00E47369" w:rsidRDefault="00A651D8" w:rsidP="00EB114B">
            <w:pPr>
              <w:jc w:val="both"/>
              <w:rPr>
                <w:rFonts w:cstheme="minorHAnsi"/>
                <w:sz w:val="20"/>
              </w:rPr>
            </w:pPr>
            <w:r w:rsidRPr="00E47369">
              <w:rPr>
                <w:rFonts w:cstheme="minorHAnsi"/>
                <w:sz w:val="20"/>
              </w:rPr>
              <w:t>1,2-octanediol</w:t>
            </w:r>
          </w:p>
        </w:tc>
        <w:tc>
          <w:tcPr>
            <w:tcW w:w="1488" w:type="dxa"/>
            <w:tcBorders>
              <w:top w:val="single" w:sz="2" w:space="0" w:color="808080" w:themeColor="background1" w:themeShade="80"/>
              <w:left w:val="single" w:sz="4" w:space="0" w:color="FFFFFF" w:themeColor="background1"/>
              <w:bottom w:val="single" w:sz="2" w:space="0" w:color="808080" w:themeColor="background1" w:themeShade="80"/>
              <w:right w:val="single" w:sz="6" w:space="0" w:color="F9F9F9"/>
            </w:tcBorders>
            <w:shd w:val="clear" w:color="auto" w:fill="auto"/>
            <w:tcMar>
              <w:top w:w="15" w:type="dxa"/>
              <w:left w:w="108" w:type="dxa"/>
              <w:bottom w:w="0" w:type="dxa"/>
              <w:right w:w="108" w:type="dxa"/>
            </w:tcMar>
            <w:vAlign w:val="center"/>
          </w:tcPr>
          <w:p w14:paraId="526291A8" w14:textId="77777777" w:rsidR="00DD0FA8" w:rsidRDefault="00DD0FA8" w:rsidP="00DD0FA8">
            <w:pPr>
              <w:spacing w:line="240" w:lineRule="auto"/>
              <w:jc w:val="both"/>
              <w:rPr>
                <w:rFonts w:cstheme="minorHAnsi"/>
                <w:bCs/>
                <w:sz w:val="20"/>
              </w:rPr>
            </w:pPr>
            <w:r>
              <w:rPr>
                <w:rFonts w:cstheme="minorHAnsi"/>
                <w:bCs/>
                <w:sz w:val="20"/>
              </w:rPr>
              <w:t xml:space="preserve">40 in </w:t>
            </w:r>
            <w:r w:rsidRPr="00E47369">
              <w:rPr>
                <w:rFonts w:cstheme="minorHAnsi"/>
                <w:b/>
                <w:bCs/>
                <w:sz w:val="20"/>
              </w:rPr>
              <w:t>2</w:t>
            </w:r>
          </w:p>
          <w:p w14:paraId="2A7AC0C2" w14:textId="77777777" w:rsidR="00DD0FA8" w:rsidRDefault="00A651D8" w:rsidP="00DD0FA8">
            <w:pPr>
              <w:spacing w:line="240" w:lineRule="auto"/>
              <w:jc w:val="both"/>
              <w:rPr>
                <w:rFonts w:cstheme="minorHAnsi"/>
                <w:bCs/>
                <w:sz w:val="20"/>
                <w:highlight w:val="yellow"/>
              </w:rPr>
            </w:pPr>
            <w:r w:rsidRPr="00E47369">
              <w:rPr>
                <w:rFonts w:cstheme="minorHAnsi"/>
                <w:bCs/>
                <w:sz w:val="20"/>
              </w:rPr>
              <w:t>(</w:t>
            </w:r>
            <w:r w:rsidR="007D369E">
              <w:rPr>
                <w:rFonts w:cstheme="minorHAnsi"/>
                <w:sz w:val="20"/>
              </w:rPr>
              <w:t>Figure II.</w:t>
            </w:r>
            <w:r w:rsidR="007D369E" w:rsidRPr="007D369E">
              <w:rPr>
                <w:rFonts w:cstheme="minorHAnsi"/>
                <w:noProof/>
                <w:sz w:val="20"/>
              </w:rPr>
              <w:t>2</w:t>
            </w:r>
            <w:r w:rsidR="007D369E" w:rsidRPr="007D369E">
              <w:rPr>
                <w:rFonts w:cstheme="minorHAnsi"/>
                <w:sz w:val="20"/>
              </w:rPr>
              <w:t>.</w:t>
            </w:r>
            <w:r w:rsidR="007D369E">
              <w:rPr>
                <w:rFonts w:cstheme="minorHAnsi"/>
                <w:bCs/>
                <w:sz w:val="20"/>
              </w:rPr>
              <w:t>2</w:t>
            </w:r>
            <w:r w:rsidRPr="00E47369">
              <w:rPr>
                <w:rFonts w:cstheme="minorHAnsi"/>
                <w:bCs/>
                <w:sz w:val="20"/>
              </w:rPr>
              <w:t>)</w:t>
            </w:r>
          </w:p>
          <w:p w14:paraId="4241AD71" w14:textId="77777777" w:rsidR="00A651D8" w:rsidRDefault="00A651D8" w:rsidP="00DD0FA8">
            <w:pPr>
              <w:spacing w:line="240" w:lineRule="auto"/>
              <w:jc w:val="both"/>
              <w:rPr>
                <w:rFonts w:cstheme="minorHAnsi"/>
                <w:sz w:val="20"/>
              </w:rPr>
            </w:pPr>
            <w:r w:rsidRPr="00E47369">
              <w:rPr>
                <w:rFonts w:cstheme="minorHAnsi"/>
                <w:sz w:val="20"/>
              </w:rPr>
              <w:t>64</w:t>
            </w:r>
          </w:p>
          <w:p w14:paraId="6CA78F28" w14:textId="77777777" w:rsidR="00DD0FA8" w:rsidRPr="00E47369" w:rsidRDefault="00DD0FA8" w:rsidP="00DD0FA8">
            <w:pPr>
              <w:spacing w:line="240" w:lineRule="auto"/>
              <w:jc w:val="both"/>
              <w:rPr>
                <w:rFonts w:cstheme="minorHAnsi"/>
                <w:bCs/>
                <w:sz w:val="20"/>
              </w:rPr>
            </w:pPr>
          </w:p>
        </w:tc>
      </w:tr>
      <w:tr w:rsidR="00A651D8" w:rsidRPr="00E47369" w14:paraId="067E2AFF" w14:textId="77777777" w:rsidTr="00243BEC">
        <w:trPr>
          <w:trHeight w:val="576"/>
          <w:jc w:val="center"/>
        </w:trPr>
        <w:tc>
          <w:tcPr>
            <w:tcW w:w="1032" w:type="dxa"/>
            <w:tcBorders>
              <w:top w:val="single" w:sz="2" w:space="0" w:color="808080" w:themeColor="background1" w:themeShade="80"/>
              <w:left w:val="single" w:sz="6" w:space="0" w:color="F9F9F9"/>
              <w:right w:val="single" w:sz="12" w:space="0" w:color="auto"/>
            </w:tcBorders>
            <w:shd w:val="clear" w:color="auto" w:fill="auto"/>
            <w:tcMar>
              <w:top w:w="15" w:type="dxa"/>
              <w:left w:w="108" w:type="dxa"/>
              <w:bottom w:w="0" w:type="dxa"/>
              <w:right w:w="108" w:type="dxa"/>
            </w:tcMar>
            <w:vAlign w:val="center"/>
          </w:tcPr>
          <w:p w14:paraId="74509439" w14:textId="77777777" w:rsidR="00A651D8" w:rsidRPr="00E47369" w:rsidRDefault="00BE514F" w:rsidP="00EB114B">
            <w:pPr>
              <w:jc w:val="both"/>
              <w:rPr>
                <w:rFonts w:cstheme="minorHAnsi"/>
                <w:bCs/>
                <w:sz w:val="20"/>
              </w:rPr>
            </w:pPr>
            <w:r w:rsidRPr="00E47369">
              <w:rPr>
                <w:rFonts w:cstheme="minorHAnsi"/>
                <w:bCs/>
                <w:sz w:val="20"/>
              </w:rPr>
              <w:t>II.</w:t>
            </w:r>
            <w:r w:rsidR="00A651D8" w:rsidRPr="00E47369">
              <w:rPr>
                <w:rFonts w:cstheme="minorHAnsi"/>
                <w:bCs/>
                <w:sz w:val="20"/>
              </w:rPr>
              <w:t>2.1.7</w:t>
            </w:r>
            <w:r w:rsidR="00A651D8" w:rsidRPr="00E47369">
              <w:rPr>
                <w:rFonts w:cstheme="minorHAnsi"/>
                <w:bCs/>
                <w:sz w:val="20"/>
                <w:vertAlign w:val="superscript"/>
              </w:rPr>
              <w:t>d</w:t>
            </w:r>
          </w:p>
        </w:tc>
        <w:tc>
          <w:tcPr>
            <w:tcW w:w="1260" w:type="dxa"/>
            <w:tcBorders>
              <w:top w:val="single" w:sz="2" w:space="0" w:color="808080" w:themeColor="background1" w:themeShade="80"/>
              <w:left w:val="single" w:sz="12" w:space="0" w:color="auto"/>
            </w:tcBorders>
            <w:shd w:val="clear" w:color="auto" w:fill="auto"/>
            <w:tcMar>
              <w:top w:w="15" w:type="dxa"/>
              <w:left w:w="108" w:type="dxa"/>
              <w:bottom w:w="0" w:type="dxa"/>
              <w:right w:w="108" w:type="dxa"/>
            </w:tcMar>
            <w:vAlign w:val="center"/>
          </w:tcPr>
          <w:p w14:paraId="52533270" w14:textId="77777777" w:rsidR="00A651D8" w:rsidRPr="00E47369" w:rsidRDefault="00A651D8" w:rsidP="00EB114B">
            <w:pPr>
              <w:jc w:val="both"/>
              <w:rPr>
                <w:rFonts w:cstheme="minorHAnsi"/>
                <w:sz w:val="20"/>
              </w:rPr>
            </w:pPr>
            <w:r w:rsidRPr="00E47369">
              <w:rPr>
                <w:rFonts w:cstheme="minorHAnsi"/>
                <w:noProof/>
                <w:sz w:val="20"/>
                <w:lang w:bidi="ar-SA"/>
              </w:rPr>
              <w:drawing>
                <wp:anchor distT="0" distB="0" distL="114300" distR="114300" simplePos="0" relativeHeight="251653632" behindDoc="0" locked="0" layoutInCell="1" allowOverlap="1" wp14:anchorId="7DB31B9F" wp14:editId="5B37AF2D">
                  <wp:simplePos x="0" y="0"/>
                  <wp:positionH relativeFrom="column">
                    <wp:posOffset>81280</wp:posOffset>
                  </wp:positionH>
                  <wp:positionV relativeFrom="paragraph">
                    <wp:posOffset>46990</wp:posOffset>
                  </wp:positionV>
                  <wp:extent cx="557530" cy="274955"/>
                  <wp:effectExtent l="0" t="0" r="0" b="0"/>
                  <wp:wrapNone/>
                  <wp:docPr id="29" name="Obje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t 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57530" cy="274955"/>
                          </a:xfrm>
                          <a:prstGeom prst="rect">
                            <a:avLst/>
                          </a:prstGeom>
                          <a:noFill/>
                        </pic:spPr>
                      </pic:pic>
                    </a:graphicData>
                  </a:graphic>
                  <wp14:sizeRelH relativeFrom="page">
                    <wp14:pctWidth>0</wp14:pctWidth>
                  </wp14:sizeRelH>
                  <wp14:sizeRelV relativeFrom="page">
                    <wp14:pctHeight>0</wp14:pctHeight>
                  </wp14:sizeRelV>
                </wp:anchor>
              </w:drawing>
            </w:r>
          </w:p>
        </w:tc>
        <w:tc>
          <w:tcPr>
            <w:tcW w:w="1620" w:type="dxa"/>
            <w:tcBorders>
              <w:top w:val="single" w:sz="2" w:space="0" w:color="808080" w:themeColor="background1" w:themeShade="80"/>
              <w:right w:val="single" w:sz="4" w:space="0" w:color="FFFFFF" w:themeColor="background1"/>
            </w:tcBorders>
            <w:shd w:val="clear" w:color="auto" w:fill="auto"/>
            <w:tcMar>
              <w:top w:w="15" w:type="dxa"/>
              <w:left w:w="108" w:type="dxa"/>
              <w:bottom w:w="0" w:type="dxa"/>
              <w:right w:w="108" w:type="dxa"/>
            </w:tcMar>
            <w:vAlign w:val="center"/>
          </w:tcPr>
          <w:p w14:paraId="5CC2C389" w14:textId="77777777" w:rsidR="00A651D8" w:rsidRPr="00E47369" w:rsidRDefault="00A651D8" w:rsidP="00EB114B">
            <w:pPr>
              <w:jc w:val="both"/>
              <w:rPr>
                <w:rFonts w:cstheme="minorHAnsi"/>
                <w:sz w:val="20"/>
              </w:rPr>
            </w:pPr>
            <w:r w:rsidRPr="00E47369">
              <w:rPr>
                <w:rFonts w:cstheme="minorHAnsi"/>
                <w:sz w:val="20"/>
              </w:rPr>
              <w:t>DET</w:t>
            </w:r>
          </w:p>
        </w:tc>
        <w:tc>
          <w:tcPr>
            <w:tcW w:w="1488" w:type="dxa"/>
            <w:tcBorders>
              <w:top w:val="single" w:sz="2" w:space="0" w:color="808080" w:themeColor="background1" w:themeShade="80"/>
              <w:left w:val="single" w:sz="4" w:space="0" w:color="FFFFFF" w:themeColor="background1"/>
              <w:right w:val="single" w:sz="6" w:space="0" w:color="F9F9F9"/>
            </w:tcBorders>
            <w:shd w:val="clear" w:color="auto" w:fill="auto"/>
            <w:tcMar>
              <w:top w:w="15" w:type="dxa"/>
              <w:left w:w="108" w:type="dxa"/>
              <w:bottom w:w="0" w:type="dxa"/>
              <w:right w:w="108" w:type="dxa"/>
            </w:tcMar>
            <w:vAlign w:val="center"/>
          </w:tcPr>
          <w:p w14:paraId="36D4383C" w14:textId="77777777" w:rsidR="00A651D8" w:rsidRPr="00E47369" w:rsidRDefault="00A651D8" w:rsidP="00EB114B">
            <w:pPr>
              <w:jc w:val="both"/>
              <w:rPr>
                <w:rFonts w:cstheme="minorHAnsi"/>
                <w:bCs/>
                <w:sz w:val="20"/>
              </w:rPr>
            </w:pPr>
            <w:r w:rsidRPr="00E47369">
              <w:rPr>
                <w:rFonts w:cstheme="minorHAnsi"/>
                <w:bCs/>
                <w:sz w:val="20"/>
              </w:rPr>
              <w:t>82</w:t>
            </w:r>
          </w:p>
        </w:tc>
      </w:tr>
      <w:tr w:rsidR="00A651D8" w:rsidRPr="00E47369" w14:paraId="462F8EB5" w14:textId="77777777" w:rsidTr="00DD0FA8">
        <w:trPr>
          <w:trHeight w:val="576"/>
          <w:jc w:val="center"/>
        </w:trPr>
        <w:tc>
          <w:tcPr>
            <w:tcW w:w="5400" w:type="dxa"/>
            <w:gridSpan w:val="4"/>
            <w:tcBorders>
              <w:top w:val="single" w:sz="4" w:space="0" w:color="FFFFFF" w:themeColor="background1"/>
              <w:left w:val="single" w:sz="6" w:space="0" w:color="F9F9F9"/>
              <w:bottom w:val="single" w:sz="4" w:space="0" w:color="FFFFFF" w:themeColor="background1"/>
              <w:right w:val="single" w:sz="6" w:space="0" w:color="F9F9F9"/>
            </w:tcBorders>
            <w:shd w:val="clear" w:color="auto" w:fill="auto"/>
            <w:tcMar>
              <w:top w:w="15" w:type="dxa"/>
              <w:left w:w="108" w:type="dxa"/>
              <w:bottom w:w="0" w:type="dxa"/>
              <w:right w:w="108" w:type="dxa"/>
            </w:tcMar>
            <w:vAlign w:val="center"/>
          </w:tcPr>
          <w:p w14:paraId="314419E8" w14:textId="77777777" w:rsidR="00A651D8" w:rsidRPr="00E47369" w:rsidRDefault="00A651D8" w:rsidP="00BE514F">
            <w:pPr>
              <w:spacing w:line="276" w:lineRule="auto"/>
              <w:jc w:val="both"/>
              <w:rPr>
                <w:rFonts w:cstheme="minorHAnsi"/>
                <w:bCs/>
                <w:sz w:val="18"/>
                <w:szCs w:val="18"/>
              </w:rPr>
            </w:pPr>
            <w:r w:rsidRPr="00E47369">
              <w:rPr>
                <w:rFonts w:cstheme="minorHAnsi"/>
                <w:bCs/>
                <w:sz w:val="18"/>
                <w:szCs w:val="18"/>
              </w:rPr>
              <w:t xml:space="preserve">a) yield determined by </w:t>
            </w:r>
            <w:r w:rsidRPr="00E47369">
              <w:rPr>
                <w:rFonts w:cstheme="minorHAnsi"/>
                <w:bCs/>
                <w:sz w:val="18"/>
                <w:szCs w:val="18"/>
                <w:vertAlign w:val="superscript"/>
              </w:rPr>
              <w:t>1</w:t>
            </w:r>
            <w:r w:rsidRPr="00E47369">
              <w:rPr>
                <w:rFonts w:cstheme="minorHAnsi"/>
                <w:bCs/>
                <w:sz w:val="18"/>
                <w:szCs w:val="18"/>
              </w:rPr>
              <w:t>H-NMR with internal standard</w:t>
            </w:r>
          </w:p>
          <w:p w14:paraId="1CA2A5A3" w14:textId="77777777" w:rsidR="00A651D8" w:rsidRPr="00E47369" w:rsidRDefault="00A651D8" w:rsidP="00BE514F">
            <w:pPr>
              <w:spacing w:line="276" w:lineRule="auto"/>
              <w:jc w:val="both"/>
              <w:rPr>
                <w:rFonts w:cstheme="minorHAnsi"/>
                <w:bCs/>
                <w:sz w:val="18"/>
                <w:szCs w:val="18"/>
              </w:rPr>
            </w:pPr>
            <w:r w:rsidRPr="00E47369">
              <w:rPr>
                <w:rFonts w:cstheme="minorHAnsi"/>
                <w:bCs/>
                <w:sz w:val="18"/>
                <w:szCs w:val="18"/>
              </w:rPr>
              <w:t>b) 17 h reaction time with 0.55 equiv. of reducing agent</w:t>
            </w:r>
          </w:p>
          <w:p w14:paraId="26B91537" w14:textId="77777777" w:rsidR="00A651D8" w:rsidRPr="00E47369" w:rsidRDefault="00A651D8" w:rsidP="00BE514F">
            <w:pPr>
              <w:spacing w:line="276" w:lineRule="auto"/>
              <w:jc w:val="both"/>
              <w:rPr>
                <w:rFonts w:cstheme="minorHAnsi"/>
                <w:bCs/>
                <w:sz w:val="18"/>
                <w:szCs w:val="18"/>
              </w:rPr>
            </w:pPr>
            <w:r w:rsidRPr="00E47369">
              <w:rPr>
                <w:rFonts w:cstheme="minorHAnsi"/>
                <w:bCs/>
                <w:sz w:val="18"/>
                <w:szCs w:val="18"/>
              </w:rPr>
              <w:t>c) MeReO</w:t>
            </w:r>
            <w:r w:rsidRPr="00E47369">
              <w:rPr>
                <w:rFonts w:cstheme="minorHAnsi"/>
                <w:bCs/>
                <w:sz w:val="18"/>
                <w:szCs w:val="18"/>
                <w:vertAlign w:val="subscript"/>
              </w:rPr>
              <w:t>3</w:t>
            </w:r>
            <w:r w:rsidRPr="00E47369">
              <w:rPr>
                <w:rFonts w:cstheme="minorHAnsi"/>
                <w:bCs/>
                <w:sz w:val="18"/>
                <w:szCs w:val="18"/>
              </w:rPr>
              <w:t xml:space="preserve"> used as catalyst and the reductant as solvent</w:t>
            </w:r>
          </w:p>
          <w:p w14:paraId="256F9EE5" w14:textId="77777777" w:rsidR="00A651D8" w:rsidRPr="00E47369" w:rsidRDefault="00A651D8" w:rsidP="00BE514F">
            <w:pPr>
              <w:spacing w:line="276" w:lineRule="auto"/>
              <w:jc w:val="both"/>
              <w:rPr>
                <w:rFonts w:cstheme="minorHAnsi"/>
                <w:bCs/>
                <w:sz w:val="18"/>
                <w:szCs w:val="18"/>
              </w:rPr>
            </w:pPr>
            <w:r w:rsidRPr="00E47369">
              <w:rPr>
                <w:rFonts w:cstheme="minorHAnsi"/>
                <w:bCs/>
                <w:sz w:val="18"/>
                <w:szCs w:val="18"/>
              </w:rPr>
              <w:t>d) The oxidized product of fluorine not characterized</w:t>
            </w:r>
            <w:r w:rsidRPr="00E47369">
              <w:rPr>
                <w:rFonts w:cstheme="minorHAnsi"/>
                <w:sz w:val="18"/>
                <w:szCs w:val="18"/>
              </w:rPr>
              <w:t>.</w:t>
            </w:r>
          </w:p>
        </w:tc>
      </w:tr>
    </w:tbl>
    <w:p w14:paraId="29829597" w14:textId="77777777" w:rsidR="00A651D8" w:rsidRPr="00E47369" w:rsidRDefault="00A651D8" w:rsidP="00A651D8">
      <w:pPr>
        <w:jc w:val="both"/>
        <w:rPr>
          <w:rFonts w:cstheme="minorHAnsi"/>
        </w:rPr>
      </w:pPr>
    </w:p>
    <w:p w14:paraId="11B1818C" w14:textId="756C152B" w:rsidR="00A651D8" w:rsidRPr="00E47369" w:rsidRDefault="00A651D8" w:rsidP="006042D0">
      <w:pPr>
        <w:ind w:firstLine="360"/>
        <w:jc w:val="both"/>
        <w:rPr>
          <w:rFonts w:cstheme="minorHAnsi"/>
        </w:rPr>
      </w:pPr>
      <w:r w:rsidRPr="00E47369">
        <w:rPr>
          <w:rFonts w:cstheme="minorHAnsi"/>
          <w:color w:val="000000" w:themeColor="text1"/>
        </w:rPr>
        <w:t xml:space="preserve">Potential hydrogen donors other than the ones represented in </w:t>
      </w:r>
      <w:r w:rsidR="00BE514F" w:rsidRPr="00E47369">
        <w:rPr>
          <w:rFonts w:cstheme="minorHAnsi"/>
          <w:color w:val="000000" w:themeColor="text1"/>
        </w:rPr>
        <w:fldChar w:fldCharType="begin"/>
      </w:r>
      <w:r w:rsidR="00BE514F" w:rsidRPr="00E47369">
        <w:rPr>
          <w:rFonts w:cstheme="minorHAnsi"/>
          <w:color w:val="000000" w:themeColor="text1"/>
        </w:rPr>
        <w:instrText xml:space="preserve"> REF _Ref454192646 \h </w:instrText>
      </w:r>
      <w:r w:rsidR="00E47369">
        <w:rPr>
          <w:rFonts w:cstheme="minorHAnsi"/>
          <w:color w:val="000000" w:themeColor="text1"/>
        </w:rPr>
        <w:instrText xml:space="preserve"> \* MERGEFORMAT </w:instrText>
      </w:r>
      <w:r w:rsidR="00BE514F" w:rsidRPr="00E47369">
        <w:rPr>
          <w:rFonts w:cstheme="minorHAnsi"/>
          <w:color w:val="000000" w:themeColor="text1"/>
        </w:rPr>
      </w:r>
      <w:r w:rsidR="00BE514F" w:rsidRPr="00E47369">
        <w:rPr>
          <w:rFonts w:cstheme="minorHAnsi"/>
          <w:color w:val="000000" w:themeColor="text1"/>
        </w:rPr>
        <w:fldChar w:fldCharType="separate"/>
      </w:r>
      <w:r w:rsidR="000A0E3D" w:rsidRPr="000A0E3D">
        <w:rPr>
          <w:rFonts w:cstheme="minorHAnsi"/>
        </w:rPr>
        <w:t xml:space="preserve">Table II. </w:t>
      </w:r>
      <w:r w:rsidR="000A0E3D" w:rsidRPr="000A0E3D">
        <w:rPr>
          <w:rFonts w:cstheme="minorHAnsi"/>
          <w:noProof/>
        </w:rPr>
        <w:t>2.1</w:t>
      </w:r>
      <w:r w:rsidR="00BE514F" w:rsidRPr="00E47369">
        <w:rPr>
          <w:rFonts w:cstheme="minorHAnsi"/>
          <w:color w:val="000000" w:themeColor="text1"/>
        </w:rPr>
        <w:fldChar w:fldCharType="end"/>
      </w:r>
      <w:r w:rsidRPr="00E47369">
        <w:rPr>
          <w:rFonts w:cstheme="minorHAnsi"/>
          <w:color w:val="000000" w:themeColor="text1"/>
        </w:rPr>
        <w:t xml:space="preserve"> were also tested (</w:t>
      </w:r>
      <w:r w:rsidRPr="00E47369">
        <w:rPr>
          <w:rFonts w:cstheme="minorHAnsi"/>
          <w:color w:val="000000" w:themeColor="text1"/>
        </w:rPr>
        <w:fldChar w:fldCharType="begin"/>
      </w:r>
      <w:r w:rsidRPr="00E47369">
        <w:rPr>
          <w:rFonts w:cstheme="minorHAnsi"/>
          <w:color w:val="000000" w:themeColor="text1"/>
        </w:rPr>
        <w:instrText xml:space="preserve"> REF _Ref451762504 \h </w:instrText>
      </w:r>
      <w:r w:rsidR="00E47369">
        <w:rPr>
          <w:rFonts w:cstheme="minorHAnsi"/>
          <w:color w:val="000000" w:themeColor="text1"/>
        </w:rPr>
        <w:instrText xml:space="preserve"> \* MERGEFORMAT </w:instrText>
      </w:r>
      <w:r w:rsidRPr="00E47369">
        <w:rPr>
          <w:rFonts w:cstheme="minorHAnsi"/>
          <w:color w:val="000000" w:themeColor="text1"/>
        </w:rPr>
      </w:r>
      <w:r w:rsidRPr="00E47369">
        <w:rPr>
          <w:rFonts w:cstheme="minorHAnsi"/>
          <w:color w:val="000000" w:themeColor="text1"/>
        </w:rPr>
        <w:fldChar w:fldCharType="separate"/>
      </w:r>
      <w:r w:rsidR="000A0E3D" w:rsidRPr="000A0E3D">
        <w:rPr>
          <w:rFonts w:cstheme="minorHAnsi"/>
        </w:rPr>
        <w:t xml:space="preserve">Figure II. </w:t>
      </w:r>
      <w:r w:rsidR="000A0E3D" w:rsidRPr="000A0E3D">
        <w:rPr>
          <w:rFonts w:cstheme="minorHAnsi"/>
          <w:noProof/>
        </w:rPr>
        <w:t>2.4</w:t>
      </w:r>
      <w:r w:rsidRPr="00E47369">
        <w:rPr>
          <w:rFonts w:cstheme="minorHAnsi"/>
          <w:color w:val="000000" w:themeColor="text1"/>
        </w:rPr>
        <w:fldChar w:fldCharType="end"/>
      </w:r>
      <w:r w:rsidRPr="00E47369">
        <w:rPr>
          <w:rFonts w:cstheme="minorHAnsi"/>
          <w:color w:val="000000" w:themeColor="text1"/>
        </w:rPr>
        <w:t xml:space="preserve">). With DET and octane diol most of them gave a reasonable yield around 50% (from </w:t>
      </w:r>
      <w:r w:rsidR="00263B9E">
        <w:rPr>
          <w:rFonts w:cstheme="minorHAnsi"/>
          <w:color w:val="000000" w:themeColor="text1"/>
        </w:rPr>
        <w:t>4</w:t>
      </w:r>
      <w:r w:rsidR="00263B9E" w:rsidRPr="00E47369">
        <w:rPr>
          <w:rFonts w:cstheme="minorHAnsi"/>
          <w:color w:val="000000" w:themeColor="text1"/>
        </w:rPr>
        <w:t>0</w:t>
      </w:r>
      <w:r w:rsidRPr="00E47369">
        <w:rPr>
          <w:rFonts w:cstheme="minorHAnsi"/>
          <w:color w:val="000000" w:themeColor="text1"/>
        </w:rPr>
        <w:t xml:space="preserve">% to </w:t>
      </w:r>
      <w:r w:rsidR="00263B9E">
        <w:rPr>
          <w:rFonts w:cstheme="minorHAnsi"/>
          <w:color w:val="000000" w:themeColor="text1"/>
        </w:rPr>
        <w:t>7</w:t>
      </w:r>
      <w:r w:rsidR="00263B9E" w:rsidRPr="00E47369">
        <w:rPr>
          <w:rFonts w:cstheme="minorHAnsi"/>
          <w:color w:val="000000" w:themeColor="text1"/>
        </w:rPr>
        <w:t>0</w:t>
      </w:r>
      <w:r w:rsidRPr="00E47369">
        <w:rPr>
          <w:rFonts w:cstheme="minorHAnsi"/>
          <w:color w:val="000000" w:themeColor="text1"/>
        </w:rPr>
        <w:t xml:space="preserve">%). These yields were judged to be insufficient, however, to demonstrate their hydrogen donor ability under the DODH reaction conditions for two reasons: 1) their oxidized products were not detected; 2) control experiments in which the reducing agent was left out demonstrated the ability of the diol to be its own reducing agent forming up to 50% of alkene product. In addition, for a number of these two equivalents of reductant relative to the diol was required, making </w:t>
      </w:r>
      <w:r w:rsidRPr="00E47369">
        <w:rPr>
          <w:rFonts w:cstheme="minorHAnsi"/>
        </w:rPr>
        <w:t xml:space="preserve">for poor atom economy. </w:t>
      </w:r>
    </w:p>
    <w:p w14:paraId="61C39A78" w14:textId="77777777" w:rsidR="00536AE9" w:rsidRPr="00E47369" w:rsidRDefault="00536AE9" w:rsidP="00536AE9">
      <w:pPr>
        <w:ind w:firstLine="720"/>
        <w:jc w:val="both"/>
        <w:rPr>
          <w:rFonts w:cstheme="minorHAnsi"/>
        </w:rPr>
      </w:pPr>
    </w:p>
    <w:p w14:paraId="2809D9CB" w14:textId="77777777" w:rsidR="00A651D8" w:rsidRPr="00E47369" w:rsidRDefault="00A651D8" w:rsidP="00A651D8">
      <w:pPr>
        <w:keepNext/>
        <w:jc w:val="center"/>
        <w:rPr>
          <w:rFonts w:cstheme="minorHAnsi"/>
        </w:rPr>
      </w:pPr>
      <w:r w:rsidRPr="00E47369">
        <w:rPr>
          <w:rFonts w:cstheme="minorHAnsi"/>
        </w:rPr>
        <w:object w:dxaOrig="5477" w:dyaOrig="4845" w14:anchorId="02483A7A">
          <v:shape id="_x0000_i1061" type="#_x0000_t75" style="width:204.9pt;height:179.6pt" o:ole="">
            <v:imagedata r:id="rId90" o:title=""/>
          </v:shape>
          <o:OLEObject Type="Embed" ProgID="ChemDraw.Document.6.0" ShapeID="_x0000_i1061" DrawAspect="Content" ObjectID="_1532784915" r:id="rId91"/>
        </w:object>
      </w:r>
    </w:p>
    <w:p w14:paraId="1CF4FF50" w14:textId="77777777" w:rsidR="00A651D8" w:rsidRPr="00072EEF" w:rsidRDefault="00A651D8" w:rsidP="00072EEF">
      <w:pPr>
        <w:pStyle w:val="Caption"/>
      </w:pPr>
      <w:bookmarkStart w:id="127" w:name="_Ref451762504"/>
      <w:bookmarkStart w:id="128" w:name="_Toc458938384"/>
      <w:r w:rsidRPr="00072EEF">
        <w:t xml:space="preserve">Figure II. </w:t>
      </w:r>
      <w:r w:rsidR="00443010">
        <w:fldChar w:fldCharType="begin"/>
      </w:r>
      <w:r w:rsidR="00443010">
        <w:instrText xml:space="preserve"> STYLEREF 2 \s </w:instrText>
      </w:r>
      <w:r w:rsidR="00443010">
        <w:fldChar w:fldCharType="separate"/>
      </w:r>
      <w:r w:rsidR="000A0E3D">
        <w:rPr>
          <w:noProof/>
        </w:rPr>
        <w:t>2</w:t>
      </w:r>
      <w:r w:rsidR="00443010">
        <w:rPr>
          <w:noProof/>
        </w:rPr>
        <w:fldChar w:fldCharType="end"/>
      </w:r>
      <w:r w:rsidR="00BE514F" w:rsidRPr="00072EEF">
        <w:t>.</w:t>
      </w:r>
      <w:r w:rsidR="00443010">
        <w:fldChar w:fldCharType="begin"/>
      </w:r>
      <w:r w:rsidR="00443010">
        <w:instrText xml:space="preserve"> SEQ Figure_II. \* ARABIC \s 2 </w:instrText>
      </w:r>
      <w:r w:rsidR="00443010">
        <w:fldChar w:fldCharType="separate"/>
      </w:r>
      <w:r w:rsidR="000A0E3D">
        <w:rPr>
          <w:noProof/>
        </w:rPr>
        <w:t>4</w:t>
      </w:r>
      <w:r w:rsidR="00443010">
        <w:rPr>
          <w:noProof/>
        </w:rPr>
        <w:fldChar w:fldCharType="end"/>
      </w:r>
      <w:bookmarkEnd w:id="127"/>
      <w:r w:rsidRPr="00072EEF">
        <w:t xml:space="preserve"> Hydrogen donors tested that gave limited alkene yield or ambiguous products</w:t>
      </w:r>
      <w:bookmarkEnd w:id="128"/>
    </w:p>
    <w:p w14:paraId="7DF36D3C" w14:textId="77777777" w:rsidR="00A651D8" w:rsidRPr="00E47369" w:rsidRDefault="00A651D8" w:rsidP="00A651D8">
      <w:pPr>
        <w:rPr>
          <w:rFonts w:cstheme="minorHAnsi"/>
        </w:rPr>
      </w:pPr>
    </w:p>
    <w:p w14:paraId="7EB29A71" w14:textId="633B24E3" w:rsidR="00A651D8" w:rsidRPr="00E47369" w:rsidRDefault="00A651D8" w:rsidP="00BA0582">
      <w:pPr>
        <w:pStyle w:val="Heading2"/>
      </w:pPr>
      <w:bookmarkStart w:id="129" w:name="_Toc453571131"/>
      <w:bookmarkStart w:id="130" w:name="_Toc458938281"/>
      <w:r w:rsidRPr="00E47369">
        <w:t xml:space="preserve">Indoline as Reducing </w:t>
      </w:r>
      <w:r w:rsidR="00814941">
        <w:t>A</w:t>
      </w:r>
      <w:r w:rsidRPr="00E47369">
        <w:t>gent</w:t>
      </w:r>
      <w:bookmarkEnd w:id="129"/>
      <w:bookmarkEnd w:id="130"/>
    </w:p>
    <w:p w14:paraId="27ECE210" w14:textId="40A8ED60" w:rsidR="00A651D8" w:rsidRPr="00C70710" w:rsidRDefault="00A651D8" w:rsidP="00C70710">
      <w:pPr>
        <w:ind w:firstLine="360"/>
        <w:jc w:val="both"/>
        <w:rPr>
          <w:rFonts w:cstheme="minorHAnsi"/>
          <w:color w:val="000000" w:themeColor="text1"/>
        </w:rPr>
      </w:pPr>
      <w:r w:rsidRPr="00E47369">
        <w:rPr>
          <w:rFonts w:cstheme="minorHAnsi"/>
        </w:rPr>
        <w:t xml:space="preserve">The results in </w:t>
      </w:r>
      <w:r w:rsidR="00C70710">
        <w:rPr>
          <w:rFonts w:cstheme="minorHAnsi"/>
        </w:rPr>
        <w:t>Table II. 2.1</w:t>
      </w:r>
      <w:r w:rsidRPr="00E47369">
        <w:rPr>
          <w:rFonts w:cstheme="minorHAnsi"/>
          <w:color w:val="000000" w:themeColor="text1"/>
        </w:rPr>
        <w:t xml:space="preserve"> </w:t>
      </w:r>
      <w:r w:rsidR="00DD0FA8">
        <w:rPr>
          <w:rFonts w:cstheme="minorHAnsi"/>
          <w:color w:val="000000" w:themeColor="text1"/>
        </w:rPr>
        <w:t>demonstrated</w:t>
      </w:r>
      <w:r w:rsidRPr="00E47369">
        <w:rPr>
          <w:rFonts w:cstheme="minorHAnsi"/>
          <w:color w:val="000000" w:themeColor="text1"/>
        </w:rPr>
        <w:t xml:space="preserve"> that indoline is the most effective hydroaromatic hydrogen donor for DODH of the model substrates. Not only did it provide the highest yields of olefin, but its co-product, indole, is easily detected and formed with high efficiency; typically the ratio of alkene to indole is close to 1:1.  Accordingly, indoline was utilized in DODH reactions with a broader range of polyols (</w:t>
      </w:r>
      <w:r w:rsidR="00C70710">
        <w:rPr>
          <w:rFonts w:cstheme="minorHAnsi"/>
          <w:color w:val="000000" w:themeColor="text1"/>
        </w:rPr>
        <w:t>Table II. 3.1</w:t>
      </w:r>
      <w:r w:rsidRPr="00E47369">
        <w:rPr>
          <w:rFonts w:cstheme="minorHAnsi"/>
          <w:color w:val="000000" w:themeColor="text1"/>
        </w:rPr>
        <w:t>). While the DODH reactions of diols are efficient employing NH</w:t>
      </w:r>
      <w:r w:rsidRPr="00E47369">
        <w:rPr>
          <w:rFonts w:cstheme="minorHAnsi"/>
          <w:color w:val="000000" w:themeColor="text1"/>
          <w:vertAlign w:val="subscript"/>
        </w:rPr>
        <w:t>4</w:t>
      </w:r>
      <w:r w:rsidRPr="00E47369">
        <w:rPr>
          <w:rFonts w:cstheme="minorHAnsi"/>
          <w:color w:val="000000" w:themeColor="text1"/>
        </w:rPr>
        <w:t>ReO</w:t>
      </w:r>
      <w:r w:rsidRPr="00E47369">
        <w:rPr>
          <w:rFonts w:cstheme="minorHAnsi"/>
          <w:color w:val="000000" w:themeColor="text1"/>
          <w:vertAlign w:val="subscript"/>
        </w:rPr>
        <w:t>4</w:t>
      </w:r>
      <w:r w:rsidRPr="00E47369">
        <w:rPr>
          <w:rFonts w:cstheme="minorHAnsi"/>
          <w:color w:val="000000" w:themeColor="text1"/>
        </w:rPr>
        <w:t xml:space="preserve"> (APR) or MeReO</w:t>
      </w:r>
      <w:r w:rsidRPr="00E47369">
        <w:rPr>
          <w:rFonts w:cstheme="minorHAnsi"/>
          <w:color w:val="000000" w:themeColor="text1"/>
          <w:vertAlign w:val="subscript"/>
        </w:rPr>
        <w:t>3</w:t>
      </w:r>
      <w:r w:rsidRPr="00E47369">
        <w:rPr>
          <w:rFonts w:cstheme="minorHAnsi"/>
          <w:color w:val="000000" w:themeColor="text1"/>
        </w:rPr>
        <w:t xml:space="preserve">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rPr>
          <w:rFonts w:cstheme="minorHAnsi"/>
          <w:color w:val="000000" w:themeColor="text1"/>
        </w:rPr>
        <w:t xml:space="preserve">) /indoline in aromatic solvents (entries </w:t>
      </w:r>
      <w:r w:rsidR="00BE514F" w:rsidRPr="00E47369">
        <w:rPr>
          <w:rFonts w:cstheme="minorHAnsi"/>
          <w:color w:val="000000" w:themeColor="text1"/>
        </w:rPr>
        <w:t>II.</w:t>
      </w:r>
      <w:r w:rsidRPr="00E47369">
        <w:rPr>
          <w:rFonts w:cstheme="minorHAnsi"/>
          <w:color w:val="000000" w:themeColor="text1"/>
        </w:rPr>
        <w:t>2.1.3.a-b), to effectively convert poorly soluble higher polyols we turned to 1-butanol as a solvent.</w:t>
      </w:r>
      <w:r w:rsidRPr="00E47369">
        <w:rPr>
          <w:rFonts w:cstheme="minorHAnsi"/>
          <w:color w:val="000000" w:themeColor="text1"/>
        </w:rPr>
        <w:fldChar w:fldCharType="begin"/>
      </w:r>
      <w:r w:rsidRPr="00E47369">
        <w:rPr>
          <w:rFonts w:cstheme="minorHAnsi"/>
          <w:color w:val="000000" w:themeColor="text1"/>
        </w:rPr>
        <w:instrText xml:space="preserve"> ADDIN ZOTERO_ITEM CSL_CITATION {"citationID":"tn3h0g3qk","properties":{"formattedCitation":"{\\rtf \\super 45\\nosupersub{}}","plainCitation":"45"},"citationItems":[{"id":405,"uris":["http://zotero.org/users/1624234/items/T47EEJV6"],"uri":["http://zotero.org/users/1624234/items/T47EEJV6"],"itemData":{"id":405,"type":"article-journal","title":"Expanding the Scope of Biomass-Derived Chemicals through Tandem Reactions Based on Oxorhenium-Catalyzed Deoxydehydration","container-title":"Angewandte Chemie International Edition","page":"12905-12909","volume":"52","issue":"49","source":"Wiley Online Library","DOI":"10.1002/anie.201307564","ISSN":"1521-3773","journalAbbreviation":"Angew. Chem. Int. Ed.","language":"en","author":[{"family":"Shiramizu","given":"Mika"},{"family":"Toste","given":"F. Dean"}],"issued":{"date-parts":[["2013"]]}}}],"schema":"https://github.com/citation-style-language/schema/raw/master/csl-citation.json"} </w:instrText>
      </w:r>
      <w:r w:rsidRPr="00E47369">
        <w:rPr>
          <w:rFonts w:cstheme="minorHAnsi"/>
          <w:color w:val="000000" w:themeColor="text1"/>
        </w:rPr>
        <w:fldChar w:fldCharType="separate"/>
      </w:r>
      <w:r w:rsidRPr="00E47369">
        <w:rPr>
          <w:rFonts w:cstheme="minorHAnsi"/>
          <w:vertAlign w:val="superscript"/>
        </w:rPr>
        <w:t>45</w:t>
      </w:r>
      <w:r w:rsidRPr="00E47369">
        <w:rPr>
          <w:rFonts w:cstheme="minorHAnsi"/>
          <w:color w:val="000000" w:themeColor="text1"/>
        </w:rPr>
        <w:fldChar w:fldCharType="end"/>
      </w:r>
      <w:r w:rsidRPr="00E47369">
        <w:rPr>
          <w:rFonts w:cstheme="minorHAnsi"/>
          <w:color w:val="000000" w:themeColor="text1"/>
        </w:rPr>
        <w:t xml:space="preserve"> The reaction utilizing indoline in combination with APR or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rPr>
          <w:rFonts w:cstheme="minorHAnsi"/>
          <w:color w:val="000000" w:themeColor="text1"/>
        </w:rPr>
        <w:t xml:space="preserve"> as catalysts in 1-butanol solvent proved to be effective for the DODH of several polar glycols and polyols (entries </w:t>
      </w:r>
      <w:r w:rsidR="00BE514F" w:rsidRPr="00E47369">
        <w:rPr>
          <w:rFonts w:cstheme="minorHAnsi"/>
          <w:color w:val="000000" w:themeColor="text1"/>
        </w:rPr>
        <w:t>II.</w:t>
      </w:r>
      <w:r w:rsidRPr="00E47369">
        <w:rPr>
          <w:rFonts w:cstheme="minorHAnsi"/>
          <w:color w:val="000000" w:themeColor="text1"/>
        </w:rPr>
        <w:t xml:space="preserve">3.1.2-10). We were pleased to obtain a quantitative yield (99%; 90% isolated) of N-allyl purine </w:t>
      </w:r>
      <w:r w:rsidRPr="00E47369">
        <w:rPr>
          <w:rFonts w:cstheme="minorHAnsi"/>
          <w:b/>
          <w:color w:val="000000" w:themeColor="text1"/>
        </w:rPr>
        <w:t>3</w:t>
      </w:r>
      <w:r w:rsidRPr="00E47369">
        <w:rPr>
          <w:rFonts w:cstheme="minorHAnsi"/>
          <w:b/>
          <w:color w:val="000000" w:themeColor="text1"/>
        </w:rPr>
        <w:fldChar w:fldCharType="begin"/>
      </w:r>
      <w:r w:rsidRPr="00E47369">
        <w:rPr>
          <w:rFonts w:cstheme="minorHAnsi"/>
          <w:b/>
          <w:color w:val="000000" w:themeColor="text1"/>
        </w:rPr>
        <w:instrText xml:space="preserve"> ADDIN ZOTERO_ITEM CSL_CITATION {"citationID":"ildpipqdu","properties":{"formattedCitation":"{\\rtf \\super 89\\nosupersub{}}","plainCitation":"89"},"citationItems":[{"id":481,"uris":["http://zotero.org/users/1624234/items/ZCSNJF26"],"uri":["http://zotero.org/users/1624234/items/ZCSNJF26"],"itemData":{"id":481,"type":"article-journal","title":"One-Pot Synthesis of N-Alkyl Purine, Pyrimidine and Azole Derivatives from Alcohols using Ph3P/CCl4: A Rapid Route to Carboacyclic Nucleoside Synthesis","container-title":"Synthesis","page":"3067-3076","volume":"2009","issue":"18","source":"CrossRef","DOI":"10.1055/s-0029-1216887","ISSN":"0039-7881, 1437-210X","shortTitle":"One-Pot Synthesis of N-Alkyl Purine, Pyrimidine and Azole Derivatives from Alcohols using Ph3P/CCl4","language":"en","author":[{"family":"Soltani Rad","given":"Mohammad"},{"family":"Khalafi-Nezhad","given":"Ali"},{"family":"Behrouz","given":"Somayeh"},{"family":"Asrari","given":"Zeinab"},{"family":"Behrouz","given":"Marzieh"},{"family":"Amini","given":"Zohreh"}],"issued":{"date-parts":[["2009",9]]}}}],"schema":"https://github.com/citation-style-language/schema/raw/master/csl-citation.json"} </w:instrText>
      </w:r>
      <w:r w:rsidRPr="00E47369">
        <w:rPr>
          <w:rFonts w:cstheme="minorHAnsi"/>
          <w:b/>
          <w:color w:val="000000" w:themeColor="text1"/>
        </w:rPr>
        <w:fldChar w:fldCharType="separate"/>
      </w:r>
      <w:r w:rsidRPr="00E47369">
        <w:rPr>
          <w:rFonts w:cstheme="minorHAnsi"/>
          <w:sz w:val="22"/>
          <w:vertAlign w:val="superscript"/>
        </w:rPr>
        <w:t>89</w:t>
      </w:r>
      <w:r w:rsidRPr="00E47369">
        <w:rPr>
          <w:rFonts w:cstheme="minorHAnsi"/>
          <w:b/>
          <w:color w:val="000000" w:themeColor="text1"/>
        </w:rPr>
        <w:fldChar w:fldCharType="end"/>
      </w:r>
      <w:r w:rsidRPr="00E47369">
        <w:rPr>
          <w:rFonts w:cstheme="minorHAnsi"/>
          <w:color w:val="000000" w:themeColor="text1"/>
        </w:rPr>
        <w:t xml:space="preserve"> from diprophylline (entry </w:t>
      </w:r>
      <w:r w:rsidR="00BE514F" w:rsidRPr="00E47369">
        <w:rPr>
          <w:rFonts w:cstheme="minorHAnsi"/>
          <w:color w:val="000000" w:themeColor="text1"/>
        </w:rPr>
        <w:t>II.</w:t>
      </w:r>
      <w:r w:rsidRPr="00E47369">
        <w:rPr>
          <w:rFonts w:cstheme="minorHAnsi"/>
          <w:color w:val="000000" w:themeColor="text1"/>
        </w:rPr>
        <w:t xml:space="preserve">3.1.2). By comparison, a 70% yield of </w:t>
      </w:r>
      <w:r w:rsidRPr="00E47369">
        <w:rPr>
          <w:rFonts w:cstheme="minorHAnsi"/>
          <w:b/>
          <w:color w:val="000000" w:themeColor="text1"/>
        </w:rPr>
        <w:t>3</w:t>
      </w:r>
      <w:r w:rsidRPr="00E47369">
        <w:rPr>
          <w:rFonts w:cstheme="minorHAnsi"/>
          <w:color w:val="000000" w:themeColor="text1"/>
        </w:rPr>
        <w:t xml:space="preserve"> was obtained from this substrate using the benzyl alcohol/NH</w:t>
      </w:r>
      <w:r w:rsidRPr="00E47369">
        <w:rPr>
          <w:rFonts w:cstheme="minorHAnsi"/>
          <w:color w:val="000000" w:themeColor="text1"/>
          <w:vertAlign w:val="subscript"/>
        </w:rPr>
        <w:t>4</w:t>
      </w:r>
      <w:r w:rsidRPr="00E47369">
        <w:rPr>
          <w:rFonts w:cstheme="minorHAnsi"/>
          <w:color w:val="000000" w:themeColor="text1"/>
        </w:rPr>
        <w:t>ReO</w:t>
      </w:r>
      <w:r w:rsidRPr="00E47369">
        <w:rPr>
          <w:rFonts w:cstheme="minorHAnsi"/>
          <w:color w:val="000000" w:themeColor="text1"/>
          <w:vertAlign w:val="subscript"/>
        </w:rPr>
        <w:t>4</w:t>
      </w:r>
      <w:r w:rsidRPr="00E47369">
        <w:rPr>
          <w:rFonts w:cstheme="minorHAnsi"/>
          <w:color w:val="000000" w:themeColor="text1"/>
        </w:rPr>
        <w:t xml:space="preserve"> system.</w:t>
      </w:r>
      <w:r w:rsidRPr="00E47369">
        <w:rPr>
          <w:rFonts w:cstheme="minorHAnsi"/>
          <w:color w:val="000000" w:themeColor="text1"/>
        </w:rPr>
        <w:fldChar w:fldCharType="begin"/>
      </w:r>
      <w:r w:rsidRPr="00E47369">
        <w:rPr>
          <w:rFonts w:cstheme="minorHAnsi"/>
          <w:color w:val="000000" w:themeColor="text1"/>
        </w:rPr>
        <w:instrText xml:space="preserve"> ADDIN ZOTERO_ITEM CSL_CITATION {"citationID":"2e4gial8vr","properties":{"formattedCitation":"{\\rtf \\super 46\\nosupersub{}}","plainCitation":"46"},"citationItems":[{"id":435,"uris":["http://zotero.org/users/1624234/items/VS4SE8DS"],"uri":["http://zotero.org/users/1624234/items/VS4SE8DS"],"itemData":{"id":435,"type":"article-journal","title":"Catalytic Deoxydehydration of Glycols with Alcohol Reductants","container-title":"ChemSusChem","page":"597-599","volume":"6","issue":"4","source":"CrossRef","DOI":"10.1002/cssc.201200781","ISSN":"18645631","author":[{"family":"Boucher-Jacobs","given":"Camille"},{"family":"Nicholas","given":"Kenneth M."}],"issued":{"date-parts":[["2013",4]]}}}],"schema":"https://github.com/citation-style-language/schema/raw/master/csl-citation.json"} </w:instrText>
      </w:r>
      <w:r w:rsidRPr="00E47369">
        <w:rPr>
          <w:rFonts w:cstheme="minorHAnsi"/>
          <w:color w:val="000000" w:themeColor="text1"/>
        </w:rPr>
        <w:fldChar w:fldCharType="separate"/>
      </w:r>
      <w:r w:rsidRPr="00E47369">
        <w:rPr>
          <w:rFonts w:cstheme="minorHAnsi"/>
          <w:vertAlign w:val="superscript"/>
        </w:rPr>
        <w:t>46</w:t>
      </w:r>
      <w:r w:rsidRPr="00E47369">
        <w:rPr>
          <w:rFonts w:cstheme="minorHAnsi"/>
          <w:color w:val="000000" w:themeColor="text1"/>
        </w:rPr>
        <w:fldChar w:fldCharType="end"/>
      </w:r>
      <w:r w:rsidRPr="00E47369">
        <w:rPr>
          <w:rFonts w:cstheme="minorHAnsi"/>
          <w:color w:val="000000" w:themeColor="text1"/>
        </w:rPr>
        <w:t xml:space="preserve"> N-allyl heterocycles such as </w:t>
      </w:r>
      <w:r w:rsidRPr="00E47369">
        <w:rPr>
          <w:rFonts w:cstheme="minorHAnsi"/>
          <w:b/>
          <w:color w:val="000000" w:themeColor="text1"/>
        </w:rPr>
        <w:t>3</w:t>
      </w:r>
      <w:r w:rsidRPr="00E47369">
        <w:rPr>
          <w:rFonts w:cstheme="minorHAnsi"/>
          <w:color w:val="000000" w:themeColor="text1"/>
        </w:rPr>
        <w:t xml:space="preserve"> have diverse biological activity, including as modulators of drug-induced sleep and spontaneous activity,</w:t>
      </w:r>
      <w:r w:rsidRPr="00E47369">
        <w:rPr>
          <w:rFonts w:cstheme="minorHAnsi"/>
          <w:color w:val="000000" w:themeColor="text1"/>
        </w:rPr>
        <w:fldChar w:fldCharType="begin"/>
      </w:r>
      <w:r w:rsidRPr="00E47369">
        <w:rPr>
          <w:rFonts w:cstheme="minorHAnsi"/>
          <w:color w:val="000000" w:themeColor="text1"/>
        </w:rPr>
        <w:instrText xml:space="preserve"> ADDIN ZOTERO_ITEM CSL_CITATION {"citationID":"61mcsdk2e","properties":{"formattedCitation":"{\\rtf \\super 90\\nosupersub{}}","plainCitation":"90"},"citationItems":[{"id":342,"uris":["http://zotero.org/users/1624234/items/P7EVVFFI"],"uri":["http://zotero.org/users/1624234/items/P7EVVFFI"],"itemData":{"id":342,"type":"article-journal","title":"Effects of N-​allyl-​substituted purines on the drug-​induced sleep and spontaneous activity","container-title":"Research Communications in Psychology, Psychiatry and Behavior","page":"30-40","volume":"15","issue":"1-2","ISSN":"0362-2428","author":[{"family":"Kimura","given":"Toshiyuki"},{"family":"Tateoka","given":"Yuji"},{"family":"Tachikawa","given":"Hideki"},{"family":"Sugawara","given":"Tomokuni"},{"family":"Watanabe","given":"Kazuhito"},{"family":"Yamamoto","given":"Ikuo"}],"issued":{"date-parts":[["1990"]]}}}],"schema":"https://github.com/citation-style-language/schema/raw/master/csl-citation.json"} </w:instrText>
      </w:r>
      <w:r w:rsidRPr="00E47369">
        <w:rPr>
          <w:rFonts w:cstheme="minorHAnsi"/>
          <w:color w:val="000000" w:themeColor="text1"/>
        </w:rPr>
        <w:fldChar w:fldCharType="separate"/>
      </w:r>
      <w:r w:rsidRPr="00E47369">
        <w:rPr>
          <w:rFonts w:cstheme="minorHAnsi"/>
          <w:sz w:val="22"/>
          <w:vertAlign w:val="superscript"/>
        </w:rPr>
        <w:t>90</w:t>
      </w:r>
      <w:r w:rsidRPr="00E47369">
        <w:rPr>
          <w:rFonts w:cstheme="minorHAnsi"/>
          <w:color w:val="000000" w:themeColor="text1"/>
        </w:rPr>
        <w:fldChar w:fldCharType="end"/>
      </w:r>
      <w:r w:rsidRPr="00E47369">
        <w:rPr>
          <w:rFonts w:cstheme="minorHAnsi"/>
          <w:color w:val="000000" w:themeColor="text1"/>
        </w:rPr>
        <w:t xml:space="preserve"> as selective binders to the A2 adenosine receptor</w:t>
      </w:r>
      <w:r w:rsidRPr="00E47369">
        <w:rPr>
          <w:rFonts w:cstheme="minorHAnsi"/>
          <w:color w:val="000000" w:themeColor="text1"/>
        </w:rPr>
        <w:fldChar w:fldCharType="begin"/>
      </w:r>
      <w:r w:rsidRPr="00E47369">
        <w:rPr>
          <w:rFonts w:cstheme="minorHAnsi"/>
          <w:color w:val="000000" w:themeColor="text1"/>
        </w:rPr>
        <w:instrText xml:space="preserve"> ADDIN ZOTERO_ITEM CSL_CITATION {"citationID":"2erqm6vq39","properties":{"formattedCitation":"{\\rtf \\super 91\\nosupersub{}}","plainCitation":"91"},"citationItems":[{"id":452,"uris":["http://zotero.org/users/1624234/items/WWCEZS6B"],"uri":["http://zotero.org/users/1624234/items/WWCEZS6B"],"itemData":{"id":452,"type":"article-journal","title":"Analogs of caffeine and theophylline: effect of structural alterations on affinity at adenosine receptors","container-title":"Journal of Medicinal Chemistry","page":"1305-1308","volume":"29","issue":"7","source":"ACS Publications","DOI":"10.1021/jm00157a035","ISSN":"0022-2623","shortTitle":"Analogs of caffeine and theophylline","journalAbbreviation":"J. Med. Chem.","author":[{"family":"Daly","given":"J. W."},{"family":"Padgett","given":"W. L."},{"family":"Shamim","given":"M. T."}],"issued":{"date-parts":[["1986"]]}}}],"schema":"https://github.com/citation-style-language/schema/raw/master/csl-citation.json"} </w:instrText>
      </w:r>
      <w:r w:rsidRPr="00E47369">
        <w:rPr>
          <w:rFonts w:cstheme="minorHAnsi"/>
          <w:color w:val="000000" w:themeColor="text1"/>
        </w:rPr>
        <w:fldChar w:fldCharType="separate"/>
      </w:r>
      <w:r w:rsidRPr="00E47369">
        <w:rPr>
          <w:rFonts w:cstheme="minorHAnsi"/>
          <w:sz w:val="22"/>
          <w:vertAlign w:val="superscript"/>
        </w:rPr>
        <w:t>91</w:t>
      </w:r>
      <w:r w:rsidRPr="00E47369">
        <w:rPr>
          <w:rFonts w:cstheme="minorHAnsi"/>
          <w:color w:val="000000" w:themeColor="text1"/>
        </w:rPr>
        <w:fldChar w:fldCharType="end"/>
      </w:r>
      <w:r w:rsidRPr="00E47369">
        <w:rPr>
          <w:rFonts w:cstheme="minorHAnsi"/>
          <w:color w:val="000000" w:themeColor="text1"/>
        </w:rPr>
        <w:t>, and as anti-cancer and anti-viral agents.</w:t>
      </w:r>
      <w:r w:rsidRPr="00E47369">
        <w:rPr>
          <w:rFonts w:cstheme="minorHAnsi"/>
          <w:color w:val="000000" w:themeColor="text1"/>
        </w:rPr>
        <w:fldChar w:fldCharType="begin"/>
      </w:r>
      <w:r w:rsidRPr="00E47369">
        <w:rPr>
          <w:rFonts w:cstheme="minorHAnsi"/>
          <w:color w:val="000000" w:themeColor="text1"/>
        </w:rPr>
        <w:instrText xml:space="preserve"> ADDIN ZOTERO_ITEM CSL_CITATION {"citationID":"19lajokuln","properties":{"formattedCitation":"{\\rtf \\super 92\\nosupersub{}}","plainCitation":"92"},"citationItems":[{"id":1511,"uris":["http://zotero.org/users/1624234/items/C3XZD7GI"],"uri":["http://zotero.org/users/1624234/items/C3XZD7GI"],"itemData":{"id":1511,"type":"chapter","title":"Ref 26 H2 arom red agent","container-title":"Advances in antiviral drug design","publisher":"Press, Greenwich","page":"88 - 164","volume":"1","edition":"Johnson N. G.","author":[{"family":"DeClercq","given":"E."}],"issued":{"date-parts":[["1993"]]}}}],"schema":"https://github.com/citation-style-language/schema/raw/master/csl-citation.json"} </w:instrText>
      </w:r>
      <w:r w:rsidRPr="00E47369">
        <w:rPr>
          <w:rFonts w:cstheme="minorHAnsi"/>
          <w:color w:val="000000" w:themeColor="text1"/>
        </w:rPr>
        <w:fldChar w:fldCharType="separate"/>
      </w:r>
      <w:r w:rsidRPr="00E47369">
        <w:rPr>
          <w:rFonts w:cstheme="minorHAnsi"/>
          <w:sz w:val="22"/>
          <w:vertAlign w:val="superscript"/>
        </w:rPr>
        <w:t>92</w:t>
      </w:r>
      <w:r w:rsidRPr="00E47369">
        <w:rPr>
          <w:rFonts w:cstheme="minorHAnsi"/>
          <w:color w:val="000000" w:themeColor="text1"/>
        </w:rPr>
        <w:fldChar w:fldCharType="end"/>
      </w:r>
      <w:r w:rsidRPr="00E47369">
        <w:rPr>
          <w:rFonts w:cstheme="minorHAnsi"/>
          <w:color w:val="000000" w:themeColor="text1"/>
          <w:vertAlign w:val="superscript"/>
        </w:rPr>
        <w:t xml:space="preserve"> </w:t>
      </w:r>
      <w:r w:rsidRPr="00E47369">
        <w:rPr>
          <w:rFonts w:cstheme="minorHAnsi"/>
          <w:color w:val="000000" w:themeColor="text1"/>
        </w:rPr>
        <w:t xml:space="preserve">Glycerol and its ester and ether derivatives (entries </w:t>
      </w:r>
      <w:r w:rsidR="00BE514F" w:rsidRPr="00E47369">
        <w:rPr>
          <w:rFonts w:cstheme="minorHAnsi"/>
          <w:color w:val="000000" w:themeColor="text1"/>
        </w:rPr>
        <w:t>II.</w:t>
      </w:r>
      <w:r w:rsidRPr="00E47369">
        <w:rPr>
          <w:rFonts w:cstheme="minorHAnsi"/>
          <w:color w:val="000000" w:themeColor="text1"/>
        </w:rPr>
        <w:t xml:space="preserve">3.1.3-5) gave similarly high yields. Erythritol </w:t>
      </w:r>
      <w:r w:rsidRPr="00E47369">
        <w:rPr>
          <w:rFonts w:cstheme="minorHAnsi"/>
        </w:rPr>
        <w:t xml:space="preserve">and xylitol (entries </w:t>
      </w:r>
      <w:r w:rsidR="00BE514F" w:rsidRPr="00E47369">
        <w:rPr>
          <w:rFonts w:cstheme="minorHAnsi"/>
        </w:rPr>
        <w:t>II.</w:t>
      </w:r>
      <w:r w:rsidRPr="00E47369">
        <w:rPr>
          <w:rFonts w:cstheme="minorHAnsi"/>
        </w:rPr>
        <w:t xml:space="preserve">3.1.6 and </w:t>
      </w:r>
      <w:r w:rsidR="00BE514F" w:rsidRPr="00E47369">
        <w:rPr>
          <w:rFonts w:cstheme="minorHAnsi"/>
        </w:rPr>
        <w:t>II.</w:t>
      </w:r>
      <w:r w:rsidRPr="00E47369">
        <w:rPr>
          <w:rFonts w:cstheme="minorHAnsi"/>
        </w:rPr>
        <w:t xml:space="preserve">3.1.7) afforded moderate yields of the corresponding diene products. The three polyhydroxy carboxylic acids- glyceric acid, tartaric acid and mucic acid (entries </w:t>
      </w:r>
      <w:r w:rsidR="00BE514F" w:rsidRPr="00E47369">
        <w:rPr>
          <w:rFonts w:cstheme="minorHAnsi"/>
        </w:rPr>
        <w:t>II.</w:t>
      </w:r>
      <w:r w:rsidRPr="00E47369">
        <w:rPr>
          <w:rFonts w:cstheme="minorHAnsi"/>
        </w:rPr>
        <w:t xml:space="preserve">3.1.8, </w:t>
      </w:r>
      <w:r w:rsidR="00BE514F" w:rsidRPr="00E47369">
        <w:rPr>
          <w:rFonts w:cstheme="minorHAnsi"/>
        </w:rPr>
        <w:t>II.</w:t>
      </w:r>
      <w:r w:rsidRPr="00E47369">
        <w:rPr>
          <w:rFonts w:cstheme="minorHAnsi"/>
        </w:rPr>
        <w:t xml:space="preserve">3.1.9 and </w:t>
      </w:r>
      <w:r w:rsidR="00BE514F" w:rsidRPr="00E47369">
        <w:rPr>
          <w:rFonts w:cstheme="minorHAnsi"/>
        </w:rPr>
        <w:t>II.</w:t>
      </w:r>
      <w:r w:rsidRPr="00E47369">
        <w:rPr>
          <w:rFonts w:cstheme="minorHAnsi"/>
        </w:rPr>
        <w:t xml:space="preserve">3.1.10) each provided an esterified alkene product; tartaric acid yielded 78% dibutyl fumarate (60% isolated), while mucic acid gave 57% of the corresponding trans,trans-diene ester. Glyceric acid gave a fairly low yield of butyl acrylate, which may be the result of competing reactions. The same reaction as entry </w:t>
      </w:r>
      <w:r w:rsidR="00BE514F" w:rsidRPr="00E47369">
        <w:rPr>
          <w:rFonts w:cstheme="minorHAnsi"/>
        </w:rPr>
        <w:t>II.</w:t>
      </w:r>
      <w:r w:rsidRPr="00E47369">
        <w:rPr>
          <w:rFonts w:cstheme="minorHAnsi"/>
        </w:rPr>
        <w:t>3.1.8 using APR as catalyst showed no acrylate product and GC-MS analysis revealed indoline- and indole/acrylate-coupled products (</w:t>
      </w:r>
      <w:r w:rsidRPr="00E47369">
        <w:rPr>
          <w:rFonts w:cstheme="minorHAnsi"/>
        </w:rPr>
        <w:fldChar w:fldCharType="begin"/>
      </w:r>
      <w:r w:rsidRPr="00E47369">
        <w:rPr>
          <w:rFonts w:cstheme="minorHAnsi"/>
        </w:rPr>
        <w:instrText xml:space="preserve"> REF _Ref451762909 \h </w:instrText>
      </w:r>
      <w:r w:rsidR="00E47369">
        <w:rPr>
          <w:rFonts w:cstheme="minorHAnsi"/>
        </w:rPr>
        <w:instrText xml:space="preserve"> \* MERGEFORMAT </w:instrText>
      </w:r>
      <w:r w:rsidRPr="00E47369">
        <w:rPr>
          <w:rFonts w:cstheme="minorHAnsi"/>
        </w:rPr>
      </w:r>
      <w:r w:rsidRPr="00E47369">
        <w:rPr>
          <w:rFonts w:cstheme="minorHAnsi"/>
        </w:rPr>
        <w:fldChar w:fldCharType="separate"/>
      </w:r>
      <w:r w:rsidR="000A0E3D" w:rsidRPr="000A0E3D">
        <w:rPr>
          <w:rFonts w:cstheme="minorHAnsi"/>
        </w:rPr>
        <w:t xml:space="preserve">Figure II. </w:t>
      </w:r>
      <w:r w:rsidR="000A0E3D" w:rsidRPr="000A0E3D">
        <w:rPr>
          <w:rFonts w:cstheme="minorHAnsi"/>
          <w:noProof/>
        </w:rPr>
        <w:t>3.2</w:t>
      </w:r>
      <w:r w:rsidRPr="00E47369">
        <w:rPr>
          <w:rFonts w:cstheme="minorHAnsi"/>
        </w:rPr>
        <w:fldChar w:fldCharType="end"/>
      </w:r>
      <w:r w:rsidRPr="00E47369">
        <w:rPr>
          <w:rFonts w:cstheme="minorHAnsi"/>
        </w:rPr>
        <w:t>).</w:t>
      </w:r>
      <w:r w:rsidRPr="00E47369">
        <w:rPr>
          <w:rFonts w:cstheme="minorHAnsi"/>
        </w:rPr>
        <w:fldChar w:fldCharType="begin"/>
      </w:r>
      <w:r w:rsidRPr="00E47369">
        <w:rPr>
          <w:rFonts w:cstheme="minorHAnsi"/>
        </w:rPr>
        <w:instrText xml:space="preserve"> ADDIN ZOTERO_ITEM CSL_CITATION {"citationID":"2g9n90gs4i","properties":{"formattedCitation":"{\\rtf \\super 93,94\\nosupersub{}}","plainCitation":"93,94"},"citationItems":[{"id":73,"uris":["http://zotero.org/users/1624234/items/5ND7X226"],"uri":["http://zotero.org/users/1624234/items/5ND7X226"],"itemData":{"id":73,"type":"patent","title":"Verfahren zur Herstellung von Aminoverbindungen Process for the preparation of amino compounds","URL":"http://www.google.com/patents/DE698273C","note":"International Classification C07D209/18, C07D209/08; Cooperative Classification C07D209/08, C07D209/18; European Classification C07D209/08, C07D209/18","number":"DE698273 C","author":[{"family":"Reppe","given":"Dr Walter"},{"family":"Ufer","given":"Dr Hanns"}],"issued":{"date-parts":[["1940",11,6]]},"accessed":{"date-parts":[["2015",3,17]]},"submitted":{"date-parts":[["1936",5,20]]}}},{"id":95,"uris":["http://zotero.org/users/1624234/items/6N7ZPPV4"],"uri":["http://zotero.org/users/1624234/items/6N7ZPPV4"],"itemData":{"id":95,"type":"patent","title":"Process for the production of 3-indole-propionic acids","URL":"http://www.google.pt/patents/US3062832","note":"U.S. Classification 548/502, 548/510; International Classification C07D209/18; Cooperative Classification C07D209/18; European Classification C07D209/18","number":"US3062832 A","author":[{"family":"Johnson","given":"Herbert E."}],"issued":{"date-parts":[["1962",11,6]]},"accessed":{"date-parts":[["2015",3,17]]},"submitted":{"date-parts":[["1961",6,29]]}}}],"schema":"https://github.com/citation-style-language/schema/raw/master/csl-citation.json"} </w:instrText>
      </w:r>
      <w:r w:rsidRPr="00E47369">
        <w:rPr>
          <w:rFonts w:cstheme="minorHAnsi"/>
        </w:rPr>
        <w:fldChar w:fldCharType="separate"/>
      </w:r>
      <w:r w:rsidRPr="00E47369">
        <w:rPr>
          <w:rFonts w:cstheme="minorHAnsi"/>
          <w:sz w:val="22"/>
          <w:vertAlign w:val="superscript"/>
        </w:rPr>
        <w:t>93,94</w:t>
      </w:r>
      <w:r w:rsidRPr="00E47369">
        <w:rPr>
          <w:rFonts w:cstheme="minorHAnsi"/>
        </w:rPr>
        <w:fldChar w:fldCharType="end"/>
      </w:r>
      <w:r w:rsidRPr="00E47369">
        <w:rPr>
          <w:rFonts w:cstheme="minorHAnsi"/>
        </w:rPr>
        <w:t xml:space="preserve"> Each of these </w:t>
      </w:r>
      <w:r w:rsidR="00DD0FA8">
        <w:rPr>
          <w:rFonts w:cstheme="minorHAnsi"/>
        </w:rPr>
        <w:t>product</w:t>
      </w:r>
      <w:r w:rsidRPr="00E47369">
        <w:rPr>
          <w:rFonts w:cstheme="minorHAnsi"/>
        </w:rPr>
        <w:t>s had a specific GC signals with matching mass spectrum (molecular ion and fragmentation pics).</w:t>
      </w:r>
    </w:p>
    <w:p w14:paraId="45A940B3" w14:textId="77777777" w:rsidR="00536AE9" w:rsidRPr="00E47369" w:rsidRDefault="00536AE9" w:rsidP="00536AE9">
      <w:pPr>
        <w:ind w:firstLine="720"/>
        <w:jc w:val="both"/>
        <w:rPr>
          <w:rFonts w:cstheme="minorHAnsi"/>
        </w:rPr>
      </w:pPr>
    </w:p>
    <w:p w14:paraId="0923F869" w14:textId="77777777" w:rsidR="00A651D8" w:rsidRPr="00E47369" w:rsidRDefault="00A651D8" w:rsidP="00A651D8">
      <w:pPr>
        <w:keepNext/>
        <w:jc w:val="center"/>
        <w:rPr>
          <w:rFonts w:cstheme="minorHAnsi"/>
        </w:rPr>
      </w:pPr>
      <w:r w:rsidRPr="00E47369">
        <w:rPr>
          <w:rFonts w:cstheme="minorHAnsi"/>
          <w:noProof/>
          <w:sz w:val="18"/>
          <w:szCs w:val="18"/>
          <w:lang w:bidi="ar-SA"/>
        </w:rPr>
        <w:drawing>
          <wp:inline distT="0" distB="0" distL="0" distR="0" wp14:anchorId="27F807BB" wp14:editId="714D4742">
            <wp:extent cx="4171628" cy="501650"/>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713479" cy="566809"/>
                    </a:xfrm>
                    <a:prstGeom prst="rect">
                      <a:avLst/>
                    </a:prstGeom>
                    <a:noFill/>
                    <a:ln>
                      <a:noFill/>
                    </a:ln>
                  </pic:spPr>
                </pic:pic>
              </a:graphicData>
            </a:graphic>
          </wp:inline>
        </w:drawing>
      </w:r>
    </w:p>
    <w:p w14:paraId="43FD7E67" w14:textId="77777777" w:rsidR="00A651D8" w:rsidRPr="00072EEF" w:rsidRDefault="00A651D8" w:rsidP="00072EEF">
      <w:pPr>
        <w:pStyle w:val="Caption"/>
      </w:pPr>
      <w:bookmarkStart w:id="131" w:name="_Ref451762734"/>
      <w:bookmarkStart w:id="132" w:name="_Toc458938385"/>
      <w:r w:rsidRPr="00072EEF">
        <w:t xml:space="preserve">Figure II. </w:t>
      </w:r>
      <w:r w:rsidR="00443010">
        <w:fldChar w:fldCharType="begin"/>
      </w:r>
      <w:r w:rsidR="00443010">
        <w:instrText xml:space="preserve"> STYLEREF 2 \s </w:instrText>
      </w:r>
      <w:r w:rsidR="00443010">
        <w:fldChar w:fldCharType="separate"/>
      </w:r>
      <w:r w:rsidR="000A0E3D">
        <w:rPr>
          <w:noProof/>
        </w:rPr>
        <w:t>3</w:t>
      </w:r>
      <w:r w:rsidR="00443010">
        <w:rPr>
          <w:noProof/>
        </w:rPr>
        <w:fldChar w:fldCharType="end"/>
      </w:r>
      <w:r w:rsidR="00BE514F" w:rsidRPr="00072EEF">
        <w:t>.</w:t>
      </w:r>
      <w:r w:rsidR="00443010">
        <w:fldChar w:fldCharType="begin"/>
      </w:r>
      <w:r w:rsidR="00443010">
        <w:instrText xml:space="preserve"> SEQ Figure_II. \* ARABIC \s 2 </w:instrText>
      </w:r>
      <w:r w:rsidR="00443010">
        <w:fldChar w:fldCharType="separate"/>
      </w:r>
      <w:r w:rsidR="000A0E3D">
        <w:rPr>
          <w:noProof/>
        </w:rPr>
        <w:t>1</w:t>
      </w:r>
      <w:r w:rsidR="00443010">
        <w:rPr>
          <w:noProof/>
        </w:rPr>
        <w:fldChar w:fldCharType="end"/>
      </w:r>
      <w:bookmarkEnd w:id="131"/>
      <w:r w:rsidRPr="00072EEF">
        <w:t xml:space="preserve"> Reactivity of indoline as reducing agent on a variety of diols</w:t>
      </w:r>
      <w:bookmarkEnd w:id="132"/>
    </w:p>
    <w:p w14:paraId="6EE72057" w14:textId="77777777" w:rsidR="00A651D8" w:rsidRPr="00E47369" w:rsidRDefault="00A651D8" w:rsidP="004C74E8"/>
    <w:p w14:paraId="33D08B2A" w14:textId="77777777" w:rsidR="00A651D8" w:rsidRDefault="00A651D8" w:rsidP="004C74E8">
      <w:bookmarkStart w:id="133" w:name="_Ref451762708"/>
    </w:p>
    <w:p w14:paraId="627790EA" w14:textId="77777777" w:rsidR="004C74E8" w:rsidRDefault="004C74E8" w:rsidP="004C74E8"/>
    <w:p w14:paraId="6DCFF7A5" w14:textId="77777777" w:rsidR="004C74E8" w:rsidRPr="004C74E8" w:rsidRDefault="004C74E8" w:rsidP="004C74E8">
      <w:pPr>
        <w:rPr>
          <w:bCs/>
          <w:szCs w:val="18"/>
        </w:rPr>
      </w:pPr>
    </w:p>
    <w:p w14:paraId="5E5C5419" w14:textId="77777777" w:rsidR="00A651D8" w:rsidRPr="00072EEF" w:rsidRDefault="00A651D8" w:rsidP="00072EEF">
      <w:pPr>
        <w:pStyle w:val="Caption"/>
      </w:pPr>
      <w:bookmarkStart w:id="134" w:name="_Toc457670485"/>
      <w:r w:rsidRPr="00072EEF">
        <w:t xml:space="preserve">Table II. </w:t>
      </w:r>
      <w:r w:rsidR="00443010">
        <w:fldChar w:fldCharType="begin"/>
      </w:r>
      <w:r w:rsidR="00443010">
        <w:instrText xml:space="preserve"> STYLEREF 2 \s </w:instrText>
      </w:r>
      <w:r w:rsidR="00443010">
        <w:fldChar w:fldCharType="separate"/>
      </w:r>
      <w:r w:rsidR="000A0E3D">
        <w:rPr>
          <w:noProof/>
        </w:rPr>
        <w:t>3</w:t>
      </w:r>
      <w:r w:rsidR="00443010">
        <w:rPr>
          <w:noProof/>
        </w:rPr>
        <w:fldChar w:fldCharType="end"/>
      </w:r>
      <w:r w:rsidR="00BE514F" w:rsidRPr="00072EEF">
        <w:t>.</w:t>
      </w:r>
      <w:r w:rsidR="00443010">
        <w:fldChar w:fldCharType="begin"/>
      </w:r>
      <w:r w:rsidR="00443010">
        <w:instrText xml:space="preserve"> SEQ Table_II._ \* ARABIC \s 2 </w:instrText>
      </w:r>
      <w:r w:rsidR="00443010">
        <w:fldChar w:fldCharType="separate"/>
      </w:r>
      <w:r w:rsidR="000A0E3D">
        <w:rPr>
          <w:noProof/>
        </w:rPr>
        <w:t>1</w:t>
      </w:r>
      <w:r w:rsidR="00443010">
        <w:rPr>
          <w:noProof/>
        </w:rPr>
        <w:fldChar w:fldCharType="end"/>
      </w:r>
      <w:bookmarkEnd w:id="133"/>
      <w:r w:rsidRPr="00072EEF">
        <w:t xml:space="preserve"> DODH with indoline as reductant</w:t>
      </w:r>
      <w:bookmarkEnd w:id="134"/>
    </w:p>
    <w:tbl>
      <w:tblPr>
        <w:tblW w:w="0" w:type="auto"/>
        <w:jc w:val="center"/>
        <w:tblLayout w:type="fixed"/>
        <w:tblCellMar>
          <w:left w:w="0" w:type="dxa"/>
          <w:right w:w="0" w:type="dxa"/>
        </w:tblCellMar>
        <w:tblLook w:val="01E0" w:firstRow="1" w:lastRow="1" w:firstColumn="1" w:lastColumn="1" w:noHBand="0" w:noVBand="0"/>
      </w:tblPr>
      <w:tblGrid>
        <w:gridCol w:w="962"/>
        <w:gridCol w:w="3780"/>
        <w:gridCol w:w="1260"/>
        <w:gridCol w:w="1651"/>
      </w:tblGrid>
      <w:tr w:rsidR="00A651D8" w:rsidRPr="00E47369" w14:paraId="644F0A8E" w14:textId="77777777" w:rsidTr="000C1BF3">
        <w:trPr>
          <w:trHeight w:val="576"/>
          <w:jc w:val="center"/>
        </w:trPr>
        <w:tc>
          <w:tcPr>
            <w:tcW w:w="962" w:type="dxa"/>
            <w:tcBorders>
              <w:top w:val="single" w:sz="2" w:space="0" w:color="FFFFFF" w:themeColor="background1"/>
              <w:left w:val="single" w:sz="2" w:space="0" w:color="FFFFFF" w:themeColor="background1"/>
              <w:bottom w:val="single" w:sz="12" w:space="0" w:color="auto"/>
              <w:right w:val="single" w:sz="12" w:space="0" w:color="auto"/>
            </w:tcBorders>
            <w:shd w:val="clear" w:color="auto" w:fill="FFFFFF"/>
            <w:tcMar>
              <w:top w:w="15" w:type="dxa"/>
              <w:left w:w="108" w:type="dxa"/>
              <w:bottom w:w="0" w:type="dxa"/>
              <w:right w:w="108" w:type="dxa"/>
            </w:tcMar>
            <w:vAlign w:val="center"/>
          </w:tcPr>
          <w:p w14:paraId="1713374C" w14:textId="77777777" w:rsidR="00A651D8" w:rsidRPr="00E47369" w:rsidRDefault="00A651D8" w:rsidP="00EB114B">
            <w:pPr>
              <w:jc w:val="center"/>
              <w:rPr>
                <w:rFonts w:cstheme="minorHAnsi"/>
                <w:bCs/>
                <w:sz w:val="20"/>
                <w:szCs w:val="20"/>
              </w:rPr>
            </w:pPr>
            <w:r w:rsidRPr="00E47369">
              <w:rPr>
                <w:rFonts w:cstheme="minorHAnsi"/>
                <w:bCs/>
                <w:sz w:val="20"/>
                <w:szCs w:val="20"/>
              </w:rPr>
              <w:t>Entry</w:t>
            </w:r>
          </w:p>
        </w:tc>
        <w:tc>
          <w:tcPr>
            <w:tcW w:w="3780" w:type="dxa"/>
            <w:tcBorders>
              <w:top w:val="single" w:sz="2" w:space="0" w:color="FFFFFF" w:themeColor="background1"/>
              <w:left w:val="single" w:sz="12" w:space="0" w:color="auto"/>
              <w:bottom w:val="single" w:sz="12" w:space="0" w:color="auto"/>
            </w:tcBorders>
            <w:shd w:val="clear" w:color="auto" w:fill="FFFFFF"/>
            <w:tcMar>
              <w:top w:w="15" w:type="dxa"/>
              <w:left w:w="108" w:type="dxa"/>
              <w:bottom w:w="0" w:type="dxa"/>
              <w:right w:w="108" w:type="dxa"/>
            </w:tcMar>
            <w:vAlign w:val="center"/>
          </w:tcPr>
          <w:p w14:paraId="573D2DE2" w14:textId="77777777" w:rsidR="00A651D8" w:rsidRPr="00E47369" w:rsidRDefault="00A651D8" w:rsidP="00EB114B">
            <w:pPr>
              <w:jc w:val="center"/>
              <w:rPr>
                <w:rFonts w:cstheme="minorHAnsi"/>
                <w:sz w:val="20"/>
                <w:szCs w:val="20"/>
              </w:rPr>
            </w:pPr>
            <w:r w:rsidRPr="00E47369">
              <w:rPr>
                <w:rFonts w:cstheme="minorHAnsi"/>
                <w:bCs/>
                <w:sz w:val="20"/>
                <w:szCs w:val="20"/>
                <w:bdr w:val="single" w:sz="2" w:space="0" w:color="FFFFFF" w:themeColor="background1"/>
              </w:rPr>
              <w:t>Substr</w:t>
            </w:r>
            <w:r w:rsidRPr="00E47369">
              <w:rPr>
                <w:rFonts w:cstheme="minorHAnsi"/>
                <w:bCs/>
                <w:sz w:val="20"/>
                <w:szCs w:val="20"/>
              </w:rPr>
              <w:t>ate                                    Product</w:t>
            </w:r>
          </w:p>
        </w:tc>
        <w:tc>
          <w:tcPr>
            <w:tcW w:w="1260" w:type="dxa"/>
            <w:tcBorders>
              <w:top w:val="single" w:sz="2" w:space="0" w:color="FFFFFF" w:themeColor="background1"/>
              <w:bottom w:val="single" w:sz="12" w:space="0" w:color="auto"/>
            </w:tcBorders>
            <w:shd w:val="clear" w:color="auto" w:fill="FFFFFF"/>
            <w:tcMar>
              <w:top w:w="15" w:type="dxa"/>
              <w:left w:w="108" w:type="dxa"/>
              <w:bottom w:w="0" w:type="dxa"/>
              <w:right w:w="108" w:type="dxa"/>
            </w:tcMar>
            <w:vAlign w:val="center"/>
          </w:tcPr>
          <w:p w14:paraId="611617AF" w14:textId="77777777" w:rsidR="00A651D8" w:rsidRPr="00E47369" w:rsidRDefault="00A651D8" w:rsidP="00EB114B">
            <w:pPr>
              <w:jc w:val="center"/>
              <w:rPr>
                <w:rFonts w:cstheme="minorHAnsi"/>
                <w:bCs/>
                <w:sz w:val="20"/>
                <w:szCs w:val="20"/>
              </w:rPr>
            </w:pPr>
            <w:r w:rsidRPr="00E47369">
              <w:rPr>
                <w:rFonts w:cstheme="minorHAnsi"/>
                <w:bCs/>
                <w:sz w:val="20"/>
                <w:szCs w:val="20"/>
              </w:rPr>
              <w:t>Conditions</w:t>
            </w:r>
          </w:p>
        </w:tc>
        <w:tc>
          <w:tcPr>
            <w:tcW w:w="1651" w:type="dxa"/>
            <w:tcBorders>
              <w:top w:val="single" w:sz="2" w:space="0" w:color="FFFFFF" w:themeColor="background1"/>
              <w:left w:val="nil"/>
              <w:bottom w:val="single" w:sz="12" w:space="0" w:color="auto"/>
              <w:right w:val="single" w:sz="2" w:space="0" w:color="FFFFFF" w:themeColor="background1"/>
            </w:tcBorders>
            <w:shd w:val="clear" w:color="auto" w:fill="FFFFFF"/>
            <w:tcMar>
              <w:top w:w="15" w:type="dxa"/>
              <w:left w:w="108" w:type="dxa"/>
              <w:bottom w:w="0" w:type="dxa"/>
              <w:right w:w="108" w:type="dxa"/>
            </w:tcMar>
            <w:vAlign w:val="center"/>
          </w:tcPr>
          <w:p w14:paraId="27977396" w14:textId="77777777" w:rsidR="00A651D8" w:rsidRPr="00E47369" w:rsidRDefault="00A651D8" w:rsidP="00EB114B">
            <w:pPr>
              <w:jc w:val="center"/>
              <w:rPr>
                <w:rFonts w:cstheme="minorHAnsi"/>
                <w:bCs/>
                <w:sz w:val="20"/>
                <w:szCs w:val="20"/>
              </w:rPr>
            </w:pPr>
            <w:r w:rsidRPr="00E47369">
              <w:rPr>
                <w:rFonts w:cstheme="minorHAnsi"/>
                <w:bCs/>
                <w:sz w:val="20"/>
                <w:szCs w:val="20"/>
              </w:rPr>
              <w:t>Yield (%)</w:t>
            </w:r>
            <w:r w:rsidRPr="00E47369">
              <w:rPr>
                <w:rFonts w:cstheme="minorHAnsi"/>
                <w:bCs/>
                <w:sz w:val="20"/>
                <w:szCs w:val="20"/>
                <w:vertAlign w:val="superscript"/>
              </w:rPr>
              <w:t>a</w:t>
            </w:r>
          </w:p>
          <w:p w14:paraId="783A0141" w14:textId="77777777" w:rsidR="00A651D8" w:rsidRPr="00E47369" w:rsidRDefault="00A651D8" w:rsidP="00EB114B">
            <w:pPr>
              <w:jc w:val="center"/>
              <w:rPr>
                <w:rFonts w:cstheme="minorHAnsi"/>
                <w:bCs/>
                <w:sz w:val="20"/>
                <w:szCs w:val="20"/>
              </w:rPr>
            </w:pPr>
            <w:r w:rsidRPr="00E47369">
              <w:rPr>
                <w:rFonts w:cstheme="minorHAnsi"/>
                <w:bCs/>
                <w:sz w:val="20"/>
                <w:szCs w:val="20"/>
              </w:rPr>
              <w:t>olefin/indole</w:t>
            </w:r>
          </w:p>
        </w:tc>
      </w:tr>
      <w:tr w:rsidR="00A651D8" w:rsidRPr="00E47369" w14:paraId="4BEA3C88" w14:textId="77777777" w:rsidTr="000C1BF3">
        <w:trPr>
          <w:trHeight w:val="144"/>
          <w:jc w:val="center"/>
        </w:trPr>
        <w:tc>
          <w:tcPr>
            <w:tcW w:w="962" w:type="dxa"/>
            <w:tcBorders>
              <w:top w:val="single" w:sz="12" w:space="0" w:color="auto"/>
              <w:left w:val="single" w:sz="2" w:space="0" w:color="FFFFFF" w:themeColor="background1"/>
              <w:bottom w:val="single" w:sz="2" w:space="0" w:color="808080" w:themeColor="background1" w:themeShade="80"/>
              <w:right w:val="single" w:sz="12" w:space="0" w:color="auto"/>
            </w:tcBorders>
            <w:shd w:val="clear" w:color="auto" w:fill="FFFFFF"/>
            <w:tcMar>
              <w:top w:w="15" w:type="dxa"/>
              <w:left w:w="108" w:type="dxa"/>
              <w:bottom w:w="0" w:type="dxa"/>
              <w:right w:w="108" w:type="dxa"/>
            </w:tcMar>
            <w:vAlign w:val="center"/>
            <w:hideMark/>
          </w:tcPr>
          <w:p w14:paraId="4754D1D0" w14:textId="77777777" w:rsidR="00A651D8" w:rsidRPr="00E47369" w:rsidRDefault="000C1BF3" w:rsidP="00EB114B">
            <w:pPr>
              <w:jc w:val="center"/>
              <w:rPr>
                <w:rFonts w:cstheme="minorHAnsi"/>
                <w:bCs/>
                <w:sz w:val="20"/>
                <w:szCs w:val="20"/>
              </w:rPr>
            </w:pPr>
            <w:r w:rsidRPr="00E47369">
              <w:rPr>
                <w:rFonts w:cstheme="minorHAnsi"/>
                <w:bCs/>
                <w:sz w:val="20"/>
                <w:szCs w:val="20"/>
              </w:rPr>
              <w:t>II.</w:t>
            </w:r>
            <w:r w:rsidR="00A651D8" w:rsidRPr="00E47369">
              <w:rPr>
                <w:rFonts w:cstheme="minorHAnsi"/>
                <w:bCs/>
                <w:sz w:val="20"/>
                <w:szCs w:val="20"/>
              </w:rPr>
              <w:t>3.1.1</w:t>
            </w:r>
          </w:p>
        </w:tc>
        <w:tc>
          <w:tcPr>
            <w:tcW w:w="3780" w:type="dxa"/>
            <w:tcBorders>
              <w:top w:val="single" w:sz="12" w:space="0" w:color="auto"/>
              <w:left w:val="single" w:sz="12" w:space="0" w:color="auto"/>
              <w:bottom w:val="single" w:sz="2" w:space="0" w:color="808080" w:themeColor="background1" w:themeShade="80"/>
            </w:tcBorders>
            <w:shd w:val="clear" w:color="auto" w:fill="FFFFFF"/>
            <w:tcMar>
              <w:top w:w="15" w:type="dxa"/>
              <w:left w:w="108" w:type="dxa"/>
              <w:bottom w:w="0" w:type="dxa"/>
              <w:right w:w="108" w:type="dxa"/>
            </w:tcMar>
            <w:vAlign w:val="center"/>
            <w:hideMark/>
          </w:tcPr>
          <w:p w14:paraId="1C01E571" w14:textId="77777777" w:rsidR="00A651D8" w:rsidRPr="00E47369" w:rsidRDefault="00A651D8" w:rsidP="00EB114B">
            <w:pPr>
              <w:jc w:val="center"/>
              <w:rPr>
                <w:rFonts w:cstheme="minorHAnsi"/>
                <w:bCs/>
                <w:sz w:val="20"/>
                <w:szCs w:val="20"/>
              </w:rPr>
            </w:pPr>
            <w:r w:rsidRPr="00E47369">
              <w:rPr>
                <w:rFonts w:cstheme="minorHAnsi"/>
                <w:noProof/>
                <w:sz w:val="20"/>
                <w:szCs w:val="20"/>
                <w:lang w:bidi="ar-SA"/>
              </w:rPr>
              <w:drawing>
                <wp:inline distT="0" distB="0" distL="0" distR="0" wp14:anchorId="3CB393E8" wp14:editId="503DF888">
                  <wp:extent cx="1879600" cy="29845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879600" cy="298450"/>
                          </a:xfrm>
                          <a:prstGeom prst="rect">
                            <a:avLst/>
                          </a:prstGeom>
                          <a:noFill/>
                          <a:ln>
                            <a:noFill/>
                          </a:ln>
                        </pic:spPr>
                      </pic:pic>
                    </a:graphicData>
                  </a:graphic>
                </wp:inline>
              </w:drawing>
            </w:r>
          </w:p>
        </w:tc>
        <w:tc>
          <w:tcPr>
            <w:tcW w:w="1260" w:type="dxa"/>
            <w:tcBorders>
              <w:top w:val="single" w:sz="12" w:space="0" w:color="auto"/>
              <w:bottom w:val="single" w:sz="2" w:space="0" w:color="808080" w:themeColor="background1" w:themeShade="80"/>
            </w:tcBorders>
            <w:shd w:val="clear" w:color="auto" w:fill="FFFFFF"/>
            <w:tcMar>
              <w:top w:w="15" w:type="dxa"/>
              <w:left w:w="108" w:type="dxa"/>
              <w:bottom w:w="0" w:type="dxa"/>
              <w:right w:w="108" w:type="dxa"/>
            </w:tcMar>
            <w:vAlign w:val="center"/>
            <w:hideMark/>
          </w:tcPr>
          <w:p w14:paraId="0FCBE177" w14:textId="77777777" w:rsidR="00A651D8" w:rsidRPr="00E47369" w:rsidRDefault="00A651D8" w:rsidP="00EB114B">
            <w:pPr>
              <w:jc w:val="center"/>
              <w:rPr>
                <w:rFonts w:cstheme="minorHAnsi"/>
                <w:bCs/>
                <w:sz w:val="20"/>
                <w:szCs w:val="20"/>
              </w:rPr>
            </w:pPr>
            <w:r w:rsidRPr="00E47369">
              <w:rPr>
                <w:rFonts w:cstheme="minorHAnsi"/>
                <w:bCs/>
                <w:sz w:val="20"/>
                <w:szCs w:val="20"/>
              </w:rPr>
              <w:t>A</w:t>
            </w:r>
          </w:p>
        </w:tc>
        <w:tc>
          <w:tcPr>
            <w:tcW w:w="1651" w:type="dxa"/>
            <w:tcBorders>
              <w:top w:val="single" w:sz="12" w:space="0" w:color="auto"/>
              <w:left w:val="nil"/>
              <w:bottom w:val="single" w:sz="2" w:space="0" w:color="808080" w:themeColor="background1" w:themeShade="80"/>
              <w:right w:val="single" w:sz="2" w:space="0" w:color="FFFFFF" w:themeColor="background1"/>
            </w:tcBorders>
            <w:shd w:val="clear" w:color="auto" w:fill="FFFFFF"/>
            <w:tcMar>
              <w:top w:w="15" w:type="dxa"/>
              <w:left w:w="108" w:type="dxa"/>
              <w:bottom w:w="0" w:type="dxa"/>
              <w:right w:w="108" w:type="dxa"/>
            </w:tcMar>
            <w:vAlign w:val="center"/>
            <w:hideMark/>
          </w:tcPr>
          <w:p w14:paraId="1B955BAA" w14:textId="77777777" w:rsidR="00A651D8" w:rsidRPr="00E47369" w:rsidRDefault="00A651D8" w:rsidP="00EB114B">
            <w:pPr>
              <w:jc w:val="center"/>
              <w:rPr>
                <w:rFonts w:cstheme="minorHAnsi"/>
                <w:bCs/>
                <w:sz w:val="20"/>
                <w:szCs w:val="20"/>
                <w:vertAlign w:val="superscript"/>
              </w:rPr>
            </w:pPr>
            <w:r w:rsidRPr="00E47369">
              <w:rPr>
                <w:rFonts w:cstheme="minorHAnsi"/>
                <w:bCs/>
                <w:sz w:val="20"/>
                <w:szCs w:val="20"/>
              </w:rPr>
              <w:t>70/90</w:t>
            </w:r>
            <w:r w:rsidRPr="00E47369">
              <w:rPr>
                <w:rFonts w:cstheme="minorHAnsi"/>
                <w:bCs/>
                <w:sz w:val="20"/>
                <w:szCs w:val="20"/>
                <w:vertAlign w:val="superscript"/>
              </w:rPr>
              <w:t>b</w:t>
            </w:r>
          </w:p>
        </w:tc>
      </w:tr>
      <w:tr w:rsidR="00A651D8" w:rsidRPr="00E47369" w14:paraId="7D5C2FE5" w14:textId="77777777" w:rsidTr="000C1BF3">
        <w:trPr>
          <w:trHeight w:val="576"/>
          <w:jc w:val="center"/>
        </w:trPr>
        <w:tc>
          <w:tcPr>
            <w:tcW w:w="962" w:type="dxa"/>
            <w:tcBorders>
              <w:top w:val="single" w:sz="2" w:space="0" w:color="808080" w:themeColor="background1" w:themeShade="80"/>
              <w:left w:val="single" w:sz="2" w:space="0" w:color="FFFFFF" w:themeColor="background1"/>
              <w:bottom w:val="single" w:sz="2" w:space="0" w:color="808080" w:themeColor="background1" w:themeShade="80"/>
              <w:right w:val="single" w:sz="12" w:space="0" w:color="auto"/>
            </w:tcBorders>
            <w:shd w:val="clear" w:color="auto" w:fill="FFFFFF"/>
            <w:tcMar>
              <w:top w:w="15" w:type="dxa"/>
              <w:left w:w="108" w:type="dxa"/>
              <w:bottom w:w="0" w:type="dxa"/>
              <w:right w:w="108" w:type="dxa"/>
            </w:tcMar>
            <w:vAlign w:val="center"/>
            <w:hideMark/>
          </w:tcPr>
          <w:p w14:paraId="74211AF3" w14:textId="77777777" w:rsidR="00A651D8" w:rsidRPr="00E47369" w:rsidRDefault="000C1BF3" w:rsidP="00EB114B">
            <w:pPr>
              <w:jc w:val="center"/>
              <w:rPr>
                <w:rFonts w:cstheme="minorHAnsi"/>
                <w:bCs/>
                <w:sz w:val="20"/>
                <w:szCs w:val="20"/>
              </w:rPr>
            </w:pPr>
            <w:r w:rsidRPr="00E47369">
              <w:rPr>
                <w:rFonts w:cstheme="minorHAnsi"/>
                <w:bCs/>
                <w:sz w:val="20"/>
                <w:szCs w:val="20"/>
              </w:rPr>
              <w:t>II.</w:t>
            </w:r>
            <w:r w:rsidR="00A651D8" w:rsidRPr="00E47369">
              <w:rPr>
                <w:rFonts w:cstheme="minorHAnsi"/>
                <w:bCs/>
                <w:sz w:val="20"/>
                <w:szCs w:val="20"/>
              </w:rPr>
              <w:t>3.1.2</w:t>
            </w:r>
          </w:p>
        </w:tc>
        <w:tc>
          <w:tcPr>
            <w:tcW w:w="3780" w:type="dxa"/>
            <w:tcBorders>
              <w:top w:val="single" w:sz="2" w:space="0" w:color="808080" w:themeColor="background1" w:themeShade="80"/>
              <w:left w:val="single" w:sz="12" w:space="0" w:color="auto"/>
              <w:bottom w:val="single" w:sz="2" w:space="0" w:color="808080" w:themeColor="background1" w:themeShade="80"/>
            </w:tcBorders>
            <w:shd w:val="clear" w:color="auto" w:fill="FFFFFF"/>
            <w:tcMar>
              <w:top w:w="15" w:type="dxa"/>
              <w:left w:w="108" w:type="dxa"/>
              <w:bottom w:w="0" w:type="dxa"/>
              <w:right w:w="108" w:type="dxa"/>
            </w:tcMar>
            <w:vAlign w:val="center"/>
            <w:hideMark/>
          </w:tcPr>
          <w:p w14:paraId="3513CB8C" w14:textId="77777777" w:rsidR="00A651D8" w:rsidRPr="00E47369" w:rsidRDefault="00A651D8" w:rsidP="00EB114B">
            <w:pPr>
              <w:jc w:val="center"/>
              <w:rPr>
                <w:rFonts w:cstheme="minorHAnsi"/>
                <w:bCs/>
                <w:sz w:val="20"/>
                <w:szCs w:val="20"/>
              </w:rPr>
            </w:pPr>
            <w:r w:rsidRPr="00E47369">
              <w:rPr>
                <w:rFonts w:cstheme="minorHAnsi"/>
                <w:noProof/>
                <w:sz w:val="20"/>
                <w:szCs w:val="20"/>
                <w:lang w:bidi="ar-SA"/>
              </w:rPr>
              <w:drawing>
                <wp:inline distT="0" distB="0" distL="0" distR="0" wp14:anchorId="74745DA8" wp14:editId="2F39F795">
                  <wp:extent cx="1936750" cy="803346"/>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937936" cy="803838"/>
                          </a:xfrm>
                          <a:prstGeom prst="rect">
                            <a:avLst/>
                          </a:prstGeom>
                          <a:noFill/>
                          <a:ln>
                            <a:noFill/>
                          </a:ln>
                        </pic:spPr>
                      </pic:pic>
                    </a:graphicData>
                  </a:graphic>
                </wp:inline>
              </w:drawing>
            </w:r>
          </w:p>
        </w:tc>
        <w:tc>
          <w:tcPr>
            <w:tcW w:w="1260" w:type="dxa"/>
            <w:tcBorders>
              <w:top w:val="single" w:sz="2" w:space="0" w:color="808080" w:themeColor="background1" w:themeShade="80"/>
              <w:bottom w:val="single" w:sz="2" w:space="0" w:color="808080" w:themeColor="background1" w:themeShade="80"/>
            </w:tcBorders>
            <w:shd w:val="clear" w:color="auto" w:fill="FFFFFF"/>
            <w:tcMar>
              <w:top w:w="15" w:type="dxa"/>
              <w:left w:w="108" w:type="dxa"/>
              <w:bottom w:w="0" w:type="dxa"/>
              <w:right w:w="108" w:type="dxa"/>
            </w:tcMar>
            <w:vAlign w:val="center"/>
            <w:hideMark/>
          </w:tcPr>
          <w:p w14:paraId="537489A8" w14:textId="77777777" w:rsidR="00A651D8" w:rsidRPr="00E47369" w:rsidRDefault="00A651D8" w:rsidP="00EB114B">
            <w:pPr>
              <w:jc w:val="center"/>
              <w:rPr>
                <w:rFonts w:cstheme="minorHAnsi"/>
                <w:bCs/>
                <w:sz w:val="20"/>
                <w:szCs w:val="20"/>
              </w:rPr>
            </w:pPr>
            <w:r w:rsidRPr="00E47369">
              <w:rPr>
                <w:rFonts w:cstheme="minorHAnsi"/>
                <w:bCs/>
                <w:sz w:val="20"/>
                <w:szCs w:val="20"/>
              </w:rPr>
              <w:t>B</w:t>
            </w:r>
          </w:p>
          <w:p w14:paraId="38D1DD08" w14:textId="77777777" w:rsidR="00A651D8" w:rsidRPr="00E47369" w:rsidRDefault="00A651D8" w:rsidP="00EB114B">
            <w:pPr>
              <w:jc w:val="center"/>
              <w:rPr>
                <w:rFonts w:cstheme="minorHAnsi"/>
                <w:bCs/>
                <w:sz w:val="20"/>
                <w:szCs w:val="20"/>
              </w:rPr>
            </w:pPr>
          </w:p>
          <w:p w14:paraId="66193E11" w14:textId="77777777" w:rsidR="00A651D8" w:rsidRPr="00E47369" w:rsidRDefault="00A651D8" w:rsidP="00EB114B">
            <w:pPr>
              <w:jc w:val="center"/>
              <w:rPr>
                <w:rFonts w:cstheme="minorHAnsi"/>
                <w:bCs/>
                <w:sz w:val="20"/>
                <w:szCs w:val="20"/>
              </w:rPr>
            </w:pPr>
            <w:r w:rsidRPr="00E47369">
              <w:rPr>
                <w:rFonts w:cstheme="minorHAnsi"/>
                <w:bCs/>
                <w:sz w:val="20"/>
                <w:szCs w:val="20"/>
              </w:rPr>
              <w:t>E</w:t>
            </w:r>
          </w:p>
        </w:tc>
        <w:tc>
          <w:tcPr>
            <w:tcW w:w="1651" w:type="dxa"/>
            <w:tcBorders>
              <w:top w:val="single" w:sz="2" w:space="0" w:color="808080" w:themeColor="background1" w:themeShade="80"/>
              <w:left w:val="nil"/>
              <w:bottom w:val="single" w:sz="2" w:space="0" w:color="808080" w:themeColor="background1" w:themeShade="80"/>
              <w:right w:val="single" w:sz="2" w:space="0" w:color="FFFFFF" w:themeColor="background1"/>
            </w:tcBorders>
            <w:shd w:val="clear" w:color="auto" w:fill="FFFFFF"/>
            <w:tcMar>
              <w:top w:w="15" w:type="dxa"/>
              <w:left w:w="108" w:type="dxa"/>
              <w:bottom w:w="0" w:type="dxa"/>
              <w:right w:w="108" w:type="dxa"/>
            </w:tcMar>
            <w:vAlign w:val="center"/>
            <w:hideMark/>
          </w:tcPr>
          <w:p w14:paraId="716EFAEC" w14:textId="77777777" w:rsidR="00A651D8" w:rsidRPr="00E47369" w:rsidRDefault="00A651D8" w:rsidP="00EB114B">
            <w:pPr>
              <w:jc w:val="center"/>
              <w:rPr>
                <w:rFonts w:cstheme="minorHAnsi"/>
                <w:bCs/>
                <w:sz w:val="20"/>
                <w:szCs w:val="20"/>
                <w:vertAlign w:val="superscript"/>
              </w:rPr>
            </w:pPr>
            <w:r w:rsidRPr="00E47369">
              <w:rPr>
                <w:rFonts w:cstheme="minorHAnsi"/>
                <w:bCs/>
                <w:sz w:val="20"/>
                <w:szCs w:val="20"/>
              </w:rPr>
              <w:t>99/50 (90)</w:t>
            </w:r>
            <w:r w:rsidRPr="00E47369">
              <w:rPr>
                <w:rFonts w:cstheme="minorHAnsi"/>
                <w:bCs/>
                <w:sz w:val="20"/>
                <w:szCs w:val="20"/>
                <w:vertAlign w:val="superscript"/>
              </w:rPr>
              <w:t>c,b</w:t>
            </w:r>
          </w:p>
          <w:p w14:paraId="499D2D64" w14:textId="77777777" w:rsidR="00A651D8" w:rsidRPr="00E47369" w:rsidRDefault="00A651D8" w:rsidP="00EB114B">
            <w:pPr>
              <w:jc w:val="center"/>
              <w:rPr>
                <w:rFonts w:cstheme="minorHAnsi"/>
                <w:bCs/>
                <w:sz w:val="20"/>
                <w:szCs w:val="20"/>
              </w:rPr>
            </w:pPr>
          </w:p>
          <w:p w14:paraId="2DE32055" w14:textId="77777777" w:rsidR="00A651D8" w:rsidRPr="00E47369" w:rsidRDefault="00A651D8" w:rsidP="00EB114B">
            <w:pPr>
              <w:jc w:val="center"/>
              <w:rPr>
                <w:rFonts w:cstheme="minorHAnsi"/>
                <w:bCs/>
                <w:sz w:val="20"/>
                <w:szCs w:val="20"/>
                <w:vertAlign w:val="superscript"/>
              </w:rPr>
            </w:pPr>
            <w:r w:rsidRPr="00E47369">
              <w:rPr>
                <w:rFonts w:cstheme="minorHAnsi"/>
                <w:bCs/>
                <w:sz w:val="20"/>
                <w:szCs w:val="20"/>
              </w:rPr>
              <w:t>62/54</w:t>
            </w:r>
            <w:r w:rsidRPr="00E47369">
              <w:rPr>
                <w:rFonts w:cstheme="minorHAnsi"/>
                <w:bCs/>
                <w:sz w:val="20"/>
                <w:szCs w:val="20"/>
                <w:vertAlign w:val="superscript"/>
              </w:rPr>
              <w:t>d</w:t>
            </w:r>
          </w:p>
        </w:tc>
      </w:tr>
      <w:tr w:rsidR="00A651D8" w:rsidRPr="00E47369" w14:paraId="0C784A2F" w14:textId="77777777" w:rsidTr="000C1BF3">
        <w:trPr>
          <w:trHeight w:val="864"/>
          <w:jc w:val="center"/>
        </w:trPr>
        <w:tc>
          <w:tcPr>
            <w:tcW w:w="962" w:type="dxa"/>
            <w:tcBorders>
              <w:top w:val="single" w:sz="2" w:space="0" w:color="808080" w:themeColor="background1" w:themeShade="80"/>
              <w:left w:val="single" w:sz="2" w:space="0" w:color="FFFFFF" w:themeColor="background1"/>
              <w:bottom w:val="single" w:sz="2" w:space="0" w:color="808080" w:themeColor="background1" w:themeShade="80"/>
              <w:right w:val="single" w:sz="12" w:space="0" w:color="auto"/>
            </w:tcBorders>
            <w:shd w:val="clear" w:color="auto" w:fill="auto"/>
            <w:tcMar>
              <w:top w:w="15" w:type="dxa"/>
              <w:left w:w="108" w:type="dxa"/>
              <w:bottom w:w="0" w:type="dxa"/>
              <w:right w:w="108" w:type="dxa"/>
            </w:tcMar>
            <w:vAlign w:val="center"/>
            <w:hideMark/>
          </w:tcPr>
          <w:p w14:paraId="54A66E49" w14:textId="77777777" w:rsidR="00A651D8" w:rsidRPr="00E47369" w:rsidRDefault="000C1BF3" w:rsidP="00EB114B">
            <w:pPr>
              <w:jc w:val="center"/>
              <w:rPr>
                <w:rFonts w:cstheme="minorHAnsi"/>
                <w:bCs/>
                <w:sz w:val="20"/>
                <w:szCs w:val="20"/>
              </w:rPr>
            </w:pPr>
            <w:r w:rsidRPr="00E47369">
              <w:rPr>
                <w:rFonts w:cstheme="minorHAnsi"/>
                <w:bCs/>
                <w:sz w:val="20"/>
                <w:szCs w:val="20"/>
              </w:rPr>
              <w:t>II.</w:t>
            </w:r>
            <w:r w:rsidR="00A651D8" w:rsidRPr="00E47369">
              <w:rPr>
                <w:rFonts w:cstheme="minorHAnsi"/>
                <w:bCs/>
                <w:sz w:val="20"/>
                <w:szCs w:val="20"/>
              </w:rPr>
              <w:t>3.1.3</w:t>
            </w:r>
          </w:p>
        </w:tc>
        <w:tc>
          <w:tcPr>
            <w:tcW w:w="3780" w:type="dxa"/>
            <w:tcBorders>
              <w:top w:val="single" w:sz="2" w:space="0" w:color="808080" w:themeColor="background1" w:themeShade="80"/>
              <w:left w:val="single" w:sz="12" w:space="0" w:color="auto"/>
              <w:bottom w:val="single" w:sz="2" w:space="0" w:color="808080" w:themeColor="background1" w:themeShade="80"/>
            </w:tcBorders>
            <w:shd w:val="clear" w:color="auto" w:fill="auto"/>
            <w:tcMar>
              <w:top w:w="15" w:type="dxa"/>
              <w:left w:w="108" w:type="dxa"/>
              <w:bottom w:w="0" w:type="dxa"/>
              <w:right w:w="108" w:type="dxa"/>
            </w:tcMar>
            <w:vAlign w:val="center"/>
            <w:hideMark/>
          </w:tcPr>
          <w:p w14:paraId="0FE1B75F" w14:textId="77777777" w:rsidR="00A651D8" w:rsidRPr="00E47369" w:rsidRDefault="00A651D8" w:rsidP="00EB114B">
            <w:pPr>
              <w:jc w:val="center"/>
              <w:rPr>
                <w:rFonts w:cstheme="minorHAnsi"/>
                <w:bCs/>
                <w:sz w:val="20"/>
                <w:szCs w:val="20"/>
              </w:rPr>
            </w:pPr>
            <w:r w:rsidRPr="00E47369">
              <w:rPr>
                <w:rFonts w:cstheme="minorHAnsi"/>
                <w:noProof/>
                <w:sz w:val="20"/>
                <w:szCs w:val="20"/>
                <w:lang w:bidi="ar-SA"/>
              </w:rPr>
              <w:drawing>
                <wp:inline distT="0" distB="0" distL="0" distR="0" wp14:anchorId="5DDBEB37" wp14:editId="58DB7FE2">
                  <wp:extent cx="1987550" cy="26035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987550" cy="260350"/>
                          </a:xfrm>
                          <a:prstGeom prst="rect">
                            <a:avLst/>
                          </a:prstGeom>
                          <a:noFill/>
                          <a:ln>
                            <a:noFill/>
                          </a:ln>
                        </pic:spPr>
                      </pic:pic>
                    </a:graphicData>
                  </a:graphic>
                </wp:inline>
              </w:drawing>
            </w:r>
          </w:p>
        </w:tc>
        <w:tc>
          <w:tcPr>
            <w:tcW w:w="1260" w:type="dxa"/>
            <w:tcBorders>
              <w:top w:val="single" w:sz="2" w:space="0" w:color="808080" w:themeColor="background1" w:themeShade="80"/>
              <w:bottom w:val="single" w:sz="2" w:space="0" w:color="808080" w:themeColor="background1" w:themeShade="80"/>
            </w:tcBorders>
            <w:shd w:val="clear" w:color="auto" w:fill="auto"/>
            <w:tcMar>
              <w:top w:w="15" w:type="dxa"/>
              <w:left w:w="108" w:type="dxa"/>
              <w:bottom w:w="0" w:type="dxa"/>
              <w:right w:w="108" w:type="dxa"/>
            </w:tcMar>
            <w:vAlign w:val="center"/>
            <w:hideMark/>
          </w:tcPr>
          <w:p w14:paraId="61446A9C" w14:textId="77777777" w:rsidR="00A651D8" w:rsidRPr="00E47369" w:rsidRDefault="00A651D8" w:rsidP="00EB114B">
            <w:pPr>
              <w:jc w:val="center"/>
              <w:rPr>
                <w:rFonts w:cstheme="minorHAnsi"/>
                <w:bCs/>
                <w:sz w:val="20"/>
                <w:szCs w:val="20"/>
                <w:lang w:val="fr-FR"/>
              </w:rPr>
            </w:pPr>
            <w:r w:rsidRPr="00E47369">
              <w:rPr>
                <w:rFonts w:cstheme="minorHAnsi"/>
                <w:bCs/>
                <w:sz w:val="20"/>
                <w:szCs w:val="20"/>
                <w:lang w:val="fr-FR"/>
              </w:rPr>
              <w:t>B</w:t>
            </w:r>
          </w:p>
          <w:p w14:paraId="18BADE3B" w14:textId="77777777" w:rsidR="00A651D8" w:rsidRPr="00E47369" w:rsidRDefault="00A651D8" w:rsidP="00EB114B">
            <w:pPr>
              <w:jc w:val="center"/>
              <w:rPr>
                <w:rFonts w:cstheme="minorHAnsi"/>
                <w:bCs/>
                <w:sz w:val="20"/>
                <w:szCs w:val="20"/>
                <w:lang w:val="fr-FR"/>
              </w:rPr>
            </w:pPr>
          </w:p>
          <w:p w14:paraId="53EC4510" w14:textId="77777777" w:rsidR="00A651D8" w:rsidRPr="00E47369" w:rsidRDefault="00A651D8" w:rsidP="00EB114B">
            <w:pPr>
              <w:jc w:val="center"/>
              <w:rPr>
                <w:rFonts w:cstheme="minorHAnsi"/>
                <w:bCs/>
                <w:sz w:val="20"/>
                <w:szCs w:val="20"/>
                <w:lang w:val="fr-FR"/>
              </w:rPr>
            </w:pPr>
            <w:r w:rsidRPr="00E47369">
              <w:rPr>
                <w:rFonts w:cstheme="minorHAnsi"/>
                <w:bCs/>
                <w:sz w:val="20"/>
                <w:szCs w:val="20"/>
                <w:lang w:val="fr-FR"/>
              </w:rPr>
              <w:t>D</w:t>
            </w:r>
          </w:p>
        </w:tc>
        <w:tc>
          <w:tcPr>
            <w:tcW w:w="1651" w:type="dxa"/>
            <w:tcBorders>
              <w:top w:val="single" w:sz="2" w:space="0" w:color="808080" w:themeColor="background1" w:themeShade="80"/>
              <w:left w:val="nil"/>
              <w:bottom w:val="single" w:sz="2" w:space="0" w:color="808080" w:themeColor="background1" w:themeShade="80"/>
              <w:right w:val="single" w:sz="2" w:space="0" w:color="FFFFFF" w:themeColor="background1"/>
            </w:tcBorders>
            <w:shd w:val="clear" w:color="auto" w:fill="auto"/>
            <w:tcMar>
              <w:top w:w="15" w:type="dxa"/>
              <w:left w:w="108" w:type="dxa"/>
              <w:bottom w:w="0" w:type="dxa"/>
              <w:right w:w="108" w:type="dxa"/>
            </w:tcMar>
            <w:vAlign w:val="center"/>
            <w:hideMark/>
          </w:tcPr>
          <w:p w14:paraId="2A226988" w14:textId="77777777" w:rsidR="00A651D8" w:rsidRPr="00E47369" w:rsidRDefault="00A651D8" w:rsidP="00EB114B">
            <w:pPr>
              <w:jc w:val="center"/>
              <w:rPr>
                <w:rFonts w:cstheme="minorHAnsi"/>
                <w:bCs/>
                <w:sz w:val="20"/>
                <w:szCs w:val="20"/>
                <w:lang w:val="fr-FR"/>
              </w:rPr>
            </w:pPr>
            <w:r w:rsidRPr="00E47369">
              <w:rPr>
                <w:rFonts w:cstheme="minorHAnsi"/>
                <w:bCs/>
                <w:sz w:val="20"/>
                <w:szCs w:val="20"/>
                <w:lang w:val="fr-FR"/>
              </w:rPr>
              <w:t>80/75</w:t>
            </w:r>
          </w:p>
          <w:p w14:paraId="05373D68" w14:textId="77777777" w:rsidR="00A651D8" w:rsidRPr="00E47369" w:rsidRDefault="00A651D8" w:rsidP="00EB114B">
            <w:pPr>
              <w:jc w:val="center"/>
              <w:rPr>
                <w:rFonts w:cstheme="minorHAnsi"/>
                <w:bCs/>
                <w:sz w:val="20"/>
                <w:szCs w:val="20"/>
                <w:lang w:val="fr-FR"/>
              </w:rPr>
            </w:pPr>
          </w:p>
          <w:p w14:paraId="333B7EB2" w14:textId="77777777" w:rsidR="00A651D8" w:rsidRPr="00E47369" w:rsidRDefault="00A651D8" w:rsidP="00EB114B">
            <w:pPr>
              <w:jc w:val="center"/>
              <w:rPr>
                <w:rFonts w:cstheme="minorHAnsi"/>
                <w:bCs/>
                <w:sz w:val="20"/>
                <w:szCs w:val="20"/>
                <w:lang w:val="fr-FR"/>
              </w:rPr>
            </w:pPr>
            <w:r w:rsidRPr="00E47369">
              <w:rPr>
                <w:rFonts w:cstheme="minorHAnsi"/>
                <w:bCs/>
                <w:sz w:val="20"/>
                <w:szCs w:val="20"/>
                <w:lang w:val="fr-FR"/>
              </w:rPr>
              <w:t>66/67</w:t>
            </w:r>
          </w:p>
        </w:tc>
      </w:tr>
      <w:tr w:rsidR="00A651D8" w:rsidRPr="00E47369" w14:paraId="19C23E1D" w14:textId="77777777" w:rsidTr="000C1BF3">
        <w:trPr>
          <w:trHeight w:val="576"/>
          <w:jc w:val="center"/>
        </w:trPr>
        <w:tc>
          <w:tcPr>
            <w:tcW w:w="962" w:type="dxa"/>
            <w:tcBorders>
              <w:top w:val="single" w:sz="2" w:space="0" w:color="808080" w:themeColor="background1" w:themeShade="80"/>
              <w:left w:val="single" w:sz="2" w:space="0" w:color="FFFFFF" w:themeColor="background1"/>
              <w:bottom w:val="single" w:sz="2" w:space="0" w:color="808080" w:themeColor="background1" w:themeShade="80"/>
              <w:right w:val="single" w:sz="12" w:space="0" w:color="auto"/>
            </w:tcBorders>
            <w:shd w:val="clear" w:color="auto" w:fill="auto"/>
            <w:tcMar>
              <w:top w:w="15" w:type="dxa"/>
              <w:left w:w="108" w:type="dxa"/>
              <w:bottom w:w="0" w:type="dxa"/>
              <w:right w:w="108" w:type="dxa"/>
            </w:tcMar>
            <w:vAlign w:val="center"/>
          </w:tcPr>
          <w:p w14:paraId="7DC2A68A" w14:textId="77777777" w:rsidR="00A651D8" w:rsidRPr="00E47369" w:rsidRDefault="000C1BF3" w:rsidP="00EB114B">
            <w:pPr>
              <w:jc w:val="center"/>
              <w:rPr>
                <w:rFonts w:cstheme="minorHAnsi"/>
                <w:bCs/>
                <w:sz w:val="20"/>
                <w:szCs w:val="20"/>
                <w:lang w:val="fr-FR"/>
              </w:rPr>
            </w:pPr>
            <w:r w:rsidRPr="00E47369">
              <w:rPr>
                <w:rFonts w:cstheme="minorHAnsi"/>
                <w:bCs/>
                <w:sz w:val="20"/>
                <w:szCs w:val="20"/>
              </w:rPr>
              <w:t>II.</w:t>
            </w:r>
            <w:r w:rsidR="00A651D8" w:rsidRPr="00E47369">
              <w:rPr>
                <w:rFonts w:cstheme="minorHAnsi"/>
                <w:bCs/>
                <w:sz w:val="20"/>
                <w:szCs w:val="20"/>
              </w:rPr>
              <w:t>3.1.</w:t>
            </w:r>
            <w:r w:rsidR="00A651D8" w:rsidRPr="00E47369">
              <w:rPr>
                <w:rFonts w:cstheme="minorHAnsi"/>
                <w:bCs/>
                <w:sz w:val="20"/>
                <w:szCs w:val="20"/>
                <w:lang w:val="fr-FR"/>
              </w:rPr>
              <w:t>4</w:t>
            </w:r>
          </w:p>
        </w:tc>
        <w:tc>
          <w:tcPr>
            <w:tcW w:w="3780" w:type="dxa"/>
            <w:tcBorders>
              <w:top w:val="single" w:sz="2" w:space="0" w:color="808080" w:themeColor="background1" w:themeShade="80"/>
              <w:left w:val="single" w:sz="12" w:space="0" w:color="auto"/>
              <w:bottom w:val="single" w:sz="2" w:space="0" w:color="808080" w:themeColor="background1" w:themeShade="80"/>
            </w:tcBorders>
            <w:shd w:val="clear" w:color="auto" w:fill="auto"/>
            <w:tcMar>
              <w:top w:w="15" w:type="dxa"/>
              <w:left w:w="108" w:type="dxa"/>
              <w:bottom w:w="0" w:type="dxa"/>
              <w:right w:w="108" w:type="dxa"/>
            </w:tcMar>
            <w:vAlign w:val="center"/>
          </w:tcPr>
          <w:p w14:paraId="2F7C088D" w14:textId="77777777" w:rsidR="00A651D8" w:rsidRPr="00E47369" w:rsidRDefault="00A651D8" w:rsidP="00EB114B">
            <w:pPr>
              <w:jc w:val="center"/>
              <w:rPr>
                <w:rFonts w:cstheme="minorHAnsi"/>
                <w:bCs/>
                <w:sz w:val="20"/>
                <w:szCs w:val="20"/>
                <w:lang w:val="fr-FR"/>
              </w:rPr>
            </w:pPr>
            <w:r w:rsidRPr="00E47369">
              <w:rPr>
                <w:rFonts w:cstheme="minorHAnsi"/>
                <w:noProof/>
                <w:sz w:val="20"/>
                <w:szCs w:val="20"/>
                <w:lang w:bidi="ar-SA"/>
              </w:rPr>
              <w:drawing>
                <wp:inline distT="0" distB="0" distL="0" distR="0" wp14:anchorId="77C5F84F" wp14:editId="00D3EE88">
                  <wp:extent cx="2051050" cy="30480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051050" cy="304800"/>
                          </a:xfrm>
                          <a:prstGeom prst="rect">
                            <a:avLst/>
                          </a:prstGeom>
                          <a:noFill/>
                          <a:ln>
                            <a:noFill/>
                          </a:ln>
                        </pic:spPr>
                      </pic:pic>
                    </a:graphicData>
                  </a:graphic>
                </wp:inline>
              </w:drawing>
            </w:r>
          </w:p>
        </w:tc>
        <w:tc>
          <w:tcPr>
            <w:tcW w:w="1260" w:type="dxa"/>
            <w:tcBorders>
              <w:top w:val="single" w:sz="2" w:space="0" w:color="808080" w:themeColor="background1" w:themeShade="80"/>
              <w:bottom w:val="single" w:sz="2" w:space="0" w:color="808080" w:themeColor="background1" w:themeShade="80"/>
            </w:tcBorders>
            <w:shd w:val="clear" w:color="auto" w:fill="auto"/>
            <w:tcMar>
              <w:top w:w="15" w:type="dxa"/>
              <w:left w:w="108" w:type="dxa"/>
              <w:bottom w:w="0" w:type="dxa"/>
              <w:right w:w="108" w:type="dxa"/>
            </w:tcMar>
            <w:vAlign w:val="center"/>
          </w:tcPr>
          <w:p w14:paraId="4460CBFC" w14:textId="77777777" w:rsidR="00A651D8" w:rsidRPr="00E47369" w:rsidRDefault="00A651D8" w:rsidP="00EB114B">
            <w:pPr>
              <w:jc w:val="center"/>
              <w:rPr>
                <w:rFonts w:cstheme="minorHAnsi"/>
                <w:bCs/>
                <w:sz w:val="20"/>
                <w:szCs w:val="20"/>
                <w:lang w:val="fr-FR"/>
              </w:rPr>
            </w:pPr>
            <w:r w:rsidRPr="00E47369">
              <w:rPr>
                <w:rFonts w:cstheme="minorHAnsi"/>
                <w:bCs/>
                <w:sz w:val="20"/>
                <w:szCs w:val="20"/>
                <w:lang w:val="fr-FR"/>
              </w:rPr>
              <w:t>C</w:t>
            </w:r>
          </w:p>
        </w:tc>
        <w:tc>
          <w:tcPr>
            <w:tcW w:w="1651" w:type="dxa"/>
            <w:tcBorders>
              <w:top w:val="single" w:sz="2" w:space="0" w:color="808080" w:themeColor="background1" w:themeShade="80"/>
              <w:left w:val="nil"/>
              <w:bottom w:val="single" w:sz="2" w:space="0" w:color="808080" w:themeColor="background1" w:themeShade="80"/>
              <w:right w:val="single" w:sz="2" w:space="0" w:color="FFFFFF" w:themeColor="background1"/>
            </w:tcBorders>
            <w:shd w:val="clear" w:color="auto" w:fill="auto"/>
            <w:tcMar>
              <w:top w:w="15" w:type="dxa"/>
              <w:left w:w="108" w:type="dxa"/>
              <w:bottom w:w="0" w:type="dxa"/>
              <w:right w:w="108" w:type="dxa"/>
            </w:tcMar>
            <w:vAlign w:val="center"/>
          </w:tcPr>
          <w:p w14:paraId="507E5651" w14:textId="77777777" w:rsidR="00A651D8" w:rsidRPr="00E47369" w:rsidRDefault="00A651D8" w:rsidP="00EB114B">
            <w:pPr>
              <w:pStyle w:val="NormalWeb"/>
              <w:spacing w:before="0" w:beforeAutospacing="0" w:after="0" w:afterAutospacing="0" w:line="480" w:lineRule="auto"/>
              <w:jc w:val="center"/>
              <w:rPr>
                <w:rFonts w:asciiTheme="minorHAnsi" w:hAnsiTheme="minorHAnsi" w:cstheme="minorHAnsi"/>
                <w:bCs/>
                <w:sz w:val="20"/>
                <w:szCs w:val="20"/>
                <w:lang w:val="fr-FR"/>
              </w:rPr>
            </w:pPr>
            <w:r w:rsidRPr="00E47369">
              <w:rPr>
                <w:rFonts w:asciiTheme="minorHAnsi" w:hAnsiTheme="minorHAnsi" w:cstheme="minorHAnsi"/>
                <w:bCs/>
                <w:sz w:val="20"/>
                <w:szCs w:val="20"/>
                <w:lang w:val="fr-FR"/>
              </w:rPr>
              <w:t>78/80</w:t>
            </w:r>
          </w:p>
        </w:tc>
      </w:tr>
      <w:tr w:rsidR="00A651D8" w:rsidRPr="00E47369" w14:paraId="2518B168" w14:textId="77777777" w:rsidTr="000C1BF3">
        <w:trPr>
          <w:trHeight w:val="576"/>
          <w:jc w:val="center"/>
        </w:trPr>
        <w:tc>
          <w:tcPr>
            <w:tcW w:w="962" w:type="dxa"/>
            <w:tcBorders>
              <w:top w:val="single" w:sz="2" w:space="0" w:color="808080" w:themeColor="background1" w:themeShade="80"/>
              <w:left w:val="single" w:sz="2" w:space="0" w:color="FFFFFF" w:themeColor="background1"/>
              <w:bottom w:val="single" w:sz="2" w:space="0" w:color="808080" w:themeColor="background1" w:themeShade="80"/>
              <w:right w:val="single" w:sz="12" w:space="0" w:color="auto"/>
            </w:tcBorders>
            <w:shd w:val="clear" w:color="auto" w:fill="auto"/>
            <w:tcMar>
              <w:top w:w="15" w:type="dxa"/>
              <w:left w:w="108" w:type="dxa"/>
              <w:bottom w:w="0" w:type="dxa"/>
              <w:right w:w="108" w:type="dxa"/>
            </w:tcMar>
            <w:vAlign w:val="center"/>
          </w:tcPr>
          <w:p w14:paraId="4BD5AC76" w14:textId="77777777" w:rsidR="00A651D8" w:rsidRPr="00E47369" w:rsidRDefault="000C1BF3" w:rsidP="00EB114B">
            <w:pPr>
              <w:jc w:val="center"/>
              <w:rPr>
                <w:rFonts w:cstheme="minorHAnsi"/>
                <w:bCs/>
                <w:sz w:val="20"/>
                <w:szCs w:val="20"/>
                <w:lang w:val="fr-FR"/>
              </w:rPr>
            </w:pPr>
            <w:r w:rsidRPr="00E47369">
              <w:rPr>
                <w:rFonts w:cstheme="minorHAnsi"/>
                <w:bCs/>
                <w:sz w:val="20"/>
                <w:szCs w:val="20"/>
              </w:rPr>
              <w:t>II.</w:t>
            </w:r>
            <w:r w:rsidR="00A651D8" w:rsidRPr="00E47369">
              <w:rPr>
                <w:rFonts w:cstheme="minorHAnsi"/>
                <w:bCs/>
                <w:sz w:val="20"/>
                <w:szCs w:val="20"/>
              </w:rPr>
              <w:t>3.1.</w:t>
            </w:r>
            <w:r w:rsidR="00A651D8" w:rsidRPr="00E47369">
              <w:rPr>
                <w:rFonts w:cstheme="minorHAnsi"/>
                <w:bCs/>
                <w:sz w:val="20"/>
                <w:szCs w:val="20"/>
                <w:lang w:val="fr-FR"/>
              </w:rPr>
              <w:t>5</w:t>
            </w:r>
          </w:p>
        </w:tc>
        <w:tc>
          <w:tcPr>
            <w:tcW w:w="3780" w:type="dxa"/>
            <w:tcBorders>
              <w:top w:val="single" w:sz="2" w:space="0" w:color="808080" w:themeColor="background1" w:themeShade="80"/>
              <w:left w:val="single" w:sz="12" w:space="0" w:color="auto"/>
              <w:bottom w:val="single" w:sz="2" w:space="0" w:color="808080" w:themeColor="background1" w:themeShade="80"/>
            </w:tcBorders>
            <w:shd w:val="clear" w:color="auto" w:fill="auto"/>
            <w:tcMar>
              <w:top w:w="15" w:type="dxa"/>
              <w:left w:w="108" w:type="dxa"/>
              <w:bottom w:w="0" w:type="dxa"/>
              <w:right w:w="108" w:type="dxa"/>
            </w:tcMar>
            <w:vAlign w:val="center"/>
          </w:tcPr>
          <w:p w14:paraId="5F46011C" w14:textId="77777777" w:rsidR="00A651D8" w:rsidRPr="00E47369" w:rsidRDefault="00A651D8" w:rsidP="00EB114B">
            <w:pPr>
              <w:jc w:val="center"/>
              <w:rPr>
                <w:rFonts w:cstheme="minorHAnsi"/>
                <w:bCs/>
                <w:sz w:val="20"/>
                <w:szCs w:val="20"/>
                <w:lang w:val="fr-FR"/>
              </w:rPr>
            </w:pPr>
            <w:r w:rsidRPr="00E47369">
              <w:rPr>
                <w:rFonts w:cstheme="minorHAnsi"/>
                <w:noProof/>
                <w:sz w:val="20"/>
                <w:szCs w:val="20"/>
                <w:lang w:bidi="ar-SA"/>
              </w:rPr>
              <w:drawing>
                <wp:inline distT="0" distB="0" distL="0" distR="0" wp14:anchorId="5D728663" wp14:editId="0D9A598A">
                  <wp:extent cx="2184400" cy="393700"/>
                  <wp:effectExtent l="0" t="0" r="635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184400" cy="393700"/>
                          </a:xfrm>
                          <a:prstGeom prst="rect">
                            <a:avLst/>
                          </a:prstGeom>
                          <a:noFill/>
                          <a:ln>
                            <a:noFill/>
                          </a:ln>
                        </pic:spPr>
                      </pic:pic>
                    </a:graphicData>
                  </a:graphic>
                </wp:inline>
              </w:drawing>
            </w:r>
          </w:p>
        </w:tc>
        <w:tc>
          <w:tcPr>
            <w:tcW w:w="1260" w:type="dxa"/>
            <w:tcBorders>
              <w:top w:val="single" w:sz="2" w:space="0" w:color="808080" w:themeColor="background1" w:themeShade="80"/>
              <w:bottom w:val="single" w:sz="2" w:space="0" w:color="808080" w:themeColor="background1" w:themeShade="80"/>
            </w:tcBorders>
            <w:shd w:val="clear" w:color="auto" w:fill="auto"/>
            <w:tcMar>
              <w:top w:w="15" w:type="dxa"/>
              <w:left w:w="108" w:type="dxa"/>
              <w:bottom w:w="0" w:type="dxa"/>
              <w:right w:w="108" w:type="dxa"/>
            </w:tcMar>
            <w:vAlign w:val="center"/>
          </w:tcPr>
          <w:p w14:paraId="1BA56BA3" w14:textId="77777777" w:rsidR="00A651D8" w:rsidRPr="00E47369" w:rsidRDefault="00A651D8" w:rsidP="00EB114B">
            <w:pPr>
              <w:jc w:val="center"/>
              <w:rPr>
                <w:rFonts w:cstheme="minorHAnsi"/>
                <w:bCs/>
                <w:sz w:val="20"/>
                <w:szCs w:val="20"/>
                <w:lang w:val="fr-FR"/>
              </w:rPr>
            </w:pPr>
            <w:r w:rsidRPr="00E47369">
              <w:rPr>
                <w:rFonts w:cstheme="minorHAnsi"/>
                <w:bCs/>
                <w:sz w:val="20"/>
                <w:szCs w:val="20"/>
                <w:lang w:val="fr-FR"/>
              </w:rPr>
              <w:t>C</w:t>
            </w:r>
          </w:p>
        </w:tc>
        <w:tc>
          <w:tcPr>
            <w:tcW w:w="1651" w:type="dxa"/>
            <w:tcBorders>
              <w:top w:val="single" w:sz="2" w:space="0" w:color="808080" w:themeColor="background1" w:themeShade="80"/>
              <w:left w:val="nil"/>
              <w:bottom w:val="single" w:sz="2" w:space="0" w:color="808080" w:themeColor="background1" w:themeShade="80"/>
              <w:right w:val="single" w:sz="2" w:space="0" w:color="FFFFFF" w:themeColor="background1"/>
            </w:tcBorders>
            <w:shd w:val="clear" w:color="auto" w:fill="auto"/>
            <w:tcMar>
              <w:top w:w="15" w:type="dxa"/>
              <w:left w:w="108" w:type="dxa"/>
              <w:bottom w:w="0" w:type="dxa"/>
              <w:right w:w="108" w:type="dxa"/>
            </w:tcMar>
            <w:vAlign w:val="center"/>
          </w:tcPr>
          <w:p w14:paraId="341F053D" w14:textId="77777777" w:rsidR="00A651D8" w:rsidRPr="00E47369" w:rsidRDefault="00A651D8" w:rsidP="00EB114B">
            <w:pPr>
              <w:pStyle w:val="NormalWeb"/>
              <w:spacing w:before="0" w:beforeAutospacing="0" w:after="0" w:afterAutospacing="0" w:line="480" w:lineRule="auto"/>
              <w:jc w:val="center"/>
              <w:rPr>
                <w:rFonts w:asciiTheme="minorHAnsi" w:hAnsiTheme="minorHAnsi" w:cstheme="minorHAnsi"/>
                <w:bCs/>
                <w:sz w:val="20"/>
                <w:szCs w:val="20"/>
                <w:lang w:val="fr-FR"/>
              </w:rPr>
            </w:pPr>
            <w:r w:rsidRPr="00E47369">
              <w:rPr>
                <w:rFonts w:asciiTheme="minorHAnsi" w:hAnsiTheme="minorHAnsi" w:cstheme="minorHAnsi"/>
                <w:bCs/>
                <w:sz w:val="20"/>
                <w:szCs w:val="20"/>
                <w:lang w:val="fr-FR"/>
              </w:rPr>
              <w:t>80/56</w:t>
            </w:r>
          </w:p>
        </w:tc>
      </w:tr>
      <w:tr w:rsidR="00A651D8" w:rsidRPr="00E47369" w14:paraId="698E5BF5" w14:textId="77777777" w:rsidTr="000C1BF3">
        <w:trPr>
          <w:trHeight w:val="576"/>
          <w:jc w:val="center"/>
        </w:trPr>
        <w:tc>
          <w:tcPr>
            <w:tcW w:w="962" w:type="dxa"/>
            <w:tcBorders>
              <w:top w:val="single" w:sz="2" w:space="0" w:color="808080" w:themeColor="background1" w:themeShade="80"/>
              <w:left w:val="single" w:sz="2" w:space="0" w:color="FFFFFF" w:themeColor="background1"/>
              <w:bottom w:val="single" w:sz="2" w:space="0" w:color="808080" w:themeColor="background1" w:themeShade="80"/>
              <w:right w:val="single" w:sz="12" w:space="0" w:color="auto"/>
            </w:tcBorders>
            <w:shd w:val="clear" w:color="auto" w:fill="auto"/>
            <w:tcMar>
              <w:top w:w="15" w:type="dxa"/>
              <w:left w:w="108" w:type="dxa"/>
              <w:bottom w:w="0" w:type="dxa"/>
              <w:right w:w="108" w:type="dxa"/>
            </w:tcMar>
            <w:vAlign w:val="center"/>
          </w:tcPr>
          <w:p w14:paraId="3F5A97C2" w14:textId="77777777" w:rsidR="00A651D8" w:rsidRPr="00E47369" w:rsidRDefault="000C1BF3" w:rsidP="00EB114B">
            <w:pPr>
              <w:jc w:val="center"/>
              <w:rPr>
                <w:rFonts w:cstheme="minorHAnsi"/>
                <w:bCs/>
                <w:sz w:val="20"/>
                <w:szCs w:val="20"/>
                <w:lang w:val="fr-FR"/>
              </w:rPr>
            </w:pPr>
            <w:r w:rsidRPr="00E47369">
              <w:rPr>
                <w:rFonts w:cstheme="minorHAnsi"/>
                <w:bCs/>
                <w:sz w:val="20"/>
                <w:szCs w:val="20"/>
              </w:rPr>
              <w:t>II.</w:t>
            </w:r>
            <w:r w:rsidR="00A651D8" w:rsidRPr="00E47369">
              <w:rPr>
                <w:rFonts w:cstheme="minorHAnsi"/>
                <w:bCs/>
                <w:sz w:val="20"/>
                <w:szCs w:val="20"/>
              </w:rPr>
              <w:t>3.1.</w:t>
            </w:r>
            <w:r w:rsidR="00A651D8" w:rsidRPr="00E47369">
              <w:rPr>
                <w:rFonts w:cstheme="minorHAnsi"/>
                <w:bCs/>
                <w:sz w:val="20"/>
                <w:szCs w:val="20"/>
                <w:lang w:val="fr-FR"/>
              </w:rPr>
              <w:t>6</w:t>
            </w:r>
          </w:p>
        </w:tc>
        <w:tc>
          <w:tcPr>
            <w:tcW w:w="3780" w:type="dxa"/>
            <w:tcBorders>
              <w:top w:val="single" w:sz="2" w:space="0" w:color="808080" w:themeColor="background1" w:themeShade="80"/>
              <w:left w:val="single" w:sz="12" w:space="0" w:color="auto"/>
              <w:bottom w:val="single" w:sz="2" w:space="0" w:color="808080" w:themeColor="background1" w:themeShade="80"/>
            </w:tcBorders>
            <w:shd w:val="clear" w:color="auto" w:fill="auto"/>
            <w:tcMar>
              <w:top w:w="15" w:type="dxa"/>
              <w:left w:w="108" w:type="dxa"/>
              <w:bottom w:w="0" w:type="dxa"/>
              <w:right w:w="108" w:type="dxa"/>
            </w:tcMar>
            <w:vAlign w:val="center"/>
          </w:tcPr>
          <w:p w14:paraId="117CB111" w14:textId="77777777" w:rsidR="00A651D8" w:rsidRPr="00E47369" w:rsidRDefault="00A651D8" w:rsidP="00EB114B">
            <w:pPr>
              <w:jc w:val="center"/>
              <w:rPr>
                <w:rFonts w:cstheme="minorHAnsi"/>
                <w:bCs/>
                <w:sz w:val="20"/>
                <w:szCs w:val="20"/>
                <w:lang w:val="fr-FR"/>
              </w:rPr>
            </w:pPr>
            <w:r w:rsidRPr="00E47369">
              <w:rPr>
                <w:rFonts w:cstheme="minorHAnsi"/>
                <w:noProof/>
                <w:sz w:val="20"/>
                <w:szCs w:val="20"/>
                <w:lang w:bidi="ar-SA"/>
              </w:rPr>
              <w:drawing>
                <wp:inline distT="0" distB="0" distL="0" distR="0" wp14:anchorId="7569AC57" wp14:editId="7205820F">
                  <wp:extent cx="1987550" cy="4191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987550" cy="419100"/>
                          </a:xfrm>
                          <a:prstGeom prst="rect">
                            <a:avLst/>
                          </a:prstGeom>
                          <a:noFill/>
                          <a:ln>
                            <a:noFill/>
                          </a:ln>
                        </pic:spPr>
                      </pic:pic>
                    </a:graphicData>
                  </a:graphic>
                </wp:inline>
              </w:drawing>
            </w:r>
          </w:p>
        </w:tc>
        <w:tc>
          <w:tcPr>
            <w:tcW w:w="1260" w:type="dxa"/>
            <w:tcBorders>
              <w:top w:val="single" w:sz="2" w:space="0" w:color="808080" w:themeColor="background1" w:themeShade="80"/>
              <w:bottom w:val="single" w:sz="2" w:space="0" w:color="808080" w:themeColor="background1" w:themeShade="80"/>
            </w:tcBorders>
            <w:shd w:val="clear" w:color="auto" w:fill="auto"/>
            <w:tcMar>
              <w:top w:w="15" w:type="dxa"/>
              <w:left w:w="108" w:type="dxa"/>
              <w:bottom w:w="0" w:type="dxa"/>
              <w:right w:w="108" w:type="dxa"/>
            </w:tcMar>
            <w:vAlign w:val="center"/>
          </w:tcPr>
          <w:p w14:paraId="77A18681" w14:textId="77777777" w:rsidR="00A651D8" w:rsidRPr="00E47369" w:rsidRDefault="00A651D8" w:rsidP="00EB114B">
            <w:pPr>
              <w:jc w:val="center"/>
              <w:rPr>
                <w:rFonts w:cstheme="minorHAnsi"/>
                <w:bCs/>
                <w:sz w:val="20"/>
                <w:szCs w:val="20"/>
                <w:lang w:val="fr-FR"/>
              </w:rPr>
            </w:pPr>
            <w:r w:rsidRPr="00E47369">
              <w:rPr>
                <w:rFonts w:cstheme="minorHAnsi"/>
                <w:bCs/>
                <w:sz w:val="20"/>
                <w:szCs w:val="20"/>
                <w:lang w:val="fr-FR"/>
              </w:rPr>
              <w:t>C</w:t>
            </w:r>
          </w:p>
        </w:tc>
        <w:tc>
          <w:tcPr>
            <w:tcW w:w="1651" w:type="dxa"/>
            <w:tcBorders>
              <w:top w:val="single" w:sz="2" w:space="0" w:color="808080" w:themeColor="background1" w:themeShade="80"/>
              <w:left w:val="nil"/>
              <w:bottom w:val="single" w:sz="2" w:space="0" w:color="808080" w:themeColor="background1" w:themeShade="80"/>
              <w:right w:val="single" w:sz="2" w:space="0" w:color="FFFFFF" w:themeColor="background1"/>
            </w:tcBorders>
            <w:shd w:val="clear" w:color="auto" w:fill="auto"/>
            <w:tcMar>
              <w:top w:w="15" w:type="dxa"/>
              <w:left w:w="108" w:type="dxa"/>
              <w:bottom w:w="0" w:type="dxa"/>
              <w:right w:w="108" w:type="dxa"/>
            </w:tcMar>
            <w:vAlign w:val="center"/>
          </w:tcPr>
          <w:p w14:paraId="0AB1FEF3" w14:textId="77777777" w:rsidR="00A651D8" w:rsidRPr="00E47369" w:rsidRDefault="00A651D8" w:rsidP="00EB114B">
            <w:pPr>
              <w:pStyle w:val="NormalWeb"/>
              <w:spacing w:before="0" w:beforeAutospacing="0" w:after="0" w:afterAutospacing="0" w:line="480" w:lineRule="auto"/>
              <w:jc w:val="center"/>
              <w:rPr>
                <w:rFonts w:asciiTheme="minorHAnsi" w:hAnsiTheme="minorHAnsi" w:cstheme="minorHAnsi"/>
                <w:bCs/>
                <w:sz w:val="20"/>
                <w:szCs w:val="20"/>
                <w:lang w:val="fr-FR"/>
              </w:rPr>
            </w:pPr>
            <w:r w:rsidRPr="00E47369">
              <w:rPr>
                <w:rFonts w:asciiTheme="minorHAnsi" w:hAnsiTheme="minorHAnsi" w:cstheme="minorHAnsi"/>
                <w:bCs/>
                <w:sz w:val="20"/>
                <w:szCs w:val="20"/>
                <w:lang w:val="fr-FR"/>
              </w:rPr>
              <w:t>43/61</w:t>
            </w:r>
          </w:p>
        </w:tc>
      </w:tr>
      <w:tr w:rsidR="00A651D8" w:rsidRPr="00E47369" w14:paraId="0C12DC6A" w14:textId="77777777" w:rsidTr="000C1BF3">
        <w:trPr>
          <w:trHeight w:val="576"/>
          <w:jc w:val="center"/>
        </w:trPr>
        <w:tc>
          <w:tcPr>
            <w:tcW w:w="962" w:type="dxa"/>
            <w:tcBorders>
              <w:top w:val="single" w:sz="2" w:space="0" w:color="808080" w:themeColor="background1" w:themeShade="80"/>
              <w:left w:val="single" w:sz="2" w:space="0" w:color="FFFFFF" w:themeColor="background1"/>
              <w:bottom w:val="single" w:sz="2" w:space="0" w:color="808080" w:themeColor="background1" w:themeShade="80"/>
              <w:right w:val="single" w:sz="12" w:space="0" w:color="auto"/>
            </w:tcBorders>
            <w:shd w:val="clear" w:color="auto" w:fill="auto"/>
            <w:tcMar>
              <w:top w:w="15" w:type="dxa"/>
              <w:left w:w="108" w:type="dxa"/>
              <w:bottom w:w="0" w:type="dxa"/>
              <w:right w:w="108" w:type="dxa"/>
            </w:tcMar>
            <w:vAlign w:val="center"/>
          </w:tcPr>
          <w:p w14:paraId="156AC23D" w14:textId="77777777" w:rsidR="00A651D8" w:rsidRPr="00E47369" w:rsidRDefault="000C1BF3" w:rsidP="00EB114B">
            <w:pPr>
              <w:jc w:val="center"/>
              <w:rPr>
                <w:rFonts w:cstheme="minorHAnsi"/>
                <w:bCs/>
                <w:sz w:val="20"/>
                <w:szCs w:val="20"/>
                <w:lang w:val="fr-FR"/>
              </w:rPr>
            </w:pPr>
            <w:r w:rsidRPr="00E47369">
              <w:rPr>
                <w:rFonts w:cstheme="minorHAnsi"/>
                <w:bCs/>
                <w:sz w:val="20"/>
                <w:szCs w:val="20"/>
              </w:rPr>
              <w:t>II.</w:t>
            </w:r>
            <w:r w:rsidR="00A651D8" w:rsidRPr="00E47369">
              <w:rPr>
                <w:rFonts w:cstheme="minorHAnsi"/>
                <w:bCs/>
                <w:sz w:val="20"/>
                <w:szCs w:val="20"/>
              </w:rPr>
              <w:t>3.1.</w:t>
            </w:r>
            <w:r w:rsidR="00A651D8" w:rsidRPr="00E47369">
              <w:rPr>
                <w:rFonts w:cstheme="minorHAnsi"/>
                <w:bCs/>
                <w:sz w:val="20"/>
                <w:szCs w:val="20"/>
                <w:lang w:val="fr-FR"/>
              </w:rPr>
              <w:t>7</w:t>
            </w:r>
          </w:p>
        </w:tc>
        <w:tc>
          <w:tcPr>
            <w:tcW w:w="3780" w:type="dxa"/>
            <w:tcBorders>
              <w:top w:val="single" w:sz="2" w:space="0" w:color="808080" w:themeColor="background1" w:themeShade="80"/>
              <w:left w:val="single" w:sz="12" w:space="0" w:color="auto"/>
              <w:bottom w:val="single" w:sz="2" w:space="0" w:color="808080" w:themeColor="background1" w:themeShade="80"/>
            </w:tcBorders>
            <w:shd w:val="clear" w:color="auto" w:fill="auto"/>
            <w:tcMar>
              <w:top w:w="15" w:type="dxa"/>
              <w:left w:w="108" w:type="dxa"/>
              <w:bottom w:w="0" w:type="dxa"/>
              <w:right w:w="108" w:type="dxa"/>
            </w:tcMar>
            <w:vAlign w:val="center"/>
          </w:tcPr>
          <w:p w14:paraId="3BAA57C8" w14:textId="77777777" w:rsidR="00A651D8" w:rsidRPr="00E47369" w:rsidRDefault="00A651D8" w:rsidP="00EB114B">
            <w:pPr>
              <w:jc w:val="center"/>
              <w:rPr>
                <w:rFonts w:cstheme="minorHAnsi"/>
                <w:bCs/>
                <w:sz w:val="20"/>
                <w:szCs w:val="20"/>
                <w:lang w:val="fr-FR"/>
              </w:rPr>
            </w:pPr>
            <w:r w:rsidRPr="00E47369">
              <w:rPr>
                <w:rFonts w:cstheme="minorHAnsi"/>
                <w:noProof/>
                <w:sz w:val="20"/>
                <w:szCs w:val="20"/>
                <w:lang w:bidi="ar-SA"/>
              </w:rPr>
              <w:drawing>
                <wp:inline distT="0" distB="0" distL="0" distR="0" wp14:anchorId="585B6E69" wp14:editId="46A7A0D0">
                  <wp:extent cx="2108200" cy="3937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108200" cy="393700"/>
                          </a:xfrm>
                          <a:prstGeom prst="rect">
                            <a:avLst/>
                          </a:prstGeom>
                          <a:noFill/>
                          <a:ln>
                            <a:noFill/>
                          </a:ln>
                        </pic:spPr>
                      </pic:pic>
                    </a:graphicData>
                  </a:graphic>
                </wp:inline>
              </w:drawing>
            </w:r>
          </w:p>
        </w:tc>
        <w:tc>
          <w:tcPr>
            <w:tcW w:w="1260" w:type="dxa"/>
            <w:tcBorders>
              <w:top w:val="single" w:sz="2" w:space="0" w:color="808080" w:themeColor="background1" w:themeShade="80"/>
              <w:bottom w:val="single" w:sz="2" w:space="0" w:color="808080" w:themeColor="background1" w:themeShade="80"/>
            </w:tcBorders>
            <w:shd w:val="clear" w:color="auto" w:fill="auto"/>
            <w:tcMar>
              <w:top w:w="15" w:type="dxa"/>
              <w:left w:w="108" w:type="dxa"/>
              <w:bottom w:w="0" w:type="dxa"/>
              <w:right w:w="108" w:type="dxa"/>
            </w:tcMar>
            <w:vAlign w:val="center"/>
          </w:tcPr>
          <w:p w14:paraId="10F66149" w14:textId="77777777" w:rsidR="00A651D8" w:rsidRPr="00E47369" w:rsidRDefault="00A651D8" w:rsidP="00EB114B">
            <w:pPr>
              <w:jc w:val="center"/>
              <w:rPr>
                <w:rFonts w:cstheme="minorHAnsi"/>
                <w:bCs/>
                <w:sz w:val="20"/>
                <w:szCs w:val="20"/>
                <w:lang w:val="fr-FR"/>
              </w:rPr>
            </w:pPr>
            <w:r w:rsidRPr="00E47369">
              <w:rPr>
                <w:rFonts w:cstheme="minorHAnsi"/>
                <w:bCs/>
                <w:sz w:val="20"/>
                <w:szCs w:val="20"/>
                <w:lang w:val="fr-FR"/>
              </w:rPr>
              <w:t>B</w:t>
            </w:r>
          </w:p>
        </w:tc>
        <w:tc>
          <w:tcPr>
            <w:tcW w:w="1651" w:type="dxa"/>
            <w:tcBorders>
              <w:top w:val="single" w:sz="2" w:space="0" w:color="808080" w:themeColor="background1" w:themeShade="80"/>
              <w:left w:val="nil"/>
              <w:bottom w:val="single" w:sz="2" w:space="0" w:color="808080" w:themeColor="background1" w:themeShade="80"/>
              <w:right w:val="single" w:sz="2" w:space="0" w:color="FFFFFF" w:themeColor="background1"/>
            </w:tcBorders>
            <w:shd w:val="clear" w:color="auto" w:fill="auto"/>
            <w:tcMar>
              <w:top w:w="15" w:type="dxa"/>
              <w:left w:w="108" w:type="dxa"/>
              <w:bottom w:w="0" w:type="dxa"/>
              <w:right w:w="108" w:type="dxa"/>
            </w:tcMar>
            <w:vAlign w:val="center"/>
          </w:tcPr>
          <w:p w14:paraId="56FEE7E3" w14:textId="77777777" w:rsidR="00A651D8" w:rsidRPr="00E47369" w:rsidRDefault="00A651D8" w:rsidP="00EB114B">
            <w:pPr>
              <w:pStyle w:val="NormalWeb"/>
              <w:spacing w:before="0" w:beforeAutospacing="0" w:after="0" w:afterAutospacing="0" w:line="480" w:lineRule="auto"/>
              <w:jc w:val="center"/>
              <w:rPr>
                <w:rFonts w:asciiTheme="minorHAnsi" w:hAnsiTheme="minorHAnsi" w:cstheme="minorHAnsi"/>
                <w:bCs/>
                <w:sz w:val="20"/>
                <w:szCs w:val="20"/>
                <w:lang w:val="fr-FR"/>
              </w:rPr>
            </w:pPr>
            <w:r w:rsidRPr="00E47369">
              <w:rPr>
                <w:rFonts w:asciiTheme="minorHAnsi" w:hAnsiTheme="minorHAnsi" w:cstheme="minorHAnsi"/>
                <w:bCs/>
                <w:sz w:val="20"/>
                <w:szCs w:val="20"/>
                <w:lang w:val="fr-FR"/>
              </w:rPr>
              <w:t>56/55</w:t>
            </w:r>
          </w:p>
        </w:tc>
      </w:tr>
      <w:tr w:rsidR="00A651D8" w:rsidRPr="00E47369" w14:paraId="15763F5C" w14:textId="77777777" w:rsidTr="000C1BF3">
        <w:trPr>
          <w:trHeight w:val="576"/>
          <w:jc w:val="center"/>
        </w:trPr>
        <w:tc>
          <w:tcPr>
            <w:tcW w:w="962" w:type="dxa"/>
            <w:tcBorders>
              <w:top w:val="single" w:sz="2" w:space="0" w:color="808080" w:themeColor="background1" w:themeShade="80"/>
              <w:left w:val="single" w:sz="2" w:space="0" w:color="FFFFFF" w:themeColor="background1"/>
              <w:bottom w:val="single" w:sz="2" w:space="0" w:color="808080" w:themeColor="background1" w:themeShade="80"/>
              <w:right w:val="single" w:sz="12" w:space="0" w:color="auto"/>
            </w:tcBorders>
            <w:shd w:val="clear" w:color="auto" w:fill="auto"/>
            <w:tcMar>
              <w:top w:w="15" w:type="dxa"/>
              <w:left w:w="108" w:type="dxa"/>
              <w:bottom w:w="0" w:type="dxa"/>
              <w:right w:w="108" w:type="dxa"/>
            </w:tcMar>
            <w:vAlign w:val="center"/>
          </w:tcPr>
          <w:p w14:paraId="4A9E8608" w14:textId="77777777" w:rsidR="00A651D8" w:rsidRPr="00E47369" w:rsidRDefault="000C1BF3" w:rsidP="00EB114B">
            <w:pPr>
              <w:jc w:val="center"/>
              <w:rPr>
                <w:rFonts w:cstheme="minorHAnsi"/>
                <w:bCs/>
                <w:sz w:val="20"/>
                <w:szCs w:val="20"/>
                <w:lang w:val="fr-FR"/>
              </w:rPr>
            </w:pPr>
            <w:r w:rsidRPr="00E47369">
              <w:rPr>
                <w:rFonts w:cstheme="minorHAnsi"/>
                <w:bCs/>
                <w:sz w:val="20"/>
                <w:szCs w:val="20"/>
                <w:lang w:val="fr-FR"/>
              </w:rPr>
              <w:t>II.</w:t>
            </w:r>
            <w:r w:rsidR="00A651D8" w:rsidRPr="00E47369">
              <w:rPr>
                <w:rFonts w:cstheme="minorHAnsi"/>
                <w:bCs/>
                <w:sz w:val="20"/>
                <w:szCs w:val="20"/>
                <w:lang w:val="fr-FR"/>
              </w:rPr>
              <w:t>3.1.8</w:t>
            </w:r>
          </w:p>
        </w:tc>
        <w:tc>
          <w:tcPr>
            <w:tcW w:w="3780" w:type="dxa"/>
            <w:tcBorders>
              <w:top w:val="single" w:sz="2" w:space="0" w:color="808080" w:themeColor="background1" w:themeShade="80"/>
              <w:left w:val="single" w:sz="12" w:space="0" w:color="auto"/>
              <w:bottom w:val="single" w:sz="2" w:space="0" w:color="808080" w:themeColor="background1" w:themeShade="80"/>
            </w:tcBorders>
            <w:shd w:val="clear" w:color="auto" w:fill="auto"/>
            <w:tcMar>
              <w:top w:w="15" w:type="dxa"/>
              <w:left w:w="108" w:type="dxa"/>
              <w:bottom w:w="0" w:type="dxa"/>
              <w:right w:w="108" w:type="dxa"/>
            </w:tcMar>
            <w:vAlign w:val="center"/>
          </w:tcPr>
          <w:p w14:paraId="3E88AB3C" w14:textId="77777777" w:rsidR="00A651D8" w:rsidRPr="00E47369" w:rsidRDefault="00A651D8" w:rsidP="00EB114B">
            <w:pPr>
              <w:jc w:val="center"/>
              <w:rPr>
                <w:rFonts w:cstheme="minorHAnsi"/>
                <w:bCs/>
                <w:sz w:val="20"/>
                <w:szCs w:val="20"/>
                <w:lang w:val="fr-FR"/>
              </w:rPr>
            </w:pPr>
            <w:r w:rsidRPr="00E47369">
              <w:rPr>
                <w:rFonts w:cstheme="minorHAnsi"/>
                <w:noProof/>
                <w:sz w:val="20"/>
                <w:szCs w:val="20"/>
                <w:lang w:bidi="ar-SA"/>
              </w:rPr>
              <w:drawing>
                <wp:inline distT="0" distB="0" distL="0" distR="0" wp14:anchorId="27D13045" wp14:editId="1F357F57">
                  <wp:extent cx="1860550" cy="393700"/>
                  <wp:effectExtent l="0" t="0" r="635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860550" cy="393700"/>
                          </a:xfrm>
                          <a:prstGeom prst="rect">
                            <a:avLst/>
                          </a:prstGeom>
                          <a:noFill/>
                          <a:ln>
                            <a:noFill/>
                          </a:ln>
                        </pic:spPr>
                      </pic:pic>
                    </a:graphicData>
                  </a:graphic>
                </wp:inline>
              </w:drawing>
            </w:r>
          </w:p>
        </w:tc>
        <w:tc>
          <w:tcPr>
            <w:tcW w:w="1260" w:type="dxa"/>
            <w:tcBorders>
              <w:top w:val="single" w:sz="2" w:space="0" w:color="808080" w:themeColor="background1" w:themeShade="80"/>
              <w:bottom w:val="single" w:sz="2" w:space="0" w:color="808080" w:themeColor="background1" w:themeShade="80"/>
            </w:tcBorders>
            <w:shd w:val="clear" w:color="auto" w:fill="auto"/>
            <w:tcMar>
              <w:top w:w="15" w:type="dxa"/>
              <w:left w:w="108" w:type="dxa"/>
              <w:bottom w:w="0" w:type="dxa"/>
              <w:right w:w="108" w:type="dxa"/>
            </w:tcMar>
            <w:vAlign w:val="center"/>
          </w:tcPr>
          <w:p w14:paraId="1C1DFDD5" w14:textId="77777777" w:rsidR="00A651D8" w:rsidRPr="00E47369" w:rsidRDefault="00A651D8" w:rsidP="00EB114B">
            <w:pPr>
              <w:jc w:val="center"/>
              <w:rPr>
                <w:rFonts w:cstheme="minorHAnsi"/>
                <w:bCs/>
                <w:sz w:val="20"/>
                <w:szCs w:val="20"/>
                <w:lang w:val="fr-FR"/>
              </w:rPr>
            </w:pPr>
            <w:r w:rsidRPr="00E47369">
              <w:rPr>
                <w:rFonts w:cstheme="minorHAnsi"/>
                <w:bCs/>
                <w:sz w:val="20"/>
                <w:szCs w:val="20"/>
                <w:lang w:val="fr-FR"/>
              </w:rPr>
              <w:t>C</w:t>
            </w:r>
          </w:p>
        </w:tc>
        <w:tc>
          <w:tcPr>
            <w:tcW w:w="1651" w:type="dxa"/>
            <w:tcBorders>
              <w:top w:val="single" w:sz="2" w:space="0" w:color="808080" w:themeColor="background1" w:themeShade="80"/>
              <w:left w:val="nil"/>
              <w:bottom w:val="single" w:sz="2" w:space="0" w:color="808080" w:themeColor="background1" w:themeShade="80"/>
              <w:right w:val="single" w:sz="2" w:space="0" w:color="FFFFFF" w:themeColor="background1"/>
            </w:tcBorders>
            <w:shd w:val="clear" w:color="auto" w:fill="auto"/>
            <w:tcMar>
              <w:top w:w="15" w:type="dxa"/>
              <w:left w:w="108" w:type="dxa"/>
              <w:bottom w:w="0" w:type="dxa"/>
              <w:right w:w="108" w:type="dxa"/>
            </w:tcMar>
            <w:vAlign w:val="center"/>
          </w:tcPr>
          <w:p w14:paraId="459F9079" w14:textId="77777777" w:rsidR="00A651D8" w:rsidRPr="00E47369" w:rsidRDefault="00A651D8" w:rsidP="00EB114B">
            <w:pPr>
              <w:pStyle w:val="NormalWeb"/>
              <w:spacing w:before="0" w:beforeAutospacing="0" w:after="0" w:afterAutospacing="0" w:line="480" w:lineRule="auto"/>
              <w:jc w:val="center"/>
              <w:rPr>
                <w:rFonts w:asciiTheme="minorHAnsi" w:hAnsiTheme="minorHAnsi" w:cstheme="minorHAnsi"/>
                <w:bCs/>
                <w:sz w:val="20"/>
                <w:szCs w:val="20"/>
                <w:lang w:val="fr-FR"/>
              </w:rPr>
            </w:pPr>
            <w:r w:rsidRPr="00E47369">
              <w:rPr>
                <w:rFonts w:asciiTheme="minorHAnsi" w:hAnsiTheme="minorHAnsi" w:cstheme="minorHAnsi"/>
                <w:bCs/>
                <w:sz w:val="20"/>
                <w:szCs w:val="20"/>
                <w:lang w:val="fr-FR"/>
              </w:rPr>
              <w:t>35/64</w:t>
            </w:r>
          </w:p>
        </w:tc>
      </w:tr>
      <w:tr w:rsidR="00A651D8" w:rsidRPr="00E47369" w14:paraId="06C9E5CF" w14:textId="77777777" w:rsidTr="000C1BF3">
        <w:trPr>
          <w:trHeight w:val="576"/>
          <w:jc w:val="center"/>
        </w:trPr>
        <w:tc>
          <w:tcPr>
            <w:tcW w:w="962" w:type="dxa"/>
            <w:tcBorders>
              <w:top w:val="single" w:sz="2" w:space="0" w:color="808080" w:themeColor="background1" w:themeShade="80"/>
              <w:left w:val="single" w:sz="2" w:space="0" w:color="FFFFFF" w:themeColor="background1"/>
              <w:bottom w:val="single" w:sz="2" w:space="0" w:color="808080" w:themeColor="background1" w:themeShade="80"/>
              <w:right w:val="single" w:sz="12" w:space="0" w:color="auto"/>
            </w:tcBorders>
            <w:shd w:val="clear" w:color="auto" w:fill="auto"/>
            <w:tcMar>
              <w:top w:w="15" w:type="dxa"/>
              <w:left w:w="108" w:type="dxa"/>
              <w:bottom w:w="0" w:type="dxa"/>
              <w:right w:w="108" w:type="dxa"/>
            </w:tcMar>
            <w:vAlign w:val="center"/>
          </w:tcPr>
          <w:p w14:paraId="7469783F" w14:textId="77777777" w:rsidR="00A651D8" w:rsidRPr="00E47369" w:rsidRDefault="000C1BF3" w:rsidP="00EB114B">
            <w:pPr>
              <w:jc w:val="center"/>
              <w:rPr>
                <w:rFonts w:cstheme="minorHAnsi"/>
                <w:bCs/>
                <w:sz w:val="20"/>
                <w:szCs w:val="20"/>
                <w:lang w:val="fr-FR"/>
              </w:rPr>
            </w:pPr>
            <w:r w:rsidRPr="00E47369">
              <w:rPr>
                <w:rFonts w:cstheme="minorHAnsi"/>
                <w:bCs/>
                <w:sz w:val="20"/>
                <w:szCs w:val="20"/>
                <w:lang w:val="fr-FR"/>
              </w:rPr>
              <w:t>II.</w:t>
            </w:r>
            <w:r w:rsidR="00A651D8" w:rsidRPr="00E47369">
              <w:rPr>
                <w:rFonts w:cstheme="minorHAnsi"/>
                <w:bCs/>
                <w:sz w:val="20"/>
                <w:szCs w:val="20"/>
                <w:lang w:val="fr-FR"/>
              </w:rPr>
              <w:t>3.1.9</w:t>
            </w:r>
          </w:p>
        </w:tc>
        <w:tc>
          <w:tcPr>
            <w:tcW w:w="3780" w:type="dxa"/>
            <w:tcBorders>
              <w:top w:val="single" w:sz="2" w:space="0" w:color="808080" w:themeColor="background1" w:themeShade="80"/>
              <w:left w:val="single" w:sz="12" w:space="0" w:color="auto"/>
              <w:bottom w:val="single" w:sz="2" w:space="0" w:color="808080" w:themeColor="background1" w:themeShade="80"/>
            </w:tcBorders>
            <w:shd w:val="clear" w:color="auto" w:fill="auto"/>
            <w:tcMar>
              <w:top w:w="15" w:type="dxa"/>
              <w:left w:w="108" w:type="dxa"/>
              <w:bottom w:w="0" w:type="dxa"/>
              <w:right w:w="108" w:type="dxa"/>
            </w:tcMar>
            <w:vAlign w:val="center"/>
          </w:tcPr>
          <w:p w14:paraId="0D370233" w14:textId="77777777" w:rsidR="00A651D8" w:rsidRPr="00E47369" w:rsidRDefault="00A651D8" w:rsidP="00EB114B">
            <w:pPr>
              <w:jc w:val="center"/>
              <w:rPr>
                <w:rFonts w:cstheme="minorHAnsi"/>
                <w:bCs/>
                <w:sz w:val="20"/>
                <w:szCs w:val="20"/>
                <w:lang w:val="fr-FR"/>
              </w:rPr>
            </w:pPr>
            <w:r w:rsidRPr="00E47369">
              <w:rPr>
                <w:rFonts w:cstheme="minorHAnsi"/>
                <w:noProof/>
                <w:sz w:val="20"/>
                <w:szCs w:val="20"/>
                <w:lang w:bidi="ar-SA"/>
              </w:rPr>
              <w:drawing>
                <wp:inline distT="0" distB="0" distL="0" distR="0" wp14:anchorId="6262EFE4" wp14:editId="0899DC04">
                  <wp:extent cx="2139950" cy="39370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139950" cy="393700"/>
                          </a:xfrm>
                          <a:prstGeom prst="rect">
                            <a:avLst/>
                          </a:prstGeom>
                          <a:noFill/>
                          <a:ln>
                            <a:noFill/>
                          </a:ln>
                        </pic:spPr>
                      </pic:pic>
                    </a:graphicData>
                  </a:graphic>
                </wp:inline>
              </w:drawing>
            </w:r>
          </w:p>
        </w:tc>
        <w:tc>
          <w:tcPr>
            <w:tcW w:w="1260" w:type="dxa"/>
            <w:tcBorders>
              <w:top w:val="single" w:sz="2" w:space="0" w:color="808080" w:themeColor="background1" w:themeShade="80"/>
              <w:bottom w:val="single" w:sz="2" w:space="0" w:color="808080" w:themeColor="background1" w:themeShade="80"/>
            </w:tcBorders>
            <w:shd w:val="clear" w:color="auto" w:fill="auto"/>
            <w:tcMar>
              <w:top w:w="15" w:type="dxa"/>
              <w:left w:w="108" w:type="dxa"/>
              <w:bottom w:w="0" w:type="dxa"/>
              <w:right w:w="108" w:type="dxa"/>
            </w:tcMar>
            <w:vAlign w:val="center"/>
          </w:tcPr>
          <w:p w14:paraId="125C1501" w14:textId="77777777" w:rsidR="00A651D8" w:rsidRPr="00E47369" w:rsidRDefault="00A651D8" w:rsidP="00EB114B">
            <w:pPr>
              <w:jc w:val="center"/>
              <w:rPr>
                <w:rFonts w:cstheme="minorHAnsi"/>
                <w:bCs/>
                <w:sz w:val="20"/>
                <w:szCs w:val="20"/>
                <w:lang w:val="fr-FR"/>
              </w:rPr>
            </w:pPr>
            <w:r w:rsidRPr="00E47369">
              <w:rPr>
                <w:rFonts w:cstheme="minorHAnsi"/>
                <w:bCs/>
                <w:sz w:val="20"/>
                <w:szCs w:val="20"/>
                <w:lang w:val="fr-FR"/>
              </w:rPr>
              <w:t>D</w:t>
            </w:r>
          </w:p>
        </w:tc>
        <w:tc>
          <w:tcPr>
            <w:tcW w:w="1651" w:type="dxa"/>
            <w:tcBorders>
              <w:top w:val="single" w:sz="2" w:space="0" w:color="808080" w:themeColor="background1" w:themeShade="80"/>
              <w:left w:val="nil"/>
              <w:bottom w:val="single" w:sz="2" w:space="0" w:color="808080" w:themeColor="background1" w:themeShade="80"/>
              <w:right w:val="single" w:sz="2" w:space="0" w:color="FFFFFF" w:themeColor="background1"/>
            </w:tcBorders>
            <w:shd w:val="clear" w:color="auto" w:fill="auto"/>
            <w:tcMar>
              <w:top w:w="15" w:type="dxa"/>
              <w:left w:w="108" w:type="dxa"/>
              <w:bottom w:w="0" w:type="dxa"/>
              <w:right w:w="108" w:type="dxa"/>
            </w:tcMar>
            <w:vAlign w:val="center"/>
          </w:tcPr>
          <w:p w14:paraId="719E7CDC" w14:textId="77777777" w:rsidR="00A651D8" w:rsidRPr="00E47369" w:rsidRDefault="00A651D8" w:rsidP="00EB114B">
            <w:pPr>
              <w:pStyle w:val="NormalWeb"/>
              <w:spacing w:before="0" w:beforeAutospacing="0" w:after="0" w:afterAutospacing="0" w:line="480" w:lineRule="auto"/>
              <w:jc w:val="center"/>
              <w:rPr>
                <w:rFonts w:asciiTheme="minorHAnsi" w:hAnsiTheme="minorHAnsi" w:cstheme="minorHAnsi"/>
                <w:bCs/>
                <w:sz w:val="20"/>
                <w:szCs w:val="20"/>
                <w:lang w:val="fr-FR"/>
              </w:rPr>
            </w:pPr>
            <w:r w:rsidRPr="00E47369">
              <w:rPr>
                <w:rFonts w:asciiTheme="minorHAnsi" w:hAnsiTheme="minorHAnsi" w:cstheme="minorHAnsi"/>
                <w:bCs/>
                <w:sz w:val="20"/>
                <w:szCs w:val="20"/>
                <w:lang w:val="fr-FR"/>
              </w:rPr>
              <w:t>78/65</w:t>
            </w:r>
          </w:p>
          <w:p w14:paraId="6828F849" w14:textId="77777777" w:rsidR="00A651D8" w:rsidRPr="00E47369" w:rsidRDefault="00A651D8" w:rsidP="00EB114B">
            <w:pPr>
              <w:pStyle w:val="NormalWeb"/>
              <w:spacing w:before="0" w:beforeAutospacing="0" w:after="0" w:afterAutospacing="0" w:line="480" w:lineRule="auto"/>
              <w:jc w:val="center"/>
              <w:rPr>
                <w:rFonts w:asciiTheme="minorHAnsi" w:hAnsiTheme="minorHAnsi" w:cstheme="minorHAnsi"/>
                <w:bCs/>
                <w:sz w:val="20"/>
                <w:szCs w:val="20"/>
                <w:vertAlign w:val="superscript"/>
                <w:lang w:val="fr-FR"/>
              </w:rPr>
            </w:pPr>
            <w:r w:rsidRPr="00E47369">
              <w:rPr>
                <w:rFonts w:asciiTheme="minorHAnsi" w:hAnsiTheme="minorHAnsi" w:cstheme="minorHAnsi"/>
                <w:bCs/>
                <w:sz w:val="20"/>
                <w:szCs w:val="20"/>
                <w:lang w:val="fr-FR"/>
              </w:rPr>
              <w:t>(60%)</w:t>
            </w:r>
            <w:r w:rsidRPr="00E47369">
              <w:rPr>
                <w:rFonts w:asciiTheme="minorHAnsi" w:hAnsiTheme="minorHAnsi" w:cstheme="minorHAnsi"/>
                <w:bCs/>
                <w:sz w:val="20"/>
                <w:szCs w:val="20"/>
                <w:vertAlign w:val="superscript"/>
                <w:lang w:val="fr-FR"/>
              </w:rPr>
              <w:t>c</w:t>
            </w:r>
          </w:p>
        </w:tc>
      </w:tr>
      <w:tr w:rsidR="00A651D8" w:rsidRPr="00E47369" w14:paraId="216619E0" w14:textId="77777777" w:rsidTr="000C1BF3">
        <w:trPr>
          <w:trHeight w:val="576"/>
          <w:jc w:val="center"/>
        </w:trPr>
        <w:tc>
          <w:tcPr>
            <w:tcW w:w="962" w:type="dxa"/>
            <w:tcBorders>
              <w:top w:val="single" w:sz="2" w:space="0" w:color="808080" w:themeColor="background1" w:themeShade="80"/>
              <w:left w:val="single" w:sz="2" w:space="0" w:color="FFFFFF" w:themeColor="background1"/>
              <w:bottom w:val="single" w:sz="4" w:space="0" w:color="FFFFFF" w:themeColor="background1"/>
              <w:right w:val="single" w:sz="12" w:space="0" w:color="auto"/>
            </w:tcBorders>
            <w:shd w:val="clear" w:color="auto" w:fill="auto"/>
            <w:tcMar>
              <w:top w:w="15" w:type="dxa"/>
              <w:left w:w="108" w:type="dxa"/>
              <w:bottom w:w="0" w:type="dxa"/>
              <w:right w:w="108" w:type="dxa"/>
            </w:tcMar>
            <w:vAlign w:val="center"/>
          </w:tcPr>
          <w:p w14:paraId="0A81EF26" w14:textId="77777777" w:rsidR="00A651D8" w:rsidRPr="00E47369" w:rsidRDefault="000C1BF3" w:rsidP="00EB114B">
            <w:pPr>
              <w:jc w:val="center"/>
              <w:rPr>
                <w:rFonts w:cstheme="minorHAnsi"/>
                <w:bCs/>
                <w:sz w:val="20"/>
                <w:szCs w:val="20"/>
                <w:lang w:val="fr-FR"/>
              </w:rPr>
            </w:pPr>
            <w:r w:rsidRPr="00E47369">
              <w:rPr>
                <w:rFonts w:cstheme="minorHAnsi"/>
                <w:bCs/>
                <w:sz w:val="20"/>
                <w:szCs w:val="20"/>
                <w:lang w:val="fr-FR"/>
              </w:rPr>
              <w:t>II.</w:t>
            </w:r>
            <w:r w:rsidR="00A651D8" w:rsidRPr="00E47369">
              <w:rPr>
                <w:rFonts w:cstheme="minorHAnsi"/>
                <w:bCs/>
                <w:sz w:val="20"/>
                <w:szCs w:val="20"/>
                <w:lang w:val="fr-FR"/>
              </w:rPr>
              <w:t>3.1.10</w:t>
            </w:r>
          </w:p>
        </w:tc>
        <w:tc>
          <w:tcPr>
            <w:tcW w:w="3780" w:type="dxa"/>
            <w:tcBorders>
              <w:top w:val="single" w:sz="2" w:space="0" w:color="808080" w:themeColor="background1" w:themeShade="80"/>
              <w:left w:val="single" w:sz="12" w:space="0" w:color="auto"/>
              <w:bottom w:val="single" w:sz="4" w:space="0" w:color="FFFFFF" w:themeColor="background1"/>
            </w:tcBorders>
            <w:shd w:val="clear" w:color="auto" w:fill="auto"/>
            <w:tcMar>
              <w:top w:w="15" w:type="dxa"/>
              <w:left w:w="108" w:type="dxa"/>
              <w:bottom w:w="0" w:type="dxa"/>
              <w:right w:w="108" w:type="dxa"/>
            </w:tcMar>
            <w:vAlign w:val="center"/>
          </w:tcPr>
          <w:p w14:paraId="35C03A14" w14:textId="77777777" w:rsidR="00A651D8" w:rsidRPr="00E47369" w:rsidRDefault="00A651D8" w:rsidP="00EB114B">
            <w:pPr>
              <w:jc w:val="center"/>
              <w:rPr>
                <w:rFonts w:cstheme="minorHAnsi"/>
                <w:bCs/>
                <w:sz w:val="20"/>
                <w:szCs w:val="20"/>
                <w:lang w:val="fr-FR"/>
              </w:rPr>
            </w:pPr>
            <w:r w:rsidRPr="00E47369">
              <w:rPr>
                <w:rFonts w:cstheme="minorHAnsi"/>
                <w:noProof/>
                <w:sz w:val="20"/>
                <w:szCs w:val="20"/>
                <w:lang w:bidi="ar-SA"/>
              </w:rPr>
              <w:drawing>
                <wp:inline distT="0" distB="0" distL="0" distR="0" wp14:anchorId="119A454C" wp14:editId="66611ECB">
                  <wp:extent cx="2216150" cy="3746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216150" cy="374650"/>
                          </a:xfrm>
                          <a:prstGeom prst="rect">
                            <a:avLst/>
                          </a:prstGeom>
                          <a:noFill/>
                          <a:ln>
                            <a:noFill/>
                          </a:ln>
                        </pic:spPr>
                      </pic:pic>
                    </a:graphicData>
                  </a:graphic>
                </wp:inline>
              </w:drawing>
            </w:r>
          </w:p>
        </w:tc>
        <w:tc>
          <w:tcPr>
            <w:tcW w:w="1260" w:type="dxa"/>
            <w:tcBorders>
              <w:top w:val="single" w:sz="2" w:space="0" w:color="808080" w:themeColor="background1" w:themeShade="80"/>
              <w:bottom w:val="single" w:sz="4" w:space="0" w:color="FFFFFF" w:themeColor="background1"/>
            </w:tcBorders>
            <w:shd w:val="clear" w:color="auto" w:fill="auto"/>
            <w:tcMar>
              <w:top w:w="15" w:type="dxa"/>
              <w:left w:w="108" w:type="dxa"/>
              <w:bottom w:w="0" w:type="dxa"/>
              <w:right w:w="108" w:type="dxa"/>
            </w:tcMar>
            <w:vAlign w:val="center"/>
          </w:tcPr>
          <w:p w14:paraId="2A80F0BA" w14:textId="77777777" w:rsidR="00A651D8" w:rsidRPr="00E47369" w:rsidRDefault="00A651D8" w:rsidP="00EB114B">
            <w:pPr>
              <w:jc w:val="center"/>
              <w:rPr>
                <w:rFonts w:cstheme="minorHAnsi"/>
                <w:bCs/>
                <w:sz w:val="20"/>
                <w:szCs w:val="20"/>
                <w:lang w:val="fr-FR"/>
              </w:rPr>
            </w:pPr>
            <w:r w:rsidRPr="00E47369">
              <w:rPr>
                <w:rFonts w:cstheme="minorHAnsi"/>
                <w:bCs/>
                <w:sz w:val="20"/>
                <w:szCs w:val="20"/>
                <w:lang w:val="fr-FR"/>
              </w:rPr>
              <w:t>D</w:t>
            </w:r>
          </w:p>
        </w:tc>
        <w:tc>
          <w:tcPr>
            <w:tcW w:w="1651" w:type="dxa"/>
            <w:tcBorders>
              <w:top w:val="single" w:sz="2" w:space="0" w:color="808080" w:themeColor="background1" w:themeShade="80"/>
              <w:left w:val="nil"/>
              <w:bottom w:val="single" w:sz="4" w:space="0" w:color="FFFFFF" w:themeColor="background1"/>
              <w:right w:val="single" w:sz="2" w:space="0" w:color="FFFFFF" w:themeColor="background1"/>
            </w:tcBorders>
            <w:shd w:val="clear" w:color="auto" w:fill="auto"/>
            <w:tcMar>
              <w:top w:w="15" w:type="dxa"/>
              <w:left w:w="108" w:type="dxa"/>
              <w:bottom w:w="0" w:type="dxa"/>
              <w:right w:w="108" w:type="dxa"/>
            </w:tcMar>
            <w:vAlign w:val="center"/>
          </w:tcPr>
          <w:p w14:paraId="2F9FD2C8" w14:textId="77777777" w:rsidR="00A651D8" w:rsidRPr="00E47369" w:rsidRDefault="00A651D8" w:rsidP="00EB114B">
            <w:pPr>
              <w:pStyle w:val="NormalWeb"/>
              <w:spacing w:before="0" w:beforeAutospacing="0" w:after="0" w:afterAutospacing="0" w:line="480" w:lineRule="auto"/>
              <w:jc w:val="center"/>
              <w:rPr>
                <w:rFonts w:asciiTheme="minorHAnsi" w:hAnsiTheme="minorHAnsi" w:cstheme="minorHAnsi"/>
                <w:bCs/>
                <w:sz w:val="20"/>
                <w:szCs w:val="20"/>
                <w:lang w:val="fr-FR"/>
              </w:rPr>
            </w:pPr>
            <w:r w:rsidRPr="00E47369">
              <w:rPr>
                <w:rFonts w:asciiTheme="minorHAnsi" w:hAnsiTheme="minorHAnsi" w:cstheme="minorHAnsi"/>
                <w:bCs/>
                <w:sz w:val="20"/>
                <w:szCs w:val="20"/>
                <w:lang w:val="fr-FR"/>
              </w:rPr>
              <w:t>57/88</w:t>
            </w:r>
          </w:p>
        </w:tc>
      </w:tr>
      <w:tr w:rsidR="00A651D8" w:rsidRPr="00E47369" w14:paraId="40AD0AFC" w14:textId="77777777" w:rsidTr="000C1BF3">
        <w:trPr>
          <w:trHeight w:val="576"/>
          <w:jc w:val="center"/>
        </w:trPr>
        <w:tc>
          <w:tcPr>
            <w:tcW w:w="7653" w:type="dxa"/>
            <w:gridSpan w:val="4"/>
            <w:tcBorders>
              <w:top w:val="single" w:sz="4" w:space="0" w:color="FFFFFF" w:themeColor="background1"/>
              <w:left w:val="single" w:sz="6" w:space="0" w:color="F9F9F9"/>
              <w:bottom w:val="single" w:sz="18" w:space="0" w:color="FFFFFF"/>
              <w:right w:val="single" w:sz="6" w:space="0" w:color="F9F9F9"/>
            </w:tcBorders>
            <w:shd w:val="clear" w:color="auto" w:fill="auto"/>
            <w:tcMar>
              <w:top w:w="15" w:type="dxa"/>
              <w:left w:w="108" w:type="dxa"/>
              <w:bottom w:w="0" w:type="dxa"/>
              <w:right w:w="108" w:type="dxa"/>
            </w:tcMar>
            <w:vAlign w:val="center"/>
          </w:tcPr>
          <w:p w14:paraId="64FB6A55" w14:textId="4F4F94E1" w:rsidR="00A651D8" w:rsidRPr="00E47369" w:rsidRDefault="00A651D8" w:rsidP="000C1BF3">
            <w:pPr>
              <w:spacing w:line="276" w:lineRule="auto"/>
              <w:jc w:val="both"/>
              <w:rPr>
                <w:rFonts w:cstheme="minorHAnsi"/>
                <w:sz w:val="18"/>
                <w:szCs w:val="18"/>
              </w:rPr>
            </w:pPr>
            <w:r w:rsidRPr="00E47369">
              <w:rPr>
                <w:rFonts w:cstheme="minorHAnsi"/>
                <w:sz w:val="18"/>
                <w:szCs w:val="18"/>
              </w:rPr>
              <w:t>Conditions: A) NH</w:t>
            </w:r>
            <w:r w:rsidRPr="00E47369">
              <w:rPr>
                <w:rFonts w:cstheme="minorHAnsi"/>
                <w:sz w:val="18"/>
                <w:szCs w:val="18"/>
                <w:vertAlign w:val="subscript"/>
              </w:rPr>
              <w:t>4</w:t>
            </w:r>
            <w:r w:rsidRPr="00E47369">
              <w:rPr>
                <w:rFonts w:cstheme="minorHAnsi"/>
                <w:sz w:val="18"/>
                <w:szCs w:val="18"/>
              </w:rPr>
              <w:t>ReO</w:t>
            </w:r>
            <w:r w:rsidRPr="00E47369">
              <w:rPr>
                <w:rFonts w:cstheme="minorHAnsi"/>
                <w:sz w:val="18"/>
                <w:szCs w:val="18"/>
                <w:vertAlign w:val="subscript"/>
              </w:rPr>
              <w:t>4</w:t>
            </w:r>
            <w:r w:rsidRPr="00E47369">
              <w:rPr>
                <w:rFonts w:cstheme="minorHAnsi"/>
                <w:sz w:val="18"/>
                <w:szCs w:val="18"/>
              </w:rPr>
              <w:t xml:space="preserve">, benzene (0.2M), 48 h, 150 </w:t>
            </w:r>
            <w:r w:rsidRPr="00E47369">
              <w:rPr>
                <w:rFonts w:cstheme="minorHAnsi"/>
                <w:sz w:val="18"/>
                <w:szCs w:val="18"/>
                <w:vertAlign w:val="superscript"/>
              </w:rPr>
              <w:t>o</w:t>
            </w:r>
            <w:r w:rsidRPr="00E47369">
              <w:rPr>
                <w:rFonts w:cstheme="minorHAnsi"/>
                <w:sz w:val="18"/>
                <w:szCs w:val="18"/>
              </w:rPr>
              <w:t>C; B) MeReO</w:t>
            </w:r>
            <w:r w:rsidRPr="00E47369">
              <w:rPr>
                <w:rFonts w:cstheme="minorHAnsi"/>
                <w:sz w:val="18"/>
                <w:szCs w:val="18"/>
                <w:vertAlign w:val="subscript"/>
              </w:rPr>
              <w:t>3</w:t>
            </w:r>
            <w:r w:rsidRPr="00E47369">
              <w:rPr>
                <w:rFonts w:cstheme="minorHAnsi"/>
                <w:sz w:val="18"/>
                <w:szCs w:val="18"/>
              </w:rPr>
              <w:t xml:space="preserve">, 1-butanol (0.3M), 24 h, 150 </w:t>
            </w:r>
            <w:r w:rsidRPr="00E47369">
              <w:rPr>
                <w:rFonts w:cstheme="minorHAnsi"/>
                <w:sz w:val="18"/>
                <w:szCs w:val="18"/>
                <w:vertAlign w:val="superscript"/>
              </w:rPr>
              <w:t>o</w:t>
            </w:r>
            <w:r w:rsidRPr="00E47369">
              <w:rPr>
                <w:rFonts w:cstheme="minorHAnsi"/>
                <w:sz w:val="18"/>
                <w:szCs w:val="18"/>
              </w:rPr>
              <w:t xml:space="preserve">C; C) </w:t>
            </w:r>
            <w:r w:rsidR="001539C6" w:rsidRPr="001539C6">
              <w:rPr>
                <w:rFonts w:cstheme="minorHAnsi"/>
                <w:sz w:val="18"/>
                <w:szCs w:val="18"/>
              </w:rPr>
              <w:t>MeReO</w:t>
            </w:r>
            <w:r w:rsidR="001539C6" w:rsidRPr="001539C6">
              <w:rPr>
                <w:rFonts w:cstheme="minorHAnsi"/>
                <w:sz w:val="18"/>
                <w:szCs w:val="18"/>
                <w:vertAlign w:val="subscript"/>
              </w:rPr>
              <w:t>3</w:t>
            </w:r>
            <w:r w:rsidRPr="00E47369">
              <w:rPr>
                <w:rFonts w:cstheme="minorHAnsi"/>
                <w:sz w:val="18"/>
                <w:szCs w:val="18"/>
              </w:rPr>
              <w:t xml:space="preserve">, 1-butanol (0.3M), 4 h, 170 </w:t>
            </w:r>
            <w:r w:rsidRPr="00E47369">
              <w:rPr>
                <w:rFonts w:cstheme="minorHAnsi"/>
                <w:sz w:val="18"/>
                <w:szCs w:val="18"/>
                <w:vertAlign w:val="superscript"/>
              </w:rPr>
              <w:t>o</w:t>
            </w:r>
            <w:r w:rsidRPr="00E47369">
              <w:rPr>
                <w:rFonts w:cstheme="minorHAnsi"/>
                <w:sz w:val="18"/>
                <w:szCs w:val="18"/>
              </w:rPr>
              <w:t>C (entry 7, 4.5 h); D) NH</w:t>
            </w:r>
            <w:r w:rsidRPr="00E47369">
              <w:rPr>
                <w:rFonts w:cstheme="minorHAnsi"/>
                <w:sz w:val="18"/>
                <w:szCs w:val="18"/>
                <w:vertAlign w:val="subscript"/>
              </w:rPr>
              <w:t>4</w:t>
            </w:r>
            <w:r w:rsidRPr="00E47369">
              <w:rPr>
                <w:rFonts w:cstheme="minorHAnsi"/>
                <w:sz w:val="18"/>
                <w:szCs w:val="18"/>
              </w:rPr>
              <w:t>ReO</w:t>
            </w:r>
            <w:r w:rsidRPr="00E47369">
              <w:rPr>
                <w:rFonts w:cstheme="minorHAnsi"/>
                <w:sz w:val="18"/>
                <w:szCs w:val="18"/>
                <w:vertAlign w:val="subscript"/>
              </w:rPr>
              <w:t>4</w:t>
            </w:r>
            <w:r w:rsidRPr="00E47369">
              <w:rPr>
                <w:rFonts w:cstheme="minorHAnsi"/>
                <w:sz w:val="18"/>
                <w:szCs w:val="18"/>
              </w:rPr>
              <w:t xml:space="preserve">, 1-butanol (0.3M), 24 h, 150 </w:t>
            </w:r>
            <w:r w:rsidRPr="00E47369">
              <w:rPr>
                <w:rFonts w:cstheme="minorHAnsi"/>
                <w:sz w:val="18"/>
                <w:szCs w:val="18"/>
                <w:vertAlign w:val="superscript"/>
              </w:rPr>
              <w:t>o</w:t>
            </w:r>
            <w:r w:rsidR="001539C6">
              <w:rPr>
                <w:rFonts w:cstheme="minorHAnsi"/>
                <w:sz w:val="18"/>
                <w:szCs w:val="18"/>
              </w:rPr>
              <w:t xml:space="preserve">C; E) </w:t>
            </w:r>
            <w:r w:rsidR="001539C6" w:rsidRPr="001539C6">
              <w:rPr>
                <w:rFonts w:cstheme="minorHAnsi"/>
                <w:sz w:val="18"/>
                <w:szCs w:val="18"/>
              </w:rPr>
              <w:t>MeReO</w:t>
            </w:r>
            <w:r w:rsidR="001539C6" w:rsidRPr="001539C6">
              <w:rPr>
                <w:rFonts w:cstheme="minorHAnsi"/>
                <w:sz w:val="18"/>
                <w:szCs w:val="18"/>
                <w:vertAlign w:val="subscript"/>
              </w:rPr>
              <w:t>3</w:t>
            </w:r>
            <w:r w:rsidRPr="00E47369">
              <w:rPr>
                <w:rFonts w:cstheme="minorHAnsi"/>
                <w:sz w:val="18"/>
                <w:szCs w:val="18"/>
              </w:rPr>
              <w:t xml:space="preserve"> 2.5 mol%, 1-butanol (0.3M), 24 h, 150 </w:t>
            </w:r>
            <w:r w:rsidRPr="00E47369">
              <w:rPr>
                <w:rFonts w:cstheme="minorHAnsi"/>
                <w:sz w:val="18"/>
                <w:szCs w:val="18"/>
                <w:vertAlign w:val="superscript"/>
              </w:rPr>
              <w:t>o</w:t>
            </w:r>
            <w:r w:rsidRPr="00E47369">
              <w:rPr>
                <w:rFonts w:cstheme="minorHAnsi"/>
                <w:sz w:val="18"/>
                <w:szCs w:val="18"/>
              </w:rPr>
              <w:t xml:space="preserve">C;  </w:t>
            </w:r>
          </w:p>
          <w:p w14:paraId="1C2B356B" w14:textId="77777777" w:rsidR="00A651D8" w:rsidRPr="00E47369" w:rsidRDefault="00A651D8" w:rsidP="000C1BF3">
            <w:pPr>
              <w:spacing w:line="276" w:lineRule="auto"/>
              <w:jc w:val="both"/>
              <w:rPr>
                <w:rFonts w:cstheme="minorHAnsi"/>
                <w:sz w:val="18"/>
                <w:szCs w:val="18"/>
              </w:rPr>
            </w:pPr>
            <w:r w:rsidRPr="00E47369">
              <w:rPr>
                <w:rFonts w:cstheme="minorHAnsi"/>
                <w:sz w:val="18"/>
                <w:szCs w:val="18"/>
                <w:vertAlign w:val="superscript"/>
              </w:rPr>
              <w:t>a</w:t>
            </w:r>
            <w:r w:rsidRPr="00E47369">
              <w:rPr>
                <w:rFonts w:cstheme="minorHAnsi"/>
                <w:sz w:val="18"/>
                <w:szCs w:val="18"/>
              </w:rPr>
              <w:t xml:space="preserve"> Yield determined by </w:t>
            </w:r>
            <w:r w:rsidRPr="00E47369">
              <w:rPr>
                <w:rFonts w:cstheme="minorHAnsi"/>
                <w:sz w:val="18"/>
                <w:szCs w:val="18"/>
                <w:vertAlign w:val="superscript"/>
              </w:rPr>
              <w:t>1</w:t>
            </w:r>
            <w:r w:rsidRPr="00E47369">
              <w:rPr>
                <w:rFonts w:cstheme="minorHAnsi"/>
                <w:sz w:val="18"/>
                <w:szCs w:val="18"/>
              </w:rPr>
              <w:t xml:space="preserve">H-NMR; </w:t>
            </w:r>
            <w:r w:rsidRPr="00E47369">
              <w:rPr>
                <w:rFonts w:cstheme="minorHAnsi"/>
                <w:sz w:val="18"/>
                <w:szCs w:val="18"/>
                <w:vertAlign w:val="superscript"/>
              </w:rPr>
              <w:t>b</w:t>
            </w:r>
            <w:r w:rsidRPr="00E47369">
              <w:rPr>
                <w:rFonts w:cstheme="minorHAnsi"/>
                <w:sz w:val="18"/>
                <w:szCs w:val="18"/>
              </w:rPr>
              <w:t xml:space="preserve"> 100% conversion; </w:t>
            </w:r>
            <w:r w:rsidRPr="00E47369">
              <w:rPr>
                <w:rFonts w:cstheme="minorHAnsi"/>
                <w:sz w:val="18"/>
                <w:szCs w:val="18"/>
                <w:vertAlign w:val="superscript"/>
              </w:rPr>
              <w:t>c</w:t>
            </w:r>
            <w:r w:rsidRPr="00E47369">
              <w:rPr>
                <w:rFonts w:cstheme="minorHAnsi"/>
                <w:sz w:val="18"/>
                <w:szCs w:val="18"/>
              </w:rPr>
              <w:t xml:space="preserve"> isolated yield, </w:t>
            </w:r>
            <w:r w:rsidRPr="00E47369">
              <w:rPr>
                <w:rFonts w:cstheme="minorHAnsi"/>
                <w:sz w:val="18"/>
                <w:szCs w:val="18"/>
                <w:vertAlign w:val="superscript"/>
              </w:rPr>
              <w:t>d</w:t>
            </w:r>
            <w:r w:rsidRPr="00E47369">
              <w:rPr>
                <w:rFonts w:cstheme="minorHAnsi"/>
                <w:sz w:val="18"/>
                <w:szCs w:val="18"/>
              </w:rPr>
              <w:t xml:space="preserve"> 65%</w:t>
            </w:r>
          </w:p>
        </w:tc>
      </w:tr>
    </w:tbl>
    <w:p w14:paraId="498B3977" w14:textId="77777777" w:rsidR="00A651D8" w:rsidRPr="00E47369" w:rsidRDefault="00A651D8" w:rsidP="00A651D8">
      <w:pPr>
        <w:keepNext/>
        <w:jc w:val="center"/>
        <w:rPr>
          <w:rFonts w:cstheme="minorHAnsi"/>
        </w:rPr>
      </w:pPr>
      <w:r w:rsidRPr="00E47369">
        <w:rPr>
          <w:rFonts w:cstheme="minorHAnsi"/>
        </w:rPr>
        <w:object w:dxaOrig="12788" w:dyaOrig="3490" w14:anchorId="36E735B4">
          <v:shape id="_x0000_i1062" type="#_x0000_t75" style="width:416.2pt;height:113.15pt" o:ole="">
            <v:imagedata r:id="rId103" o:title=""/>
          </v:shape>
          <o:OLEObject Type="Embed" ProgID="ChemDraw.Document.6.0" ShapeID="_x0000_i1062" DrawAspect="Content" ObjectID="_1532784916" r:id="rId104"/>
        </w:object>
      </w:r>
    </w:p>
    <w:p w14:paraId="7D2874DA" w14:textId="77777777" w:rsidR="00A651D8" w:rsidRPr="00072EEF" w:rsidRDefault="00A651D8" w:rsidP="00072EEF">
      <w:pPr>
        <w:pStyle w:val="Caption"/>
      </w:pPr>
      <w:bookmarkStart w:id="135" w:name="_Ref451762909"/>
      <w:bookmarkStart w:id="136" w:name="_Toc458938386"/>
      <w:r w:rsidRPr="00072EEF">
        <w:t xml:space="preserve">Figure II. </w:t>
      </w:r>
      <w:r w:rsidR="00443010">
        <w:fldChar w:fldCharType="begin"/>
      </w:r>
      <w:r w:rsidR="00443010">
        <w:instrText xml:space="preserve"> STYLEREF 2 \s </w:instrText>
      </w:r>
      <w:r w:rsidR="00443010">
        <w:fldChar w:fldCharType="separate"/>
      </w:r>
      <w:r w:rsidR="000A0E3D">
        <w:rPr>
          <w:noProof/>
        </w:rPr>
        <w:t>3</w:t>
      </w:r>
      <w:r w:rsidR="00443010">
        <w:rPr>
          <w:noProof/>
        </w:rPr>
        <w:fldChar w:fldCharType="end"/>
      </w:r>
      <w:r w:rsidR="000C1BF3" w:rsidRPr="00072EEF">
        <w:t>.</w:t>
      </w:r>
      <w:r w:rsidR="00443010">
        <w:fldChar w:fldCharType="begin"/>
      </w:r>
      <w:r w:rsidR="00443010">
        <w:instrText xml:space="preserve"> SEQ Figure_II. \* ARABIC \s 2 </w:instrText>
      </w:r>
      <w:r w:rsidR="00443010">
        <w:fldChar w:fldCharType="separate"/>
      </w:r>
      <w:r w:rsidR="000A0E3D">
        <w:rPr>
          <w:noProof/>
        </w:rPr>
        <w:t>2</w:t>
      </w:r>
      <w:r w:rsidR="00443010">
        <w:rPr>
          <w:noProof/>
        </w:rPr>
        <w:fldChar w:fldCharType="end"/>
      </w:r>
      <w:bookmarkEnd w:id="135"/>
      <w:r w:rsidRPr="00072EEF">
        <w:t xml:space="preserve"> DODH of glyceric acid using indoline as reducing agent</w:t>
      </w:r>
      <w:bookmarkEnd w:id="136"/>
    </w:p>
    <w:p w14:paraId="1417BB3F" w14:textId="77777777" w:rsidR="00A651D8" w:rsidRPr="00E47369" w:rsidRDefault="00A651D8" w:rsidP="00A651D8">
      <w:pPr>
        <w:rPr>
          <w:rFonts w:cstheme="minorHAnsi"/>
        </w:rPr>
      </w:pPr>
    </w:p>
    <w:p w14:paraId="6D7710AA" w14:textId="77777777" w:rsidR="00A651D8" w:rsidRDefault="00A651D8" w:rsidP="006042D0">
      <w:pPr>
        <w:ind w:firstLine="360"/>
        <w:jc w:val="both"/>
        <w:rPr>
          <w:rFonts w:cstheme="minorHAnsi"/>
        </w:rPr>
      </w:pPr>
      <w:r w:rsidRPr="00E47369">
        <w:rPr>
          <w:rFonts w:cstheme="minorHAnsi"/>
        </w:rPr>
        <w:t xml:space="preserve">Several observations indicate that indoline is a superior H-transfer agent relative to primary and secondary alcohols. In the indoline-driven reactions with 1-butanol as solvent, neither butanal and nor the butanal/1-butanol acetal were detected in appreciable amounts. Two competition experiments were conducted to determine the relative H-transfer </w:t>
      </w:r>
      <w:r w:rsidRPr="00E47369">
        <w:rPr>
          <w:rFonts w:cstheme="minorHAnsi"/>
          <w:color w:val="000000" w:themeColor="text1"/>
        </w:rPr>
        <w:t>reactivity of indoline vs. sec-alcohol reductants (</w:t>
      </w:r>
      <w:r w:rsidRPr="00E47369">
        <w:rPr>
          <w:rFonts w:cstheme="minorHAnsi"/>
          <w:color w:val="000000" w:themeColor="text1"/>
        </w:rPr>
        <w:fldChar w:fldCharType="begin"/>
      </w:r>
      <w:r w:rsidRPr="00E47369">
        <w:rPr>
          <w:rFonts w:cstheme="minorHAnsi"/>
          <w:color w:val="000000" w:themeColor="text1"/>
        </w:rPr>
        <w:instrText xml:space="preserve"> REF _Ref451762815 \h </w:instrText>
      </w:r>
      <w:r w:rsidR="00E47369">
        <w:rPr>
          <w:rFonts w:cstheme="minorHAnsi"/>
          <w:color w:val="000000" w:themeColor="text1"/>
        </w:rPr>
        <w:instrText xml:space="preserve"> \* MERGEFORMAT </w:instrText>
      </w:r>
      <w:r w:rsidRPr="00E47369">
        <w:rPr>
          <w:rFonts w:cstheme="minorHAnsi"/>
          <w:color w:val="000000" w:themeColor="text1"/>
        </w:rPr>
      </w:r>
      <w:r w:rsidRPr="00E47369">
        <w:rPr>
          <w:rFonts w:cstheme="minorHAnsi"/>
          <w:color w:val="000000" w:themeColor="text1"/>
        </w:rPr>
        <w:fldChar w:fldCharType="separate"/>
      </w:r>
      <w:r w:rsidR="000A0E3D" w:rsidRPr="000A0E3D">
        <w:rPr>
          <w:rFonts w:cstheme="minorHAnsi"/>
        </w:rPr>
        <w:t xml:space="preserve">Figure II. </w:t>
      </w:r>
      <w:r w:rsidR="000A0E3D" w:rsidRPr="000A0E3D">
        <w:rPr>
          <w:rFonts w:cstheme="minorHAnsi"/>
          <w:noProof/>
        </w:rPr>
        <w:t>3.3</w:t>
      </w:r>
      <w:r w:rsidRPr="00E47369">
        <w:rPr>
          <w:rFonts w:cstheme="minorHAnsi"/>
          <w:color w:val="000000" w:themeColor="text1"/>
        </w:rPr>
        <w:fldChar w:fldCharType="end"/>
      </w:r>
      <w:r w:rsidRPr="00E47369">
        <w:rPr>
          <w:rFonts w:cstheme="minorHAnsi"/>
          <w:color w:val="000000" w:themeColor="text1"/>
        </w:rPr>
        <w:t xml:space="preserve">). Conducting the same reaction as entry </w:t>
      </w:r>
      <w:r w:rsidR="000C1BF3" w:rsidRPr="00E47369">
        <w:rPr>
          <w:rFonts w:cstheme="minorHAnsi"/>
          <w:color w:val="000000" w:themeColor="text1"/>
        </w:rPr>
        <w:t>II.</w:t>
      </w:r>
      <w:r w:rsidRPr="00E47369">
        <w:rPr>
          <w:rFonts w:cstheme="minorHAnsi"/>
          <w:color w:val="000000" w:themeColor="text1"/>
        </w:rPr>
        <w:t xml:space="preserve">3.1.3 with 2-butanol as solvent provided a lower yield of allyl alcohol, 46%, but a 1:1 ratio of allyl alcohol to indole and no detectable amount of butanone. In a fairer competition using conditions of entry </w:t>
      </w:r>
      <w:r w:rsidR="000C1BF3" w:rsidRPr="00E47369">
        <w:rPr>
          <w:rFonts w:cstheme="minorHAnsi"/>
          <w:color w:val="000000" w:themeColor="text1"/>
        </w:rPr>
        <w:t>II.</w:t>
      </w:r>
      <w:r w:rsidRPr="00E47369">
        <w:rPr>
          <w:rFonts w:cstheme="minorHAnsi"/>
          <w:color w:val="000000" w:themeColor="text1"/>
        </w:rPr>
        <w:t xml:space="preserve">2.1.3a the reaction of DET and </w:t>
      </w:r>
      <w:r w:rsidRPr="00E47369">
        <w:rPr>
          <w:rFonts w:cstheme="minorHAnsi"/>
        </w:rPr>
        <w:t xml:space="preserve">1.1 equiv each of indoline and of 3-pentanol provided an 82% yield of diethyl fumarate with an appreciable </w:t>
      </w:r>
      <w:r w:rsidR="00072EEF">
        <w:rPr>
          <w:rFonts w:cstheme="minorHAnsi"/>
        </w:rPr>
        <w:t>amount of 3-pentanol remaining.</w:t>
      </w:r>
    </w:p>
    <w:p w14:paraId="0BC72D1E" w14:textId="77777777" w:rsidR="00072EEF" w:rsidRPr="00E47369" w:rsidRDefault="00072EEF" w:rsidP="006042D0">
      <w:pPr>
        <w:ind w:firstLine="360"/>
        <w:jc w:val="both"/>
        <w:rPr>
          <w:rFonts w:cstheme="minorHAnsi"/>
        </w:rPr>
      </w:pPr>
    </w:p>
    <w:p w14:paraId="731A85FA" w14:textId="77777777" w:rsidR="00A651D8" w:rsidRPr="00E47369" w:rsidRDefault="00A651D8" w:rsidP="00A651D8">
      <w:pPr>
        <w:keepNext/>
        <w:jc w:val="center"/>
        <w:rPr>
          <w:rFonts w:cstheme="minorHAnsi"/>
        </w:rPr>
      </w:pPr>
      <w:r w:rsidRPr="00E47369">
        <w:rPr>
          <w:rFonts w:cstheme="minorHAnsi"/>
          <w:noProof/>
          <w:lang w:bidi="ar-SA"/>
        </w:rPr>
        <w:drawing>
          <wp:inline distT="0" distB="0" distL="0" distR="0" wp14:anchorId="5F03F9B4" wp14:editId="368F5AE3">
            <wp:extent cx="4373010" cy="187803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389571" cy="1885148"/>
                    </a:xfrm>
                    <a:prstGeom prst="rect">
                      <a:avLst/>
                    </a:prstGeom>
                    <a:noFill/>
                    <a:ln>
                      <a:noFill/>
                    </a:ln>
                  </pic:spPr>
                </pic:pic>
              </a:graphicData>
            </a:graphic>
          </wp:inline>
        </w:drawing>
      </w:r>
    </w:p>
    <w:p w14:paraId="5B92BCDB" w14:textId="77777777" w:rsidR="00A651D8" w:rsidRPr="00072EEF" w:rsidRDefault="00A651D8" w:rsidP="00072EEF">
      <w:pPr>
        <w:pStyle w:val="Caption"/>
      </w:pPr>
      <w:bookmarkStart w:id="137" w:name="_Ref451762815"/>
      <w:bookmarkStart w:id="138" w:name="_Toc458938387"/>
      <w:r w:rsidRPr="00072EEF">
        <w:t xml:space="preserve">Figure II. </w:t>
      </w:r>
      <w:r w:rsidR="00443010">
        <w:fldChar w:fldCharType="begin"/>
      </w:r>
      <w:r w:rsidR="00443010">
        <w:instrText xml:space="preserve"> STYLEREF 2 \s </w:instrText>
      </w:r>
      <w:r w:rsidR="00443010">
        <w:fldChar w:fldCharType="separate"/>
      </w:r>
      <w:r w:rsidR="000A0E3D">
        <w:rPr>
          <w:noProof/>
        </w:rPr>
        <w:t>3</w:t>
      </w:r>
      <w:r w:rsidR="00443010">
        <w:rPr>
          <w:noProof/>
        </w:rPr>
        <w:fldChar w:fldCharType="end"/>
      </w:r>
      <w:r w:rsidR="000C1BF3" w:rsidRPr="00072EEF">
        <w:t>.</w:t>
      </w:r>
      <w:r w:rsidR="00443010">
        <w:fldChar w:fldCharType="begin"/>
      </w:r>
      <w:r w:rsidR="00443010">
        <w:instrText xml:space="preserve"> SEQ Figure_II. \* ARABIC \s 2 </w:instrText>
      </w:r>
      <w:r w:rsidR="00443010">
        <w:fldChar w:fldCharType="separate"/>
      </w:r>
      <w:r w:rsidR="000A0E3D">
        <w:rPr>
          <w:noProof/>
        </w:rPr>
        <w:t>3</w:t>
      </w:r>
      <w:r w:rsidR="00443010">
        <w:rPr>
          <w:noProof/>
        </w:rPr>
        <w:fldChar w:fldCharType="end"/>
      </w:r>
      <w:bookmarkEnd w:id="137"/>
      <w:r w:rsidRPr="00072EEF">
        <w:t xml:space="preserve"> Reducing agent competition: (A)indoline vs. 2-butanol; (B): indoline vs. 3-pentanol</w:t>
      </w:r>
      <w:bookmarkEnd w:id="138"/>
      <w:r w:rsidRPr="00072EEF">
        <w:t xml:space="preserve"> </w:t>
      </w:r>
    </w:p>
    <w:p w14:paraId="27641346" w14:textId="77777777" w:rsidR="00536AE9" w:rsidRPr="00E47369" w:rsidRDefault="00536AE9" w:rsidP="00536AE9">
      <w:pPr>
        <w:rPr>
          <w:rFonts w:cstheme="minorHAnsi"/>
        </w:rPr>
      </w:pPr>
    </w:p>
    <w:p w14:paraId="4544259E" w14:textId="77777777" w:rsidR="00A651D8" w:rsidRPr="00E47369" w:rsidRDefault="00A651D8" w:rsidP="006042D0">
      <w:pPr>
        <w:ind w:firstLine="360"/>
        <w:jc w:val="both"/>
        <w:rPr>
          <w:rFonts w:cstheme="minorHAnsi"/>
        </w:rPr>
      </w:pPr>
      <w:r w:rsidRPr="00E47369">
        <w:rPr>
          <w:rFonts w:cstheme="minorHAnsi"/>
        </w:rPr>
        <w:t xml:space="preserve">Several of the hydroaromatics in </w:t>
      </w:r>
      <w:r w:rsidR="000C1BF3" w:rsidRPr="00E47369">
        <w:rPr>
          <w:rFonts w:cstheme="minorHAnsi"/>
        </w:rPr>
        <w:fldChar w:fldCharType="begin"/>
      </w:r>
      <w:r w:rsidR="000C1BF3" w:rsidRPr="00E47369">
        <w:rPr>
          <w:rFonts w:cstheme="minorHAnsi"/>
        </w:rPr>
        <w:instrText xml:space="preserve"> REF _Ref454192646 \h </w:instrText>
      </w:r>
      <w:r w:rsidR="00E47369">
        <w:rPr>
          <w:rFonts w:cstheme="minorHAnsi"/>
        </w:rPr>
        <w:instrText xml:space="preserve"> \* MERGEFORMAT </w:instrText>
      </w:r>
      <w:r w:rsidR="000C1BF3" w:rsidRPr="00E47369">
        <w:rPr>
          <w:rFonts w:cstheme="minorHAnsi"/>
        </w:rPr>
      </w:r>
      <w:r w:rsidR="000C1BF3" w:rsidRPr="00E47369">
        <w:rPr>
          <w:rFonts w:cstheme="minorHAnsi"/>
        </w:rPr>
        <w:fldChar w:fldCharType="separate"/>
      </w:r>
      <w:r w:rsidR="000A0E3D" w:rsidRPr="000A0E3D">
        <w:rPr>
          <w:rFonts w:cstheme="minorHAnsi"/>
        </w:rPr>
        <w:t xml:space="preserve">Table II. </w:t>
      </w:r>
      <w:r w:rsidR="000A0E3D" w:rsidRPr="000A0E3D">
        <w:rPr>
          <w:rFonts w:cstheme="minorHAnsi"/>
          <w:noProof/>
        </w:rPr>
        <w:t>2.1</w:t>
      </w:r>
      <w:r w:rsidR="000C1BF3" w:rsidRPr="00E47369">
        <w:rPr>
          <w:rFonts w:cstheme="minorHAnsi"/>
        </w:rPr>
        <w:fldChar w:fldCharType="end"/>
      </w:r>
      <w:r w:rsidRPr="00E47369">
        <w:rPr>
          <w:rFonts w:cstheme="minorHAnsi"/>
        </w:rPr>
        <w:t xml:space="preserve"> have been used in H-transfer reactions, including </w:t>
      </w:r>
      <w:r w:rsidRPr="00E47369">
        <w:rPr>
          <w:rFonts w:cstheme="minorHAnsi"/>
          <w:color w:val="000000" w:themeColor="text1"/>
        </w:rPr>
        <w:t>heterogeneous hydrogenation,</w:t>
      </w:r>
      <w:r w:rsidRPr="00E47369">
        <w:rPr>
          <w:rFonts w:cstheme="minorHAnsi"/>
          <w:color w:val="000000" w:themeColor="text1"/>
        </w:rPr>
        <w:fldChar w:fldCharType="begin"/>
      </w:r>
      <w:r w:rsidRPr="00E47369">
        <w:rPr>
          <w:rFonts w:cstheme="minorHAnsi"/>
          <w:color w:val="000000" w:themeColor="text1"/>
        </w:rPr>
        <w:instrText xml:space="preserve"> ADDIN ZOTERO_ITEM CSL_CITATION {"citationID":"2n7ots7885","properties":{"formattedCitation":"{\\rtf \\super 95,96\\nosupersub{}}","plainCitation":"95,96"},"citationItems":[{"id":168,"uris":["http://zotero.org/users/1624234/items/BDCSRE2A"],"uri":["http://zotero.org/users/1624234/items/BDCSRE2A"],"itemData":{"id":168,"type":"article-journal","title":"Transfer hydrogenation and transfer hydrogenolysis: VIII. Hydrogen transfer from amines to olefins catalyzed by heterogeneous and homogeneous catalysts","container-title":"Journal of Catalysis","page":"249-257","volume":"41","issue":"2","source":"ScienceDirect","abstract":"It was found that Pd-carbon, Pd-asbestos, and Pd-black have high catalytic activity in the hydrogen transfer from indoline to cycloheptene. RuCl2(PPh3)3, RhCl3 · 2H2O, IrCl3, (NH4)2PdCl4, and RhH(PPh3)4 also showed high activity. The hydrogen-donating ability of organic compounds in the hydrogen transfer reaction catalyzed by Pd-carbon decreased in the order: indoline &amp;gt; formic acid &amp;gt; tetrahydroquinoline &amp;gt; piperidine &amp;gt; pyrrolidine &amp;gt; cyclohexene &amp;gt; N-methylpyrrolidine &amp;gt; di-n-propylamine &amp;gt; d,l-limonene &amp;gt; 1,2-dihydronaphthalene, etc. Though monoenes were hydrogenated efficiently, 1,3- and 1,5-cyclooctadiene were reduced to cyclooctene in high selectivity. The initial rate of the hydrogen transfer from indoline to cycloheptene was proportional to the amine concentration at first and then became independent of the amine concentration. The rate showed a maximum when the olefin concentration was varied. This result indicates the poisoning effect of the olefin.","DOI":"10.1016/0021-9517(76)90340-7","ISSN":"0021-9517","shortTitle":"Transfer hydrogenation and transfer hydrogenolysis","journalAbbreviation":"Journal of Catalysis","author":[{"family":"Nishiguchi","given":"Takeshi"},{"family":"Imai","given":"Hideaki"},{"family":"Hirose","given":"Yoshikazu"},{"family":"Fukuzumi","given":"Kazuo"}],"issued":{"date-parts":[["1976"]],"season":"février"}}},{"id":149,"uris":["http://zotero.org/users/1624234/items/9JHDD8CT"],"uri":["http://zotero.org/users/1624234/items/9JHDD8CT"],"itemData":{"id":149,"type":"article-journal","title":"Production of H2 from Combined Endothermic and Exothermic Hydrogen Carriers","container-title":"Journal of the American Chemical Society","page":"17195-17203","volume":"130","issue":"50","source":"ACS Publications","abstract":"One of the major limitations to the use of fuel cell systems in vehicular transportation is the lack of hydrogen storage systems that have the required hydrogen storage density and moderate enthalpy of dehydrogenation. Organic liquid H2 carriers that release H2 endothermically are easier to handle with existing infrastructure because they are liquids, but they have low storage densities and their endothermicity consumes energy in the vehicle. On the other hand, inorganic solid H2 carriers that release H2 exothermically have greater storage densities but are unpumpable solids. This paper explores combinations of an endothermic carrier and an exothermic carrier, where the exothermic carrier provides some or all of the necessary heat required for dehydrogenation to the endothermic system, and the endothermic carrier serves as a solvent for the exothermic carrier. The two carriers can be either physically mixed or actually bonded to each other. To test the latter strategy, a number of chemically bound N-heterocycle:BH3 adducts were synthesized and in turn tested for their ability to release H2 by tandem hydrolysis of the BH3 moiety and dehydrogenation of the heterocycle. To test the strategy of physically mixing two carriers, the hydrolysis of a variety of amine-boranes (H3N:BH3, Me2HN:BH3, Et3N:BH3) and the catalytic dehydrogenation of indoline were carried out together.","DOI":"10.1021/ja806721s","ISSN":"0002-7863","journalAbbreviation":"J. Am. Chem. Soc.","author":[{"family":"Wechsler","given":"Dominik"},{"family":"Cui","given":"Yi"},{"family":"Dean","given":"Darrell"},{"family":"Davis","given":"Boyd"},{"family":"Jessop","given":"Philip G."}],"issued":{"date-parts":[["2008"]],"season":"décembre"}}}],"schema":"https://github.com/citation-style-language/schema/raw/master/csl-citation.json"} </w:instrText>
      </w:r>
      <w:r w:rsidRPr="00E47369">
        <w:rPr>
          <w:rFonts w:cstheme="minorHAnsi"/>
          <w:color w:val="000000" w:themeColor="text1"/>
        </w:rPr>
        <w:fldChar w:fldCharType="separate"/>
      </w:r>
      <w:r w:rsidRPr="00E47369">
        <w:rPr>
          <w:rFonts w:cstheme="minorHAnsi"/>
          <w:sz w:val="22"/>
          <w:vertAlign w:val="superscript"/>
        </w:rPr>
        <w:t>95,96</w:t>
      </w:r>
      <w:r w:rsidRPr="00E47369">
        <w:rPr>
          <w:rFonts w:cstheme="minorHAnsi"/>
          <w:color w:val="000000" w:themeColor="text1"/>
        </w:rPr>
        <w:fldChar w:fldCharType="end"/>
      </w:r>
      <w:r w:rsidRPr="00E47369">
        <w:rPr>
          <w:rFonts w:cstheme="minorHAnsi"/>
          <w:color w:val="000000" w:themeColor="text1"/>
        </w:rPr>
        <w:t xml:space="preserve"> hydrogenolysis of aralkyl- and aryl-oxygen and -nitrogen bonds</w:t>
      </w:r>
      <w:r w:rsidRPr="00E47369">
        <w:rPr>
          <w:rFonts w:cstheme="minorHAnsi"/>
          <w:color w:val="000000" w:themeColor="text1"/>
        </w:rPr>
        <w:fldChar w:fldCharType="begin"/>
      </w:r>
      <w:r w:rsidRPr="00E47369">
        <w:rPr>
          <w:rFonts w:cstheme="minorHAnsi"/>
          <w:color w:val="000000" w:themeColor="text1"/>
        </w:rPr>
        <w:instrText xml:space="preserve"> ADDIN ZOTERO_ITEM CSL_CITATION {"citationID":"1sfuhbo9gg","properties":{"formattedCitation":"{\\rtf \\super 97\\nosupersub{}}","plainCitation":"97"},"citationItems":[{"id":218,"uris":["http://zotero.org/users/1624234/items/ESIQGNRR"],"uri":["http://zotero.org/users/1624234/items/ESIQGNRR"],"itemData":{"id":218,"type":"article-journal","title":"Cleavage of Aralyl and Oxygen Nitrogen Bonds by the Hydrogen Transfer from Organic Compounds Catalyzed by Noble Metal Salts","container-title":"Chemistry Letters","page":"1113-1114","volume":"6","issue":"9","source":"J-Stage","abstract":"Aralkyl– and aryl–oxygen bonds of ethers, esters, and alcohols, and aralkyl– and aryl–nitrogen bonds of amines, an imide and an amide were hydrogenolyzed by the hydrogen transfer from organic compounds such as indoline in the presence of some noble metal salts. In these reactions, not only benzyl group but phenethyl and phenyl group were removed.","DOI":"10.1246/cl.1977.1113","author":[{"family":"Nishiguchi","given":"Takeshi"},{"family":"Imai","given":"Hideaki"},{"family":"Fukuzumi","given":"Kazuo"}],"issued":{"date-parts":[["1977"]]}}}],"schema":"https://github.com/citation-style-language/schema/raw/master/csl-citation.json"} </w:instrText>
      </w:r>
      <w:r w:rsidRPr="00E47369">
        <w:rPr>
          <w:rFonts w:cstheme="minorHAnsi"/>
          <w:color w:val="000000" w:themeColor="text1"/>
        </w:rPr>
        <w:fldChar w:fldCharType="separate"/>
      </w:r>
      <w:r w:rsidRPr="00E47369">
        <w:rPr>
          <w:rFonts w:cstheme="minorHAnsi"/>
          <w:sz w:val="22"/>
          <w:vertAlign w:val="superscript"/>
        </w:rPr>
        <w:t>97</w:t>
      </w:r>
      <w:r w:rsidRPr="00E47369">
        <w:rPr>
          <w:rFonts w:cstheme="minorHAnsi"/>
          <w:color w:val="000000" w:themeColor="text1"/>
        </w:rPr>
        <w:fldChar w:fldCharType="end"/>
      </w:r>
      <w:r w:rsidRPr="00E47369">
        <w:rPr>
          <w:rFonts w:cstheme="minorHAnsi"/>
          <w:color w:val="000000" w:themeColor="text1"/>
        </w:rPr>
        <w:t xml:space="preserve"> and light-driven alkane dehydrogenation.</w:t>
      </w:r>
      <w:r w:rsidRPr="00E47369">
        <w:rPr>
          <w:rFonts w:cstheme="minorHAnsi"/>
          <w:color w:val="000000" w:themeColor="text1"/>
        </w:rPr>
        <w:fldChar w:fldCharType="begin"/>
      </w:r>
      <w:r w:rsidRPr="00E47369">
        <w:rPr>
          <w:rFonts w:cstheme="minorHAnsi"/>
          <w:color w:val="000000" w:themeColor="text1"/>
        </w:rPr>
        <w:instrText xml:space="preserve"> ADDIN ZOTERO_ITEM CSL_CITATION {"citationID":"1ogqgqf130","properties":{"formattedCitation":"{\\rtf \\super 98\\nosupersub{}}","plainCitation":"98"},"citationItems":[{"id":199,"uris":["http://zotero.org/users/1624234/items/D8K6SDBV"],"uri":["http://zotero.org/users/1624234/items/D8K6SDBV"],"itemData":{"id":199,"type":"article-journal","title":"Towards a Practical Development of Light-Driven Acceptorless Alkane Dehydrogenation","container-title":"Angewandte Chemie International Edition","page":"6477-6481","volume":"53","issue":"25","source":"Wiley Online Library","abstract":"The efficient catalytic dehydrogenation of alkanes to olefins is one of the most investigated reactions in organic synthesis. In the coming years, an increased supply of shorter-chain alkanes from natural and shale gas will offer new opportunities for inexpensive carbon feedstock through such dehydrogenation processes. Existing methods for alkane dehydrogenation using heterogeneous catalysts require harsh reaction conditions and have a lack of selectivity, whereas homogeneous catalysis methods result in significant waste generation. A strong need exists for atom-efficient alkane dehydrogenations on a useful scale. Herein, we have developed improved acceptorless catalytic systems under optimal light transmittance conditions using trans-[Rh(PMe3)2(CO)Cl] as the catalyst with different additives. Unprecedented catalyst turnover numbers are obtained for the dehydrogenation of cyclic and linear (from C4) alkanes and liquid organic hydrogen carriers. These reactions proceed with unique conversion, thereby providing a basis for practical alkane dehydrogenations.","DOI":"10.1002/anie.201402287","ISSN":"1521-3773","journalAbbreviation":"Angew. Chem. Int. Ed.","language":"en","author":[{"family":"Chowdhury","given":"Abhishek Dutta"},{"family":"Weding","given":"Nico"},{"family":"Julis","given":"Jennifer"},{"family":"Franke","given":"Robert"},{"family":"Jackstell","given":"Ralf"},{"family":"Beller","given":"Matthias"}],"issued":{"date-parts":[["2014"]],"season":"juin"}}}],"schema":"https://github.com/citation-style-language/schema/raw/master/csl-citation.json"} </w:instrText>
      </w:r>
      <w:r w:rsidRPr="00E47369">
        <w:rPr>
          <w:rFonts w:cstheme="minorHAnsi"/>
          <w:color w:val="000000" w:themeColor="text1"/>
        </w:rPr>
        <w:fldChar w:fldCharType="separate"/>
      </w:r>
      <w:r w:rsidRPr="00E47369">
        <w:rPr>
          <w:rFonts w:cstheme="minorHAnsi"/>
          <w:sz w:val="22"/>
          <w:vertAlign w:val="superscript"/>
        </w:rPr>
        <w:t>98</w:t>
      </w:r>
      <w:r w:rsidRPr="00E47369">
        <w:rPr>
          <w:rFonts w:cstheme="minorHAnsi"/>
          <w:color w:val="000000" w:themeColor="text1"/>
        </w:rPr>
        <w:fldChar w:fldCharType="end"/>
      </w:r>
      <w:r w:rsidRPr="00E47369">
        <w:rPr>
          <w:rFonts w:cstheme="minorHAnsi"/>
          <w:color w:val="000000" w:themeColor="text1"/>
        </w:rPr>
        <w:t xml:space="preserve"> In most of these studies indoline also showed high activity as a hydrogen donor. Computational and thermodynamic studies indicate an energetic driving force for the indoline</w:t>
      </w:r>
      <w:r w:rsidRPr="00E47369">
        <w:rPr>
          <w:rFonts w:cstheme="minorHAnsi"/>
        </w:rPr>
        <w:t>/indole conversion ascribed to the gain of heteroaromatic stabilization, but little is known about the mechanism of H-transfer.</w:t>
      </w:r>
      <w:r w:rsidRPr="00E47369">
        <w:rPr>
          <w:rFonts w:cstheme="minorHAnsi"/>
        </w:rPr>
        <w:fldChar w:fldCharType="begin"/>
      </w:r>
      <w:r w:rsidRPr="00E47369">
        <w:rPr>
          <w:rFonts w:cstheme="minorHAnsi"/>
        </w:rPr>
        <w:instrText xml:space="preserve"> ADDIN ZOTERO_ITEM CSL_CITATION {"citationID":"csfph1bnj","properties":{"formattedCitation":"{\\rtf \\super 75,97\\nosupersub{}}","plainCitation":"75,97"},"citationItems":[{"id":300,"uris":["http://zotero.org/users/1624234/items/KFUJNW4T"],"uri":["http://zotero.org/users/1624234/items/KFUJNW4T"],"itemData":{"id":300,"type":"article-journal","title":"Catalysed low temperature H2 release from nitrogen heterocycles","container-title":"New Journal of Chemistry","page":"1675-1678","volume":"30","issue":"11","source":"pubs.rsc.org","abstract":"In an experimental and computational study, nitrogen- and oxygen-containing heterocycles were compared with carbocycles as liquid substrates for hydrogen release with heterogeneous catalysts. Heteroatom substitution, particularly by nitrogen, favours low temperature H2 release; indoline was fully dehydrogenated in less than 30 min with Pd/C at 110 °C.","DOI":"10.1039/B608914C","ISSN":"1369-9261","journalAbbreviation":"New J. Chem.","language":"en","author":[{"family":"Moores","given":"Audrey"},{"family":"Poyatos","given":"Macarena"},{"family":"Luo","given":"Yi"},{"family":"Crabtree","given":"Robert H."}],"issued":{"date-parts":[["2006",11,8]]}}},{"id":218,"uris":["http://zotero.org/users/1624234/items/ESIQGNRR"],"uri":["http://zotero.org/users/1624234/items/ESIQGNRR"],"itemData":{"id":218,"type":"article-journal","title":"Cleavage of Aralyl and Oxygen Nitrogen Bonds by the Hydrogen Transfer from Organic Compounds Catalyzed by Noble Metal Salts","container-title":"Chemistry Letters","page":"1113-1114","volume":"6","issue":"9","source":"J-Stage","abstract":"Aralkyl– and aryl–oxygen bonds of ethers, esters, and alcohols, and aralkyl– and aryl–nitrogen bonds of amines, an imide and an amide were hydrogenolyzed by the hydrogen transfer from organic compounds such as indoline in the presence of some noble metal salts. In these reactions, not only benzyl group but phenethyl and phenyl group were removed.","DOI":"10.1246/cl.1977.1113","author":[{"family":"Nishiguchi","given":"Takeshi"},{"family":"Imai","given":"Hideaki"},{"family":"Fukuzumi","given":"Kazuo"}],"issued":{"date-parts":[["1977"]]}}}],"schema":"https://github.com/citation-style-language/schema/raw/master/csl-citation.json"} </w:instrText>
      </w:r>
      <w:r w:rsidRPr="00E47369">
        <w:rPr>
          <w:rFonts w:cstheme="minorHAnsi"/>
        </w:rPr>
        <w:fldChar w:fldCharType="separate"/>
      </w:r>
      <w:r w:rsidRPr="00E47369">
        <w:rPr>
          <w:rFonts w:cstheme="minorHAnsi"/>
          <w:sz w:val="22"/>
          <w:vertAlign w:val="superscript"/>
        </w:rPr>
        <w:t>75,97</w:t>
      </w:r>
      <w:r w:rsidRPr="00E47369">
        <w:rPr>
          <w:rFonts w:cstheme="minorHAnsi"/>
        </w:rPr>
        <w:fldChar w:fldCharType="end"/>
      </w:r>
    </w:p>
    <w:p w14:paraId="6263F949" w14:textId="77777777" w:rsidR="00A651D8" w:rsidRPr="00E47369" w:rsidRDefault="00A651D8" w:rsidP="00A651D8">
      <w:pPr>
        <w:jc w:val="both"/>
        <w:rPr>
          <w:rFonts w:cstheme="minorHAnsi"/>
        </w:rPr>
      </w:pPr>
    </w:p>
    <w:p w14:paraId="305F4C06" w14:textId="682BBD80" w:rsidR="00A651D8" w:rsidRPr="00E47369" w:rsidRDefault="00A651D8" w:rsidP="00BA0582">
      <w:pPr>
        <w:pStyle w:val="Heading2"/>
      </w:pPr>
      <w:bookmarkStart w:id="139" w:name="_Toc453571132"/>
      <w:bookmarkStart w:id="140" w:name="_Toc458938282"/>
      <w:r w:rsidRPr="00E47369">
        <w:t xml:space="preserve">Mechanistic </w:t>
      </w:r>
      <w:r w:rsidR="00D717AF">
        <w:t>S</w:t>
      </w:r>
      <w:r w:rsidRPr="00E47369">
        <w:t>tudy of Indoline-</w:t>
      </w:r>
      <w:r w:rsidR="001539C6" w:rsidRPr="001539C6">
        <w:rPr>
          <w:rFonts w:cstheme="minorHAnsi"/>
          <w:color w:val="000000" w:themeColor="text1"/>
        </w:rPr>
        <w:t xml:space="preserve">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t xml:space="preserve"> </w:t>
      </w:r>
      <w:r w:rsidR="00D717AF">
        <w:t>I</w:t>
      </w:r>
      <w:r w:rsidRPr="00E47369">
        <w:t>nteractions</w:t>
      </w:r>
      <w:bookmarkEnd w:id="139"/>
      <w:bookmarkEnd w:id="140"/>
    </w:p>
    <w:p w14:paraId="52F4483D" w14:textId="24D8510E" w:rsidR="00A651D8" w:rsidRPr="00E47369" w:rsidRDefault="00A651D8" w:rsidP="006042D0">
      <w:pPr>
        <w:ind w:firstLine="360"/>
        <w:jc w:val="both"/>
        <w:rPr>
          <w:rFonts w:cstheme="minorHAnsi"/>
        </w:rPr>
      </w:pPr>
      <w:r w:rsidRPr="00E47369">
        <w:rPr>
          <w:rFonts w:cstheme="minorHAnsi"/>
        </w:rPr>
        <w:t xml:space="preserve">The high efficiency of indoline-driven DODH reaction and the established affinity of amines for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rPr>
          <w:rFonts w:cstheme="minorHAnsi"/>
        </w:rPr>
        <w:fldChar w:fldCharType="begin"/>
      </w:r>
      <w:r w:rsidRPr="00E47369">
        <w:rPr>
          <w:rFonts w:cstheme="minorHAnsi"/>
        </w:rPr>
        <w:instrText xml:space="preserve"> ADDIN ZOTERO_ITEM CSL_CITATION {"citationID":"v3pintlv1","properties":{"formattedCitation":"{\\rtf \\super 99\\nosupersub{}}","plainCitation":"99"},"citationItems":[{"id":103,"uris":["http://zotero.org/users/1624234/items/72ICNVVI"],"uri":["http://zotero.org/users/1624234/items/72ICNVVI"],"itemData":{"id":103,"type":"article-journal","title":"Mehrfachbindungen zwischen hauptgruppenelementen und übergangsmetallen: LXVII. Zur kenntnis der “metallsäure” methyl(trioxo)rhenium(VII): adduktbildung mit amin-basen und aromaten. die struktur des anilin-komplexes CH3ReO3·H2NC6H5","container-title":"Journal of Organometallic Chemistry","page":"371-389","volume":"372","issue":"3","source":"ScienceDirect","abstract":"The organometallic oxide methyl(trioxo)rhenium(VII), CH3ReO3 (1), a Lewis acidic 14e system, forms adducts of composition [CH3ReO3] · L (2) with a large number of nitrogen bases. The aniline derivative CH3ReO3 · H2NC6H5 (2b) shows an uncommon structure in the crystalline state (single crystal X-ray diffraction study, −60°C), in that the two-dimensional infinite architecture is defined by hydrogen bridges of varying lengths between the isomeric units A and B. The compound 1 combines with bidentate nitrogen ligands (L</w:instrText>
      </w:r>
      <w:r w:rsidRPr="00E47369">
        <w:rPr>
          <w:rFonts w:ascii="Cambria Math" w:hAnsi="Cambria Math" w:cs="Cambria Math"/>
        </w:rPr>
        <w:instrText>⋯</w:instrText>
      </w:r>
      <w:r w:rsidRPr="00E47369">
        <w:rPr>
          <w:rFonts w:cstheme="minorHAnsi"/>
        </w:rPr>
        <w:instrText>L) to give compounds of composition [CH3ReO3] · (L</w:instrText>
      </w:r>
      <w:r w:rsidRPr="00E47369">
        <w:rPr>
          <w:rFonts w:ascii="Cambria Math" w:hAnsi="Cambria Math" w:cs="Cambria Math"/>
        </w:rPr>
        <w:instrText>⋯</w:instrText>
      </w:r>
      <w:r w:rsidRPr="00E47369">
        <w:rPr>
          <w:rFonts w:cstheme="minorHAnsi"/>
        </w:rPr>
        <w:instrText>L) (3) or [CH3ReO3]2 · (L</w:instrText>
      </w:r>
      <w:r w:rsidRPr="00E47369">
        <w:rPr>
          <w:rFonts w:ascii="Cambria Math" w:hAnsi="Cambria Math" w:cs="Cambria Math"/>
        </w:rPr>
        <w:instrText>⋯</w:instrText>
      </w:r>
      <w:r w:rsidRPr="00E47369">
        <w:rPr>
          <w:rFonts w:cstheme="minorHAnsi"/>
        </w:rPr>
        <w:instrText>L) (4), where the stoichiometry of the product is primarily influenced by the pattern and degree of substitution at the nitrogen atoms. As a rule two primary amine functions entail N,N′-chelate complexes of type 3, while tertiary amines exclusively form 2 : 1-adducts of type 4. Most of these adducts show dynamic behaviour in solution, detectable by means of 1H and 17O NMR spectroscopy. If isolation of the adducts is possible, practically quantitative yields are achieved.\nZusammenfassung\nDas Organometalloxid Methyl(trioxo)rhenium(VII), CH3ReO3 (1), ist als 14e-System eine Lewis-Säure und bildet deshalb mit einer Vielzahl von Stickstoffbasen Verbindungen der Zusammensetzung [CH3ReO3] · L (2). Für doe Kristallstruktur des Anilin-Derivats CH3ReO3 · H2NC6H5 (2b) ist eine ungewöhnliche polymere Schichtstruktur nachgewiesen (Einkristall-Röntgenbeugung, −60°C), deren zweidimensionaler Aufbau durch Wasserstoff-Brückenbindungen wechselnder Länge zwischen isomeren Molekülen A and B definiert ist. Mit zweizähnigen Stickstoffliganden L</w:instrText>
      </w:r>
      <w:r w:rsidRPr="00E47369">
        <w:rPr>
          <w:rFonts w:ascii="Cambria Math" w:hAnsi="Cambria Math" w:cs="Cambria Math"/>
        </w:rPr>
        <w:instrText>⋯</w:instrText>
      </w:r>
      <w:r w:rsidRPr="00E47369">
        <w:rPr>
          <w:rFonts w:cstheme="minorHAnsi"/>
        </w:rPr>
        <w:instrText>L ergibt Komplex 1 Verbindungen der Zusammensetzung [CH3ReO3]·(L</w:instrText>
      </w:r>
      <w:r w:rsidRPr="00E47369">
        <w:rPr>
          <w:rFonts w:ascii="Cambria Math" w:hAnsi="Cambria Math" w:cs="Cambria Math"/>
        </w:rPr>
        <w:instrText>⋯</w:instrText>
      </w:r>
      <w:r w:rsidRPr="00E47369">
        <w:rPr>
          <w:rFonts w:cstheme="minorHAnsi"/>
        </w:rPr>
        <w:instrText>L) (3) oder [CH3ReO3]2·(L</w:instrText>
      </w:r>
      <w:r w:rsidRPr="00E47369">
        <w:rPr>
          <w:rFonts w:ascii="Cambria Math" w:hAnsi="Cambria Math" w:cs="Cambria Math"/>
        </w:rPr>
        <w:instrText>⋯</w:instrText>
      </w:r>
      <w:r w:rsidRPr="00E47369">
        <w:rPr>
          <w:rFonts w:cstheme="minorHAnsi"/>
        </w:rPr>
        <w:instrText xml:space="preserve">L) (4), wobei die Stöchiometrie des Reaktionsprodukts in erster Linie durch Anordnung sowie Substitutionsgrad und -muster der beiden Stickstoffatome bestimmt wird. Allgemein neigen zwei primäre Aminofunktionen zur N,N′-Chelatbildung (Verbindungstyp 3), während tertiäre Amine ausschließlich die 2 : 1-Addukte der Verbindungsklasse 4 bilden. Die meisten Addukte zeigen in Lösung dynamisches Verhalten, das mit Hilfe 1H- und 17O-NMR-spektroskopischer Methoden aufgeklärt werden kann. Wenn sich die Addukte in substanz isolieren lassen, dann sind sie in praktisch quantitativen Reinausbeuten erhältlich.","DOI":"10.1016/0022-328X(89)87230-4","ISSN":"0022-328X","shortTitle":"Mehrfachbindungen zwischen hauptgruppenelementen und übergangsmetallen","journalAbbreviation":"Journal of Organometallic Chemistry","author":[{"family":"Herrmann","given":"Wolfgang A."},{"family":"Weichselbaumer","given":"Georg"},{"family":"Herdtweck","given":"Eberhardt"}],"issued":{"date-parts":[["1989"]],"season":"août"}}}],"schema":"https://github.com/citation-style-language/schema/raw/master/csl-citation.json"} </w:instrText>
      </w:r>
      <w:r w:rsidRPr="00E47369">
        <w:rPr>
          <w:rFonts w:cstheme="minorHAnsi"/>
        </w:rPr>
        <w:fldChar w:fldCharType="separate"/>
      </w:r>
      <w:r w:rsidRPr="00E47369">
        <w:rPr>
          <w:rFonts w:cstheme="minorHAnsi"/>
          <w:sz w:val="22"/>
          <w:vertAlign w:val="superscript"/>
        </w:rPr>
        <w:t>99</w:t>
      </w:r>
      <w:r w:rsidRPr="00E47369">
        <w:rPr>
          <w:rFonts w:cstheme="minorHAnsi"/>
        </w:rPr>
        <w:fldChar w:fldCharType="end"/>
      </w:r>
      <w:r w:rsidRPr="00E47369">
        <w:rPr>
          <w:rFonts w:cstheme="minorHAnsi"/>
        </w:rPr>
        <w:t xml:space="preserve">, prompted us to investigate the interaction of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rPr>
          <w:rFonts w:cstheme="minorHAnsi"/>
        </w:rPr>
        <w:t xml:space="preserve"> with indoline. The addition of a stoichiometric amount of indoline to a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rPr>
          <w:rFonts w:cstheme="minorHAnsi"/>
        </w:rPr>
        <w:t xml:space="preserve"> solution at room temperature results in a rapid color change from colorless to yellow or green (λ </w:t>
      </w:r>
      <w:r w:rsidRPr="00E47369">
        <w:rPr>
          <w:rFonts w:cstheme="minorHAnsi"/>
          <w:color w:val="000000" w:themeColor="text1"/>
        </w:rPr>
        <w:t xml:space="preserve">656 nm) depending on the concentration. The </w:t>
      </w:r>
      <w:r w:rsidRPr="00E47369">
        <w:rPr>
          <w:rFonts w:cstheme="minorHAnsi"/>
          <w:color w:val="000000" w:themeColor="text1"/>
          <w:vertAlign w:val="superscript"/>
        </w:rPr>
        <w:t>1</w:t>
      </w:r>
      <w:r w:rsidRPr="00E47369">
        <w:rPr>
          <w:rFonts w:cstheme="minorHAnsi"/>
          <w:color w:val="000000" w:themeColor="text1"/>
        </w:rPr>
        <w:t>H NMR spectrum of the mixture shows significant shifting of the indoline and Me-Re resonances and the Re=O IR absorption is also shifted lower by 33 cm</w:t>
      </w:r>
      <w:r w:rsidRPr="00E47369">
        <w:rPr>
          <w:rFonts w:cstheme="minorHAnsi"/>
          <w:color w:val="000000" w:themeColor="text1"/>
          <w:vertAlign w:val="superscript"/>
        </w:rPr>
        <w:t>-1</w:t>
      </w:r>
      <w:r w:rsidRPr="00E47369">
        <w:rPr>
          <w:rFonts w:cstheme="minorHAnsi"/>
          <w:color w:val="000000" w:themeColor="text1"/>
        </w:rPr>
        <w:t xml:space="preserve"> (</w:t>
      </w:r>
      <w:r w:rsidRPr="00E47369">
        <w:rPr>
          <w:rFonts w:cstheme="minorHAnsi"/>
          <w:color w:val="000000" w:themeColor="text1"/>
        </w:rPr>
        <w:fldChar w:fldCharType="begin"/>
      </w:r>
      <w:r w:rsidRPr="00E47369">
        <w:rPr>
          <w:rFonts w:cstheme="minorHAnsi"/>
          <w:color w:val="000000" w:themeColor="text1"/>
        </w:rPr>
        <w:instrText xml:space="preserve"> REF _Ref451762988 \h </w:instrText>
      </w:r>
      <w:r w:rsidR="00E47369">
        <w:rPr>
          <w:rFonts w:cstheme="minorHAnsi"/>
          <w:color w:val="000000" w:themeColor="text1"/>
        </w:rPr>
        <w:instrText xml:space="preserve"> \* MERGEFORMAT </w:instrText>
      </w:r>
      <w:r w:rsidRPr="00E47369">
        <w:rPr>
          <w:rFonts w:cstheme="minorHAnsi"/>
          <w:color w:val="000000" w:themeColor="text1"/>
        </w:rPr>
      </w:r>
      <w:r w:rsidRPr="00E47369">
        <w:rPr>
          <w:rFonts w:cstheme="minorHAnsi"/>
          <w:color w:val="000000" w:themeColor="text1"/>
        </w:rPr>
        <w:fldChar w:fldCharType="separate"/>
      </w:r>
      <w:r w:rsidR="000A0E3D" w:rsidRPr="000A0E3D">
        <w:rPr>
          <w:rFonts w:cstheme="minorHAnsi"/>
        </w:rPr>
        <w:t xml:space="preserve">Figure II. </w:t>
      </w:r>
      <w:r w:rsidR="000A0E3D" w:rsidRPr="000A0E3D">
        <w:rPr>
          <w:rFonts w:cstheme="minorHAnsi"/>
          <w:noProof/>
        </w:rPr>
        <w:t>4.1</w:t>
      </w:r>
      <w:r w:rsidRPr="00E47369">
        <w:rPr>
          <w:rFonts w:cstheme="minorHAnsi"/>
          <w:color w:val="000000" w:themeColor="text1"/>
        </w:rPr>
        <w:fldChar w:fldCharType="end"/>
      </w:r>
      <w:r w:rsidRPr="00E47369">
        <w:rPr>
          <w:rFonts w:cstheme="minorHAnsi"/>
          <w:color w:val="000000" w:themeColor="text1"/>
        </w:rPr>
        <w:t xml:space="preserve">). The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rPr>
          <w:rFonts w:cstheme="minorHAnsi"/>
          <w:color w:val="000000" w:themeColor="text1"/>
        </w:rPr>
        <w:t xml:space="preserve">-indoline adduct </w:t>
      </w:r>
      <w:r w:rsidRPr="00E47369">
        <w:rPr>
          <w:rFonts w:cstheme="minorHAnsi"/>
          <w:b/>
          <w:color w:val="000000" w:themeColor="text1"/>
        </w:rPr>
        <w:t>4</w:t>
      </w:r>
      <w:r w:rsidRPr="00E47369">
        <w:rPr>
          <w:rFonts w:cstheme="minorHAnsi"/>
          <w:color w:val="000000" w:themeColor="text1"/>
        </w:rPr>
        <w:t xml:space="preserve"> was isolated </w:t>
      </w:r>
      <w:r w:rsidR="00D8117C">
        <w:rPr>
          <w:rFonts w:cstheme="minorHAnsi"/>
          <w:color w:val="000000" w:themeColor="text1"/>
        </w:rPr>
        <w:t xml:space="preserve">as crystals by slow </w:t>
      </w:r>
      <w:r w:rsidR="00D8117C" w:rsidRPr="00D8117C">
        <w:rPr>
          <w:rFonts w:cstheme="minorHAnsi"/>
          <w:color w:val="000000" w:themeColor="text1"/>
        </w:rPr>
        <w:t>evaporation</w:t>
      </w:r>
      <w:r w:rsidR="00D8117C">
        <w:rPr>
          <w:rFonts w:cstheme="minorHAnsi"/>
          <w:color w:val="000000" w:themeColor="text1"/>
        </w:rPr>
        <w:t xml:space="preserve"> of the solvent (benzene) </w:t>
      </w:r>
      <w:r w:rsidRPr="00E47369">
        <w:rPr>
          <w:rFonts w:cstheme="minorHAnsi"/>
          <w:color w:val="000000" w:themeColor="text1"/>
        </w:rPr>
        <w:t>and structurally characterized by X-ray diffraction (</w:t>
      </w:r>
      <w:r w:rsidRPr="00E47369">
        <w:rPr>
          <w:rFonts w:cstheme="minorHAnsi"/>
          <w:color w:val="000000" w:themeColor="text1"/>
        </w:rPr>
        <w:fldChar w:fldCharType="begin"/>
      </w:r>
      <w:r w:rsidRPr="00E47369">
        <w:rPr>
          <w:rFonts w:cstheme="minorHAnsi"/>
          <w:color w:val="000000" w:themeColor="text1"/>
        </w:rPr>
        <w:instrText xml:space="preserve"> REF _Ref451763085 \h </w:instrText>
      </w:r>
      <w:r w:rsidR="00E47369">
        <w:rPr>
          <w:rFonts w:cstheme="minorHAnsi"/>
          <w:color w:val="000000" w:themeColor="text1"/>
        </w:rPr>
        <w:instrText xml:space="preserve"> \* MERGEFORMAT </w:instrText>
      </w:r>
      <w:r w:rsidRPr="00E47369">
        <w:rPr>
          <w:rFonts w:cstheme="minorHAnsi"/>
          <w:color w:val="000000" w:themeColor="text1"/>
        </w:rPr>
      </w:r>
      <w:r w:rsidRPr="00E47369">
        <w:rPr>
          <w:rFonts w:cstheme="minorHAnsi"/>
          <w:color w:val="000000" w:themeColor="text1"/>
        </w:rPr>
        <w:fldChar w:fldCharType="separate"/>
      </w:r>
      <w:r w:rsidR="000A0E3D" w:rsidRPr="000A0E3D">
        <w:rPr>
          <w:rFonts w:cstheme="minorHAnsi"/>
        </w:rPr>
        <w:t xml:space="preserve">Figure II. </w:t>
      </w:r>
      <w:r w:rsidR="000A0E3D" w:rsidRPr="000A0E3D">
        <w:rPr>
          <w:rFonts w:cstheme="minorHAnsi"/>
          <w:noProof/>
        </w:rPr>
        <w:t>4.2</w:t>
      </w:r>
      <w:r w:rsidRPr="00E47369">
        <w:rPr>
          <w:rFonts w:cstheme="minorHAnsi"/>
          <w:color w:val="000000" w:themeColor="text1"/>
        </w:rPr>
        <w:fldChar w:fldCharType="end"/>
      </w:r>
      <w:r w:rsidR="00D8117C">
        <w:rPr>
          <w:rFonts w:cstheme="minorHAnsi"/>
          <w:color w:val="000000" w:themeColor="text1"/>
        </w:rPr>
        <w:t xml:space="preserve">) </w:t>
      </w:r>
      <w:r w:rsidR="00D8117C" w:rsidRPr="00D8117C">
        <w:rPr>
          <w:rFonts w:cstheme="minorHAnsi"/>
          <w:color w:val="000000" w:themeColor="text1"/>
        </w:rPr>
        <w:t>by Dr. Powell</w:t>
      </w:r>
      <w:r w:rsidRPr="00E47369">
        <w:rPr>
          <w:rFonts w:cstheme="minorHAnsi"/>
          <w:color w:val="000000" w:themeColor="text1"/>
        </w:rPr>
        <w:t xml:space="preserve">. The structure </w:t>
      </w:r>
      <w:r w:rsidRPr="00E47369">
        <w:rPr>
          <w:rFonts w:cstheme="minorHAnsi"/>
        </w:rPr>
        <w:t xml:space="preserve">of </w:t>
      </w:r>
      <w:r w:rsidRPr="00E47369">
        <w:rPr>
          <w:rFonts w:cstheme="minorHAnsi"/>
          <w:b/>
        </w:rPr>
        <w:t>4</w:t>
      </w:r>
      <w:r w:rsidRPr="00E47369">
        <w:rPr>
          <w:rFonts w:cstheme="minorHAnsi"/>
        </w:rPr>
        <w:t xml:space="preserve"> features a distorted trigonal bipyramidal Re center with the N-coordinated indoline unit occupying an apical position and the Me-Re is an equatorial position. </w:t>
      </w:r>
    </w:p>
    <w:p w14:paraId="00841FA2" w14:textId="77777777" w:rsidR="00A651D8" w:rsidRPr="00E47369" w:rsidRDefault="00A651D8" w:rsidP="00A651D8">
      <w:pPr>
        <w:keepNext/>
        <w:jc w:val="center"/>
        <w:rPr>
          <w:rFonts w:cstheme="minorHAnsi"/>
        </w:rPr>
      </w:pPr>
      <w:r w:rsidRPr="00E47369">
        <w:rPr>
          <w:rFonts w:cstheme="minorHAnsi"/>
          <w:noProof/>
          <w:lang w:bidi="ar-SA"/>
        </w:rPr>
        <w:drawing>
          <wp:inline distT="0" distB="0" distL="0" distR="0" wp14:anchorId="349E90E8" wp14:editId="14F70392">
            <wp:extent cx="2651760" cy="168056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6" cstate="print">
                      <a:extLst>
                        <a:ext uri="{28A0092B-C50C-407E-A947-70E740481C1C}">
                          <a14:useLocalDpi xmlns:a14="http://schemas.microsoft.com/office/drawing/2010/main" val="0"/>
                        </a:ext>
                      </a:extLst>
                    </a:blip>
                    <a:srcRect t="3213"/>
                    <a:stretch/>
                  </pic:blipFill>
                  <pic:spPr bwMode="auto">
                    <a:xfrm>
                      <a:off x="0" y="0"/>
                      <a:ext cx="2651760" cy="1680568"/>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r w:rsidRPr="00E47369">
        <w:rPr>
          <w:rFonts w:cstheme="minorHAnsi"/>
          <w:noProof/>
          <w:lang w:bidi="ar-SA"/>
        </w:rPr>
        <w:drawing>
          <wp:inline distT="0" distB="0" distL="0" distR="0" wp14:anchorId="5942BF3D" wp14:editId="0583B5F2">
            <wp:extent cx="2651760" cy="1536758"/>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651760" cy="1536758"/>
                    </a:xfrm>
                    <a:prstGeom prst="rect">
                      <a:avLst/>
                    </a:prstGeom>
                    <a:noFill/>
                  </pic:spPr>
                </pic:pic>
              </a:graphicData>
            </a:graphic>
          </wp:inline>
        </w:drawing>
      </w:r>
    </w:p>
    <w:p w14:paraId="67BE4AAA" w14:textId="77777777" w:rsidR="00A651D8" w:rsidRPr="00072EEF" w:rsidRDefault="00A651D8" w:rsidP="00072EEF">
      <w:pPr>
        <w:pStyle w:val="Caption"/>
      </w:pPr>
      <w:bookmarkStart w:id="141" w:name="_Ref451762988"/>
      <w:bookmarkStart w:id="142" w:name="_Toc458938388"/>
      <w:r w:rsidRPr="00072EEF">
        <w:t xml:space="preserve">Figure II. </w:t>
      </w:r>
      <w:r w:rsidR="00443010">
        <w:fldChar w:fldCharType="begin"/>
      </w:r>
      <w:r w:rsidR="00443010">
        <w:instrText xml:space="preserve"> STYLEREF 2 \s </w:instrText>
      </w:r>
      <w:r w:rsidR="00443010">
        <w:fldChar w:fldCharType="separate"/>
      </w:r>
      <w:r w:rsidR="000A0E3D">
        <w:rPr>
          <w:noProof/>
        </w:rPr>
        <w:t>4</w:t>
      </w:r>
      <w:r w:rsidR="00443010">
        <w:rPr>
          <w:noProof/>
        </w:rPr>
        <w:fldChar w:fldCharType="end"/>
      </w:r>
      <w:r w:rsidR="000C1BF3" w:rsidRPr="00072EEF">
        <w:t>.</w:t>
      </w:r>
      <w:r w:rsidR="00443010">
        <w:fldChar w:fldCharType="begin"/>
      </w:r>
      <w:r w:rsidR="00443010">
        <w:instrText xml:space="preserve"> SEQ Figure_II. \* ARABIC \s 2 </w:instrText>
      </w:r>
      <w:r w:rsidR="00443010">
        <w:fldChar w:fldCharType="separate"/>
      </w:r>
      <w:r w:rsidR="000A0E3D">
        <w:rPr>
          <w:noProof/>
        </w:rPr>
        <w:t>1</w:t>
      </w:r>
      <w:r w:rsidR="00443010">
        <w:rPr>
          <w:noProof/>
        </w:rPr>
        <w:fldChar w:fldCharType="end"/>
      </w:r>
      <w:bookmarkEnd w:id="141"/>
      <w:r w:rsidRPr="00072EEF">
        <w:t xml:space="preserve"> </w:t>
      </w:r>
      <w:r w:rsidRPr="001539C6">
        <w:rPr>
          <w:vertAlign w:val="superscript"/>
        </w:rPr>
        <w:t>1</w:t>
      </w:r>
      <w:r w:rsidRPr="00072EEF">
        <w:t>H NMR and IR of 4</w:t>
      </w:r>
      <w:bookmarkEnd w:id="142"/>
    </w:p>
    <w:p w14:paraId="0A433A2C" w14:textId="77777777" w:rsidR="000C1BF3" w:rsidRPr="00E47369" w:rsidRDefault="000C1BF3" w:rsidP="000C1BF3">
      <w:pPr>
        <w:rPr>
          <w:rFonts w:cstheme="minorHAnsi"/>
        </w:rPr>
      </w:pPr>
    </w:p>
    <w:p w14:paraId="501B63D4" w14:textId="77777777" w:rsidR="00A651D8" w:rsidRPr="00E47369" w:rsidRDefault="00A651D8" w:rsidP="00A651D8">
      <w:pPr>
        <w:keepNext/>
        <w:jc w:val="center"/>
        <w:rPr>
          <w:rFonts w:cstheme="minorHAnsi"/>
        </w:rPr>
      </w:pPr>
      <w:r w:rsidRPr="00E47369">
        <w:rPr>
          <w:rFonts w:cstheme="minorHAnsi"/>
          <w:b/>
          <w:bCs/>
          <w:noProof/>
          <w:lang w:bidi="ar-SA"/>
        </w:rPr>
        <w:drawing>
          <wp:inline distT="0" distB="0" distL="0" distR="0" wp14:anchorId="179E3B55" wp14:editId="2C56EC8B">
            <wp:extent cx="2065326" cy="1748620"/>
            <wp:effectExtent l="0" t="0" r="0" b="4445"/>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065326" cy="1748620"/>
                    </a:xfrm>
                    <a:prstGeom prst="rect">
                      <a:avLst/>
                    </a:prstGeom>
                    <a:noFill/>
                    <a:ln>
                      <a:noFill/>
                    </a:ln>
                  </pic:spPr>
                </pic:pic>
              </a:graphicData>
            </a:graphic>
          </wp:inline>
        </w:drawing>
      </w:r>
    </w:p>
    <w:p w14:paraId="45D19E8C" w14:textId="77777777" w:rsidR="00A651D8" w:rsidRPr="00072EEF" w:rsidRDefault="00A651D8" w:rsidP="00072EEF">
      <w:pPr>
        <w:pStyle w:val="Caption"/>
      </w:pPr>
      <w:bookmarkStart w:id="143" w:name="_Ref451763085"/>
      <w:bookmarkStart w:id="144" w:name="_Toc458938389"/>
      <w:r w:rsidRPr="00072EEF">
        <w:t xml:space="preserve">Figure II. </w:t>
      </w:r>
      <w:r w:rsidR="00443010">
        <w:fldChar w:fldCharType="begin"/>
      </w:r>
      <w:r w:rsidR="00443010">
        <w:instrText xml:space="preserve"> STYLEREF 2 \s </w:instrText>
      </w:r>
      <w:r w:rsidR="00443010">
        <w:fldChar w:fldCharType="separate"/>
      </w:r>
      <w:r w:rsidR="000A0E3D">
        <w:rPr>
          <w:noProof/>
        </w:rPr>
        <w:t>4</w:t>
      </w:r>
      <w:r w:rsidR="00443010">
        <w:rPr>
          <w:noProof/>
        </w:rPr>
        <w:fldChar w:fldCharType="end"/>
      </w:r>
      <w:r w:rsidR="000C1BF3" w:rsidRPr="00072EEF">
        <w:t>.</w:t>
      </w:r>
      <w:r w:rsidR="00443010">
        <w:fldChar w:fldCharType="begin"/>
      </w:r>
      <w:r w:rsidR="00443010">
        <w:instrText xml:space="preserve"> SEQ Figure_II. \* ARABIC \s 2 </w:instrText>
      </w:r>
      <w:r w:rsidR="00443010">
        <w:fldChar w:fldCharType="separate"/>
      </w:r>
      <w:r w:rsidR="000A0E3D">
        <w:rPr>
          <w:noProof/>
        </w:rPr>
        <w:t>2</w:t>
      </w:r>
      <w:r w:rsidR="00443010">
        <w:rPr>
          <w:noProof/>
        </w:rPr>
        <w:fldChar w:fldCharType="end"/>
      </w:r>
      <w:bookmarkEnd w:id="143"/>
      <w:r w:rsidRPr="00072EEF">
        <w:t xml:space="preserve"> X-ray ORTEP diagram of MeReO</w:t>
      </w:r>
      <w:r w:rsidRPr="00072EEF">
        <w:rPr>
          <w:vertAlign w:val="subscript"/>
        </w:rPr>
        <w:t>3</w:t>
      </w:r>
      <w:r w:rsidRPr="00072EEF">
        <w:t>(indoline) (4)</w:t>
      </w:r>
      <w:bookmarkEnd w:id="144"/>
      <w:r w:rsidRPr="00072EEF">
        <w:t xml:space="preserve"> </w:t>
      </w:r>
    </w:p>
    <w:p w14:paraId="15BC353B" w14:textId="77777777" w:rsidR="00A651D8" w:rsidRPr="00E47369" w:rsidRDefault="00A651D8" w:rsidP="000C1BF3">
      <w:pPr>
        <w:pStyle w:val="Caption"/>
        <w:jc w:val="both"/>
        <w:rPr>
          <w:rFonts w:cstheme="minorHAnsi"/>
          <w:b w:val="0"/>
        </w:rPr>
      </w:pPr>
      <w:r w:rsidRPr="00E47369">
        <w:rPr>
          <w:rFonts w:cstheme="minorHAnsi"/>
          <w:b w:val="0"/>
        </w:rPr>
        <w:t>Selected bond lengths (Å) and angles (o). Re-O2 1.719(2), Re-O1 1.719(2), Re-O3 1.724(2), Re-C1 2.102(3), Re-N1 2.395(2), N-H 0.85(4); O2-Re-O1 105.01(10), O2-Re-O3 117.32(10), O1-Re-O3 106.26(10), O2-Re-C1 116.28(10), O1-Re-C1 90.03(11), O3-Re-C1 116.53(11), O2-Re-N1 78.62(9), O1-Re-N1 168.12(9).</w:t>
      </w:r>
    </w:p>
    <w:p w14:paraId="7052E023" w14:textId="77777777" w:rsidR="00A651D8" w:rsidRPr="00E47369" w:rsidRDefault="00A651D8" w:rsidP="00A651D8">
      <w:pPr>
        <w:rPr>
          <w:rFonts w:cstheme="minorHAnsi"/>
        </w:rPr>
      </w:pPr>
    </w:p>
    <w:p w14:paraId="366D9866" w14:textId="3295F412" w:rsidR="00A651D8" w:rsidRPr="00E47369" w:rsidRDefault="00A651D8" w:rsidP="006042D0">
      <w:pPr>
        <w:ind w:firstLine="360"/>
        <w:jc w:val="both"/>
        <w:rPr>
          <w:rFonts w:cstheme="minorHAnsi"/>
          <w:color w:val="000000" w:themeColor="text1"/>
        </w:rPr>
      </w:pPr>
      <w:r w:rsidRPr="00E47369">
        <w:rPr>
          <w:rFonts w:cstheme="minorHAnsi"/>
        </w:rPr>
        <w:t xml:space="preserve">In order to </w:t>
      </w:r>
      <w:r w:rsidR="00263B9E" w:rsidRPr="00E47369">
        <w:rPr>
          <w:rFonts w:cstheme="minorHAnsi"/>
        </w:rPr>
        <w:t>determin</w:t>
      </w:r>
      <w:r w:rsidR="00263B9E">
        <w:rPr>
          <w:rFonts w:cstheme="minorHAnsi"/>
        </w:rPr>
        <w:t>e</w:t>
      </w:r>
      <w:r w:rsidR="00263B9E" w:rsidRPr="00E47369">
        <w:rPr>
          <w:rFonts w:cstheme="minorHAnsi"/>
        </w:rPr>
        <w:t xml:space="preserve"> </w:t>
      </w:r>
      <w:r w:rsidRPr="00E47369">
        <w:rPr>
          <w:rFonts w:cstheme="minorHAnsi"/>
        </w:rPr>
        <w:t xml:space="preserve">if this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rPr>
          <w:rFonts w:cstheme="minorHAnsi"/>
        </w:rPr>
        <w:t xml:space="preserve">:indoline complex could be involved in the DODH catalytic cycle and if indoline </w:t>
      </w:r>
      <w:r w:rsidR="00D8117C">
        <w:rPr>
          <w:rFonts w:cstheme="minorHAnsi"/>
        </w:rPr>
        <w:t>is</w:t>
      </w:r>
      <w:r w:rsidRPr="00E47369">
        <w:rPr>
          <w:rFonts w:cstheme="minorHAnsi"/>
        </w:rPr>
        <w:t xml:space="preserve"> oxidized by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rPr>
          <w:rFonts w:cstheme="minorHAnsi"/>
        </w:rPr>
        <w:t xml:space="preserve">; we heated a solution of </w:t>
      </w:r>
      <w:r w:rsidRPr="00E47369">
        <w:rPr>
          <w:rFonts w:cstheme="minorHAnsi"/>
          <w:b/>
        </w:rPr>
        <w:t>4</w:t>
      </w:r>
      <w:r w:rsidRPr="00E47369">
        <w:rPr>
          <w:rFonts w:cstheme="minorHAnsi"/>
        </w:rPr>
        <w:t xml:space="preserve"> for an hour at 150</w:t>
      </w:r>
      <w:r w:rsidRPr="00E47369">
        <w:rPr>
          <w:rFonts w:cstheme="minorHAnsi"/>
          <w:vertAlign w:val="superscript"/>
        </w:rPr>
        <w:t>o</w:t>
      </w:r>
      <w:r w:rsidRPr="00E47369">
        <w:rPr>
          <w:rFonts w:cstheme="minorHAnsi"/>
        </w:rPr>
        <w:t xml:space="preserve">C. The </w:t>
      </w:r>
      <w:r w:rsidRPr="00E47369">
        <w:rPr>
          <w:rFonts w:cstheme="minorHAnsi"/>
          <w:vertAlign w:val="superscript"/>
        </w:rPr>
        <w:t>1</w:t>
      </w:r>
      <w:r w:rsidRPr="00E47369">
        <w:rPr>
          <w:rFonts w:cstheme="minorHAnsi"/>
        </w:rPr>
        <w:t xml:space="preserve">H-NMR spectrum of the heated solution showed the formation of indole (ratio indoline : indole, 1.0:0.4); the indoline was entirely consumed after 4.5 h. From these observations it is clear that indoline coordinates to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rPr>
          <w:rFonts w:cstheme="minorHAnsi"/>
        </w:rPr>
        <w:t xml:space="preserve"> at room temperature and that, upon heating, is oxidized to indole. The less basic indole does not appreciably associate with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rPr>
          <w:rFonts w:cstheme="minorHAnsi"/>
        </w:rPr>
        <w:t xml:space="preserve"> since after 20h at room temperature there was no change in the </w:t>
      </w:r>
      <w:r w:rsidRPr="00E47369">
        <w:rPr>
          <w:rFonts w:cstheme="minorHAnsi"/>
          <w:vertAlign w:val="superscript"/>
        </w:rPr>
        <w:t>1</w:t>
      </w:r>
      <w:r w:rsidRPr="00E47369">
        <w:rPr>
          <w:rFonts w:cstheme="minorHAnsi"/>
        </w:rPr>
        <w:t>H NMR spectrum of an equimolar mixture of the two.</w:t>
      </w:r>
    </w:p>
    <w:p w14:paraId="257C5A4C" w14:textId="1E03B8C3" w:rsidR="00A651D8" w:rsidRPr="00E47369" w:rsidRDefault="00A651D8" w:rsidP="006042D0">
      <w:pPr>
        <w:ind w:firstLine="360"/>
        <w:jc w:val="both"/>
        <w:rPr>
          <w:rFonts w:cstheme="minorHAnsi"/>
        </w:rPr>
      </w:pPr>
      <w:r w:rsidRPr="00E47369">
        <w:rPr>
          <w:rFonts w:cstheme="minorHAnsi"/>
        </w:rPr>
        <w:t>Since the corresponding reduced Re-species, MeReO</w:t>
      </w:r>
      <w:r w:rsidRPr="00E47369">
        <w:rPr>
          <w:rFonts w:cstheme="minorHAnsi"/>
          <w:vertAlign w:val="subscript"/>
        </w:rPr>
        <w:t>2</w:t>
      </w:r>
      <w:r w:rsidRPr="00E47369">
        <w:rPr>
          <w:rFonts w:cstheme="minorHAnsi"/>
        </w:rPr>
        <w:t xml:space="preserve"> (MDO</w:t>
      </w:r>
      <w:r w:rsidRPr="00E47369">
        <w:rPr>
          <w:rFonts w:cstheme="minorHAnsi"/>
          <w:color w:val="000000" w:themeColor="text1"/>
        </w:rPr>
        <w:t>), would be highly reactive and potentially undetectable under the reaction conditions</w:t>
      </w:r>
      <w:r w:rsidRPr="00E47369">
        <w:rPr>
          <w:rFonts w:cstheme="minorHAnsi"/>
          <w:color w:val="000000" w:themeColor="text1"/>
        </w:rPr>
        <w:fldChar w:fldCharType="begin"/>
      </w:r>
      <w:r w:rsidRPr="00E47369">
        <w:rPr>
          <w:rFonts w:cstheme="minorHAnsi"/>
          <w:color w:val="000000" w:themeColor="text1"/>
        </w:rPr>
        <w:instrText xml:space="preserve"> ADDIN ZOTERO_ITEM CSL_CITATION {"citationID":"10971cbgqi","properties":{"formattedCitation":"{\\rtf \\super 100\\nosupersub{}}","plainCitation":"100"},"citationItems":[{"id":13,"uris":["http://zotero.org/users/1624234/items/23CQZRJJ"],"uri":["http://zotero.org/users/1624234/items/23CQZRJJ"],"itemData":{"id":13,"type":"article-journal","title":"Facile Abstraction of Successive Oxygen Atoms from Perchlorate Ions by Methylrhenium Dioxide","container-title":"Inorganic Chemistry","page":"6239-6240","volume":"34","issue":"25","source":"ACS Publications","DOI":"10.1021/ic00129a005","ISSN":"0020-1669","journalAbbreviation":"Inorg. Chem.","author":[{"family":"Abu-Omar","given":"Mahdi M."},{"family":"Espenson","given":"James H."}],"issued":{"date-parts":[["1995"]],"season":"décembre"}}}],"schema":"https://github.com/citation-style-language/schema/raw/master/csl-citation.json"} </w:instrText>
      </w:r>
      <w:r w:rsidRPr="00E47369">
        <w:rPr>
          <w:rFonts w:cstheme="minorHAnsi"/>
          <w:color w:val="000000" w:themeColor="text1"/>
        </w:rPr>
        <w:fldChar w:fldCharType="separate"/>
      </w:r>
      <w:r w:rsidRPr="00E47369">
        <w:rPr>
          <w:rFonts w:cstheme="minorHAnsi"/>
          <w:sz w:val="22"/>
          <w:vertAlign w:val="superscript"/>
        </w:rPr>
        <w:t>100</w:t>
      </w:r>
      <w:r w:rsidRPr="00E47369">
        <w:rPr>
          <w:rFonts w:cstheme="minorHAnsi"/>
          <w:color w:val="000000" w:themeColor="text1"/>
        </w:rPr>
        <w:fldChar w:fldCharType="end"/>
      </w:r>
      <w:r w:rsidRPr="00E47369">
        <w:rPr>
          <w:rFonts w:cstheme="minorHAnsi"/>
          <w:color w:val="000000" w:themeColor="text1"/>
        </w:rPr>
        <w:t>, to test for its intermediacy we conducted a trapping reaction with 3-hexyne</w:t>
      </w:r>
      <w:r w:rsidRPr="00E47369">
        <w:rPr>
          <w:rFonts w:cstheme="minorHAnsi"/>
        </w:rPr>
        <w:t xml:space="preserve"> (</w:t>
      </w:r>
      <w:r w:rsidRPr="00E47369">
        <w:rPr>
          <w:rFonts w:cstheme="minorHAnsi"/>
        </w:rPr>
        <w:fldChar w:fldCharType="begin"/>
      </w:r>
      <w:r w:rsidRPr="00E47369">
        <w:rPr>
          <w:rFonts w:cstheme="minorHAnsi"/>
        </w:rPr>
        <w:instrText xml:space="preserve"> REF _Ref451763746 \h </w:instrText>
      </w:r>
      <w:r w:rsidR="00E47369">
        <w:rPr>
          <w:rFonts w:cstheme="minorHAnsi"/>
        </w:rPr>
        <w:instrText xml:space="preserve"> \* MERGEFORMAT </w:instrText>
      </w:r>
      <w:r w:rsidRPr="00E47369">
        <w:rPr>
          <w:rFonts w:cstheme="minorHAnsi"/>
        </w:rPr>
      </w:r>
      <w:r w:rsidRPr="00E47369">
        <w:rPr>
          <w:rFonts w:cstheme="minorHAnsi"/>
        </w:rPr>
        <w:fldChar w:fldCharType="separate"/>
      </w:r>
      <w:r w:rsidR="000A0E3D" w:rsidRPr="000A0E3D">
        <w:rPr>
          <w:rFonts w:cstheme="minorHAnsi"/>
        </w:rPr>
        <w:t xml:space="preserve">Figure II. </w:t>
      </w:r>
      <w:r w:rsidR="000A0E3D" w:rsidRPr="000A0E3D">
        <w:rPr>
          <w:rFonts w:cstheme="minorHAnsi"/>
          <w:noProof/>
        </w:rPr>
        <w:t>4.3</w:t>
      </w:r>
      <w:r w:rsidRPr="00E47369">
        <w:rPr>
          <w:rFonts w:cstheme="minorHAnsi"/>
        </w:rPr>
        <w:fldChar w:fldCharType="end"/>
      </w:r>
      <w:r w:rsidRPr="00E47369">
        <w:rPr>
          <w:rFonts w:cstheme="minorHAnsi"/>
        </w:rPr>
        <w:t>)</w:t>
      </w:r>
      <w:r w:rsidRPr="00E47369">
        <w:rPr>
          <w:rFonts w:cstheme="minorHAnsi"/>
          <w:color w:val="000000" w:themeColor="text1"/>
        </w:rPr>
        <w:t>.</w:t>
      </w:r>
      <w:r w:rsidRPr="00E47369">
        <w:rPr>
          <w:rFonts w:cstheme="minorHAnsi"/>
          <w:color w:val="000000" w:themeColor="text1"/>
        </w:rPr>
        <w:fldChar w:fldCharType="begin"/>
      </w:r>
      <w:r w:rsidRPr="00E47369">
        <w:rPr>
          <w:rFonts w:cstheme="minorHAnsi"/>
          <w:color w:val="000000" w:themeColor="text1"/>
        </w:rPr>
        <w:instrText xml:space="preserve"> ADDIN ZOTERO_ITEM CSL_CITATION {"citationID":"2c7jem0sca","properties":{"formattedCitation":"{\\rtf \\super 44\\nosupersub{}}","plainCitation":"44"},"citationItems":[{"id":154,"uris":["http://zotero.org/users/1624234/items/9UNQ7VFF"],"uri":["http://zotero.org/users/1624234/items/9UNQ7VFF"],"itemData":{"id":154,"type":"article-journal","title":"Deoxygenation of Biomass-Derived Feedstocks: Oxorhenium-Catalyzed Deoxydehydration of Sugars and Sugar Alcohols","container-title":"Angewandte Chemie International Edition","page":"8082-8086","volume":"51","issue":"32","source":"CrossRef","DOI":"10.1002/anie.201203877","ISSN":"14337851","shortTitle":"Deoxygenation of Biomass-Derived Feedstocks","author":[{"family":"Shiramizu","given":"Mika"},{"family":"Toste","given":"F. Dean"}],"issued":{"date-parts":[["2012",8,6]]}}}],"schema":"https://github.com/citation-style-language/schema/raw/master/csl-citation.json"} </w:instrText>
      </w:r>
      <w:r w:rsidRPr="00E47369">
        <w:rPr>
          <w:rFonts w:cstheme="minorHAnsi"/>
          <w:color w:val="000000" w:themeColor="text1"/>
        </w:rPr>
        <w:fldChar w:fldCharType="separate"/>
      </w:r>
      <w:r w:rsidRPr="00E47369">
        <w:rPr>
          <w:rFonts w:cstheme="minorHAnsi"/>
          <w:vertAlign w:val="superscript"/>
        </w:rPr>
        <w:t>44</w:t>
      </w:r>
      <w:r w:rsidRPr="00E47369">
        <w:rPr>
          <w:rFonts w:cstheme="minorHAnsi"/>
          <w:color w:val="000000" w:themeColor="text1"/>
        </w:rPr>
        <w:fldChar w:fldCharType="end"/>
      </w:r>
      <w:r w:rsidRPr="00E47369">
        <w:rPr>
          <w:rFonts w:cstheme="minorHAnsi"/>
          <w:color w:val="000000" w:themeColor="text1"/>
        </w:rPr>
        <w:t xml:space="preserve"> Heating a mixture of indoline, 3-hexyne and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rPr>
          <w:rFonts w:cstheme="minorHAnsi"/>
          <w:color w:val="000000" w:themeColor="text1"/>
        </w:rPr>
        <w:t xml:space="preserve"> (5:2:1) at 100</w:t>
      </w:r>
      <w:r w:rsidRPr="00E47369">
        <w:rPr>
          <w:rFonts w:cstheme="minorHAnsi"/>
          <w:color w:val="000000" w:themeColor="text1"/>
          <w:vertAlign w:val="superscript"/>
        </w:rPr>
        <w:t>o</w:t>
      </w:r>
      <w:r w:rsidRPr="00E47369">
        <w:rPr>
          <w:rFonts w:cstheme="minorHAnsi"/>
          <w:color w:val="000000" w:themeColor="text1"/>
        </w:rPr>
        <w:t xml:space="preserve">C </w:t>
      </w:r>
      <w:r w:rsidRPr="00E47369">
        <w:rPr>
          <w:rFonts w:cstheme="minorHAnsi"/>
        </w:rPr>
        <w:t xml:space="preserve">for 19h fully consumed the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rPr>
          <w:rFonts w:cstheme="minorHAnsi"/>
        </w:rPr>
        <w:t xml:space="preserve"> (disappearance of CH</w:t>
      </w:r>
      <w:r w:rsidRPr="00E47369">
        <w:rPr>
          <w:rFonts w:cstheme="minorHAnsi"/>
          <w:vertAlign w:val="subscript"/>
        </w:rPr>
        <w:t>3</w:t>
      </w:r>
      <w:r w:rsidRPr="00E47369">
        <w:rPr>
          <w:rFonts w:cstheme="minorHAnsi"/>
        </w:rPr>
        <w:t xml:space="preserve"> at </w:t>
      </w:r>
      <w:r w:rsidRPr="004C74E8">
        <w:rPr>
          <w:rFonts w:cstheme="minorHAnsi"/>
        </w:rPr>
        <w:t>2ppm [#]</w:t>
      </w:r>
      <w:r w:rsidRPr="00E47369">
        <w:rPr>
          <w:rFonts w:cstheme="minorHAnsi"/>
        </w:rPr>
        <w:t xml:space="preserve"> signal </w:t>
      </w:r>
      <w:r w:rsidR="004C74E8">
        <w:rPr>
          <w:rFonts w:cstheme="minorHAnsi"/>
        </w:rPr>
        <w:t>i</w:t>
      </w:r>
      <w:r w:rsidRPr="00E47369">
        <w:rPr>
          <w:rFonts w:cstheme="minorHAnsi"/>
        </w:rPr>
        <w:t>n</w:t>
      </w:r>
      <w:r w:rsidR="004C74E8">
        <w:rPr>
          <w:rFonts w:cstheme="minorHAnsi"/>
        </w:rPr>
        <w:t xml:space="preserve"> the</w:t>
      </w:r>
      <w:r w:rsidRPr="00E47369">
        <w:rPr>
          <w:rFonts w:cstheme="minorHAnsi"/>
        </w:rPr>
        <w:t xml:space="preserve"> </w:t>
      </w:r>
      <w:r w:rsidRPr="00E47369">
        <w:rPr>
          <w:rFonts w:cstheme="minorHAnsi"/>
          <w:vertAlign w:val="superscript"/>
        </w:rPr>
        <w:t>1</w:t>
      </w:r>
      <w:r w:rsidRPr="00E47369">
        <w:rPr>
          <w:rFonts w:cstheme="minorHAnsi"/>
        </w:rPr>
        <w:t xml:space="preserve">H NMR, </w:t>
      </w:r>
      <w:r w:rsidR="003A1E7A" w:rsidRPr="003A1E7A">
        <w:rPr>
          <w:rFonts w:cstheme="minorHAnsi"/>
        </w:rPr>
        <w:t>Figure II.</w:t>
      </w:r>
      <w:r w:rsidR="003A1E7A">
        <w:rPr>
          <w:rFonts w:cstheme="minorHAnsi"/>
        </w:rPr>
        <w:t>4</w:t>
      </w:r>
      <w:r w:rsidR="003A1E7A" w:rsidRPr="003A1E7A">
        <w:rPr>
          <w:rFonts w:cstheme="minorHAnsi"/>
        </w:rPr>
        <w:t>.</w:t>
      </w:r>
      <w:r w:rsidR="003A1E7A">
        <w:rPr>
          <w:rFonts w:cstheme="minorHAnsi"/>
          <w:bCs/>
        </w:rPr>
        <w:t>3</w:t>
      </w:r>
      <w:r w:rsidRPr="00E47369">
        <w:rPr>
          <w:rFonts w:cstheme="minorHAnsi"/>
        </w:rPr>
        <w:t xml:space="preserve">); the </w:t>
      </w:r>
      <w:r w:rsidRPr="00E47369">
        <w:rPr>
          <w:rFonts w:cstheme="minorHAnsi"/>
          <w:vertAlign w:val="superscript"/>
        </w:rPr>
        <w:t>1</w:t>
      </w:r>
      <w:r w:rsidRPr="00E47369">
        <w:rPr>
          <w:rFonts w:cstheme="minorHAnsi"/>
        </w:rPr>
        <w:t xml:space="preserve">H and </w:t>
      </w:r>
      <w:r w:rsidRPr="00E47369">
        <w:rPr>
          <w:rFonts w:cstheme="minorHAnsi"/>
          <w:vertAlign w:val="superscript"/>
        </w:rPr>
        <w:t>13</w:t>
      </w:r>
      <w:r w:rsidRPr="00E47369">
        <w:rPr>
          <w:rFonts w:cstheme="minorHAnsi"/>
        </w:rPr>
        <w:t>C NMR spectra of the resulting mixture showed the formation of MeReO</w:t>
      </w:r>
      <w:r w:rsidRPr="00E47369">
        <w:rPr>
          <w:rFonts w:cstheme="minorHAnsi"/>
          <w:vertAlign w:val="subscript"/>
        </w:rPr>
        <w:t>2</w:t>
      </w:r>
      <w:r w:rsidRPr="00E47369">
        <w:rPr>
          <w:rFonts w:cstheme="minorHAnsi"/>
        </w:rPr>
        <w:t>(3-hexyne) (</w:t>
      </w:r>
      <w:r w:rsidRPr="00E47369">
        <w:rPr>
          <w:rFonts w:cstheme="minorHAnsi"/>
          <w:b/>
        </w:rPr>
        <w:t>5</w:t>
      </w:r>
      <w:r w:rsidRPr="00E47369">
        <w:rPr>
          <w:rFonts w:cstheme="minorHAnsi"/>
        </w:rPr>
        <w:t>) (formation of CH</w:t>
      </w:r>
      <w:r w:rsidRPr="00E47369">
        <w:rPr>
          <w:rFonts w:cstheme="minorHAnsi"/>
          <w:vertAlign w:val="subscript"/>
        </w:rPr>
        <w:t>3</w:t>
      </w:r>
      <w:r w:rsidRPr="00E47369">
        <w:rPr>
          <w:rFonts w:cstheme="minorHAnsi"/>
        </w:rPr>
        <w:t xml:space="preserve"> signal at 2.5ppm </w:t>
      </w:r>
      <w:r w:rsidRPr="004C74E8">
        <w:rPr>
          <w:rFonts w:cstheme="minorHAnsi"/>
        </w:rPr>
        <w:t>[+]</w:t>
      </w:r>
      <w:r w:rsidR="004C74E8">
        <w:rPr>
          <w:rFonts w:cstheme="minorHAnsi"/>
        </w:rPr>
        <w:t xml:space="preserve"> i</w:t>
      </w:r>
      <w:r w:rsidRPr="00E47369">
        <w:rPr>
          <w:rFonts w:cstheme="minorHAnsi"/>
        </w:rPr>
        <w:t>n</w:t>
      </w:r>
      <w:r w:rsidR="004C74E8">
        <w:rPr>
          <w:rFonts w:cstheme="minorHAnsi"/>
        </w:rPr>
        <w:t xml:space="preserve"> the</w:t>
      </w:r>
      <w:r w:rsidRPr="00E47369">
        <w:rPr>
          <w:rFonts w:cstheme="minorHAnsi"/>
        </w:rPr>
        <w:t xml:space="preserve"> </w:t>
      </w:r>
      <w:r w:rsidRPr="00E47369">
        <w:rPr>
          <w:rFonts w:cstheme="minorHAnsi"/>
          <w:vertAlign w:val="superscript"/>
        </w:rPr>
        <w:t>1</w:t>
      </w:r>
      <w:r w:rsidRPr="00E47369">
        <w:rPr>
          <w:rFonts w:cstheme="minorHAnsi"/>
        </w:rPr>
        <w:t xml:space="preserve">H NMR, </w:t>
      </w:r>
      <w:r w:rsidRPr="00E47369">
        <w:rPr>
          <w:rFonts w:cstheme="minorHAnsi"/>
        </w:rPr>
        <w:fldChar w:fldCharType="begin"/>
      </w:r>
      <w:r w:rsidRPr="00E47369">
        <w:rPr>
          <w:rFonts w:cstheme="minorHAnsi"/>
        </w:rPr>
        <w:instrText xml:space="preserve"> REF _Ref451763981 \h </w:instrText>
      </w:r>
      <w:r w:rsidR="00E47369">
        <w:rPr>
          <w:rFonts w:cstheme="minorHAnsi"/>
        </w:rPr>
        <w:instrText xml:space="preserve"> \* MERGEFORMAT </w:instrText>
      </w:r>
      <w:r w:rsidRPr="00E47369">
        <w:rPr>
          <w:rFonts w:cstheme="minorHAnsi"/>
        </w:rPr>
      </w:r>
      <w:r w:rsidRPr="00E47369">
        <w:rPr>
          <w:rFonts w:cstheme="minorHAnsi"/>
        </w:rPr>
        <w:fldChar w:fldCharType="separate"/>
      </w:r>
      <w:r w:rsidR="000A0E3D" w:rsidRPr="000A0E3D">
        <w:rPr>
          <w:rFonts w:cstheme="minorHAnsi"/>
        </w:rPr>
        <w:t xml:space="preserve">Figure II. </w:t>
      </w:r>
      <w:r w:rsidR="000A0E3D" w:rsidRPr="000A0E3D">
        <w:rPr>
          <w:rFonts w:cstheme="minorHAnsi"/>
          <w:noProof/>
        </w:rPr>
        <w:t>4.4</w:t>
      </w:r>
      <w:r w:rsidRPr="00E47369">
        <w:rPr>
          <w:rFonts w:cstheme="minorHAnsi"/>
        </w:rPr>
        <w:fldChar w:fldCharType="end"/>
      </w:r>
      <w:r w:rsidRPr="00E47369">
        <w:rPr>
          <w:rFonts w:cstheme="minorHAnsi"/>
        </w:rPr>
        <w:t xml:space="preserve">). These changes in the </w:t>
      </w:r>
      <w:r w:rsidRPr="00E47369">
        <w:rPr>
          <w:rFonts w:cstheme="minorHAnsi"/>
          <w:vertAlign w:val="superscript"/>
        </w:rPr>
        <w:t>1</w:t>
      </w:r>
      <w:r w:rsidRPr="00E47369">
        <w:rPr>
          <w:rFonts w:cstheme="minorHAnsi"/>
        </w:rPr>
        <w:t xml:space="preserve">H </w:t>
      </w:r>
      <w:r w:rsidR="00D8117C">
        <w:rPr>
          <w:rFonts w:cstheme="minorHAnsi"/>
        </w:rPr>
        <w:t>NMR spectr</w:t>
      </w:r>
      <w:r w:rsidR="00D83B06">
        <w:rPr>
          <w:rFonts w:cstheme="minorHAnsi"/>
        </w:rPr>
        <w:t>um</w:t>
      </w:r>
      <w:r w:rsidR="00D8117C">
        <w:rPr>
          <w:rFonts w:cstheme="minorHAnsi"/>
        </w:rPr>
        <w:t xml:space="preserve"> </w:t>
      </w:r>
      <w:r w:rsidR="00D83B06">
        <w:rPr>
          <w:rFonts w:cstheme="minorHAnsi"/>
        </w:rPr>
        <w:t>match</w:t>
      </w:r>
      <w:r w:rsidRPr="00E47369">
        <w:rPr>
          <w:rFonts w:cstheme="minorHAnsi"/>
        </w:rPr>
        <w:t xml:space="preserve">ed </w:t>
      </w:r>
      <w:r w:rsidR="00A542F3">
        <w:rPr>
          <w:rFonts w:cstheme="minorHAnsi"/>
        </w:rPr>
        <w:t>some</w:t>
      </w:r>
      <w:r w:rsidR="007C1C3A">
        <w:rPr>
          <w:rFonts w:cstheme="minorHAnsi"/>
        </w:rPr>
        <w:t xml:space="preserve"> </w:t>
      </w:r>
      <w:r w:rsidRPr="00E47369">
        <w:rPr>
          <w:rFonts w:cstheme="minorHAnsi"/>
        </w:rPr>
        <w:t>changes</w:t>
      </w:r>
      <w:r w:rsidR="007C1C3A">
        <w:rPr>
          <w:rFonts w:cstheme="minorHAnsi"/>
        </w:rPr>
        <w:t xml:space="preserve"> </w:t>
      </w:r>
      <w:r w:rsidR="00A542F3">
        <w:rPr>
          <w:rFonts w:cstheme="minorHAnsi"/>
        </w:rPr>
        <w:t xml:space="preserve">we </w:t>
      </w:r>
      <w:r w:rsidR="007C1C3A">
        <w:rPr>
          <w:rFonts w:cstheme="minorHAnsi"/>
        </w:rPr>
        <w:t>observed</w:t>
      </w:r>
      <w:r w:rsidRPr="00E47369">
        <w:rPr>
          <w:rFonts w:cstheme="minorHAnsi"/>
        </w:rPr>
        <w:t xml:space="preserve"> in the </w:t>
      </w:r>
      <w:r w:rsidRPr="00E47369">
        <w:rPr>
          <w:rFonts w:cstheme="minorHAnsi"/>
          <w:vertAlign w:val="superscript"/>
        </w:rPr>
        <w:t>13</w:t>
      </w:r>
      <w:r w:rsidRPr="00E47369">
        <w:rPr>
          <w:rFonts w:cstheme="minorHAnsi"/>
        </w:rPr>
        <w:t xml:space="preserve">C NMR </w:t>
      </w:r>
      <w:r w:rsidR="00D83B06">
        <w:rPr>
          <w:rFonts w:cstheme="minorHAnsi"/>
        </w:rPr>
        <w:t xml:space="preserve">spectrum </w:t>
      </w:r>
      <w:r w:rsidRPr="00E47369">
        <w:rPr>
          <w:rFonts w:cstheme="minorHAnsi"/>
        </w:rPr>
        <w:t>(</w:t>
      </w:r>
      <w:r w:rsidRPr="00E47369">
        <w:rPr>
          <w:rFonts w:cstheme="minorHAnsi"/>
        </w:rPr>
        <w:fldChar w:fldCharType="begin"/>
      </w:r>
      <w:r w:rsidRPr="00E47369">
        <w:rPr>
          <w:rFonts w:cstheme="minorHAnsi"/>
        </w:rPr>
        <w:instrText xml:space="preserve"> REF _Ref451763981 \h </w:instrText>
      </w:r>
      <w:r w:rsidR="00E47369">
        <w:rPr>
          <w:rFonts w:cstheme="minorHAnsi"/>
        </w:rPr>
        <w:instrText xml:space="preserve"> \* MERGEFORMAT </w:instrText>
      </w:r>
      <w:r w:rsidRPr="00E47369">
        <w:rPr>
          <w:rFonts w:cstheme="minorHAnsi"/>
        </w:rPr>
      </w:r>
      <w:r w:rsidRPr="00E47369">
        <w:rPr>
          <w:rFonts w:cstheme="minorHAnsi"/>
        </w:rPr>
        <w:fldChar w:fldCharType="separate"/>
      </w:r>
      <w:r w:rsidR="000A0E3D" w:rsidRPr="000A0E3D">
        <w:rPr>
          <w:rFonts w:cstheme="minorHAnsi"/>
        </w:rPr>
        <w:t xml:space="preserve">Figure II. </w:t>
      </w:r>
      <w:r w:rsidR="000A0E3D" w:rsidRPr="000A0E3D">
        <w:rPr>
          <w:rFonts w:cstheme="minorHAnsi"/>
          <w:noProof/>
        </w:rPr>
        <w:t>4.4</w:t>
      </w:r>
      <w:r w:rsidRPr="00E47369">
        <w:rPr>
          <w:rFonts w:cstheme="minorHAnsi"/>
        </w:rPr>
        <w:fldChar w:fldCharType="end"/>
      </w:r>
      <w:r w:rsidRPr="00E47369">
        <w:rPr>
          <w:rFonts w:cstheme="minorHAnsi"/>
        </w:rPr>
        <w:t xml:space="preserve">). </w:t>
      </w:r>
      <w:r w:rsidRPr="00E47369">
        <w:rPr>
          <w:rFonts w:cstheme="minorHAnsi"/>
          <w:color w:val="000000" w:themeColor="text1"/>
        </w:rPr>
        <w:t xml:space="preserve">After standing overnight at room temperature no changes were observed in the NMR spectrum. Traces of indole (7.7, 7.4 and 6.5ppm </w:t>
      </w:r>
      <w:r w:rsidRPr="004C74E8">
        <w:rPr>
          <w:rFonts w:cstheme="minorHAnsi"/>
          <w:color w:val="000000" w:themeColor="text1"/>
        </w:rPr>
        <w:t>[x]</w:t>
      </w:r>
      <w:r w:rsidRPr="00E47369">
        <w:rPr>
          <w:rFonts w:cstheme="minorHAnsi"/>
          <w:color w:val="000000" w:themeColor="text1"/>
        </w:rPr>
        <w:t xml:space="preserve"> </w:t>
      </w:r>
      <w:r w:rsidR="004C74E8">
        <w:rPr>
          <w:rFonts w:cstheme="minorHAnsi"/>
          <w:color w:val="000000" w:themeColor="text1"/>
        </w:rPr>
        <w:t>i</w:t>
      </w:r>
      <w:r w:rsidRPr="00E47369">
        <w:rPr>
          <w:rFonts w:cstheme="minorHAnsi"/>
          <w:color w:val="000000" w:themeColor="text1"/>
        </w:rPr>
        <w:t xml:space="preserve">n the </w:t>
      </w:r>
      <w:r w:rsidRPr="00E47369">
        <w:rPr>
          <w:rFonts w:cstheme="minorHAnsi"/>
          <w:color w:val="000000" w:themeColor="text1"/>
          <w:vertAlign w:val="superscript"/>
        </w:rPr>
        <w:t>1</w:t>
      </w:r>
      <w:r w:rsidRPr="00E47369">
        <w:rPr>
          <w:rFonts w:cstheme="minorHAnsi"/>
          <w:color w:val="000000" w:themeColor="text1"/>
        </w:rPr>
        <w:t xml:space="preserve">H NMR, </w:t>
      </w:r>
      <w:r w:rsidRPr="00E47369">
        <w:rPr>
          <w:rFonts w:cstheme="minorHAnsi"/>
        </w:rPr>
        <w:fldChar w:fldCharType="begin"/>
      </w:r>
      <w:r w:rsidRPr="00E47369">
        <w:rPr>
          <w:rFonts w:cstheme="minorHAnsi"/>
          <w:color w:val="000000" w:themeColor="text1"/>
        </w:rPr>
        <w:instrText xml:space="preserve"> REF _Ref451763981 \h </w:instrText>
      </w:r>
      <w:r w:rsidR="00E47369">
        <w:rPr>
          <w:rFonts w:cstheme="minorHAnsi"/>
        </w:rPr>
        <w:instrText xml:space="preserve"> \* MERGEFORMAT </w:instrText>
      </w:r>
      <w:r w:rsidRPr="00E47369">
        <w:rPr>
          <w:rFonts w:cstheme="minorHAnsi"/>
        </w:rPr>
      </w:r>
      <w:r w:rsidRPr="00E47369">
        <w:rPr>
          <w:rFonts w:cstheme="minorHAnsi"/>
        </w:rPr>
        <w:fldChar w:fldCharType="separate"/>
      </w:r>
      <w:r w:rsidR="000A0E3D" w:rsidRPr="000A0E3D">
        <w:rPr>
          <w:rFonts w:cstheme="minorHAnsi"/>
        </w:rPr>
        <w:t xml:space="preserve">Figure II. </w:t>
      </w:r>
      <w:r w:rsidR="000A0E3D" w:rsidRPr="000A0E3D">
        <w:rPr>
          <w:rFonts w:cstheme="minorHAnsi"/>
          <w:noProof/>
        </w:rPr>
        <w:t>4.4</w:t>
      </w:r>
      <w:r w:rsidRPr="00E47369">
        <w:rPr>
          <w:rFonts w:cstheme="minorHAnsi"/>
        </w:rPr>
        <w:fldChar w:fldCharType="end"/>
      </w:r>
      <w:r w:rsidRPr="00E47369">
        <w:rPr>
          <w:rFonts w:cstheme="minorHAnsi"/>
          <w:color w:val="000000" w:themeColor="text1"/>
        </w:rPr>
        <w:t xml:space="preserve">) and the MDO-hexyne complex </w:t>
      </w:r>
      <w:r w:rsidRPr="00E47369">
        <w:rPr>
          <w:rFonts w:cstheme="minorHAnsi"/>
        </w:rPr>
        <w:t>were detected by NMR after just an hour at 100</w:t>
      </w:r>
      <w:r w:rsidRPr="00E47369">
        <w:rPr>
          <w:rFonts w:cstheme="minorHAnsi"/>
          <w:vertAlign w:val="superscript"/>
        </w:rPr>
        <w:t>o</w:t>
      </w:r>
      <w:r w:rsidRPr="00E47369">
        <w:rPr>
          <w:rFonts w:cstheme="minorHAnsi"/>
        </w:rPr>
        <w:t>C.</w:t>
      </w:r>
    </w:p>
    <w:p w14:paraId="2EA0D5E6" w14:textId="77777777" w:rsidR="00536AE9" w:rsidRPr="00E47369" w:rsidRDefault="00536AE9" w:rsidP="00A651D8">
      <w:pPr>
        <w:jc w:val="both"/>
        <w:rPr>
          <w:rFonts w:cstheme="minorHAnsi"/>
        </w:rPr>
      </w:pPr>
    </w:p>
    <w:p w14:paraId="6B3AAC8C" w14:textId="77777777" w:rsidR="00A651D8" w:rsidRPr="00E47369" w:rsidRDefault="00A651D8" w:rsidP="00A651D8">
      <w:pPr>
        <w:keepNext/>
        <w:jc w:val="center"/>
        <w:rPr>
          <w:rFonts w:cstheme="minorHAnsi"/>
        </w:rPr>
      </w:pPr>
      <w:r w:rsidRPr="00E47369">
        <w:rPr>
          <w:rFonts w:cstheme="minorHAnsi"/>
          <w:noProof/>
          <w:lang w:bidi="ar-SA"/>
        </w:rPr>
        <w:drawing>
          <wp:inline distT="0" distB="0" distL="0" distR="0" wp14:anchorId="1DBD60F9" wp14:editId="7DD7691E">
            <wp:extent cx="3566160" cy="747903"/>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09"/>
                    <a:stretch>
                      <a:fillRect/>
                    </a:stretch>
                  </pic:blipFill>
                  <pic:spPr>
                    <a:xfrm>
                      <a:off x="0" y="0"/>
                      <a:ext cx="3566160" cy="747903"/>
                    </a:xfrm>
                    <a:prstGeom prst="rect">
                      <a:avLst/>
                    </a:prstGeom>
                  </pic:spPr>
                </pic:pic>
              </a:graphicData>
            </a:graphic>
          </wp:inline>
        </w:drawing>
      </w:r>
    </w:p>
    <w:p w14:paraId="44FA6873" w14:textId="77777777" w:rsidR="00A651D8" w:rsidRPr="00323B06" w:rsidRDefault="00A651D8" w:rsidP="00323B06">
      <w:pPr>
        <w:pStyle w:val="Caption"/>
      </w:pPr>
      <w:bookmarkStart w:id="145" w:name="_Ref451763746"/>
      <w:bookmarkStart w:id="146" w:name="_Ref451763726"/>
      <w:bookmarkStart w:id="147" w:name="_Toc458938390"/>
      <w:r w:rsidRPr="00323B06">
        <w:t xml:space="preserve">Figure II. </w:t>
      </w:r>
      <w:r w:rsidR="00443010">
        <w:fldChar w:fldCharType="begin"/>
      </w:r>
      <w:r w:rsidR="00443010">
        <w:instrText xml:space="preserve"> STYLEREF 2 \s </w:instrText>
      </w:r>
      <w:r w:rsidR="00443010">
        <w:fldChar w:fldCharType="separate"/>
      </w:r>
      <w:r w:rsidR="000A0E3D">
        <w:rPr>
          <w:noProof/>
        </w:rPr>
        <w:t>4</w:t>
      </w:r>
      <w:r w:rsidR="00443010">
        <w:rPr>
          <w:noProof/>
        </w:rPr>
        <w:fldChar w:fldCharType="end"/>
      </w:r>
      <w:r w:rsidR="000C1BF3" w:rsidRPr="00323B06">
        <w:t>.</w:t>
      </w:r>
      <w:r w:rsidR="00443010">
        <w:fldChar w:fldCharType="begin"/>
      </w:r>
      <w:r w:rsidR="00443010">
        <w:instrText xml:space="preserve"> SEQ Figure_II. \* ARABIC \s 2 </w:instrText>
      </w:r>
      <w:r w:rsidR="00443010">
        <w:fldChar w:fldCharType="separate"/>
      </w:r>
      <w:r w:rsidR="000A0E3D">
        <w:rPr>
          <w:noProof/>
        </w:rPr>
        <w:t>3</w:t>
      </w:r>
      <w:r w:rsidR="00443010">
        <w:rPr>
          <w:noProof/>
        </w:rPr>
        <w:fldChar w:fldCharType="end"/>
      </w:r>
      <w:bookmarkEnd w:id="145"/>
      <w:r w:rsidRPr="00323B06">
        <w:t xml:space="preserve"> MDO-trapping experiment</w:t>
      </w:r>
      <w:bookmarkEnd w:id="146"/>
      <w:bookmarkEnd w:id="147"/>
    </w:p>
    <w:p w14:paraId="5585EBB4" w14:textId="77777777" w:rsidR="000C1BF3" w:rsidRPr="00E47369" w:rsidRDefault="000C1BF3" w:rsidP="000C1BF3">
      <w:pPr>
        <w:rPr>
          <w:rFonts w:cstheme="minorHAnsi"/>
        </w:rPr>
      </w:pPr>
    </w:p>
    <w:p w14:paraId="0DB02FC3" w14:textId="77777777" w:rsidR="00A651D8" w:rsidRPr="00E47369" w:rsidRDefault="00A651D8" w:rsidP="00A651D8">
      <w:pPr>
        <w:keepNext/>
        <w:jc w:val="center"/>
        <w:rPr>
          <w:rFonts w:cstheme="minorHAnsi"/>
        </w:rPr>
      </w:pPr>
      <w:r w:rsidRPr="00E47369">
        <w:rPr>
          <w:rFonts w:cstheme="minorHAnsi"/>
          <w:noProof/>
          <w:lang w:bidi="ar-SA"/>
        </w:rPr>
        <w:drawing>
          <wp:inline distT="0" distB="0" distL="0" distR="0" wp14:anchorId="32D6D411" wp14:editId="0E714D5A">
            <wp:extent cx="2651760" cy="1864861"/>
            <wp:effectExtent l="0" t="0" r="0" b="254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651760" cy="1864861"/>
                    </a:xfrm>
                    <a:prstGeom prst="rect">
                      <a:avLst/>
                    </a:prstGeom>
                    <a:noFill/>
                  </pic:spPr>
                </pic:pic>
              </a:graphicData>
            </a:graphic>
          </wp:inline>
        </w:drawing>
      </w:r>
      <w:r w:rsidRPr="00E47369">
        <w:rPr>
          <w:rFonts w:cstheme="minorHAnsi"/>
          <w:noProof/>
          <w:lang w:bidi="ar-SA"/>
        </w:rPr>
        <w:drawing>
          <wp:inline distT="0" distB="0" distL="0" distR="0" wp14:anchorId="66F78FC8" wp14:editId="2AC5A817">
            <wp:extent cx="2651760" cy="181416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651760" cy="1814165"/>
                    </a:xfrm>
                    <a:prstGeom prst="rect">
                      <a:avLst/>
                    </a:prstGeom>
                    <a:noFill/>
                  </pic:spPr>
                </pic:pic>
              </a:graphicData>
            </a:graphic>
          </wp:inline>
        </w:drawing>
      </w:r>
    </w:p>
    <w:p w14:paraId="3B24F760" w14:textId="77777777" w:rsidR="00A651D8" w:rsidRPr="00323B06" w:rsidRDefault="00A651D8" w:rsidP="00323B06">
      <w:pPr>
        <w:pStyle w:val="Caption"/>
      </w:pPr>
      <w:bookmarkStart w:id="148" w:name="_Ref451763981"/>
      <w:bookmarkStart w:id="149" w:name="_Toc458938391"/>
      <w:r w:rsidRPr="00323B06">
        <w:t xml:space="preserve">Figure II. </w:t>
      </w:r>
      <w:r w:rsidR="00443010">
        <w:fldChar w:fldCharType="begin"/>
      </w:r>
      <w:r w:rsidR="00443010">
        <w:instrText xml:space="preserve"> STYLEREF 2 \s </w:instrText>
      </w:r>
      <w:r w:rsidR="00443010">
        <w:fldChar w:fldCharType="separate"/>
      </w:r>
      <w:r w:rsidR="000A0E3D">
        <w:rPr>
          <w:noProof/>
        </w:rPr>
        <w:t>4</w:t>
      </w:r>
      <w:r w:rsidR="00443010">
        <w:rPr>
          <w:noProof/>
        </w:rPr>
        <w:fldChar w:fldCharType="end"/>
      </w:r>
      <w:r w:rsidR="000C1BF3" w:rsidRPr="00323B06">
        <w:t>.</w:t>
      </w:r>
      <w:r w:rsidR="00443010">
        <w:fldChar w:fldCharType="begin"/>
      </w:r>
      <w:r w:rsidR="00443010">
        <w:instrText xml:space="preserve"> SEQ Figure_II. \* ARABIC \s 2 </w:instrText>
      </w:r>
      <w:r w:rsidR="00443010">
        <w:fldChar w:fldCharType="separate"/>
      </w:r>
      <w:r w:rsidR="000A0E3D">
        <w:rPr>
          <w:noProof/>
        </w:rPr>
        <w:t>4</w:t>
      </w:r>
      <w:r w:rsidR="00443010">
        <w:rPr>
          <w:noProof/>
        </w:rPr>
        <w:fldChar w:fldCharType="end"/>
      </w:r>
      <w:bookmarkEnd w:id="148"/>
      <w:r w:rsidRPr="00323B06">
        <w:t xml:space="preserve"> </w:t>
      </w:r>
      <w:r w:rsidRPr="00323B06">
        <w:rPr>
          <w:vertAlign w:val="superscript"/>
        </w:rPr>
        <w:t>1</w:t>
      </w:r>
      <w:r w:rsidRPr="00323B06">
        <w:t xml:space="preserve">H and </w:t>
      </w:r>
      <w:r w:rsidRPr="00323B06">
        <w:rPr>
          <w:vertAlign w:val="superscript"/>
        </w:rPr>
        <w:t>13</w:t>
      </w:r>
      <w:r w:rsidRPr="00323B06">
        <w:t xml:space="preserve">C NMR spectra of </w:t>
      </w:r>
      <w:r w:rsidRPr="00323B06">
        <w:rPr>
          <w:u w:val="single"/>
        </w:rPr>
        <w:t>5</w:t>
      </w:r>
      <w:bookmarkEnd w:id="149"/>
      <w:r w:rsidRPr="00323B06">
        <w:t xml:space="preserve"> </w:t>
      </w:r>
    </w:p>
    <w:p w14:paraId="1432E5CF" w14:textId="77777777" w:rsidR="00A651D8" w:rsidRPr="00E47369" w:rsidRDefault="00A651D8" w:rsidP="00A651D8">
      <w:pPr>
        <w:rPr>
          <w:rFonts w:cstheme="minorHAnsi"/>
        </w:rPr>
      </w:pPr>
    </w:p>
    <w:p w14:paraId="7FA6F80F" w14:textId="0CAD56FD" w:rsidR="00A651D8" w:rsidRPr="00E47369" w:rsidRDefault="00A651D8" w:rsidP="006042D0">
      <w:pPr>
        <w:ind w:firstLine="360"/>
        <w:jc w:val="both"/>
        <w:rPr>
          <w:rFonts w:cstheme="minorHAnsi"/>
        </w:rPr>
      </w:pPr>
      <w:r w:rsidRPr="00E47369">
        <w:rPr>
          <w:rFonts w:cstheme="minorHAnsi"/>
          <w:color w:val="000000" w:themeColor="text1"/>
        </w:rPr>
        <w:t xml:space="preserve">In the DODH catalytic system two pathways (A,B </w:t>
      </w:r>
      <w:r w:rsidRPr="00E47369">
        <w:rPr>
          <w:rFonts w:cstheme="minorHAnsi"/>
          <w:color w:val="000000" w:themeColor="text1"/>
        </w:rPr>
        <w:fldChar w:fldCharType="begin"/>
      </w:r>
      <w:r w:rsidRPr="00E47369">
        <w:rPr>
          <w:rFonts w:cstheme="minorHAnsi"/>
          <w:color w:val="000000" w:themeColor="text1"/>
        </w:rPr>
        <w:instrText xml:space="preserve"> REF _Ref451764211 \h </w:instrText>
      </w:r>
      <w:r w:rsidR="00E47369">
        <w:rPr>
          <w:rFonts w:cstheme="minorHAnsi"/>
          <w:color w:val="000000" w:themeColor="text1"/>
        </w:rPr>
        <w:instrText xml:space="preserve"> \* MERGEFORMAT </w:instrText>
      </w:r>
      <w:r w:rsidRPr="00E47369">
        <w:rPr>
          <w:rFonts w:cstheme="minorHAnsi"/>
          <w:color w:val="000000" w:themeColor="text1"/>
        </w:rPr>
      </w:r>
      <w:r w:rsidRPr="00E47369">
        <w:rPr>
          <w:rFonts w:cstheme="minorHAnsi"/>
          <w:color w:val="000000" w:themeColor="text1"/>
        </w:rPr>
        <w:fldChar w:fldCharType="separate"/>
      </w:r>
      <w:r w:rsidR="000A0E3D" w:rsidRPr="000A0E3D">
        <w:rPr>
          <w:rFonts w:cstheme="minorHAnsi"/>
        </w:rPr>
        <w:t xml:space="preserve">Figure II. </w:t>
      </w:r>
      <w:r w:rsidR="000A0E3D" w:rsidRPr="000A0E3D">
        <w:rPr>
          <w:rFonts w:cstheme="minorHAnsi"/>
          <w:noProof/>
        </w:rPr>
        <w:t>4.7</w:t>
      </w:r>
      <w:r w:rsidRPr="00E47369">
        <w:rPr>
          <w:rFonts w:cstheme="minorHAnsi"/>
          <w:color w:val="000000" w:themeColor="text1"/>
        </w:rPr>
        <w:fldChar w:fldCharType="end"/>
      </w:r>
      <w:r w:rsidRPr="00E47369">
        <w:rPr>
          <w:rFonts w:cstheme="minorHAnsi"/>
          <w:color w:val="000000" w:themeColor="text1"/>
        </w:rPr>
        <w:t>) have been considered viable, differing in the sequence of the reduction/condensation steps. In sequence A the rhenium</w:t>
      </w:r>
      <w:r w:rsidRPr="00E47369">
        <w:rPr>
          <w:rFonts w:cstheme="minorHAnsi"/>
          <w:color w:val="000000" w:themeColor="text1"/>
          <w:vertAlign w:val="superscript"/>
        </w:rPr>
        <w:t>vii</w:t>
      </w:r>
      <w:r w:rsidRPr="00E47369">
        <w:rPr>
          <w:rFonts w:cstheme="minorHAnsi"/>
          <w:color w:val="000000" w:themeColor="text1"/>
        </w:rPr>
        <w:t xml:space="preserve"> species is first reduced, followed by condensation with glycol to form the Re</w:t>
      </w:r>
      <w:r w:rsidRPr="00E47369">
        <w:rPr>
          <w:rFonts w:cstheme="minorHAnsi"/>
          <w:color w:val="000000" w:themeColor="text1"/>
          <w:vertAlign w:val="superscript"/>
        </w:rPr>
        <w:t>v</w:t>
      </w:r>
      <w:r w:rsidRPr="00E47369">
        <w:rPr>
          <w:rFonts w:cstheme="minorHAnsi"/>
          <w:color w:val="000000" w:themeColor="text1"/>
        </w:rPr>
        <w:t>-glycolate and fragmentation, while in path B the rhenium</w:t>
      </w:r>
      <w:r w:rsidRPr="00E47369">
        <w:rPr>
          <w:rFonts w:cstheme="minorHAnsi"/>
          <w:color w:val="000000" w:themeColor="text1"/>
          <w:vertAlign w:val="superscript"/>
        </w:rPr>
        <w:t>vii</w:t>
      </w:r>
      <w:r w:rsidRPr="00E47369">
        <w:rPr>
          <w:rFonts w:cstheme="minorHAnsi"/>
          <w:color w:val="000000" w:themeColor="text1"/>
        </w:rPr>
        <w:t xml:space="preserve"> species first forms the glycolate, which is then reduced and fragments to the alkene. The affinity of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rPr>
          <w:rFonts w:cstheme="minorHAnsi"/>
          <w:color w:val="000000" w:themeColor="text1"/>
        </w:rPr>
        <w:t xml:space="preserve"> for indoline and the subsequent H-transfer red</w:t>
      </w:r>
      <w:r w:rsidRPr="00E47369">
        <w:rPr>
          <w:rFonts w:cstheme="minorHAnsi"/>
        </w:rPr>
        <w:t>ox reaction that proceeds at moderate temperatures indicates that path A (</w:t>
      </w:r>
      <w:r w:rsidRPr="00E47369">
        <w:rPr>
          <w:rFonts w:cstheme="minorHAnsi"/>
        </w:rPr>
        <w:fldChar w:fldCharType="begin"/>
      </w:r>
      <w:r w:rsidRPr="00E47369">
        <w:rPr>
          <w:rFonts w:cstheme="minorHAnsi"/>
        </w:rPr>
        <w:instrText xml:space="preserve"> REF _Ref451764211 \h </w:instrText>
      </w:r>
      <w:r w:rsidR="00E47369">
        <w:rPr>
          <w:rFonts w:cstheme="minorHAnsi"/>
        </w:rPr>
        <w:instrText xml:space="preserve"> \* MERGEFORMAT </w:instrText>
      </w:r>
      <w:r w:rsidRPr="00E47369">
        <w:rPr>
          <w:rFonts w:cstheme="minorHAnsi"/>
        </w:rPr>
      </w:r>
      <w:r w:rsidRPr="00E47369">
        <w:rPr>
          <w:rFonts w:cstheme="minorHAnsi"/>
        </w:rPr>
        <w:fldChar w:fldCharType="separate"/>
      </w:r>
      <w:r w:rsidR="000A0E3D" w:rsidRPr="000A0E3D">
        <w:rPr>
          <w:rFonts w:cstheme="minorHAnsi"/>
        </w:rPr>
        <w:t xml:space="preserve">Figure II. </w:t>
      </w:r>
      <w:r w:rsidR="000A0E3D" w:rsidRPr="000A0E3D">
        <w:rPr>
          <w:rFonts w:cstheme="minorHAnsi"/>
          <w:noProof/>
        </w:rPr>
        <w:t>4.7</w:t>
      </w:r>
      <w:r w:rsidRPr="00E47369">
        <w:rPr>
          <w:rFonts w:cstheme="minorHAnsi"/>
        </w:rPr>
        <w:fldChar w:fldCharType="end"/>
      </w:r>
      <w:r w:rsidRPr="00E47369">
        <w:rPr>
          <w:rFonts w:cstheme="minorHAnsi"/>
        </w:rPr>
        <w:t xml:space="preserve">), involving initial reduction of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rPr>
          <w:rFonts w:cstheme="minorHAnsi"/>
        </w:rPr>
        <w:t xml:space="preserve"> by indoline, is viable. To assess the relative affinity of indoline vs. the diol </w:t>
      </w:r>
      <w:r w:rsidRPr="00E47369">
        <w:rPr>
          <w:rFonts w:cstheme="minorHAnsi"/>
          <w:color w:val="000000" w:themeColor="text1"/>
        </w:rPr>
        <w:t xml:space="preserve">substrate for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rPr>
          <w:rFonts w:cstheme="minorHAnsi"/>
          <w:color w:val="000000" w:themeColor="text1"/>
        </w:rPr>
        <w:t xml:space="preserve">, we prepared an equimolar mixture of these reactants to which was added an equivalent of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rPr>
          <w:rFonts w:cstheme="minorHAnsi"/>
          <w:color w:val="000000" w:themeColor="text1"/>
        </w:rPr>
        <w:t xml:space="preserve"> at room temperature. The resulting NMR spectr</w:t>
      </w:r>
      <w:r w:rsidR="004C74E8">
        <w:rPr>
          <w:rFonts w:cstheme="minorHAnsi"/>
          <w:color w:val="000000" w:themeColor="text1"/>
        </w:rPr>
        <w:t>um showed a 1.0:0.1 ratio of Me</w:t>
      </w:r>
      <w:r w:rsidRPr="00E47369">
        <w:rPr>
          <w:rFonts w:cstheme="minorHAnsi"/>
          <w:color w:val="000000" w:themeColor="text1"/>
        </w:rPr>
        <w:t>ReO</w:t>
      </w:r>
      <w:r w:rsidRPr="00E47369">
        <w:rPr>
          <w:rFonts w:cstheme="minorHAnsi"/>
          <w:color w:val="000000" w:themeColor="text1"/>
          <w:vertAlign w:val="subscript"/>
        </w:rPr>
        <w:t>3</w:t>
      </w:r>
      <w:r w:rsidRPr="00E47369">
        <w:rPr>
          <w:rFonts w:cstheme="minorHAnsi"/>
          <w:color w:val="000000" w:themeColor="text1"/>
        </w:rPr>
        <w:t>-(indoline) (</w:t>
      </w:r>
      <w:r w:rsidRPr="00E47369">
        <w:rPr>
          <w:rFonts w:cstheme="minorHAnsi"/>
          <w:b/>
          <w:color w:val="000000" w:themeColor="text1"/>
        </w:rPr>
        <w:t>4</w:t>
      </w:r>
      <w:r w:rsidRPr="00E47369">
        <w:rPr>
          <w:rFonts w:cstheme="minorHAnsi"/>
          <w:color w:val="000000" w:themeColor="text1"/>
        </w:rPr>
        <w:t>) to Re-glycolate (</w:t>
      </w:r>
      <w:r w:rsidRPr="00E47369">
        <w:rPr>
          <w:rFonts w:cstheme="minorHAnsi"/>
          <w:b/>
          <w:color w:val="000000" w:themeColor="text1"/>
        </w:rPr>
        <w:t>6</w:t>
      </w:r>
      <w:r w:rsidRPr="00E47369">
        <w:rPr>
          <w:rFonts w:cstheme="minorHAnsi"/>
          <w:color w:val="000000" w:themeColor="text1"/>
        </w:rPr>
        <w:t>)</w:t>
      </w:r>
      <w:r w:rsidRPr="00E47369">
        <w:rPr>
          <w:rFonts w:cstheme="minorHAnsi"/>
          <w:color w:val="000000" w:themeColor="text1"/>
        </w:rPr>
        <w:fldChar w:fldCharType="begin"/>
      </w:r>
      <w:r w:rsidRPr="00E47369">
        <w:rPr>
          <w:rFonts w:cstheme="minorHAnsi"/>
          <w:color w:val="000000" w:themeColor="text1"/>
        </w:rPr>
        <w:instrText xml:space="preserve"> ADDIN ZOTERO_ITEM CSL_CITATION {"citationID":"22vu91lggk","properties":{"formattedCitation":"{\\rtf \\super 35,36\\nosupersub{}}","plainCitation":"35,36"},"citationItems":[{"id":360,"uris":["http://zotero.org/users/1624234/items/Q5NZBIZJ"],"uri":["http://zotero.org/users/1624234/items/Q5NZBIZJ"],"itemData":{"id":360,"type":"article-journal","title":"Sulfite-Driven, Oxorhenium-Catalyzed Deoxydehydration of Glycols","container-title":"Organometallics","page":"2810-2818","volume":"30","issue":"10","source":"CrossRef","DOI":"10.1021/om2001662","ISSN":"0276-7333, 1520-6041","author":[{"family":"Ahmad","given":"Irshad"},{"family":"Chapman","given":"Garry"},{"family":"Nicholas","given":"Kenneth M."}],"issued":{"date-parts":[["2011",5,23]]}}},{"id":238,"uris":["http://zotero.org/users/1624234/items/G85QQDVR"],"uri":["http://zotero.org/users/1624234/items/G85QQDVR"],"itemData":{"id":238,"type":"article-journal","title":"Rhenium-Catalyzed Deoxydehydration of Glycols by Sulfite","container-title":"Inorganic Chemistry","page":"4744-4746","volume":"49","issue":"11","source":"CrossRef","DOI":"10.1021/ic100467p","ISSN":"0020-1669, 1520-510X","author":[{"family":"Vkuturi","given":"Saidi"},{"family":"Chapman","given":"Garry"},{"family":"Ahmad","given":"Irshad"},{"family":"Nicholas","given":"Kenneth M."}],"issued":{"date-parts":[["2010",6,7]]}}}],"schema":"https://github.com/citation-style-language/schema/raw/master/csl-citation.json"} </w:instrText>
      </w:r>
      <w:r w:rsidRPr="00E47369">
        <w:rPr>
          <w:rFonts w:cstheme="minorHAnsi"/>
          <w:color w:val="000000" w:themeColor="text1"/>
        </w:rPr>
        <w:fldChar w:fldCharType="separate"/>
      </w:r>
      <w:r w:rsidRPr="00E47369">
        <w:rPr>
          <w:rFonts w:cstheme="minorHAnsi"/>
          <w:sz w:val="22"/>
          <w:vertAlign w:val="superscript"/>
        </w:rPr>
        <w:t>35,36</w:t>
      </w:r>
      <w:r w:rsidRPr="00E47369">
        <w:rPr>
          <w:rFonts w:cstheme="minorHAnsi"/>
          <w:color w:val="000000" w:themeColor="text1"/>
        </w:rPr>
        <w:fldChar w:fldCharType="end"/>
      </w:r>
      <w:r w:rsidRPr="00E47369">
        <w:rPr>
          <w:rFonts w:cstheme="minorHAnsi"/>
          <w:color w:val="000000" w:themeColor="text1"/>
        </w:rPr>
        <w:t xml:space="preserve"> (</w:t>
      </w:r>
      <w:r w:rsidRPr="00E47369">
        <w:rPr>
          <w:rFonts w:cstheme="minorHAnsi"/>
          <w:color w:val="000000" w:themeColor="text1"/>
        </w:rPr>
        <w:fldChar w:fldCharType="begin"/>
      </w:r>
      <w:r w:rsidRPr="00E47369">
        <w:rPr>
          <w:rFonts w:cstheme="minorHAnsi"/>
          <w:color w:val="000000" w:themeColor="text1"/>
        </w:rPr>
        <w:instrText xml:space="preserve"> REF _Ref451764347 \h </w:instrText>
      </w:r>
      <w:r w:rsidR="00E47369">
        <w:rPr>
          <w:rFonts w:cstheme="minorHAnsi"/>
          <w:color w:val="000000" w:themeColor="text1"/>
        </w:rPr>
        <w:instrText xml:space="preserve"> \* MERGEFORMAT </w:instrText>
      </w:r>
      <w:r w:rsidRPr="00E47369">
        <w:rPr>
          <w:rFonts w:cstheme="minorHAnsi"/>
          <w:color w:val="000000" w:themeColor="text1"/>
        </w:rPr>
      </w:r>
      <w:r w:rsidRPr="00E47369">
        <w:rPr>
          <w:rFonts w:cstheme="minorHAnsi"/>
          <w:color w:val="000000" w:themeColor="text1"/>
        </w:rPr>
        <w:fldChar w:fldCharType="separate"/>
      </w:r>
      <w:r w:rsidR="000A0E3D" w:rsidRPr="000A0E3D">
        <w:rPr>
          <w:rFonts w:cstheme="minorHAnsi"/>
        </w:rPr>
        <w:t xml:space="preserve">Figure II. </w:t>
      </w:r>
      <w:r w:rsidR="000A0E3D" w:rsidRPr="000A0E3D">
        <w:rPr>
          <w:rFonts w:cstheme="minorHAnsi"/>
          <w:noProof/>
        </w:rPr>
        <w:t>4.5</w:t>
      </w:r>
      <w:r w:rsidRPr="00E47369">
        <w:rPr>
          <w:rFonts w:cstheme="minorHAnsi"/>
          <w:color w:val="000000" w:themeColor="text1"/>
        </w:rPr>
        <w:fldChar w:fldCharType="end"/>
      </w:r>
      <w:r w:rsidRPr="00E47369">
        <w:rPr>
          <w:rFonts w:cstheme="minorHAnsi"/>
          <w:color w:val="000000" w:themeColor="text1"/>
        </w:rPr>
        <w:t xml:space="preserve">, R=H) that remained unchanged after 20 h, showing that indoline has a greater binding affinity than the glycol for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rPr>
          <w:rFonts w:cstheme="minorHAnsi"/>
          <w:color w:val="000000" w:themeColor="text1"/>
        </w:rPr>
        <w:t xml:space="preserve"> (</w:t>
      </w:r>
      <w:r w:rsidRPr="00E47369">
        <w:rPr>
          <w:rFonts w:cstheme="minorHAnsi"/>
          <w:color w:val="000000" w:themeColor="text1"/>
        </w:rPr>
        <w:fldChar w:fldCharType="begin"/>
      </w:r>
      <w:r w:rsidRPr="00E47369">
        <w:rPr>
          <w:rFonts w:cstheme="minorHAnsi"/>
          <w:color w:val="000000" w:themeColor="text1"/>
        </w:rPr>
        <w:instrText xml:space="preserve"> REF _Ref451764347 \h </w:instrText>
      </w:r>
      <w:r w:rsidR="00E47369">
        <w:rPr>
          <w:rFonts w:cstheme="minorHAnsi"/>
          <w:color w:val="000000" w:themeColor="text1"/>
        </w:rPr>
        <w:instrText xml:space="preserve"> \* MERGEFORMAT </w:instrText>
      </w:r>
      <w:r w:rsidRPr="00E47369">
        <w:rPr>
          <w:rFonts w:cstheme="minorHAnsi"/>
          <w:color w:val="000000" w:themeColor="text1"/>
        </w:rPr>
      </w:r>
      <w:r w:rsidRPr="00E47369">
        <w:rPr>
          <w:rFonts w:cstheme="minorHAnsi"/>
          <w:color w:val="000000" w:themeColor="text1"/>
        </w:rPr>
        <w:fldChar w:fldCharType="separate"/>
      </w:r>
      <w:r w:rsidR="000A0E3D" w:rsidRPr="000A0E3D">
        <w:rPr>
          <w:rFonts w:cstheme="minorHAnsi"/>
        </w:rPr>
        <w:t xml:space="preserve">Figure II. </w:t>
      </w:r>
      <w:r w:rsidR="000A0E3D" w:rsidRPr="000A0E3D">
        <w:rPr>
          <w:rFonts w:cstheme="minorHAnsi"/>
          <w:noProof/>
        </w:rPr>
        <w:t>4.5</w:t>
      </w:r>
      <w:r w:rsidRPr="00E47369">
        <w:rPr>
          <w:rFonts w:cstheme="minorHAnsi"/>
          <w:color w:val="000000" w:themeColor="text1"/>
        </w:rPr>
        <w:fldChar w:fldCharType="end"/>
      </w:r>
      <w:r w:rsidRPr="00E47369">
        <w:rPr>
          <w:rFonts w:cstheme="minorHAnsi"/>
          <w:color w:val="000000" w:themeColor="text1"/>
        </w:rPr>
        <w:t xml:space="preserve">). This result also suggests a preference for pathway </w:t>
      </w:r>
      <w:r w:rsidRPr="00E47369">
        <w:rPr>
          <w:rFonts w:cstheme="minorHAnsi"/>
        </w:rPr>
        <w:t>A, but does not exclude the operation of path B. By comparison with previously reported experimental and computational studies on alcohols reductants, the idea of the reduction of the rhenium center first releasing the oxidized reducing agent and a Re</w:t>
      </w:r>
      <w:r w:rsidRPr="00E47369">
        <w:rPr>
          <w:rFonts w:cstheme="minorHAnsi"/>
          <w:vertAlign w:val="superscript"/>
        </w:rPr>
        <w:t>v</w:t>
      </w:r>
      <w:r w:rsidRPr="00E47369">
        <w:rPr>
          <w:rFonts w:cstheme="minorHAnsi"/>
        </w:rPr>
        <w:t xml:space="preserve"> complex is reasonable.</w:t>
      </w:r>
      <w:r w:rsidRPr="00E47369">
        <w:rPr>
          <w:rFonts w:cstheme="minorHAnsi"/>
        </w:rPr>
        <w:fldChar w:fldCharType="begin"/>
      </w:r>
      <w:r w:rsidRPr="00E47369">
        <w:rPr>
          <w:rFonts w:cstheme="minorHAnsi"/>
        </w:rPr>
        <w:instrText xml:space="preserve"> ADDIN ZOTERO_ITEM CSL_CITATION {"citationID":"kuq0jmkp5","properties":{"formattedCitation":"{\\rtf \\super 48\\nosupersub{}}","plainCitation":"48"},"citationItems":[{"id":19,"uris":["http://zotero.org/users/1624234/items/2CW79V7S"],"uri":["http://zotero.org/users/1624234/items/2CW79V7S"],"itemData":{"id":19,"type":"article-journal","title":"Mechanism of the Methyltrioxorhenium-Catalyzed Deoxydehydration of Polyols: A New Pathway Revealed","container-title":"Chemistry – A European Journal","page":"3827–3832","volume":"19","issue":"12","source":"Wiley Online Library","DOI":"10.1002/chem.201204001","ISSN":"1521-3765","shortTitle":"Mechanism of the Methyltrioxorhenium-Catalyzed Deoxydehydration of Polyols","language":"en","author":[{"family":"Qu","given":"Shuanglin"},{"family":"Dang","given":"Yanfeng"},{"family":"Wen","given":"Mingwei"},{"family":"Wang","given":"Zhi-Xiang"}],"issued":{"date-parts":[["2013"]]}}}],"schema":"https://github.com/citation-style-language/schema/raw/master/csl-citation.json"} </w:instrText>
      </w:r>
      <w:r w:rsidRPr="00E47369">
        <w:rPr>
          <w:rFonts w:cstheme="minorHAnsi"/>
        </w:rPr>
        <w:fldChar w:fldCharType="separate"/>
      </w:r>
      <w:r w:rsidRPr="00E47369">
        <w:rPr>
          <w:rFonts w:cstheme="minorHAnsi"/>
          <w:vertAlign w:val="superscript"/>
        </w:rPr>
        <w:t>48</w:t>
      </w:r>
      <w:r w:rsidRPr="00E47369">
        <w:rPr>
          <w:rFonts w:cstheme="minorHAnsi"/>
        </w:rPr>
        <w:fldChar w:fldCharType="end"/>
      </w:r>
    </w:p>
    <w:p w14:paraId="43874AB0" w14:textId="77777777" w:rsidR="00A651D8" w:rsidRPr="00E47369" w:rsidRDefault="00A651D8" w:rsidP="00A651D8">
      <w:pPr>
        <w:keepNext/>
        <w:jc w:val="center"/>
        <w:rPr>
          <w:rFonts w:cstheme="minorHAnsi"/>
        </w:rPr>
      </w:pPr>
      <w:r w:rsidRPr="00E47369">
        <w:rPr>
          <w:rFonts w:cstheme="minorHAnsi"/>
          <w:noProof/>
          <w:lang w:bidi="ar-SA"/>
        </w:rPr>
        <w:drawing>
          <wp:inline distT="0" distB="0" distL="0" distR="0" wp14:anchorId="274A3714" wp14:editId="652FD4DA">
            <wp:extent cx="4572000" cy="3286712"/>
            <wp:effectExtent l="0" t="0" r="0" b="9525"/>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572000" cy="3286712"/>
                    </a:xfrm>
                    <a:prstGeom prst="rect">
                      <a:avLst/>
                    </a:prstGeom>
                    <a:noFill/>
                  </pic:spPr>
                </pic:pic>
              </a:graphicData>
            </a:graphic>
          </wp:inline>
        </w:drawing>
      </w:r>
    </w:p>
    <w:p w14:paraId="384929DD" w14:textId="3AB2C6E5" w:rsidR="00A651D8" w:rsidRPr="00323B06" w:rsidRDefault="00A651D8" w:rsidP="00323B06">
      <w:pPr>
        <w:pStyle w:val="Caption"/>
      </w:pPr>
      <w:bookmarkStart w:id="150" w:name="_Ref451764347"/>
      <w:bookmarkStart w:id="151" w:name="_Toc458938392"/>
      <w:r w:rsidRPr="00323B06">
        <w:t xml:space="preserve">Figure II. </w:t>
      </w:r>
      <w:r w:rsidR="00443010">
        <w:fldChar w:fldCharType="begin"/>
      </w:r>
      <w:r w:rsidR="00443010">
        <w:instrText xml:space="preserve"> STYLEREF 2 \s </w:instrText>
      </w:r>
      <w:r w:rsidR="00443010">
        <w:fldChar w:fldCharType="separate"/>
      </w:r>
      <w:r w:rsidR="000A0E3D">
        <w:rPr>
          <w:noProof/>
        </w:rPr>
        <w:t>4</w:t>
      </w:r>
      <w:r w:rsidR="00443010">
        <w:rPr>
          <w:noProof/>
        </w:rPr>
        <w:fldChar w:fldCharType="end"/>
      </w:r>
      <w:r w:rsidR="000C1BF3" w:rsidRPr="00323B06">
        <w:t>.</w:t>
      </w:r>
      <w:r w:rsidR="00443010">
        <w:fldChar w:fldCharType="begin"/>
      </w:r>
      <w:r w:rsidR="00443010">
        <w:instrText xml:space="preserve"> SEQ Figure_II. \* ARABIC \s 2 </w:instrText>
      </w:r>
      <w:r w:rsidR="00443010">
        <w:fldChar w:fldCharType="separate"/>
      </w:r>
      <w:r w:rsidR="000A0E3D">
        <w:rPr>
          <w:noProof/>
        </w:rPr>
        <w:t>5</w:t>
      </w:r>
      <w:r w:rsidR="00443010">
        <w:rPr>
          <w:noProof/>
        </w:rPr>
        <w:fldChar w:fldCharType="end"/>
      </w:r>
      <w:bookmarkEnd w:id="150"/>
      <w:r w:rsidRPr="00323B06">
        <w:t xml:space="preserve"> </w:t>
      </w:r>
      <w:r w:rsidRPr="00323B06">
        <w:rPr>
          <w:vertAlign w:val="superscript"/>
        </w:rPr>
        <w:t>1</w:t>
      </w:r>
      <w:r w:rsidRPr="00323B06">
        <w:t xml:space="preserve">H NMR experiment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323B06">
        <w:t xml:space="preserve">:indoline vs.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323B06">
        <w:t>:Glycolate formation</w:t>
      </w:r>
      <w:bookmarkEnd w:id="151"/>
      <w:r w:rsidRPr="00323B06">
        <w:t xml:space="preserve"> </w:t>
      </w:r>
    </w:p>
    <w:p w14:paraId="69D7DAA6" w14:textId="77777777" w:rsidR="00A651D8" w:rsidRPr="00E47369" w:rsidRDefault="00A651D8" w:rsidP="00A651D8">
      <w:pPr>
        <w:rPr>
          <w:rFonts w:cstheme="minorHAnsi"/>
        </w:rPr>
      </w:pPr>
    </w:p>
    <w:p w14:paraId="18EC0A91" w14:textId="77777777" w:rsidR="00A651D8" w:rsidRPr="00E47369" w:rsidRDefault="00A651D8" w:rsidP="00A651D8">
      <w:pPr>
        <w:keepNext/>
        <w:jc w:val="center"/>
        <w:rPr>
          <w:rFonts w:cstheme="minorHAnsi"/>
        </w:rPr>
      </w:pPr>
      <w:r w:rsidRPr="00E47369">
        <w:rPr>
          <w:rFonts w:cstheme="minorHAnsi"/>
          <w:noProof/>
          <w:lang w:bidi="ar-SA"/>
        </w:rPr>
        <w:drawing>
          <wp:inline distT="0" distB="0" distL="0" distR="0" wp14:anchorId="7705A02F" wp14:editId="2DDF27FB">
            <wp:extent cx="3147425" cy="1561513"/>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3">
                      <a:biLevel thresh="75000"/>
                      <a:extLst>
                        <a:ext uri="{28A0092B-C50C-407E-A947-70E740481C1C}">
                          <a14:useLocalDpi xmlns:a14="http://schemas.microsoft.com/office/drawing/2010/main" val="0"/>
                        </a:ext>
                      </a:extLst>
                    </a:blip>
                    <a:srcRect/>
                    <a:stretch>
                      <a:fillRect/>
                    </a:stretch>
                  </pic:blipFill>
                  <pic:spPr bwMode="auto">
                    <a:xfrm>
                      <a:off x="0" y="0"/>
                      <a:ext cx="3154750" cy="1565147"/>
                    </a:xfrm>
                    <a:prstGeom prst="rect">
                      <a:avLst/>
                    </a:prstGeom>
                    <a:noFill/>
                    <a:ln>
                      <a:noFill/>
                    </a:ln>
                  </pic:spPr>
                </pic:pic>
              </a:graphicData>
            </a:graphic>
          </wp:inline>
        </w:drawing>
      </w:r>
    </w:p>
    <w:p w14:paraId="325E249C" w14:textId="4549BA2B" w:rsidR="00A651D8" w:rsidRPr="00323B06" w:rsidRDefault="00A651D8" w:rsidP="00323B06">
      <w:pPr>
        <w:pStyle w:val="Caption"/>
      </w:pPr>
      <w:bookmarkStart w:id="152" w:name="_Ref451764445"/>
      <w:bookmarkStart w:id="153" w:name="_Toc458938393"/>
      <w:r w:rsidRPr="00323B06">
        <w:t xml:space="preserve">Figure II. </w:t>
      </w:r>
      <w:r w:rsidR="00443010">
        <w:fldChar w:fldCharType="begin"/>
      </w:r>
      <w:r w:rsidR="00443010">
        <w:instrText xml:space="preserve"> STYLEREF 2 \s </w:instrText>
      </w:r>
      <w:r w:rsidR="00443010">
        <w:fldChar w:fldCharType="separate"/>
      </w:r>
      <w:r w:rsidR="000A0E3D">
        <w:rPr>
          <w:noProof/>
        </w:rPr>
        <w:t>4</w:t>
      </w:r>
      <w:r w:rsidR="00443010">
        <w:rPr>
          <w:noProof/>
        </w:rPr>
        <w:fldChar w:fldCharType="end"/>
      </w:r>
      <w:r w:rsidR="000C1BF3" w:rsidRPr="00323B06">
        <w:t>.</w:t>
      </w:r>
      <w:r w:rsidR="00443010">
        <w:fldChar w:fldCharType="begin"/>
      </w:r>
      <w:r w:rsidR="00443010">
        <w:instrText xml:space="preserve"> SEQ Figure_II. \* ARABIC \s 2 </w:instrText>
      </w:r>
      <w:r w:rsidR="00443010">
        <w:fldChar w:fldCharType="separate"/>
      </w:r>
      <w:r w:rsidR="000A0E3D">
        <w:rPr>
          <w:noProof/>
        </w:rPr>
        <w:t>6</w:t>
      </w:r>
      <w:r w:rsidR="00443010">
        <w:rPr>
          <w:noProof/>
        </w:rPr>
        <w:fldChar w:fldCharType="end"/>
      </w:r>
      <w:bookmarkEnd w:id="152"/>
      <w:r w:rsidRPr="00323B06">
        <w:t xml:space="preserve"> Possible mechanism of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323B06">
        <w:t>-indoline H-transfer redox reaction</w:t>
      </w:r>
      <w:bookmarkEnd w:id="153"/>
    </w:p>
    <w:p w14:paraId="60AF3688" w14:textId="77777777" w:rsidR="00A651D8" w:rsidRPr="00E47369" w:rsidRDefault="00A651D8" w:rsidP="00A651D8">
      <w:pPr>
        <w:rPr>
          <w:rFonts w:cstheme="minorHAnsi"/>
        </w:rPr>
      </w:pPr>
    </w:p>
    <w:p w14:paraId="77288BB7" w14:textId="7BCE401C" w:rsidR="00A651D8" w:rsidRPr="00E47369" w:rsidRDefault="00A651D8" w:rsidP="00443010">
      <w:pPr>
        <w:ind w:firstLine="360"/>
        <w:jc w:val="both"/>
        <w:rPr>
          <w:rFonts w:cstheme="minorHAnsi"/>
        </w:rPr>
      </w:pPr>
      <w:r w:rsidRPr="00E47369">
        <w:rPr>
          <w:rFonts w:cstheme="minorHAnsi"/>
        </w:rPr>
        <w:t xml:space="preserve">In </w:t>
      </w:r>
      <w:r w:rsidRPr="00E47369">
        <w:rPr>
          <w:rFonts w:cstheme="minorHAnsi"/>
        </w:rPr>
        <w:fldChar w:fldCharType="begin"/>
      </w:r>
      <w:r w:rsidRPr="00E47369">
        <w:rPr>
          <w:rFonts w:cstheme="minorHAnsi"/>
        </w:rPr>
        <w:instrText xml:space="preserve"> REF _Ref451764445 \h </w:instrText>
      </w:r>
      <w:r w:rsidR="00E47369">
        <w:rPr>
          <w:rFonts w:cstheme="minorHAnsi"/>
        </w:rPr>
        <w:instrText xml:space="preserve"> \* MERGEFORMAT </w:instrText>
      </w:r>
      <w:r w:rsidRPr="00E47369">
        <w:rPr>
          <w:rFonts w:cstheme="minorHAnsi"/>
        </w:rPr>
      </w:r>
      <w:r w:rsidRPr="00E47369">
        <w:rPr>
          <w:rFonts w:cstheme="minorHAnsi"/>
        </w:rPr>
        <w:fldChar w:fldCharType="separate"/>
      </w:r>
      <w:r w:rsidR="000A0E3D" w:rsidRPr="000A0E3D">
        <w:rPr>
          <w:rFonts w:cstheme="minorHAnsi"/>
        </w:rPr>
        <w:t xml:space="preserve">Figure II. </w:t>
      </w:r>
      <w:r w:rsidR="000A0E3D" w:rsidRPr="000A0E3D">
        <w:rPr>
          <w:rFonts w:cstheme="minorHAnsi"/>
          <w:noProof/>
        </w:rPr>
        <w:t>4.6</w:t>
      </w:r>
      <w:r w:rsidRPr="00E47369">
        <w:rPr>
          <w:rFonts w:cstheme="minorHAnsi"/>
        </w:rPr>
        <w:fldChar w:fldCharType="end"/>
      </w:r>
      <w:r w:rsidRPr="00E47369">
        <w:rPr>
          <w:rFonts w:cstheme="minorHAnsi"/>
        </w:rPr>
        <w:t xml:space="preserve"> we suggest a possible mechanism for the formation of MDO and indole involving complexation, proton transfer of the acidified N-H to a Re=O unit, α-C-H transfer with H</w:t>
      </w:r>
      <w:r w:rsidRPr="00E47369">
        <w:rPr>
          <w:rFonts w:cstheme="minorHAnsi"/>
          <w:vertAlign w:val="subscript"/>
        </w:rPr>
        <w:t>2</w:t>
      </w:r>
      <w:r w:rsidRPr="00E47369">
        <w:rPr>
          <w:rFonts w:cstheme="minorHAnsi"/>
        </w:rPr>
        <w:t>O-loss and iso-indoline tautomerization.</w:t>
      </w:r>
      <w:r w:rsidRPr="00E47369">
        <w:rPr>
          <w:rFonts w:cstheme="minorHAnsi"/>
        </w:rPr>
        <w:fldChar w:fldCharType="begin"/>
      </w:r>
      <w:r w:rsidRPr="00E47369">
        <w:rPr>
          <w:rFonts w:cstheme="minorHAnsi"/>
        </w:rPr>
        <w:instrText xml:space="preserve"> ADDIN ZOTERO_ITEM CSL_CITATION {"citationID":"1tu99pf32b","properties":{"formattedCitation":"{\\rtf \\super 101\\nosupersub{}}","plainCitation":"101"},"citationItems":[{"id":412,"uris":["http://zotero.org/users/1624234/items/TEAWQCVF"],"uri":["http://zotero.org/users/1624234/items/TEAWQCVF"],"itemData":{"id":412,"type":"article-journal","title":"3H-Indol","container-title":"Angewandte Chemie","page":"1240-1243","volume":"106","issue":"11","source":"Wiley Online Library","DOI":"10.1002/ange.19941061119","ISSN":"1521-3757","journalAbbreviation":"Angewandte Chemie","language":"en","author":[{"family":"Gut","given":"Ivo G."},{"family":"Wirz","given":"Jakob"}],"issued":{"date-parts":[["1994"]]}}}],"schema":"https://github.com/citation-style-language/schema/raw/master/csl-citation.json"} </w:instrText>
      </w:r>
      <w:r w:rsidRPr="00E47369">
        <w:rPr>
          <w:rFonts w:cstheme="minorHAnsi"/>
        </w:rPr>
        <w:fldChar w:fldCharType="separate"/>
      </w:r>
      <w:r w:rsidRPr="00E47369">
        <w:rPr>
          <w:rFonts w:cstheme="minorHAnsi"/>
          <w:sz w:val="22"/>
          <w:vertAlign w:val="superscript"/>
        </w:rPr>
        <w:t>101</w:t>
      </w:r>
      <w:r w:rsidRPr="00E47369">
        <w:rPr>
          <w:rFonts w:cstheme="minorHAnsi"/>
        </w:rPr>
        <w:fldChar w:fldCharType="end"/>
      </w:r>
      <w:r w:rsidRPr="00E47369">
        <w:rPr>
          <w:rFonts w:cstheme="minorHAnsi"/>
        </w:rPr>
        <w:t xml:space="preserve"> </w:t>
      </w:r>
    </w:p>
    <w:p w14:paraId="6984DB45" w14:textId="77777777" w:rsidR="00A651D8" w:rsidRPr="00E47369" w:rsidRDefault="00A651D8" w:rsidP="00A651D8">
      <w:pPr>
        <w:keepNext/>
        <w:jc w:val="center"/>
        <w:rPr>
          <w:rFonts w:cstheme="minorHAnsi"/>
        </w:rPr>
      </w:pPr>
      <w:r w:rsidRPr="00E47369">
        <w:rPr>
          <w:rFonts w:cstheme="minorHAnsi"/>
        </w:rPr>
        <w:object w:dxaOrig="5622" w:dyaOrig="5551" w14:anchorId="650D9A3A">
          <v:shape id="_x0000_i1063" type="#_x0000_t75" style="width:3in;height:3in" o:ole="">
            <v:imagedata r:id="rId114" o:title=""/>
          </v:shape>
          <o:OLEObject Type="Embed" ProgID="ChemDraw.Document.6.0" ShapeID="_x0000_i1063" DrawAspect="Content" ObjectID="_1532784917" r:id="rId115"/>
        </w:object>
      </w:r>
    </w:p>
    <w:p w14:paraId="28DCE692" w14:textId="69D3C566" w:rsidR="00A651D8" w:rsidRPr="00323B06" w:rsidRDefault="00A651D8" w:rsidP="00323B06">
      <w:pPr>
        <w:pStyle w:val="Caption"/>
      </w:pPr>
      <w:bookmarkStart w:id="154" w:name="_Ref451764211"/>
      <w:bookmarkStart w:id="155" w:name="_Toc458938394"/>
      <w:r w:rsidRPr="00323B06">
        <w:t xml:space="preserve">Figure II. </w:t>
      </w:r>
      <w:r w:rsidR="00443010">
        <w:fldChar w:fldCharType="begin"/>
      </w:r>
      <w:r w:rsidR="00443010">
        <w:instrText xml:space="preserve"> STYLEREF 2 \s </w:instrText>
      </w:r>
      <w:r w:rsidR="00443010">
        <w:fldChar w:fldCharType="separate"/>
      </w:r>
      <w:r w:rsidR="000A0E3D">
        <w:rPr>
          <w:noProof/>
        </w:rPr>
        <w:t>4</w:t>
      </w:r>
      <w:r w:rsidR="00443010">
        <w:rPr>
          <w:noProof/>
        </w:rPr>
        <w:fldChar w:fldCharType="end"/>
      </w:r>
      <w:r w:rsidR="000C1BF3" w:rsidRPr="00323B06">
        <w:t>.</w:t>
      </w:r>
      <w:r w:rsidR="00443010">
        <w:fldChar w:fldCharType="begin"/>
      </w:r>
      <w:r w:rsidR="00443010">
        <w:instrText xml:space="preserve"> SEQ Figure_II. \* ARABIC \s 2 </w:instrText>
      </w:r>
      <w:r w:rsidR="00443010">
        <w:fldChar w:fldCharType="separate"/>
      </w:r>
      <w:r w:rsidR="000A0E3D">
        <w:rPr>
          <w:noProof/>
        </w:rPr>
        <w:t>7</w:t>
      </w:r>
      <w:r w:rsidR="00443010">
        <w:rPr>
          <w:noProof/>
        </w:rPr>
        <w:fldChar w:fldCharType="end"/>
      </w:r>
      <w:bookmarkEnd w:id="154"/>
      <w:r w:rsidRPr="00323B06">
        <w:t xml:space="preserve"> Potential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323B06">
        <w:t xml:space="preserve"> catalytic cycle with indoline as reductant</w:t>
      </w:r>
      <w:bookmarkEnd w:id="155"/>
    </w:p>
    <w:p w14:paraId="3D863639" w14:textId="77777777" w:rsidR="00A651D8" w:rsidRPr="00E47369" w:rsidRDefault="00A651D8" w:rsidP="001539C6">
      <w:pPr>
        <w:rPr>
          <w:rFonts w:cstheme="minorHAnsi"/>
        </w:rPr>
      </w:pPr>
    </w:p>
    <w:p w14:paraId="60DAF19C" w14:textId="77777777" w:rsidR="00A651D8" w:rsidRPr="00E47369" w:rsidRDefault="00A651D8" w:rsidP="00BA0582">
      <w:pPr>
        <w:pStyle w:val="Heading2"/>
      </w:pPr>
      <w:bookmarkStart w:id="156" w:name="_Toc453571133"/>
      <w:bookmarkStart w:id="157" w:name="_Toc458938283"/>
      <w:r w:rsidRPr="00E47369">
        <w:t>Conclusions</w:t>
      </w:r>
      <w:bookmarkEnd w:id="156"/>
      <w:bookmarkEnd w:id="157"/>
    </w:p>
    <w:p w14:paraId="4A73E3C2" w14:textId="77777777" w:rsidR="00A651D8" w:rsidRPr="00E47369" w:rsidRDefault="00A651D8" w:rsidP="006042D0">
      <w:pPr>
        <w:ind w:firstLine="360"/>
        <w:jc w:val="both"/>
        <w:rPr>
          <w:rFonts w:cstheme="minorHAnsi"/>
        </w:rPr>
      </w:pPr>
      <w:r w:rsidRPr="00E47369">
        <w:rPr>
          <w:rFonts w:cstheme="minorHAnsi"/>
          <w:color w:val="000000" w:themeColor="text1"/>
        </w:rPr>
        <w:t xml:space="preserve">In conclusion we have demonstrated the ability of hydroaromatic compounds to serve as reductants in oxo-metal catalyzed deoxydehydration of polyols. From a practical perspective the value of this transformation will depend on the cost/availability of the particular polyol and hydroarene co-reactants and the respective olefinic </w:t>
      </w:r>
      <w:r w:rsidRPr="00E47369">
        <w:rPr>
          <w:rFonts w:cstheme="minorHAnsi"/>
        </w:rPr>
        <w:t xml:space="preserve">and aromatic co-products. Indoline is particularly efficient for these reactions, being more reactive than representative primary and secondary alcohols. The combination of n-butanol and indoline can be seen as a more economical combination than the reported secondary alcohols used as solvent and reducing agent. Also we can envision even cheaper alcohol solvent than butanol in combination with indoline for ever more economic system. The </w:t>
      </w:r>
      <w:r w:rsidRPr="00E47369">
        <w:rPr>
          <w:rFonts w:cstheme="minorHAnsi"/>
          <w:color w:val="000000" w:themeColor="text1"/>
        </w:rPr>
        <w:t xml:space="preserve">effectiveness of indoline may be ascribed to its ability to coordinate to an electrophilic oxo-metal species, to then effect entropically-favored intramolecular H-transfer, and to form the stable, weakly coordinating aromatic, indole. Atom-economical tandem DODH/Diels-Alder reactions were also illustrated. The use of 1-butanol as solvent allows expansion of the range of polyols that are effectively converted to unsaturated products. The efficacy and availability of the hydroaromatic reductants </w:t>
      </w:r>
      <w:r w:rsidRPr="00E47369">
        <w:rPr>
          <w:rFonts w:cstheme="minorHAnsi"/>
        </w:rPr>
        <w:t xml:space="preserve">could lead to their use in other oxo-metal catalyzed reductions. </w:t>
      </w:r>
    </w:p>
    <w:p w14:paraId="5AF56D81" w14:textId="77777777" w:rsidR="00A651D8" w:rsidRPr="00E47369" w:rsidRDefault="0017359D" w:rsidP="006042D0">
      <w:pPr>
        <w:ind w:firstLine="360"/>
        <w:jc w:val="both"/>
        <w:rPr>
          <w:rFonts w:cstheme="minorHAnsi"/>
        </w:rPr>
      </w:pPr>
      <w:r>
        <w:rPr>
          <w:rFonts w:cstheme="minorHAnsi"/>
        </w:rPr>
        <w:t>Further studies</w:t>
      </w:r>
      <w:r w:rsidR="00A651D8" w:rsidRPr="00E47369">
        <w:rPr>
          <w:rFonts w:cstheme="minorHAnsi"/>
        </w:rPr>
        <w:t xml:space="preserve"> could be conducted with substituted indoline in order to probe the effect of electron withdrawing or donating group</w:t>
      </w:r>
      <w:r w:rsidR="00A542F3">
        <w:rPr>
          <w:rFonts w:cstheme="minorHAnsi"/>
        </w:rPr>
        <w:t>s</w:t>
      </w:r>
      <w:r w:rsidR="00A651D8" w:rsidRPr="00E47369">
        <w:rPr>
          <w:rFonts w:cstheme="minorHAnsi"/>
        </w:rPr>
        <w:t xml:space="preserve"> as well as to guide the selectivity of the nucleophilic addition of indole on acrylic acid (</w:t>
      </w:r>
      <w:r w:rsidR="003A1E7A">
        <w:rPr>
          <w:rFonts w:cstheme="minorHAnsi"/>
        </w:rPr>
        <w:t>Figure</w:t>
      </w:r>
      <w:r w:rsidR="00A651D8" w:rsidRPr="00E47369">
        <w:rPr>
          <w:rFonts w:cstheme="minorHAnsi"/>
        </w:rPr>
        <w:t xml:space="preserve"> II.3.2). This last reaction</w:t>
      </w:r>
      <w:r>
        <w:rPr>
          <w:rFonts w:cstheme="minorHAnsi"/>
        </w:rPr>
        <w:t>,</w:t>
      </w:r>
      <w:r w:rsidR="00A651D8" w:rsidRPr="00E47369">
        <w:rPr>
          <w:rFonts w:cstheme="minorHAnsi"/>
        </w:rPr>
        <w:t xml:space="preserve"> </w:t>
      </w:r>
      <w:r w:rsidR="00A542F3">
        <w:rPr>
          <w:rFonts w:cstheme="minorHAnsi"/>
        </w:rPr>
        <w:t>once</w:t>
      </w:r>
      <w:r w:rsidR="00A651D8" w:rsidRPr="00E47369">
        <w:rPr>
          <w:rFonts w:cstheme="minorHAnsi"/>
        </w:rPr>
        <w:t xml:space="preserve"> </w:t>
      </w:r>
      <w:r w:rsidR="00A542F3">
        <w:rPr>
          <w:rFonts w:cstheme="minorHAnsi"/>
        </w:rPr>
        <w:t xml:space="preserve">it would be </w:t>
      </w:r>
      <w:r w:rsidR="00A651D8" w:rsidRPr="00E47369">
        <w:rPr>
          <w:rFonts w:cstheme="minorHAnsi"/>
        </w:rPr>
        <w:t>optimized</w:t>
      </w:r>
      <w:r>
        <w:rPr>
          <w:rFonts w:cstheme="minorHAnsi"/>
        </w:rPr>
        <w:t>,</w:t>
      </w:r>
      <w:r w:rsidR="00A651D8" w:rsidRPr="00E47369">
        <w:rPr>
          <w:rFonts w:cstheme="minorHAnsi"/>
        </w:rPr>
        <w:t xml:space="preserve"> could le</w:t>
      </w:r>
      <w:r>
        <w:rPr>
          <w:rFonts w:cstheme="minorHAnsi"/>
        </w:rPr>
        <w:t>a</w:t>
      </w:r>
      <w:r w:rsidR="00A651D8" w:rsidRPr="00E47369">
        <w:rPr>
          <w:rFonts w:cstheme="minorHAnsi"/>
        </w:rPr>
        <w:t>d to a new atom economical and biomass based synthesis of substituted indole as these type of compounds are interesting building blocks in drug synthesis.</w:t>
      </w:r>
    </w:p>
    <w:p w14:paraId="1476DA83" w14:textId="77777777" w:rsidR="00A651D8" w:rsidRPr="00E47369" w:rsidRDefault="0017359D" w:rsidP="00536AE9">
      <w:pPr>
        <w:ind w:firstLine="360"/>
        <w:jc w:val="both"/>
        <w:rPr>
          <w:rFonts w:cstheme="minorHAnsi"/>
        </w:rPr>
      </w:pPr>
      <w:r>
        <w:rPr>
          <w:rFonts w:cstheme="minorHAnsi"/>
        </w:rPr>
        <w:t>In</w:t>
      </w:r>
      <w:r w:rsidR="00A651D8" w:rsidRPr="00E47369">
        <w:rPr>
          <w:rFonts w:cstheme="minorHAnsi"/>
        </w:rPr>
        <w:t xml:space="preserve"> </w:t>
      </w:r>
      <w:r>
        <w:rPr>
          <w:rFonts w:cstheme="minorHAnsi"/>
        </w:rPr>
        <w:t xml:space="preserve">survey of </w:t>
      </w:r>
      <w:r w:rsidR="00A651D8" w:rsidRPr="00E47369">
        <w:rPr>
          <w:rFonts w:cstheme="minorHAnsi"/>
        </w:rPr>
        <w:t xml:space="preserve">hydroaromatics studied </w:t>
      </w:r>
      <w:r>
        <w:rPr>
          <w:rFonts w:cstheme="minorHAnsi"/>
        </w:rPr>
        <w:t>some were</w:t>
      </w:r>
      <w:r w:rsidR="00A651D8" w:rsidRPr="00E47369">
        <w:rPr>
          <w:rFonts w:cstheme="minorHAnsi"/>
        </w:rPr>
        <w:t xml:space="preserve"> more reactive than hydrogen as reducing agents in the DODH reaction. Also these hydrogen carriers could be regenerated by hydrogen</w:t>
      </w:r>
      <w:r>
        <w:rPr>
          <w:rFonts w:cstheme="minorHAnsi"/>
        </w:rPr>
        <w:t xml:space="preserve"> with a catalyst</w:t>
      </w:r>
      <w:r w:rsidR="00A651D8" w:rsidRPr="00E47369">
        <w:rPr>
          <w:rFonts w:cstheme="minorHAnsi"/>
        </w:rPr>
        <w:t xml:space="preserve"> after the reaction and re</w:t>
      </w:r>
      <w:r>
        <w:rPr>
          <w:rFonts w:cstheme="minorHAnsi"/>
        </w:rPr>
        <w:t>-</w:t>
      </w:r>
      <w:r w:rsidR="00A651D8" w:rsidRPr="00E47369">
        <w:rPr>
          <w:rFonts w:cstheme="minorHAnsi"/>
        </w:rPr>
        <w:t xml:space="preserve">use. This system could then be optimized for industrial application. </w:t>
      </w:r>
    </w:p>
    <w:p w14:paraId="2EA9959A" w14:textId="77777777" w:rsidR="00A651D8" w:rsidRPr="00E47369" w:rsidRDefault="00A651D8" w:rsidP="00A651D8">
      <w:pPr>
        <w:jc w:val="both"/>
        <w:rPr>
          <w:rFonts w:cstheme="minorHAnsi"/>
        </w:rPr>
      </w:pPr>
    </w:p>
    <w:p w14:paraId="3ADD0FC2" w14:textId="77777777" w:rsidR="00A651D8" w:rsidRPr="00E47369" w:rsidRDefault="00A651D8" w:rsidP="00BA0582">
      <w:pPr>
        <w:pStyle w:val="Heading2"/>
      </w:pPr>
      <w:bookmarkStart w:id="158" w:name="_Toc453571134"/>
      <w:bookmarkStart w:id="159" w:name="_Toc458938284"/>
      <w:r w:rsidRPr="00E47369">
        <w:t>Experimental</w:t>
      </w:r>
      <w:bookmarkEnd w:id="158"/>
      <w:bookmarkEnd w:id="159"/>
    </w:p>
    <w:p w14:paraId="4DB26502" w14:textId="77777777" w:rsidR="00A651D8" w:rsidRPr="00E47369" w:rsidRDefault="00A651D8" w:rsidP="000351A7">
      <w:pPr>
        <w:pStyle w:val="Heading3"/>
        <w:numPr>
          <w:ilvl w:val="0"/>
          <w:numId w:val="10"/>
        </w:numPr>
      </w:pPr>
      <w:r w:rsidRPr="00E47369">
        <w:t xml:space="preserve"> </w:t>
      </w:r>
      <w:bookmarkStart w:id="160" w:name="_Toc453571135"/>
      <w:bookmarkStart w:id="161" w:name="_Toc458938285"/>
      <w:r w:rsidRPr="00E47369">
        <w:t>General information: reagents and instruments.</w:t>
      </w:r>
      <w:bookmarkEnd w:id="160"/>
      <w:bookmarkEnd w:id="161"/>
      <w:r w:rsidRPr="00E47369">
        <w:t xml:space="preserve"> </w:t>
      </w:r>
    </w:p>
    <w:p w14:paraId="7696A029" w14:textId="58170CFC" w:rsidR="00A651D8" w:rsidRPr="00443010" w:rsidRDefault="00A651D8" w:rsidP="00443010">
      <w:pPr>
        <w:ind w:firstLine="360"/>
        <w:jc w:val="both"/>
        <w:rPr>
          <w:rFonts w:cstheme="minorHAnsi"/>
        </w:rPr>
      </w:pPr>
      <w:r w:rsidRPr="00E47369">
        <w:rPr>
          <w:rFonts w:cstheme="minorHAnsi"/>
        </w:rPr>
        <w:t xml:space="preserve">All reactants and catalysts were obtained commercially and used without further purification. All solvents were ACS grade and were used directly (unless otherwise described in the procedures). </w:t>
      </w:r>
      <w:r w:rsidRPr="00E47369">
        <w:rPr>
          <w:rFonts w:cstheme="minorHAnsi"/>
          <w:vertAlign w:val="superscript"/>
        </w:rPr>
        <w:t>1</w:t>
      </w:r>
      <w:r w:rsidRPr="00E47369">
        <w:rPr>
          <w:rFonts w:cstheme="minorHAnsi"/>
        </w:rPr>
        <w:t xml:space="preserve">H, </w:t>
      </w:r>
      <w:r w:rsidRPr="00E47369">
        <w:rPr>
          <w:rFonts w:cstheme="minorHAnsi"/>
          <w:vertAlign w:val="superscript"/>
        </w:rPr>
        <w:t>2</w:t>
      </w:r>
      <w:r w:rsidRPr="00E47369">
        <w:rPr>
          <w:rFonts w:cstheme="minorHAnsi"/>
        </w:rPr>
        <w:t xml:space="preserve">H and </w:t>
      </w:r>
      <w:r w:rsidRPr="00E47369">
        <w:rPr>
          <w:rFonts w:cstheme="minorHAnsi"/>
          <w:color w:val="000000" w:themeColor="text1"/>
          <w:vertAlign w:val="superscript"/>
        </w:rPr>
        <w:t>13</w:t>
      </w:r>
      <w:r w:rsidRPr="00E47369">
        <w:rPr>
          <w:rFonts w:cstheme="minorHAnsi"/>
          <w:color w:val="000000" w:themeColor="text1"/>
        </w:rPr>
        <w:t>C</w:t>
      </w:r>
      <w:r w:rsidRPr="00E47369">
        <w:rPr>
          <w:rFonts w:cstheme="minorHAnsi"/>
        </w:rPr>
        <w:t xml:space="preserve"> NMR spectra were collected on Varian VX300 MHz or VNMRS 400 MHz instruments. The NMR data were processed using SpinWorks</w:t>
      </w:r>
      <w:r w:rsidRPr="00E47369">
        <w:rPr>
          <w:rFonts w:cstheme="minorHAnsi"/>
        </w:rPr>
        <w:fldChar w:fldCharType="begin"/>
      </w:r>
      <w:r w:rsidRPr="00E47369">
        <w:rPr>
          <w:rFonts w:cstheme="minorHAnsi"/>
        </w:rPr>
        <w:instrText xml:space="preserve"> ADDIN ZOTERO_ITEM CSL_CITATION {"citationID":"nrf3dee2q","properties":{"formattedCitation":"{\\rtf \\super 102\\nosupersub{}}","plainCitation":"102"},"citationItems":[{"id":1498,"uris":["http://zotero.org/users/1624234/items/2R52QEZC"],"uri":["http://zotero.org/users/1624234/items/2R52QEZC"],"itemData":{"id":1498,"type":"book","title":"SpinWorks 4","publisher":"University of Manitoba : Winnipeg Canada","version":"4.1.0.0","author":[{"family":"Marat","given":"K."}]}}],"schema":"https://github.com/citation-style-language/schema/raw/master/csl-citation.json"} </w:instrText>
      </w:r>
      <w:r w:rsidRPr="00E47369">
        <w:rPr>
          <w:rFonts w:cstheme="minorHAnsi"/>
        </w:rPr>
        <w:fldChar w:fldCharType="separate"/>
      </w:r>
      <w:r w:rsidRPr="00E47369">
        <w:rPr>
          <w:rFonts w:cstheme="minorHAnsi"/>
          <w:sz w:val="22"/>
          <w:vertAlign w:val="superscript"/>
        </w:rPr>
        <w:t>102</w:t>
      </w:r>
      <w:r w:rsidRPr="00E47369">
        <w:rPr>
          <w:rFonts w:cstheme="minorHAnsi"/>
        </w:rPr>
        <w:fldChar w:fldCharType="end"/>
      </w:r>
      <w:r w:rsidRPr="00E47369">
        <w:rPr>
          <w:rFonts w:cstheme="minorHAnsi"/>
        </w:rPr>
        <w:t xml:space="preserve"> and ACD</w:t>
      </w:r>
      <w:r w:rsidRPr="00E47369">
        <w:rPr>
          <w:rFonts w:cstheme="minorHAnsi"/>
        </w:rPr>
        <w:fldChar w:fldCharType="begin"/>
      </w:r>
      <w:r w:rsidRPr="00E47369">
        <w:rPr>
          <w:rFonts w:cstheme="minorHAnsi"/>
        </w:rPr>
        <w:instrText xml:space="preserve"> ADDIN ZOTERO_ITEM CSL_CITATION {"citationID":"com4r09fh","properties":{"formattedCitation":"{\\rtf \\super 103\\nosupersub{}}","plainCitation":"103"},"citationItems":[{"id":1512,"uris":["http://zotero.org/users/1624234/items/VJU6SH7K"],"uri":["http://zotero.org/users/1624234/items/VJU6SH7K"],"itemData":{"id":1512,"type":"book","title":"ACD/Structure Elucidator","publisher":"Advanced Chemistry Development, Inc.","version":"12.01","URL":"www.acdlabs.com","issued":{"date-parts":[["2014"]]}}}],"schema":"https://github.com/citation-style-language/schema/raw/master/csl-citation.json"} </w:instrText>
      </w:r>
      <w:r w:rsidRPr="00E47369">
        <w:rPr>
          <w:rFonts w:cstheme="minorHAnsi"/>
        </w:rPr>
        <w:fldChar w:fldCharType="separate"/>
      </w:r>
      <w:r w:rsidRPr="00E47369">
        <w:rPr>
          <w:rFonts w:cstheme="minorHAnsi"/>
          <w:sz w:val="22"/>
          <w:vertAlign w:val="superscript"/>
        </w:rPr>
        <w:t>103</w:t>
      </w:r>
      <w:r w:rsidRPr="00E47369">
        <w:rPr>
          <w:rFonts w:cstheme="minorHAnsi"/>
        </w:rPr>
        <w:fldChar w:fldCharType="end"/>
      </w:r>
      <w:r w:rsidRPr="00E47369">
        <w:rPr>
          <w:rFonts w:cstheme="minorHAnsi"/>
        </w:rPr>
        <w:t xml:space="preserve"> software. GC-MS-EI analyses were performed on a Thermo-Finnigan instrument using a Stabil-wax capillary column.</w:t>
      </w:r>
    </w:p>
    <w:p w14:paraId="0B8B2F99" w14:textId="77777777" w:rsidR="00A651D8" w:rsidRPr="00E47369" w:rsidRDefault="00A651D8" w:rsidP="000351A7">
      <w:pPr>
        <w:pStyle w:val="Heading3"/>
      </w:pPr>
      <w:r w:rsidRPr="00E47369">
        <w:rPr>
          <w:rStyle w:val="Heading3Char"/>
          <w:rFonts w:asciiTheme="minorHAnsi" w:hAnsiTheme="minorHAnsi" w:cstheme="minorHAnsi"/>
        </w:rPr>
        <w:t xml:space="preserve"> </w:t>
      </w:r>
      <w:bookmarkStart w:id="162" w:name="_Toc453571136"/>
      <w:bookmarkStart w:id="163" w:name="_Toc458938286"/>
      <w:r w:rsidRPr="00E47369">
        <w:rPr>
          <w:rStyle w:val="Heading3Char"/>
          <w:rFonts w:asciiTheme="minorHAnsi" w:hAnsiTheme="minorHAnsi" w:cstheme="minorHAnsi"/>
        </w:rPr>
        <w:t>Representative procedure for DODH reactions</w:t>
      </w:r>
      <w:r w:rsidRPr="00E47369">
        <w:t>.</w:t>
      </w:r>
      <w:bookmarkEnd w:id="162"/>
      <w:bookmarkEnd w:id="163"/>
      <w:r w:rsidRPr="00E47369">
        <w:t xml:space="preserve"> </w:t>
      </w:r>
    </w:p>
    <w:p w14:paraId="75ADA6DE" w14:textId="3F1F91EA" w:rsidR="00A651D8" w:rsidRPr="00E47369" w:rsidRDefault="00A651D8" w:rsidP="00536AE9">
      <w:pPr>
        <w:ind w:firstLine="360"/>
        <w:jc w:val="both"/>
        <w:rPr>
          <w:rFonts w:cstheme="minorHAnsi"/>
        </w:rPr>
      </w:pPr>
      <w:r w:rsidRPr="00E47369">
        <w:rPr>
          <w:rFonts w:cstheme="minorHAnsi"/>
        </w:rPr>
        <w:t>Diethyl tartrate (1.00 mmol, 0.17 mL), NH</w:t>
      </w:r>
      <w:r w:rsidRPr="00E47369">
        <w:rPr>
          <w:rFonts w:cstheme="minorHAnsi"/>
          <w:vertAlign w:val="subscript"/>
        </w:rPr>
        <w:t>4</w:t>
      </w:r>
      <w:r w:rsidRPr="00E47369">
        <w:rPr>
          <w:rFonts w:cstheme="minorHAnsi"/>
        </w:rPr>
        <w:t>ReO</w:t>
      </w:r>
      <w:r w:rsidRPr="00E47369">
        <w:rPr>
          <w:rFonts w:cstheme="minorHAnsi"/>
          <w:vertAlign w:val="subscript"/>
        </w:rPr>
        <w:t>4</w:t>
      </w:r>
      <w:r w:rsidRPr="00E47369">
        <w:rPr>
          <w:rFonts w:cstheme="minorHAnsi"/>
        </w:rPr>
        <w:t xml:space="preserve"> (0.10 mmol, 26.8</w:t>
      </w:r>
      <w:r w:rsidR="00267CB2">
        <w:rPr>
          <w:rFonts w:cstheme="minorHAnsi"/>
        </w:rPr>
        <w:t xml:space="preserve"> mg), indoline (1.10 mmol, 0.12</w:t>
      </w:r>
      <w:r w:rsidRPr="00E47369">
        <w:rPr>
          <w:rFonts w:cstheme="minorHAnsi"/>
        </w:rPr>
        <w:t xml:space="preserve"> mL), and benzene (5 mL) were added to a thick-walled Ace glass reactor tube. A N</w:t>
      </w:r>
      <w:r w:rsidRPr="00E47369">
        <w:rPr>
          <w:rFonts w:cstheme="minorHAnsi"/>
          <w:vertAlign w:val="subscript"/>
        </w:rPr>
        <w:t>2</w:t>
      </w:r>
      <w:r w:rsidRPr="00E47369">
        <w:rPr>
          <w:rFonts w:cstheme="minorHAnsi"/>
        </w:rPr>
        <w:t xml:space="preserve"> flow was bubbled into the mixture for at least 60 sec before the Teflon seal was closed. The purge was made to avoid any oxidation of the hydrogen donors by O</w:t>
      </w:r>
      <w:r w:rsidRPr="00E47369">
        <w:rPr>
          <w:rFonts w:cstheme="minorHAnsi"/>
          <w:vertAlign w:val="subscript"/>
        </w:rPr>
        <w:t>2</w:t>
      </w:r>
      <w:r w:rsidRPr="00E47369">
        <w:rPr>
          <w:rFonts w:cstheme="minorHAnsi"/>
        </w:rPr>
        <w:t>. The reactor was placed in an oil bath at 150</w:t>
      </w:r>
      <w:r w:rsidRPr="00E47369">
        <w:rPr>
          <w:rFonts w:cstheme="minorHAnsi"/>
          <w:vertAlign w:val="superscript"/>
        </w:rPr>
        <w:t>o</w:t>
      </w:r>
      <w:r w:rsidRPr="00E47369">
        <w:rPr>
          <w:rFonts w:cstheme="minorHAnsi"/>
        </w:rPr>
        <w:t xml:space="preserve">C for 48 h while stirring magnetically. After cooling to room temperature, a 100 µL aliquot of the reaction mixture was removed and added to </w:t>
      </w:r>
      <w:r w:rsidR="005952BF">
        <w:rPr>
          <w:rFonts w:cstheme="minorHAnsi"/>
        </w:rPr>
        <w:t xml:space="preserve">0.6 mL of </w:t>
      </w:r>
      <w:r w:rsidRPr="00E47369">
        <w:rPr>
          <w:rFonts w:cstheme="minorHAnsi"/>
        </w:rPr>
        <w:t>CDCl</w:t>
      </w:r>
      <w:r w:rsidRPr="00E47369">
        <w:rPr>
          <w:rFonts w:cstheme="minorHAnsi"/>
          <w:vertAlign w:val="subscript"/>
        </w:rPr>
        <w:t>3</w:t>
      </w:r>
      <w:r w:rsidRPr="00E47369">
        <w:rPr>
          <w:rFonts w:cstheme="minorHAnsi"/>
        </w:rPr>
        <w:t xml:space="preserve"> and 2.0 µL DMSO as internal standard for NMR analysis. This product and the others listed were characterized and quantified using </w:t>
      </w:r>
      <w:r w:rsidRPr="00E47369">
        <w:rPr>
          <w:rFonts w:cstheme="minorHAnsi"/>
          <w:vertAlign w:val="superscript"/>
        </w:rPr>
        <w:t>1</w:t>
      </w:r>
      <w:r w:rsidRPr="00E47369">
        <w:rPr>
          <w:rFonts w:cstheme="minorHAnsi"/>
        </w:rPr>
        <w:t>H NMR spectroscopy. Some of them were isolated and analyzed by NMR. The isolation of selected products was accomplished by column or preparative TL chromatography. The eluents varied according to different polarity of the alkene product; hexane/ethyl acetate or chloroform/ethyl acetate mixtures were used. All olefinic products from the DODH reactions have been previously reported and were identified by comparison of their NMR spectra with authentic samples or published data.</w:t>
      </w:r>
    </w:p>
    <w:p w14:paraId="21E78BE2" w14:textId="77777777" w:rsidR="00A651D8" w:rsidRPr="00E47369" w:rsidRDefault="00A651D8" w:rsidP="00A651D8">
      <w:pPr>
        <w:jc w:val="both"/>
        <w:rPr>
          <w:rFonts w:cstheme="minorHAnsi"/>
        </w:rPr>
      </w:pPr>
    </w:p>
    <w:p w14:paraId="4AEE330B" w14:textId="77777777" w:rsidR="00A651D8" w:rsidRPr="00E47369" w:rsidRDefault="00A651D8" w:rsidP="000351A7">
      <w:pPr>
        <w:pStyle w:val="Heading3"/>
      </w:pPr>
      <w:bookmarkStart w:id="164" w:name="_Toc453571137"/>
      <w:bookmarkStart w:id="165" w:name="_Toc458938287"/>
      <w:r w:rsidRPr="00E47369">
        <w:t>DODH/Diels Alder tandem reaction with diethyl tartrate and 1,3-cyclohexadiene.</w:t>
      </w:r>
      <w:bookmarkEnd w:id="164"/>
      <w:bookmarkEnd w:id="165"/>
      <w:r w:rsidRPr="00E47369">
        <w:t xml:space="preserve"> </w:t>
      </w:r>
    </w:p>
    <w:p w14:paraId="2F2913F3" w14:textId="323A8151" w:rsidR="00A651D8" w:rsidRPr="00E47369" w:rsidRDefault="00A651D8" w:rsidP="00536AE9">
      <w:pPr>
        <w:ind w:firstLine="360"/>
        <w:jc w:val="both"/>
        <w:rPr>
          <w:rFonts w:cstheme="minorHAnsi"/>
        </w:rPr>
      </w:pPr>
      <w:r w:rsidRPr="00E47369">
        <w:rPr>
          <w:rFonts w:cstheme="minorHAnsi"/>
        </w:rPr>
        <w:t>Diethyl t</w:t>
      </w:r>
      <w:r w:rsidR="00267CB2">
        <w:rPr>
          <w:rFonts w:cstheme="minorHAnsi"/>
        </w:rPr>
        <w:t>artrate (0.33 mmol, 0.06</w:t>
      </w:r>
      <w:r w:rsidRPr="00E47369">
        <w:rPr>
          <w:rFonts w:cstheme="minorHAnsi"/>
        </w:rPr>
        <w:t xml:space="preserve"> mL), NH</w:t>
      </w:r>
      <w:r w:rsidRPr="00E47369">
        <w:rPr>
          <w:rFonts w:cstheme="minorHAnsi"/>
          <w:vertAlign w:val="subscript"/>
        </w:rPr>
        <w:t>4</w:t>
      </w:r>
      <w:r w:rsidRPr="00E47369">
        <w:rPr>
          <w:rFonts w:cstheme="minorHAnsi"/>
        </w:rPr>
        <w:t>ReO</w:t>
      </w:r>
      <w:r w:rsidRPr="00E47369">
        <w:rPr>
          <w:rFonts w:cstheme="minorHAnsi"/>
          <w:vertAlign w:val="subscript"/>
        </w:rPr>
        <w:t>4</w:t>
      </w:r>
      <w:r w:rsidR="00267CB2">
        <w:rPr>
          <w:rFonts w:cstheme="minorHAnsi"/>
        </w:rPr>
        <w:t xml:space="preserve"> (0.03</w:t>
      </w:r>
      <w:r w:rsidR="005952BF">
        <w:rPr>
          <w:rFonts w:cstheme="minorHAnsi"/>
        </w:rPr>
        <w:t xml:space="preserve"> mmol, 9</w:t>
      </w:r>
      <w:r w:rsidRPr="00E47369">
        <w:rPr>
          <w:rFonts w:cstheme="minorHAnsi"/>
        </w:rPr>
        <w:t xml:space="preserve"> mg) and 1,3-cyclohexadiene (1.1 mL) were added to a thick-walled Ace glass reactor tube. The Teflon seal was closed and the reactor was placed in an oil bath at 150</w:t>
      </w:r>
      <w:r w:rsidRPr="00E47369">
        <w:rPr>
          <w:rFonts w:cstheme="minorHAnsi"/>
          <w:vertAlign w:val="superscript"/>
        </w:rPr>
        <w:t>o</w:t>
      </w:r>
      <w:r w:rsidRPr="00E47369">
        <w:rPr>
          <w:rFonts w:cstheme="minorHAnsi"/>
        </w:rPr>
        <w:t>C for 24 h while stirring magnetically. After cooling to room temperature, a 100 µL aliquot of the reaction mixture was removed and added to CDCl</w:t>
      </w:r>
      <w:r w:rsidRPr="00E47369">
        <w:rPr>
          <w:rFonts w:cstheme="minorHAnsi"/>
          <w:vertAlign w:val="subscript"/>
        </w:rPr>
        <w:t>3</w:t>
      </w:r>
      <w:r w:rsidRPr="00E47369">
        <w:rPr>
          <w:rFonts w:cstheme="minorHAnsi"/>
        </w:rPr>
        <w:t xml:space="preserve"> and 2.0 µL DMSO as internal standard for NMR analysis. The product was identified and quantified by </w:t>
      </w:r>
      <w:r w:rsidRPr="00E47369">
        <w:rPr>
          <w:rFonts w:cstheme="minorHAnsi"/>
          <w:vertAlign w:val="superscript"/>
        </w:rPr>
        <w:t>1</w:t>
      </w:r>
      <w:r w:rsidRPr="00E47369">
        <w:rPr>
          <w:rFonts w:cstheme="minorHAnsi"/>
        </w:rPr>
        <w:t xml:space="preserve">H NMR spectroscopy and by comparison with an authentic sample of the separately prepared D-A adduct from the corresponding diene and diethyl tartrate. </w:t>
      </w:r>
    </w:p>
    <w:p w14:paraId="55EF1AC8" w14:textId="77777777" w:rsidR="00A651D8" w:rsidRPr="00E47369" w:rsidRDefault="00A651D8" w:rsidP="00A651D8">
      <w:pPr>
        <w:jc w:val="both"/>
        <w:rPr>
          <w:rFonts w:cstheme="minorHAnsi"/>
          <w:i/>
        </w:rPr>
      </w:pPr>
    </w:p>
    <w:p w14:paraId="50E34BC3" w14:textId="77777777" w:rsidR="00A651D8" w:rsidRPr="00E47369" w:rsidRDefault="00A651D8" w:rsidP="000351A7">
      <w:pPr>
        <w:pStyle w:val="Heading3"/>
      </w:pPr>
      <w:r w:rsidRPr="00E47369">
        <w:t xml:space="preserve"> </w:t>
      </w:r>
      <w:bookmarkStart w:id="166" w:name="_Toc453571138"/>
      <w:bookmarkStart w:id="167" w:name="_Toc458938288"/>
      <w:r w:rsidRPr="00E47369">
        <w:t>DODH reaction of glyceric acid with indoline.</w:t>
      </w:r>
      <w:bookmarkEnd w:id="166"/>
      <w:bookmarkEnd w:id="167"/>
      <w:r w:rsidRPr="00E47369">
        <w:t xml:space="preserve"> </w:t>
      </w:r>
    </w:p>
    <w:p w14:paraId="3ADE6144" w14:textId="77777777" w:rsidR="00A651D8" w:rsidRPr="00E47369" w:rsidRDefault="00A651D8" w:rsidP="00536AE9">
      <w:pPr>
        <w:ind w:firstLine="360"/>
        <w:jc w:val="both"/>
        <w:rPr>
          <w:rFonts w:cstheme="minorHAnsi"/>
        </w:rPr>
      </w:pPr>
      <w:r w:rsidRPr="00E47369">
        <w:rPr>
          <w:rFonts w:cstheme="minorHAnsi"/>
        </w:rPr>
        <w:t xml:space="preserve">This reaction was conducted in the same way as the other DODH reactions. The NMR and GC-MS spectra of the crude product mixture after solvent evaporation indicated the presence of indole- and indoline-acrylate adducts. </w:t>
      </w:r>
    </w:p>
    <w:p w14:paraId="004636FD" w14:textId="77777777" w:rsidR="00A651D8" w:rsidRPr="00E47369" w:rsidRDefault="00A651D8" w:rsidP="00A651D8">
      <w:pPr>
        <w:jc w:val="center"/>
        <w:rPr>
          <w:rFonts w:cstheme="minorHAnsi"/>
        </w:rPr>
      </w:pPr>
      <w:r w:rsidRPr="00E47369">
        <w:rPr>
          <w:rFonts w:cstheme="minorHAnsi"/>
          <w:noProof/>
          <w:lang w:bidi="ar-SA"/>
        </w:rPr>
        <w:drawing>
          <wp:inline distT="0" distB="0" distL="0" distR="0" wp14:anchorId="55E29F4D" wp14:editId="72062CF4">
            <wp:extent cx="4871018" cy="2458806"/>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6" cstate="print">
                      <a:extLst>
                        <a:ext uri="{BEBA8EAE-BF5A-486C-A8C5-ECC9F3942E4B}">
                          <a14:imgProps xmlns:a14="http://schemas.microsoft.com/office/drawing/2010/main">
                            <a14:imgLayer r:embed="rId11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881928" cy="2464313"/>
                    </a:xfrm>
                    <a:prstGeom prst="rect">
                      <a:avLst/>
                    </a:prstGeom>
                    <a:noFill/>
                  </pic:spPr>
                </pic:pic>
              </a:graphicData>
            </a:graphic>
          </wp:inline>
        </w:drawing>
      </w:r>
    </w:p>
    <w:p w14:paraId="20B82DC0" w14:textId="77777777" w:rsidR="00A651D8" w:rsidRPr="00E47369" w:rsidRDefault="00A651D8" w:rsidP="00A651D8">
      <w:pPr>
        <w:jc w:val="both"/>
        <w:rPr>
          <w:rFonts w:cstheme="minorHAnsi"/>
          <w:i/>
        </w:rPr>
      </w:pPr>
    </w:p>
    <w:p w14:paraId="54BFEE2D" w14:textId="77777777" w:rsidR="00A651D8" w:rsidRPr="00E47369" w:rsidRDefault="00A651D8" w:rsidP="000351A7">
      <w:pPr>
        <w:pStyle w:val="Heading3"/>
      </w:pPr>
      <w:bookmarkStart w:id="168" w:name="_Toc453571139"/>
      <w:bookmarkStart w:id="169" w:name="_Toc458938289"/>
      <w:r w:rsidRPr="00E47369">
        <w:t>Reducing agent competition between 3-pentanol vs indoline.</w:t>
      </w:r>
      <w:bookmarkEnd w:id="168"/>
      <w:bookmarkEnd w:id="169"/>
      <w:r w:rsidRPr="00E47369">
        <w:t xml:space="preserve"> </w:t>
      </w:r>
    </w:p>
    <w:p w14:paraId="62210AE3" w14:textId="14A77377" w:rsidR="00A651D8" w:rsidRDefault="00A651D8" w:rsidP="00536AE9">
      <w:pPr>
        <w:ind w:firstLine="360"/>
        <w:jc w:val="both"/>
        <w:rPr>
          <w:rFonts w:cstheme="minorHAnsi"/>
        </w:rPr>
      </w:pPr>
      <w:r w:rsidRPr="00E47369">
        <w:rPr>
          <w:rFonts w:cstheme="minorHAnsi"/>
        </w:rPr>
        <w:t>Diethyl tartrate (1.0</w:t>
      </w:r>
      <w:r w:rsidR="00267CB2">
        <w:rPr>
          <w:rFonts w:cstheme="minorHAnsi"/>
        </w:rPr>
        <w:t>0</w:t>
      </w:r>
      <w:r w:rsidRPr="00E47369">
        <w:rPr>
          <w:rFonts w:cstheme="minorHAnsi"/>
        </w:rPr>
        <w:t xml:space="preserve"> mmol, 0.17 mL), NH</w:t>
      </w:r>
      <w:r w:rsidRPr="00E47369">
        <w:rPr>
          <w:rFonts w:cstheme="minorHAnsi"/>
          <w:vertAlign w:val="subscript"/>
        </w:rPr>
        <w:t>4</w:t>
      </w:r>
      <w:r w:rsidRPr="00E47369">
        <w:rPr>
          <w:rFonts w:cstheme="minorHAnsi"/>
        </w:rPr>
        <w:t>ReO</w:t>
      </w:r>
      <w:r w:rsidRPr="00E47369">
        <w:rPr>
          <w:rFonts w:cstheme="minorHAnsi"/>
          <w:vertAlign w:val="subscript"/>
        </w:rPr>
        <w:t>4</w:t>
      </w:r>
      <w:r w:rsidRPr="00E47369">
        <w:rPr>
          <w:rFonts w:cstheme="minorHAnsi"/>
        </w:rPr>
        <w:t xml:space="preserve"> (0.10 mmol, 27 mg), 3-pentanol (1.1</w:t>
      </w:r>
      <w:r w:rsidR="00267CB2">
        <w:rPr>
          <w:rFonts w:cstheme="minorHAnsi"/>
        </w:rPr>
        <w:t>0</w:t>
      </w:r>
      <w:r w:rsidRPr="00E47369">
        <w:rPr>
          <w:rFonts w:cstheme="minorHAnsi"/>
        </w:rPr>
        <w:t xml:space="preserve"> mmol, 0.12 mL), indoline (1.1</w:t>
      </w:r>
      <w:r w:rsidR="00267CB2">
        <w:rPr>
          <w:rFonts w:cstheme="minorHAnsi"/>
        </w:rPr>
        <w:t>0</w:t>
      </w:r>
      <w:r w:rsidRPr="00E47369">
        <w:rPr>
          <w:rFonts w:cstheme="minorHAnsi"/>
        </w:rPr>
        <w:t xml:space="preserve"> mmol, 0.12 mL) and benzene (5 mL) were added to a thick-walled Ace glass reactor tube. A nitrogen flow was bubbled into the mixture for at least 60 seconds before the Teflon seal was closed and the reactor was placed in an oil bath at 150</w:t>
      </w:r>
      <w:r w:rsidRPr="00E47369">
        <w:rPr>
          <w:rFonts w:cstheme="minorHAnsi"/>
          <w:vertAlign w:val="superscript"/>
        </w:rPr>
        <w:t>o</w:t>
      </w:r>
      <w:r w:rsidRPr="00E47369">
        <w:rPr>
          <w:rFonts w:cstheme="minorHAnsi"/>
        </w:rPr>
        <w:t>C for 24 h while stirring. After cooling to room temperature, a 100 µL aliquot of the reaction mixture was removed and added to CDCl</w:t>
      </w:r>
      <w:r w:rsidRPr="00E47369">
        <w:rPr>
          <w:rFonts w:cstheme="minorHAnsi"/>
          <w:vertAlign w:val="subscript"/>
        </w:rPr>
        <w:t>3</w:t>
      </w:r>
      <w:r w:rsidRPr="00E47369">
        <w:rPr>
          <w:rFonts w:cstheme="minorHAnsi"/>
        </w:rPr>
        <w:t xml:space="preserve"> and 2.0 µL DMSO as internal standard for NMR analysis. The product composition was determined and quantified using </w:t>
      </w:r>
      <w:r w:rsidRPr="00E47369">
        <w:rPr>
          <w:rFonts w:cstheme="minorHAnsi"/>
          <w:vertAlign w:val="superscript"/>
        </w:rPr>
        <w:t>1</w:t>
      </w:r>
      <w:r w:rsidRPr="00E47369">
        <w:rPr>
          <w:rFonts w:cstheme="minorHAnsi"/>
        </w:rPr>
        <w:t xml:space="preserve">H and </w:t>
      </w:r>
      <w:r w:rsidRPr="00E47369">
        <w:rPr>
          <w:rFonts w:cstheme="minorHAnsi"/>
          <w:vertAlign w:val="superscript"/>
        </w:rPr>
        <w:t>13</w:t>
      </w:r>
      <w:r w:rsidR="00267CB2">
        <w:rPr>
          <w:rFonts w:cstheme="minorHAnsi"/>
        </w:rPr>
        <w:t>C NMR spectroscopy.</w:t>
      </w:r>
    </w:p>
    <w:p w14:paraId="18F546BD" w14:textId="77777777" w:rsidR="00267CB2" w:rsidRPr="00E47369" w:rsidRDefault="00267CB2" w:rsidP="00536AE9">
      <w:pPr>
        <w:ind w:firstLine="360"/>
        <w:jc w:val="both"/>
        <w:rPr>
          <w:rFonts w:cstheme="minorHAnsi"/>
        </w:rPr>
      </w:pPr>
    </w:p>
    <w:p w14:paraId="28AB9ECD" w14:textId="77777777" w:rsidR="00A651D8" w:rsidRPr="00E47369" w:rsidRDefault="00A651D8" w:rsidP="00A651D8">
      <w:pPr>
        <w:jc w:val="center"/>
        <w:rPr>
          <w:rFonts w:cstheme="minorHAnsi"/>
        </w:rPr>
      </w:pPr>
      <w:r w:rsidRPr="00E47369">
        <w:rPr>
          <w:rFonts w:cstheme="minorHAnsi"/>
          <w:noProof/>
          <w:lang w:bidi="ar-SA"/>
        </w:rPr>
        <w:drawing>
          <wp:inline distT="0" distB="0" distL="0" distR="0" wp14:anchorId="71F780A0" wp14:editId="3F0E8139">
            <wp:extent cx="4873752" cy="2944349"/>
            <wp:effectExtent l="0" t="0" r="3175"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8" cstate="print">
                      <a:extLst>
                        <a:ext uri="{BEBA8EAE-BF5A-486C-A8C5-ECC9F3942E4B}">
                          <a14:imgProps xmlns:a14="http://schemas.microsoft.com/office/drawing/2010/main">
                            <a14:imgLayer r:embed="rId11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873752" cy="2944349"/>
                    </a:xfrm>
                    <a:prstGeom prst="rect">
                      <a:avLst/>
                    </a:prstGeom>
                    <a:noFill/>
                  </pic:spPr>
                </pic:pic>
              </a:graphicData>
            </a:graphic>
          </wp:inline>
        </w:drawing>
      </w:r>
    </w:p>
    <w:p w14:paraId="5AF7ED5F" w14:textId="77777777" w:rsidR="00A651D8" w:rsidRPr="00E47369" w:rsidRDefault="00A651D8" w:rsidP="00A651D8">
      <w:pPr>
        <w:jc w:val="center"/>
        <w:rPr>
          <w:rFonts w:cstheme="minorHAnsi"/>
        </w:rPr>
      </w:pPr>
    </w:p>
    <w:p w14:paraId="745A399D" w14:textId="77777777" w:rsidR="00A651D8" w:rsidRPr="00E47369" w:rsidRDefault="00A651D8" w:rsidP="000351A7">
      <w:pPr>
        <w:pStyle w:val="Heading3"/>
      </w:pPr>
      <w:bookmarkStart w:id="170" w:name="_Toc453571140"/>
      <w:bookmarkStart w:id="171" w:name="_Toc458938290"/>
      <w:r w:rsidRPr="00E47369">
        <w:t>Preparation of the MeReO</w:t>
      </w:r>
      <w:r w:rsidRPr="00E47369">
        <w:rPr>
          <w:vertAlign w:val="subscript"/>
        </w:rPr>
        <w:t>3</w:t>
      </w:r>
      <w:r w:rsidRPr="00E47369">
        <w:t>(ŋ</w:t>
      </w:r>
      <w:r w:rsidRPr="00E47369">
        <w:rPr>
          <w:vertAlign w:val="superscript"/>
        </w:rPr>
        <w:t>1</w:t>
      </w:r>
      <w:r w:rsidRPr="00E47369">
        <w:t>-indoline) (</w:t>
      </w:r>
      <w:r w:rsidRPr="00E47369">
        <w:rPr>
          <w:b/>
        </w:rPr>
        <w:t>4</w:t>
      </w:r>
      <w:r w:rsidRPr="00E47369">
        <w:t>).</w:t>
      </w:r>
      <w:bookmarkEnd w:id="170"/>
      <w:bookmarkEnd w:id="171"/>
    </w:p>
    <w:p w14:paraId="44612FA6" w14:textId="6804AEFB" w:rsidR="00A651D8" w:rsidRPr="00E47369" w:rsidRDefault="001539C6" w:rsidP="00536AE9">
      <w:pPr>
        <w:ind w:firstLine="360"/>
        <w:jc w:val="both"/>
        <w:rPr>
          <w:rFonts w:cstheme="minorHAnsi"/>
        </w:rPr>
      </w:pPr>
      <w:r w:rsidRPr="00E47369">
        <w:rPr>
          <w:rFonts w:cstheme="minorHAnsi"/>
          <w:color w:val="000000" w:themeColor="text1"/>
        </w:rPr>
        <w:t>MeReO</w:t>
      </w:r>
      <w:r w:rsidRPr="00E47369">
        <w:rPr>
          <w:rFonts w:cstheme="minorHAnsi"/>
          <w:color w:val="000000" w:themeColor="text1"/>
          <w:vertAlign w:val="subscript"/>
        </w:rPr>
        <w:t>3</w:t>
      </w:r>
      <w:r w:rsidR="00267CB2">
        <w:rPr>
          <w:rFonts w:cstheme="minorHAnsi"/>
        </w:rPr>
        <w:t xml:space="preserve"> (0.04</w:t>
      </w:r>
      <w:r w:rsidR="00A651D8" w:rsidRPr="00E47369">
        <w:rPr>
          <w:rFonts w:cstheme="minorHAnsi"/>
        </w:rPr>
        <w:t xml:space="preserve"> mmol, 10 mg) was added to 3 mL of a 0.05 M solution of indoline in hexanes; the color change to yellow-green occurred instantaneously. The mixture was warmed to 40 </w:t>
      </w:r>
      <w:r w:rsidR="00A651D8" w:rsidRPr="00E47369">
        <w:rPr>
          <w:rFonts w:cstheme="minorHAnsi"/>
          <w:vertAlign w:val="superscript"/>
        </w:rPr>
        <w:t>o</w:t>
      </w:r>
      <w:r w:rsidR="00A651D8" w:rsidRPr="00E47369">
        <w:rPr>
          <w:rFonts w:cstheme="minorHAnsi"/>
        </w:rPr>
        <w:t>C in order to dissolve all the material. At 3</w:t>
      </w:r>
      <w:r w:rsidR="00A651D8" w:rsidRPr="00E47369">
        <w:rPr>
          <w:rFonts w:cstheme="minorHAnsi"/>
          <w:vertAlign w:val="superscript"/>
        </w:rPr>
        <w:t>o</w:t>
      </w:r>
      <w:r w:rsidR="00A651D8" w:rsidRPr="00E47369">
        <w:rPr>
          <w:rFonts w:cstheme="minorHAnsi"/>
        </w:rPr>
        <w:t>C, a yellow precipitate formed in 10 min. Crystals for X-ray analysis were obtained by slow evaporation of the solvent at room temperature. Color = yellow; IR: ν(Re=O) 933 cm</w:t>
      </w:r>
      <w:r w:rsidR="00A651D8" w:rsidRPr="00E47369">
        <w:rPr>
          <w:rFonts w:cstheme="minorHAnsi"/>
          <w:vertAlign w:val="superscript"/>
        </w:rPr>
        <w:t>-1</w:t>
      </w:r>
      <w:r w:rsidR="00A651D8" w:rsidRPr="00E47369">
        <w:rPr>
          <w:rFonts w:cstheme="minorHAnsi"/>
        </w:rPr>
        <w:t xml:space="preserve">, </w:t>
      </w:r>
      <w:r w:rsidR="00A651D8" w:rsidRPr="00E47369">
        <w:rPr>
          <w:rFonts w:cstheme="minorHAnsi"/>
          <w:vertAlign w:val="superscript"/>
        </w:rPr>
        <w:t>1</w:t>
      </w:r>
      <w:r w:rsidR="00A651D8" w:rsidRPr="00E47369">
        <w:rPr>
          <w:rFonts w:cstheme="minorHAnsi"/>
        </w:rPr>
        <w:t>H NMR (C</w:t>
      </w:r>
      <w:r w:rsidR="00A651D8" w:rsidRPr="00E47369">
        <w:rPr>
          <w:rFonts w:cstheme="minorHAnsi"/>
          <w:vertAlign w:val="subscript"/>
        </w:rPr>
        <w:t>6</w:t>
      </w:r>
      <w:r w:rsidR="00A651D8" w:rsidRPr="00E47369">
        <w:rPr>
          <w:rFonts w:cstheme="minorHAnsi"/>
        </w:rPr>
        <w:t>D</w:t>
      </w:r>
      <w:r w:rsidR="00A651D8" w:rsidRPr="00E47369">
        <w:rPr>
          <w:rFonts w:cstheme="minorHAnsi"/>
          <w:vertAlign w:val="subscript"/>
        </w:rPr>
        <w:t>6</w:t>
      </w:r>
      <w:r w:rsidR="00267CB2">
        <w:rPr>
          <w:rFonts w:cstheme="minorHAnsi"/>
        </w:rPr>
        <w:t>, 400 MHz): 1.3 (s, 3 H), 2.6 (t, 2 H, J=8.2 Hz), 2.9</w:t>
      </w:r>
      <w:r w:rsidR="00A651D8" w:rsidRPr="00E47369">
        <w:rPr>
          <w:rFonts w:cstheme="minorHAnsi"/>
        </w:rPr>
        <w:t xml:space="preserve"> (t, 2 H, J=8.2 Hz), 6</w:t>
      </w:r>
      <w:r w:rsidR="00267CB2">
        <w:rPr>
          <w:rFonts w:cstheme="minorHAnsi"/>
        </w:rPr>
        <w:t>.6 (d, 1 H, J=7.8 Hz), 6.8 (t, 1 H, J=7.4 Hz), 6.9 (d, 1 H, J=7.2 Hz), 7.0</w:t>
      </w:r>
      <w:r w:rsidR="00A651D8" w:rsidRPr="00E47369">
        <w:rPr>
          <w:rFonts w:cstheme="minorHAnsi"/>
        </w:rPr>
        <w:t xml:space="preserve"> (t, 1 H, J=7.8 Hz). </w:t>
      </w:r>
      <w:r w:rsidR="00A651D8" w:rsidRPr="00E47369">
        <w:rPr>
          <w:rFonts w:cstheme="minorHAnsi"/>
          <w:vertAlign w:val="superscript"/>
        </w:rPr>
        <w:t>13</w:t>
      </w:r>
      <w:r w:rsidR="00A651D8" w:rsidRPr="00E47369">
        <w:rPr>
          <w:rFonts w:cstheme="minorHAnsi"/>
        </w:rPr>
        <w:t>C NMR (C</w:t>
      </w:r>
      <w:r w:rsidR="00A651D8" w:rsidRPr="00E47369">
        <w:rPr>
          <w:rFonts w:cstheme="minorHAnsi"/>
          <w:vertAlign w:val="subscript"/>
        </w:rPr>
        <w:t>6</w:t>
      </w:r>
      <w:r w:rsidR="00A651D8" w:rsidRPr="00E47369">
        <w:rPr>
          <w:rFonts w:cstheme="minorHAnsi"/>
        </w:rPr>
        <w:t>D</w:t>
      </w:r>
      <w:r w:rsidR="00A651D8" w:rsidRPr="00E47369">
        <w:rPr>
          <w:rFonts w:cstheme="minorHAnsi"/>
          <w:vertAlign w:val="subscript"/>
        </w:rPr>
        <w:t>6</w:t>
      </w:r>
      <w:r w:rsidR="00267CB2">
        <w:rPr>
          <w:rFonts w:cstheme="minorHAnsi"/>
        </w:rPr>
        <w:t>, 100 MHz): 151, 131, 128, 125, 121, 112, 48, 30, 19</w:t>
      </w:r>
      <w:r w:rsidR="00A651D8" w:rsidRPr="00E47369">
        <w:rPr>
          <w:rFonts w:cstheme="minorHAnsi"/>
        </w:rPr>
        <w:t>.</w:t>
      </w:r>
    </w:p>
    <w:p w14:paraId="5F6DD7A2" w14:textId="77777777" w:rsidR="00A651D8" w:rsidRPr="00E47369" w:rsidRDefault="00A651D8" w:rsidP="00A651D8">
      <w:pPr>
        <w:jc w:val="center"/>
        <w:rPr>
          <w:rFonts w:cstheme="minorHAnsi"/>
        </w:rPr>
      </w:pPr>
    </w:p>
    <w:p w14:paraId="13F64403" w14:textId="77777777" w:rsidR="00A651D8" w:rsidRPr="005943F9" w:rsidRDefault="00A651D8" w:rsidP="005943F9">
      <w:pPr>
        <w:pStyle w:val="Heading3"/>
      </w:pPr>
      <w:bookmarkStart w:id="172" w:name="_Toc453571141"/>
      <w:bookmarkStart w:id="173" w:name="_Toc458938291"/>
      <w:r w:rsidRPr="005943F9">
        <w:t>X-ray crystal structure determination of</w:t>
      </w:r>
      <w:r w:rsidR="005943F9">
        <w:t xml:space="preserve"> </w:t>
      </w:r>
      <w:bookmarkEnd w:id="172"/>
      <w:r w:rsidR="005943F9" w:rsidRPr="005943F9">
        <w:rPr>
          <w:b/>
        </w:rPr>
        <w:t>4</w:t>
      </w:r>
      <w:bookmarkEnd w:id="173"/>
    </w:p>
    <w:p w14:paraId="699BD89E" w14:textId="77777777" w:rsidR="00A651D8" w:rsidRPr="00E47369" w:rsidRDefault="00A651D8" w:rsidP="00536AE9">
      <w:pPr>
        <w:ind w:firstLine="360"/>
        <w:jc w:val="both"/>
        <w:rPr>
          <w:rFonts w:cstheme="minorHAnsi"/>
        </w:rPr>
      </w:pPr>
      <w:r w:rsidRPr="00E47369">
        <w:rPr>
          <w:rFonts w:cstheme="minorHAnsi"/>
          <w:color w:val="000000" w:themeColor="text1"/>
        </w:rPr>
        <w:t xml:space="preserve">A yellow, plate-shaped crystal of dimensions 0.460 </w:t>
      </w:r>
      <w:r w:rsidRPr="00E47369">
        <w:rPr>
          <w:rFonts w:cstheme="minorHAnsi"/>
        </w:rPr>
        <w:t>x 0.240 x 0.050 mm was selected for structural analysis. Intensity data for this compound were collected using a diffractometer with a Bruker APEX ccd area detector (1) and graphite-monochromated Mo Kα radiation (Z = 0.71073 Å). The sample was cooled to 100 K. Cell parameters were determined from a non-linear least squares fit of 6810 peaks in the range 2.32 &lt; 0 &lt; 28.32°. A total of 21419 data were measured in the range 2.318 &lt; 0 &lt; 28.333° using Ǝ and σ oscillation frames. The data were corrected for absorption by the empirical method (2) giving minimum and maximum transmission factors of 0.069 and 0.575. The data were merged to form a set of 2432 independent data with R(int) = 0.0395 and a coverage of 100.0 %.</w:t>
      </w:r>
    </w:p>
    <w:p w14:paraId="1AD201B6" w14:textId="77777777" w:rsidR="00A651D8" w:rsidRPr="00E47369" w:rsidRDefault="00A651D8" w:rsidP="00536AE9">
      <w:pPr>
        <w:ind w:firstLine="360"/>
        <w:jc w:val="both"/>
        <w:rPr>
          <w:rFonts w:cstheme="minorHAnsi"/>
        </w:rPr>
      </w:pPr>
      <w:r w:rsidRPr="00E47369">
        <w:rPr>
          <w:rFonts w:cstheme="minorHAnsi"/>
        </w:rPr>
        <w:t xml:space="preserve">The monoclinic space group P21/c was determined by systematic absences and statistical tests and verified by subsequent refinement. The structure was solved by direct methods and refined by full-matrix least-squares methods on F2. (3) The positions of hydrogens bonded to carbons were initially determined by geometry and were refined using a riding model. The hydrogen bonded to the nitrogen was located on a difference map, and its position was refined independently. Non-hydrogen atoms were refined with anisotropic dis-placement parameters. Hydrogen atom displacement parameters were set to 1.2 (1.5 for methyl) times the isotropic equivalent displacement parameters of the bonded atoms. A total of 131 parameters were refined against 2432 data to give wR(F2) = 0.0476 and S = 1.012 for weights of w = 1/[σ2 (F2) + (0.0280 P)2 + 1.4600 P], where P = [Fo2 + 2Fc2] / 3. The final R(F) was 0.0162 for the 2340 observed, [F &gt; 4σ(F)], data. The largest shift/s.u. was 0.003 in the final refinement cycle. The final difference map had maxima and minima of 0.840 and -0.873 e/Å3, respectively. </w:t>
      </w:r>
    </w:p>
    <w:p w14:paraId="05987491" w14:textId="77777777" w:rsidR="00A651D8" w:rsidRPr="00E47369" w:rsidRDefault="00A651D8" w:rsidP="00A651D8">
      <w:pPr>
        <w:rPr>
          <w:rFonts w:cstheme="minorHAnsi"/>
        </w:rPr>
      </w:pPr>
    </w:p>
    <w:p w14:paraId="44BCA329" w14:textId="77777777" w:rsidR="00A651D8" w:rsidRPr="00E47369" w:rsidRDefault="00A651D8" w:rsidP="00A651D8">
      <w:pPr>
        <w:jc w:val="both"/>
        <w:rPr>
          <w:rFonts w:cstheme="minorHAnsi"/>
        </w:rPr>
      </w:pPr>
    </w:p>
    <w:p w14:paraId="13CC367C" w14:textId="77777777" w:rsidR="00A651D8" w:rsidRPr="00E47369" w:rsidRDefault="00A651D8" w:rsidP="00A651D8">
      <w:pPr>
        <w:jc w:val="both"/>
        <w:rPr>
          <w:rFonts w:cstheme="minorHAnsi"/>
        </w:rPr>
      </w:pPr>
      <w:r w:rsidRPr="00E47369">
        <w:rPr>
          <w:rFonts w:cstheme="minorHAnsi"/>
          <w:noProof/>
          <w:lang w:bidi="ar-SA"/>
        </w:rPr>
        <w:drawing>
          <wp:inline distT="0" distB="0" distL="0" distR="0" wp14:anchorId="2A802E5E" wp14:editId="127F8AA4">
            <wp:extent cx="5345723" cy="3136279"/>
            <wp:effectExtent l="0" t="0" r="7620" b="6985"/>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355626" cy="3142089"/>
                    </a:xfrm>
                    <a:prstGeom prst="rect">
                      <a:avLst/>
                    </a:prstGeom>
                    <a:noFill/>
                  </pic:spPr>
                </pic:pic>
              </a:graphicData>
            </a:graphic>
          </wp:inline>
        </w:drawing>
      </w:r>
    </w:p>
    <w:p w14:paraId="1C52FDAE" w14:textId="77777777" w:rsidR="00A651D8" w:rsidRPr="00E47369" w:rsidRDefault="00A651D8" w:rsidP="00A651D8">
      <w:pPr>
        <w:jc w:val="both"/>
        <w:rPr>
          <w:rFonts w:cstheme="minorHAnsi"/>
          <w:b/>
          <w:bCs/>
          <w:sz w:val="20"/>
        </w:rPr>
      </w:pPr>
    </w:p>
    <w:p w14:paraId="36DAAC64" w14:textId="77777777" w:rsidR="00A651D8" w:rsidRPr="00E47369" w:rsidRDefault="00A651D8" w:rsidP="00A651D8">
      <w:pPr>
        <w:jc w:val="both"/>
        <w:rPr>
          <w:rFonts w:cstheme="minorHAnsi"/>
          <w:sz w:val="20"/>
        </w:rPr>
      </w:pPr>
    </w:p>
    <w:p w14:paraId="7E144A4C" w14:textId="77777777" w:rsidR="00A651D8" w:rsidRPr="00E47369" w:rsidRDefault="00A651D8" w:rsidP="00A651D8">
      <w:pPr>
        <w:jc w:val="both"/>
        <w:rPr>
          <w:rFonts w:cstheme="minorHAnsi"/>
          <w:b/>
          <w:bCs/>
          <w:sz w:val="20"/>
        </w:rPr>
      </w:pPr>
    </w:p>
    <w:p w14:paraId="6B733ADF" w14:textId="77777777" w:rsidR="00A651D8" w:rsidRPr="004C74E8" w:rsidRDefault="004C74E8" w:rsidP="00A651D8">
      <w:pPr>
        <w:jc w:val="both"/>
        <w:rPr>
          <w:rFonts w:cstheme="minorHAnsi"/>
          <w:sz w:val="18"/>
        </w:rPr>
      </w:pPr>
      <w:r>
        <w:rPr>
          <w:rFonts w:cstheme="minorHAnsi"/>
          <w:b/>
          <w:bCs/>
          <w:sz w:val="18"/>
        </w:rPr>
        <w:t xml:space="preserve">X-ray </w:t>
      </w:r>
      <w:r w:rsidR="00A651D8" w:rsidRPr="004C74E8">
        <w:rPr>
          <w:rFonts w:cstheme="minorHAnsi"/>
          <w:b/>
          <w:bCs/>
          <w:sz w:val="18"/>
        </w:rPr>
        <w:t>References</w:t>
      </w:r>
    </w:p>
    <w:p w14:paraId="3EA66131" w14:textId="77777777" w:rsidR="00A651D8" w:rsidRPr="004C74E8" w:rsidRDefault="00A651D8" w:rsidP="00C36752">
      <w:pPr>
        <w:numPr>
          <w:ilvl w:val="0"/>
          <w:numId w:val="3"/>
        </w:numPr>
        <w:jc w:val="both"/>
        <w:rPr>
          <w:rFonts w:cstheme="minorHAnsi"/>
          <w:sz w:val="18"/>
        </w:rPr>
      </w:pPr>
      <w:r w:rsidRPr="004C74E8">
        <w:rPr>
          <w:rFonts w:cstheme="minorHAnsi"/>
          <w:sz w:val="18"/>
        </w:rPr>
        <w:t>(a) Data Collection: APEX2 (2007) Bruker AXS Inc., Madison, Wisconsin, USA. (b) Data Reduction:</w:t>
      </w:r>
      <w:r w:rsidRPr="004C74E8">
        <w:rPr>
          <w:rFonts w:cstheme="minorHAnsi"/>
          <w:sz w:val="18"/>
        </w:rPr>
        <w:tab/>
        <w:t>SAINT (2007) Bruker AXS Inc., Madison, Wisconsin, USA.</w:t>
      </w:r>
    </w:p>
    <w:p w14:paraId="0FEB6919" w14:textId="77777777" w:rsidR="00A651D8" w:rsidRPr="004C74E8" w:rsidRDefault="00A651D8" w:rsidP="00C36752">
      <w:pPr>
        <w:numPr>
          <w:ilvl w:val="0"/>
          <w:numId w:val="3"/>
        </w:numPr>
        <w:jc w:val="both"/>
        <w:rPr>
          <w:rFonts w:cstheme="minorHAnsi"/>
          <w:sz w:val="18"/>
        </w:rPr>
      </w:pPr>
      <w:r w:rsidRPr="004C74E8">
        <w:rPr>
          <w:rFonts w:cstheme="minorHAnsi"/>
          <w:sz w:val="18"/>
        </w:rPr>
        <w:t>SADABS (2002) Bruker AXS Inc., Madison, Wisconsin, USA.</w:t>
      </w:r>
    </w:p>
    <w:p w14:paraId="552BA4D2" w14:textId="77777777" w:rsidR="00A651D8" w:rsidRPr="004C74E8" w:rsidRDefault="00A651D8" w:rsidP="00C36752">
      <w:pPr>
        <w:numPr>
          <w:ilvl w:val="0"/>
          <w:numId w:val="3"/>
        </w:numPr>
        <w:jc w:val="both"/>
        <w:rPr>
          <w:rFonts w:cstheme="minorHAnsi"/>
          <w:sz w:val="18"/>
        </w:rPr>
      </w:pPr>
      <w:r w:rsidRPr="004C74E8">
        <w:rPr>
          <w:rFonts w:cstheme="minorHAnsi"/>
          <w:sz w:val="18"/>
        </w:rPr>
        <w:t xml:space="preserve">(a) G. M. Sheldrick (2015). </w:t>
      </w:r>
      <w:r w:rsidRPr="004C74E8">
        <w:rPr>
          <w:rFonts w:cstheme="minorHAnsi"/>
          <w:i/>
          <w:iCs/>
          <w:sz w:val="18"/>
        </w:rPr>
        <w:t>Acta Cryst., A71</w:t>
      </w:r>
      <w:r w:rsidRPr="004C74E8">
        <w:rPr>
          <w:rFonts w:cstheme="minorHAnsi"/>
          <w:sz w:val="18"/>
        </w:rPr>
        <w:t>, 3-8.</w:t>
      </w:r>
      <w:r w:rsidRPr="004C74E8">
        <w:rPr>
          <w:rFonts w:cstheme="minorHAnsi"/>
          <w:sz w:val="18"/>
        </w:rPr>
        <w:tab/>
        <w:t xml:space="preserve">(b) G. M. Sheldrick (2015). </w:t>
      </w:r>
      <w:r w:rsidRPr="004C74E8">
        <w:rPr>
          <w:rFonts w:cstheme="minorHAnsi"/>
          <w:i/>
          <w:iCs/>
          <w:sz w:val="18"/>
        </w:rPr>
        <w:t>Acta Cryst., C71</w:t>
      </w:r>
      <w:r w:rsidRPr="004C74E8">
        <w:rPr>
          <w:rFonts w:cstheme="minorHAnsi"/>
          <w:sz w:val="18"/>
        </w:rPr>
        <w:t>, 3-8.</w:t>
      </w:r>
    </w:p>
    <w:p w14:paraId="065EE3BC" w14:textId="77777777" w:rsidR="00A651D8" w:rsidRPr="00E47369" w:rsidRDefault="00A651D8" w:rsidP="00A651D8">
      <w:pPr>
        <w:jc w:val="both"/>
        <w:rPr>
          <w:rFonts w:cstheme="minorHAnsi"/>
        </w:rPr>
      </w:pPr>
      <w:r w:rsidRPr="00E47369">
        <w:rPr>
          <w:rFonts w:cstheme="minorHAnsi"/>
          <w:noProof/>
          <w:lang w:bidi="ar-SA"/>
        </w:rPr>
        <w:drawing>
          <wp:inline distT="0" distB="0" distL="0" distR="0" wp14:anchorId="41F67BC9" wp14:editId="27F7AF6E">
            <wp:extent cx="2651760" cy="3327966"/>
            <wp:effectExtent l="0" t="0" r="0" b="635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651760" cy="3327966"/>
                    </a:xfrm>
                    <a:prstGeom prst="rect">
                      <a:avLst/>
                    </a:prstGeom>
                    <a:noFill/>
                  </pic:spPr>
                </pic:pic>
              </a:graphicData>
            </a:graphic>
          </wp:inline>
        </w:drawing>
      </w:r>
      <w:r w:rsidRPr="00E47369">
        <w:rPr>
          <w:rFonts w:cstheme="minorHAnsi"/>
          <w:noProof/>
          <w:lang w:bidi="ar-SA"/>
        </w:rPr>
        <w:drawing>
          <wp:inline distT="0" distB="0" distL="0" distR="0" wp14:anchorId="6411C788" wp14:editId="19208B91">
            <wp:extent cx="2651760" cy="3406544"/>
            <wp:effectExtent l="0" t="0" r="0" b="381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651760" cy="3406544"/>
                    </a:xfrm>
                    <a:prstGeom prst="rect">
                      <a:avLst/>
                    </a:prstGeom>
                    <a:noFill/>
                  </pic:spPr>
                </pic:pic>
              </a:graphicData>
            </a:graphic>
          </wp:inline>
        </w:drawing>
      </w:r>
    </w:p>
    <w:p w14:paraId="015355CD" w14:textId="77777777" w:rsidR="00A651D8" w:rsidRPr="00E47369" w:rsidRDefault="00A651D8" w:rsidP="00A651D8">
      <w:pPr>
        <w:jc w:val="both"/>
        <w:rPr>
          <w:rFonts w:cstheme="minorHAnsi"/>
        </w:rPr>
      </w:pPr>
      <w:r w:rsidRPr="00E47369">
        <w:rPr>
          <w:rFonts w:cstheme="minorHAnsi"/>
          <w:noProof/>
          <w:lang w:bidi="ar-SA"/>
        </w:rPr>
        <w:drawing>
          <wp:inline distT="0" distB="0" distL="0" distR="0" wp14:anchorId="10970761" wp14:editId="0D02D594">
            <wp:extent cx="2651760" cy="3759963"/>
            <wp:effectExtent l="0" t="0" r="0"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651760" cy="3759963"/>
                    </a:xfrm>
                    <a:prstGeom prst="rect">
                      <a:avLst/>
                    </a:prstGeom>
                    <a:noFill/>
                  </pic:spPr>
                </pic:pic>
              </a:graphicData>
            </a:graphic>
          </wp:inline>
        </w:drawing>
      </w:r>
      <w:r w:rsidRPr="00E47369">
        <w:rPr>
          <w:rFonts w:cstheme="minorHAnsi"/>
          <w:noProof/>
          <w:lang w:bidi="ar-SA"/>
        </w:rPr>
        <w:drawing>
          <wp:inline distT="0" distB="0" distL="0" distR="0" wp14:anchorId="40C8513A" wp14:editId="5FE0FC54">
            <wp:extent cx="2651760" cy="3781314"/>
            <wp:effectExtent l="0" t="0" r="0" b="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651760" cy="3781314"/>
                    </a:xfrm>
                    <a:prstGeom prst="rect">
                      <a:avLst/>
                    </a:prstGeom>
                    <a:noFill/>
                  </pic:spPr>
                </pic:pic>
              </a:graphicData>
            </a:graphic>
          </wp:inline>
        </w:drawing>
      </w:r>
    </w:p>
    <w:p w14:paraId="750F5D48" w14:textId="77777777" w:rsidR="00A651D8" w:rsidRPr="00E47369" w:rsidRDefault="00A651D8" w:rsidP="00A651D8">
      <w:pPr>
        <w:jc w:val="both"/>
        <w:rPr>
          <w:rFonts w:cstheme="minorHAnsi"/>
        </w:rPr>
      </w:pPr>
      <w:r w:rsidRPr="00E47369">
        <w:rPr>
          <w:rFonts w:cstheme="minorHAnsi"/>
          <w:noProof/>
          <w:lang w:bidi="ar-SA"/>
        </w:rPr>
        <w:drawing>
          <wp:inline distT="0" distB="0" distL="0" distR="0" wp14:anchorId="553D0FAF" wp14:editId="228F9F5E">
            <wp:extent cx="5281561" cy="2110154"/>
            <wp:effectExtent l="0" t="0" r="0" b="4445"/>
            <wp:docPr id="836" name="Picture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294815" cy="2115449"/>
                    </a:xfrm>
                    <a:prstGeom prst="rect">
                      <a:avLst/>
                    </a:prstGeom>
                    <a:noFill/>
                  </pic:spPr>
                </pic:pic>
              </a:graphicData>
            </a:graphic>
          </wp:inline>
        </w:drawing>
      </w:r>
    </w:p>
    <w:p w14:paraId="697A7BC1" w14:textId="77777777" w:rsidR="00A651D8" w:rsidRPr="00E47369" w:rsidRDefault="00A651D8" w:rsidP="00A651D8">
      <w:pPr>
        <w:ind w:left="720"/>
        <w:jc w:val="both"/>
        <w:rPr>
          <w:rFonts w:cstheme="minorHAnsi"/>
        </w:rPr>
      </w:pPr>
    </w:p>
    <w:p w14:paraId="1AEA965F" w14:textId="33F30041" w:rsidR="00A651D8" w:rsidRPr="00E47369" w:rsidRDefault="00A651D8" w:rsidP="000351A7">
      <w:pPr>
        <w:pStyle w:val="Heading3"/>
      </w:pPr>
      <w:r w:rsidRPr="00E47369">
        <w:t xml:space="preserve"> </w:t>
      </w:r>
      <w:bookmarkStart w:id="174" w:name="_Toc453571142"/>
      <w:bookmarkStart w:id="175" w:name="_Toc458938292"/>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t>:indoline reactivity study.</w:t>
      </w:r>
      <w:bookmarkEnd w:id="174"/>
      <w:bookmarkEnd w:id="175"/>
      <w:r w:rsidRPr="00E47369">
        <w:t xml:space="preserve"> </w:t>
      </w:r>
    </w:p>
    <w:p w14:paraId="34978CA2" w14:textId="4A2F1695" w:rsidR="00A651D8" w:rsidRPr="00E47369" w:rsidRDefault="001539C6" w:rsidP="00536AE9">
      <w:pPr>
        <w:ind w:firstLine="360"/>
        <w:jc w:val="both"/>
        <w:rPr>
          <w:rFonts w:cstheme="minorHAnsi"/>
        </w:rPr>
      </w:pPr>
      <w:r w:rsidRPr="00E47369">
        <w:rPr>
          <w:rFonts w:cstheme="minorHAnsi"/>
          <w:color w:val="000000" w:themeColor="text1"/>
        </w:rPr>
        <w:t>MeReO</w:t>
      </w:r>
      <w:r w:rsidRPr="00E47369">
        <w:rPr>
          <w:rFonts w:cstheme="minorHAnsi"/>
          <w:color w:val="000000" w:themeColor="text1"/>
          <w:vertAlign w:val="subscript"/>
        </w:rPr>
        <w:t>3</w:t>
      </w:r>
      <w:r w:rsidR="00A651D8" w:rsidRPr="00E47369">
        <w:rPr>
          <w:rFonts w:cstheme="minorHAnsi"/>
        </w:rPr>
        <w:t xml:space="preserve"> (0.04 mmol, 10 mg) was dissolved in 800 µL of </w:t>
      </w:r>
      <w:r w:rsidR="00A651D8" w:rsidRPr="00E47369">
        <w:rPr>
          <w:rFonts w:cstheme="minorHAnsi"/>
          <w:i/>
        </w:rPr>
        <w:t>d</w:t>
      </w:r>
      <w:r w:rsidR="00A651D8" w:rsidRPr="00E47369">
        <w:rPr>
          <w:rFonts w:cstheme="minorHAnsi"/>
          <w:i/>
          <w:vertAlign w:val="subscript"/>
        </w:rPr>
        <w:t>6</w:t>
      </w:r>
      <w:r w:rsidR="00A651D8" w:rsidRPr="00E47369">
        <w:rPr>
          <w:rFonts w:cstheme="minorHAnsi"/>
        </w:rPr>
        <w:t>-benzene in a high pressure NMR tube. Indoline (0.04 mmol, 4.5 µL) was added and the tube was flushed with N</w:t>
      </w:r>
      <w:r w:rsidR="00A651D8" w:rsidRPr="00E47369">
        <w:rPr>
          <w:rFonts w:cstheme="minorHAnsi"/>
          <w:vertAlign w:val="subscript"/>
        </w:rPr>
        <w:t>2</w:t>
      </w:r>
      <w:r w:rsidR="00A651D8" w:rsidRPr="00E47369">
        <w:rPr>
          <w:rFonts w:cstheme="minorHAnsi"/>
        </w:rPr>
        <w:t xml:space="preserve">. </w:t>
      </w:r>
      <w:r w:rsidR="00A651D8" w:rsidRPr="00E47369">
        <w:rPr>
          <w:rFonts w:cstheme="minorHAnsi"/>
          <w:vertAlign w:val="superscript"/>
        </w:rPr>
        <w:t>1</w:t>
      </w:r>
      <w:r w:rsidR="00A651D8" w:rsidRPr="00E47369">
        <w:rPr>
          <w:rFonts w:cstheme="minorHAnsi"/>
        </w:rPr>
        <w:t>H NMR spectra were collected before and after placing the tube in an oil bath at 150</w:t>
      </w:r>
      <w:r w:rsidR="00A651D8" w:rsidRPr="00E47369">
        <w:rPr>
          <w:rFonts w:cstheme="minorHAnsi"/>
          <w:vertAlign w:val="superscript"/>
        </w:rPr>
        <w:t>o</w:t>
      </w:r>
      <w:r w:rsidR="00A651D8" w:rsidRPr="00E47369">
        <w:rPr>
          <w:rFonts w:cstheme="minorHAnsi"/>
        </w:rPr>
        <w:t xml:space="preserve">C for 1h. The reduction of </w:t>
      </w:r>
      <w:r w:rsidRPr="00E47369">
        <w:rPr>
          <w:rFonts w:cstheme="minorHAnsi"/>
          <w:color w:val="000000" w:themeColor="text1"/>
        </w:rPr>
        <w:t>MeReO</w:t>
      </w:r>
      <w:r w:rsidRPr="00E47369">
        <w:rPr>
          <w:rFonts w:cstheme="minorHAnsi"/>
          <w:color w:val="000000" w:themeColor="text1"/>
          <w:vertAlign w:val="subscript"/>
        </w:rPr>
        <w:t>3</w:t>
      </w:r>
      <w:r w:rsidR="00A651D8" w:rsidRPr="00E47369">
        <w:rPr>
          <w:rFonts w:cstheme="minorHAnsi"/>
        </w:rPr>
        <w:t xml:space="preserve"> by indoline was set up </w:t>
      </w:r>
      <w:r w:rsidR="00A651D8" w:rsidRPr="00E47369">
        <w:rPr>
          <w:rFonts w:cstheme="minorHAnsi"/>
          <w:color w:val="000000" w:themeColor="text1"/>
        </w:rPr>
        <w:t>similarly at a 0.20 mmol scale with benzene in a thick-walled Ace glass reactor tube. A N</w:t>
      </w:r>
      <w:r w:rsidR="00A651D8" w:rsidRPr="00E47369">
        <w:rPr>
          <w:rFonts w:cstheme="minorHAnsi"/>
          <w:color w:val="000000" w:themeColor="text1"/>
          <w:vertAlign w:val="subscript"/>
        </w:rPr>
        <w:t>2</w:t>
      </w:r>
      <w:r w:rsidR="00A651D8" w:rsidRPr="00E47369">
        <w:rPr>
          <w:rFonts w:cstheme="minorHAnsi"/>
          <w:color w:val="000000" w:themeColor="text1"/>
        </w:rPr>
        <w:t xml:space="preserve"> flow was bubbled into the mixture for 60 sec and after sealing the reactor was placed in an oil bath at 150</w:t>
      </w:r>
      <w:r w:rsidR="00A651D8" w:rsidRPr="00E47369">
        <w:rPr>
          <w:rFonts w:cstheme="minorHAnsi"/>
          <w:color w:val="000000" w:themeColor="text1"/>
          <w:vertAlign w:val="superscript"/>
        </w:rPr>
        <w:t>o</w:t>
      </w:r>
      <w:r w:rsidR="00A651D8" w:rsidRPr="00E47369">
        <w:rPr>
          <w:rFonts w:cstheme="minorHAnsi"/>
          <w:color w:val="000000" w:themeColor="text1"/>
        </w:rPr>
        <w:t>C for 4.5 h while stirring. After cooling at room temperature, the mixture was transferred to an NMR tube for analysis by no-D solvent NMR. The two CH</w:t>
      </w:r>
      <w:r w:rsidR="00A651D8" w:rsidRPr="00E47369">
        <w:rPr>
          <w:rFonts w:cstheme="minorHAnsi"/>
          <w:color w:val="000000" w:themeColor="text1"/>
          <w:vertAlign w:val="subscript"/>
        </w:rPr>
        <w:t>2</w:t>
      </w:r>
      <w:r w:rsidR="00A651D8" w:rsidRPr="00E47369">
        <w:rPr>
          <w:rFonts w:cstheme="minorHAnsi"/>
          <w:color w:val="000000" w:themeColor="text1"/>
        </w:rPr>
        <w:t xml:space="preserve"> group absorpti</w:t>
      </w:r>
      <w:r w:rsidR="00A651D8" w:rsidRPr="00E47369">
        <w:rPr>
          <w:rFonts w:cstheme="minorHAnsi"/>
        </w:rPr>
        <w:t>ons from indoline (3.1 ppm and 3.6 ppm) were absent after the reaction, being replaced by the peaks for indole (with no overlap; 6.5 ppm and 7.8 ppm). The mixture changed from colorless to yellow upon the addition of indoline at room temperature, then turned green. At 150</w:t>
      </w:r>
      <w:r w:rsidR="00A651D8" w:rsidRPr="00E47369">
        <w:rPr>
          <w:rFonts w:cstheme="minorHAnsi"/>
          <w:vertAlign w:val="superscript"/>
        </w:rPr>
        <w:t>o</w:t>
      </w:r>
      <w:r w:rsidR="00A651D8" w:rsidRPr="00E47369">
        <w:rPr>
          <w:rFonts w:cstheme="minorHAnsi"/>
        </w:rPr>
        <w:t>C the solution turned blue then brown/black.</w:t>
      </w:r>
    </w:p>
    <w:p w14:paraId="34FAFFB0" w14:textId="77777777" w:rsidR="00A651D8" w:rsidRPr="00E47369" w:rsidRDefault="00A651D8" w:rsidP="00A651D8">
      <w:pPr>
        <w:jc w:val="both"/>
        <w:rPr>
          <w:rFonts w:cstheme="minorHAnsi"/>
          <w:i/>
        </w:rPr>
      </w:pPr>
    </w:p>
    <w:p w14:paraId="1C2FDECD" w14:textId="77777777" w:rsidR="00A651D8" w:rsidRPr="00E47369" w:rsidRDefault="00A651D8" w:rsidP="000351A7">
      <w:pPr>
        <w:pStyle w:val="Heading3"/>
      </w:pPr>
      <w:bookmarkStart w:id="176" w:name="_Toc453571143"/>
      <w:bookmarkStart w:id="177" w:name="_Toc458938293"/>
      <w:r w:rsidRPr="00E47369">
        <w:t>MDO trapping.</w:t>
      </w:r>
      <w:bookmarkEnd w:id="176"/>
      <w:bookmarkEnd w:id="177"/>
      <w:r w:rsidRPr="00E47369">
        <w:t xml:space="preserve"> </w:t>
      </w:r>
    </w:p>
    <w:p w14:paraId="73832C78" w14:textId="1A6ACB74" w:rsidR="00A651D8" w:rsidRPr="00E47369" w:rsidRDefault="00A651D8" w:rsidP="00536AE9">
      <w:pPr>
        <w:ind w:firstLine="360"/>
        <w:jc w:val="both"/>
        <w:rPr>
          <w:rFonts w:cstheme="minorHAnsi"/>
        </w:rPr>
      </w:pPr>
      <w:r w:rsidRPr="00E47369">
        <w:rPr>
          <w:rFonts w:cstheme="minorHAnsi"/>
        </w:rPr>
        <w:t xml:space="preserve">In a high pressure NMR tube, 63 mg of MS 5Å powder and 20 mg of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rPr>
          <w:rFonts w:cstheme="minorHAnsi"/>
        </w:rPr>
        <w:t xml:space="preserve"> (0.08 mmol) was added to 800 µL of solution of 3-hexyne (2 eq, 0.16 mmol, 18 µL) in d-chloroform (dried over 4Å molecular sieves). The tube was flushed with N</w:t>
      </w:r>
      <w:r w:rsidRPr="00E47369">
        <w:rPr>
          <w:rFonts w:cstheme="minorHAnsi"/>
          <w:vertAlign w:val="subscript"/>
        </w:rPr>
        <w:t>2</w:t>
      </w:r>
      <w:r w:rsidRPr="00E47369">
        <w:rPr>
          <w:rFonts w:cstheme="minorHAnsi"/>
        </w:rPr>
        <w:t xml:space="preserve">. </w:t>
      </w:r>
      <w:r w:rsidRPr="00E47369">
        <w:rPr>
          <w:rFonts w:cstheme="minorHAnsi"/>
          <w:vertAlign w:val="superscript"/>
        </w:rPr>
        <w:t>1</w:t>
      </w:r>
      <w:r w:rsidRPr="00E47369">
        <w:rPr>
          <w:rFonts w:cstheme="minorHAnsi"/>
        </w:rPr>
        <w:t xml:space="preserve">H and </w:t>
      </w:r>
      <w:r w:rsidRPr="00E47369">
        <w:rPr>
          <w:rFonts w:cstheme="minorHAnsi"/>
          <w:vertAlign w:val="superscript"/>
        </w:rPr>
        <w:t>13</w:t>
      </w:r>
      <w:r w:rsidRPr="00E47369">
        <w:rPr>
          <w:rFonts w:cstheme="minorHAnsi"/>
        </w:rPr>
        <w:t>C NMR spectra were collected at room temperature and after placing the tube in an oil bath at 100</w:t>
      </w:r>
      <w:r w:rsidRPr="00E47369">
        <w:rPr>
          <w:rFonts w:cstheme="minorHAnsi"/>
          <w:vertAlign w:val="superscript"/>
        </w:rPr>
        <w:t>o</w:t>
      </w:r>
      <w:r w:rsidRPr="00E47369">
        <w:rPr>
          <w:rFonts w:cstheme="minorHAnsi"/>
        </w:rPr>
        <w:t>C. The reaction was completed after a total of 19h.</w:t>
      </w:r>
    </w:p>
    <w:p w14:paraId="0A4DFB2C" w14:textId="77777777" w:rsidR="00A651D8" w:rsidRPr="00E47369" w:rsidRDefault="00A651D8" w:rsidP="00A651D8">
      <w:pPr>
        <w:jc w:val="both"/>
        <w:rPr>
          <w:rFonts w:cstheme="minorHAnsi"/>
        </w:rPr>
      </w:pPr>
    </w:p>
    <w:p w14:paraId="6CA978F6" w14:textId="76056D49" w:rsidR="00A651D8" w:rsidRPr="00E47369" w:rsidRDefault="00A651D8" w:rsidP="000351A7">
      <w:pPr>
        <w:pStyle w:val="Heading3"/>
      </w:pPr>
      <w:bookmarkStart w:id="178" w:name="_Toc453571144"/>
      <w:bookmarkStart w:id="179" w:name="_Toc458938294"/>
      <w:r w:rsidRPr="00E47369">
        <w:t xml:space="preserve">Competition between indoline and ethylene glycol for </w:t>
      </w:r>
      <w:r w:rsidR="001539C6" w:rsidRPr="00E47369">
        <w:rPr>
          <w:rFonts w:cstheme="minorHAnsi"/>
          <w:color w:val="000000" w:themeColor="text1"/>
        </w:rPr>
        <w:t>MeReO</w:t>
      </w:r>
      <w:r w:rsidR="001539C6" w:rsidRPr="00E47369">
        <w:rPr>
          <w:rFonts w:cstheme="minorHAnsi"/>
          <w:color w:val="000000" w:themeColor="text1"/>
          <w:vertAlign w:val="subscript"/>
        </w:rPr>
        <w:t>3</w:t>
      </w:r>
      <w:r w:rsidRPr="00E47369">
        <w:t>.</w:t>
      </w:r>
      <w:bookmarkEnd w:id="178"/>
      <w:bookmarkEnd w:id="179"/>
      <w:r w:rsidRPr="00E47369">
        <w:t xml:space="preserve"> </w:t>
      </w:r>
    </w:p>
    <w:p w14:paraId="3C925520" w14:textId="7C3112D0" w:rsidR="00A651D8" w:rsidRPr="00E47369" w:rsidRDefault="001539C6" w:rsidP="00536AE9">
      <w:pPr>
        <w:ind w:firstLine="360"/>
        <w:jc w:val="both"/>
        <w:rPr>
          <w:rFonts w:cstheme="minorHAnsi"/>
        </w:rPr>
      </w:pPr>
      <w:r w:rsidRPr="00E47369">
        <w:rPr>
          <w:rFonts w:cstheme="minorHAnsi"/>
          <w:color w:val="000000" w:themeColor="text1"/>
        </w:rPr>
        <w:t>MeReO</w:t>
      </w:r>
      <w:r w:rsidRPr="00E47369">
        <w:rPr>
          <w:rFonts w:cstheme="minorHAnsi"/>
          <w:color w:val="000000" w:themeColor="text1"/>
          <w:vertAlign w:val="subscript"/>
        </w:rPr>
        <w:t>3</w:t>
      </w:r>
      <w:r w:rsidR="00A651D8" w:rsidRPr="00E47369">
        <w:rPr>
          <w:rFonts w:cstheme="minorHAnsi"/>
        </w:rPr>
        <w:t xml:space="preserve"> (0.02 mmol, 5 mg) was added to 800 µL of a 0.03 M equimolar solution of indoline and ethylene glycol in </w:t>
      </w:r>
      <w:r w:rsidR="00A651D8" w:rsidRPr="00E47369">
        <w:rPr>
          <w:rFonts w:cstheme="minorHAnsi"/>
          <w:i/>
        </w:rPr>
        <w:t>d</w:t>
      </w:r>
      <w:r w:rsidR="00A651D8" w:rsidRPr="00E47369">
        <w:rPr>
          <w:rFonts w:cstheme="minorHAnsi"/>
          <w:i/>
          <w:vertAlign w:val="superscript"/>
        </w:rPr>
        <w:t>6</w:t>
      </w:r>
      <w:r w:rsidR="00A651D8" w:rsidRPr="00E47369">
        <w:rPr>
          <w:rFonts w:cstheme="minorHAnsi"/>
        </w:rPr>
        <w:t xml:space="preserve">-benzene. </w:t>
      </w:r>
      <w:r w:rsidR="00A651D8" w:rsidRPr="00E47369">
        <w:rPr>
          <w:rFonts w:cstheme="minorHAnsi"/>
          <w:vertAlign w:val="superscript"/>
        </w:rPr>
        <w:t>1</w:t>
      </w:r>
      <w:r w:rsidR="00A651D8" w:rsidRPr="00E47369">
        <w:rPr>
          <w:rFonts w:cstheme="minorHAnsi"/>
        </w:rPr>
        <w:t>H NMR spectra were collected directly and con-firmed after standing overnight at room temperature.</w:t>
      </w:r>
    </w:p>
    <w:p w14:paraId="54D88BDC" w14:textId="77777777" w:rsidR="00A651D8" w:rsidRPr="00E47369" w:rsidRDefault="00A651D8" w:rsidP="00A651D8">
      <w:pPr>
        <w:jc w:val="both"/>
        <w:rPr>
          <w:rFonts w:cstheme="minorHAnsi"/>
        </w:rPr>
      </w:pPr>
    </w:p>
    <w:p w14:paraId="127A4B98" w14:textId="77777777" w:rsidR="00A651D8" w:rsidRPr="00E47369" w:rsidRDefault="00A651D8" w:rsidP="00BA0582">
      <w:pPr>
        <w:pStyle w:val="Heading2"/>
      </w:pPr>
      <w:bookmarkStart w:id="180" w:name="_Toc453571145"/>
      <w:bookmarkStart w:id="181" w:name="_Toc458938295"/>
      <w:r w:rsidRPr="00E47369">
        <w:t>Acknowledgment</w:t>
      </w:r>
      <w:bookmarkEnd w:id="180"/>
      <w:bookmarkEnd w:id="181"/>
    </w:p>
    <w:p w14:paraId="78B2C36F" w14:textId="77777777" w:rsidR="008C71BC" w:rsidRPr="00E47369" w:rsidRDefault="00A651D8" w:rsidP="00A651D8">
      <w:pPr>
        <w:jc w:val="both"/>
        <w:rPr>
          <w:rFonts w:cstheme="minorHAnsi"/>
        </w:rPr>
      </w:pPr>
      <w:r w:rsidRPr="00E47369">
        <w:rPr>
          <w:rFonts w:cstheme="minorHAnsi"/>
        </w:rPr>
        <w:t xml:space="preserve">We thank Dr. Douglas Powell for determination of the X-ray structure of </w:t>
      </w:r>
      <w:r w:rsidRPr="00E47369">
        <w:rPr>
          <w:rFonts w:cstheme="minorHAnsi"/>
          <w:b/>
        </w:rPr>
        <w:t>4</w:t>
      </w:r>
      <w:r w:rsidRPr="00E47369">
        <w:rPr>
          <w:rFonts w:cstheme="minorHAnsi"/>
        </w:rPr>
        <w:t>.</w:t>
      </w:r>
    </w:p>
    <w:p w14:paraId="7D006285" w14:textId="77777777" w:rsidR="00A651D8" w:rsidRPr="00E47369" w:rsidRDefault="00A651D8">
      <w:pPr>
        <w:spacing w:line="240" w:lineRule="auto"/>
        <w:rPr>
          <w:rFonts w:cstheme="minorHAnsi"/>
          <w:b/>
          <w:bCs/>
          <w:color w:val="000000" w:themeColor="text1"/>
          <w:sz w:val="28"/>
          <w:szCs w:val="32"/>
        </w:rPr>
      </w:pPr>
      <w:r w:rsidRPr="00E47369">
        <w:rPr>
          <w:rFonts w:cstheme="minorHAnsi"/>
        </w:rPr>
        <w:br w:type="page"/>
      </w:r>
    </w:p>
    <w:p w14:paraId="12D0896C" w14:textId="77777777" w:rsidR="00F17F93" w:rsidRPr="00E47369" w:rsidRDefault="002A66B7" w:rsidP="002A66B7">
      <w:pPr>
        <w:pStyle w:val="Heading1"/>
        <w:rPr>
          <w:rFonts w:asciiTheme="minorHAnsi" w:hAnsiTheme="minorHAnsi" w:cstheme="minorHAnsi"/>
        </w:rPr>
      </w:pPr>
      <w:bookmarkStart w:id="182" w:name="_Ref455843257"/>
      <w:bookmarkStart w:id="183" w:name="_Toc458938296"/>
      <w:r w:rsidRPr="00E47369">
        <w:rPr>
          <w:rFonts w:asciiTheme="minorHAnsi" w:hAnsiTheme="minorHAnsi" w:cstheme="minorHAnsi"/>
        </w:rPr>
        <w:t>DODH/</w:t>
      </w:r>
      <w:r w:rsidR="00F17F93" w:rsidRPr="00E47369">
        <w:rPr>
          <w:rFonts w:asciiTheme="minorHAnsi" w:hAnsiTheme="minorHAnsi" w:cstheme="minorHAnsi"/>
        </w:rPr>
        <w:t>C-C Bond Forming Tandem Reactions</w:t>
      </w:r>
      <w:bookmarkEnd w:id="182"/>
      <w:bookmarkEnd w:id="183"/>
    </w:p>
    <w:p w14:paraId="6534A682" w14:textId="77777777" w:rsidR="002A66B7" w:rsidRPr="00E47369" w:rsidRDefault="00F17F93" w:rsidP="00BA0582">
      <w:pPr>
        <w:pStyle w:val="Heading2"/>
        <w:numPr>
          <w:ilvl w:val="0"/>
          <w:numId w:val="15"/>
        </w:numPr>
      </w:pPr>
      <w:bookmarkStart w:id="184" w:name="_Toc458938297"/>
      <w:r w:rsidRPr="00E47369">
        <w:t xml:space="preserve">DODH / </w:t>
      </w:r>
      <w:r w:rsidR="002A66B7" w:rsidRPr="00E47369">
        <w:t>Hetero Diels Alder Coupling</w:t>
      </w:r>
      <w:bookmarkEnd w:id="184"/>
      <w:r w:rsidR="002A66B7" w:rsidRPr="00E47369">
        <w:t xml:space="preserve"> </w:t>
      </w:r>
    </w:p>
    <w:p w14:paraId="2FE4C4DC" w14:textId="77777777" w:rsidR="002A66B7" w:rsidRPr="00E47369" w:rsidRDefault="002A66B7" w:rsidP="000351A7">
      <w:pPr>
        <w:pStyle w:val="Heading3"/>
        <w:numPr>
          <w:ilvl w:val="0"/>
          <w:numId w:val="11"/>
        </w:numPr>
      </w:pPr>
      <w:bookmarkStart w:id="185" w:name="_Toc458938298"/>
      <w:r w:rsidRPr="00E47369">
        <w:t>Introduction</w:t>
      </w:r>
      <w:bookmarkEnd w:id="185"/>
      <w:r w:rsidRPr="00E47369">
        <w:t xml:space="preserve"> </w:t>
      </w:r>
    </w:p>
    <w:p w14:paraId="7660FA85" w14:textId="77777777" w:rsidR="002A66B7" w:rsidRPr="00E47369" w:rsidRDefault="002A66B7" w:rsidP="00F17F93">
      <w:pPr>
        <w:pStyle w:val="Heading41"/>
        <w:rPr>
          <w:rFonts w:cstheme="minorHAnsi"/>
        </w:rPr>
      </w:pPr>
      <w:r w:rsidRPr="00E47369">
        <w:rPr>
          <w:rFonts w:cstheme="minorHAnsi"/>
        </w:rPr>
        <w:t>The Diels-Alder and Hetero Diels-Alder reactions</w:t>
      </w:r>
    </w:p>
    <w:p w14:paraId="0177AEEA" w14:textId="77777777" w:rsidR="002A66B7" w:rsidRPr="00E47369" w:rsidRDefault="002A66B7" w:rsidP="002A66B7">
      <w:pPr>
        <w:ind w:firstLine="360"/>
        <w:jc w:val="both"/>
        <w:rPr>
          <w:rFonts w:cstheme="minorHAnsi"/>
          <w:color w:val="000000" w:themeColor="text1"/>
        </w:rPr>
      </w:pPr>
      <w:r w:rsidRPr="00E47369">
        <w:rPr>
          <w:rFonts w:cstheme="minorHAnsi"/>
        </w:rPr>
        <w:t>The Diels-Alder (DA) reaction is a [4+2] cycloaddition between a diene and a dienophile (</w:t>
      </w:r>
      <w:r w:rsidR="008C02FE" w:rsidRPr="00E47369">
        <w:rPr>
          <w:rFonts w:cstheme="minorHAnsi"/>
        </w:rPr>
        <w:fldChar w:fldCharType="begin"/>
      </w:r>
      <w:r w:rsidR="008C02FE" w:rsidRPr="00E47369">
        <w:rPr>
          <w:rFonts w:cstheme="minorHAnsi"/>
        </w:rPr>
        <w:instrText xml:space="preserve"> REF _Ref451768116 \h </w:instrText>
      </w:r>
      <w:r w:rsidR="00E47369">
        <w:rPr>
          <w:rFonts w:cstheme="minorHAnsi"/>
        </w:rPr>
        <w:instrText xml:space="preserve"> \* MERGEFORMAT </w:instrText>
      </w:r>
      <w:r w:rsidR="008C02FE" w:rsidRPr="00E47369">
        <w:rPr>
          <w:rFonts w:cstheme="minorHAnsi"/>
        </w:rPr>
      </w:r>
      <w:r w:rsidR="008C02FE" w:rsidRPr="00E47369">
        <w:rPr>
          <w:rFonts w:cstheme="minorHAnsi"/>
        </w:rPr>
        <w:fldChar w:fldCharType="separate"/>
      </w:r>
      <w:r w:rsidR="000A0E3D" w:rsidRPr="000A0E3D">
        <w:rPr>
          <w:rFonts w:cstheme="minorHAnsi"/>
        </w:rPr>
        <w:t xml:space="preserve">Figure III. </w:t>
      </w:r>
      <w:r w:rsidR="000A0E3D" w:rsidRPr="000A0E3D">
        <w:rPr>
          <w:rFonts w:cstheme="minorHAnsi"/>
          <w:noProof/>
        </w:rPr>
        <w:t>1.1</w:t>
      </w:r>
      <w:r w:rsidR="008C02FE" w:rsidRPr="00E47369">
        <w:rPr>
          <w:rFonts w:cstheme="minorHAnsi"/>
        </w:rPr>
        <w:fldChar w:fldCharType="end"/>
      </w:r>
      <w:r w:rsidRPr="00E47369">
        <w:rPr>
          <w:rFonts w:cstheme="minorHAnsi"/>
        </w:rPr>
        <w:t>). Developed in 1928 by O. Diels and K. Alder, the first report of the reaction involved only carbon atoms in the cycloaddition</w:t>
      </w:r>
      <w:r w:rsidRPr="00E47369">
        <w:rPr>
          <w:rFonts w:cstheme="minorHAnsi"/>
        </w:rPr>
        <w:fldChar w:fldCharType="begin"/>
      </w:r>
      <w:r w:rsidRPr="00E47369">
        <w:rPr>
          <w:rFonts w:cstheme="minorHAnsi"/>
        </w:rPr>
        <w:instrText xml:space="preserve"> ADDIN ZOTERO_ITEM CSL_CITATION {"citationID":"1b1j0qm498","properties":{"formattedCitation":"{\\rtf \\super 104\\nosupersub{}}","plainCitation":"104"},"citationItems":[{"id":1451,"uris":["http://zotero.org/users/1624234/items/93WVNZFC"],"uri":["http://zotero.org/users/1624234/items/93WVNZFC"],"itemData":{"id":1451,"type":"article-journal","title":"Synthesen in der hydroaromatischen Reihe","container-title":"Justus Liebigs Annalen der Chemie","page":"98-122","volume":"460","issue":"1","source":"Wiley Online Library","DOI":"10.1002/jlac.19284600106","ISSN":"1099-0690","journalAbbreviation":"Justus Liebigs Ann. Chem.","language":"en","author":[{"family":"Diels","given":"Otto"},{"family":"Alder","given":"Kurt"}],"issued":{"date-parts":[["1928",1,1]]}}}],"schema":"https://github.com/citation-style-language/schema/raw/master/csl-citation.json"} </w:instrText>
      </w:r>
      <w:r w:rsidRPr="00E47369">
        <w:rPr>
          <w:rFonts w:cstheme="minorHAnsi"/>
        </w:rPr>
        <w:fldChar w:fldCharType="separate"/>
      </w:r>
      <w:r w:rsidRPr="00E47369">
        <w:rPr>
          <w:rFonts w:cstheme="minorHAnsi"/>
          <w:vertAlign w:val="superscript"/>
        </w:rPr>
        <w:t>104</w:t>
      </w:r>
      <w:r w:rsidRPr="00E47369">
        <w:rPr>
          <w:rFonts w:cstheme="minorHAnsi"/>
        </w:rPr>
        <w:fldChar w:fldCharType="end"/>
      </w:r>
      <w:r w:rsidRPr="00E47369">
        <w:rPr>
          <w:rFonts w:cstheme="minorHAnsi"/>
        </w:rPr>
        <w:t>. Later the concept of this cycloaddition was applied to systems containing heteroatoms and was called the Hetero Diels-Alder reaction (HDA)</w:t>
      </w:r>
      <w:r w:rsidR="00B72949" w:rsidRPr="00E47369">
        <w:rPr>
          <w:rFonts w:cstheme="minorHAnsi"/>
        </w:rPr>
        <w:t>.</w:t>
      </w:r>
      <w:r w:rsidRPr="00E47369">
        <w:rPr>
          <w:rFonts w:cstheme="minorHAnsi"/>
        </w:rPr>
        <w:fldChar w:fldCharType="begin"/>
      </w:r>
      <w:r w:rsidRPr="00E47369">
        <w:rPr>
          <w:rFonts w:cstheme="minorHAnsi"/>
        </w:rPr>
        <w:instrText xml:space="preserve"> ADDIN ZOTERO_ITEM CSL_CITATION {"citationID":"11n3iarb24","properties":{"formattedCitation":"{\\rtf \\super 105,106\\nosupersub{}}","plainCitation":"105,106"},"citationItems":[{"id":1456,"uris":["http://zotero.org/users/1624234/items/59AM3MZI"],"uri":["http://zotero.org/users/1624234/items/59AM3MZI"],"itemData":{"id":1456,"type":"article-journal","title":"Iminium Ion-Based Diels–Alder Reactions: N-Benzyl-2-Azanorborene","container-title":"Organic Syntheses","page":"206","volume":"68","source":"CrossRef","DOI":"10.15227/orgsyn.068.0206","ISSN":"00786209, 23333553","shortTitle":"Iminium Ion-Based Diels–Alder Reactions: N-Benzyl-2-Azanorborene","author":[{"family":"Grieco","given":"Paul A."},{"family":"Larsen","given":"Scott D."}],"issued":{"date-parts":[["1990"]]}},"label":"page"},{"id":1454,"uris":["http://zotero.org/users/1624234/items/KPT3IMXA"],"uri":["http://zotero.org/users/1624234/items/KPT3IMXA"],"itemData":{"id":1454,"type":"chapter","title":"4.4 - Intramolecular Diels–Alder Reactions A2  - Trost, Barry M.","container-title":"Comprehensive Organic Synthesis","publisher":"Pergamon","publisher-place":"Oxford","page":"513-550","source":"ScienceDirect","event-place":"Oxford","abstract":"The Diels–Alder reaction, first described in 1928,1 has enjoyed widespread use in organic synthesis.2 This [4 + 2] cycloaddition is particularly valuable in that it forms two bonds in a cyclohexenyl system with simultaneous creation of up to four new stereocenters. Curiously, the intramolecular version in which the diene and dienophile are tethered by a connecting chain was not investigated for many years. Alder and Schumaker reported the first example of the intramolecular reaction in 1953,3 but it was not until the early 1960s that additional examples began to appear in the literature.4 Since the mid-1970s, however, a virtual explosion of interest in this reaction has occurred.5 The increased reactivity (due to favorable entropy considerations) and heightened regioselectivity (due to constraints posed by the connecting chain), as well as the potential for the synthesis of stereochemically complex polycyclic ring systems, account for the growth of applications of this reaction in organic and particularly natural products synthesis.","URL":"http://www.sciencedirect.com/science/article/pii/B9780080523491001311","ISBN":"978-0-08-052349-1","author":[{"family":"Roush","given":"William R."}],"editor":[{"family":"Fleming","given":"Ian"}],"issued":{"date-parts":[["1991"]]},"accessed":{"date-parts":[["2016",4,2]]}},"label":"page"}],"schema":"https://github.com/citation-style-language/schema/raw/master/csl-citation.json"} </w:instrText>
      </w:r>
      <w:r w:rsidRPr="00E47369">
        <w:rPr>
          <w:rFonts w:cstheme="minorHAnsi"/>
        </w:rPr>
        <w:fldChar w:fldCharType="separate"/>
      </w:r>
      <w:r w:rsidRPr="00E47369">
        <w:rPr>
          <w:rFonts w:cstheme="minorHAnsi"/>
          <w:vertAlign w:val="superscript"/>
        </w:rPr>
        <w:t>105,106</w:t>
      </w:r>
      <w:r w:rsidRPr="00E47369">
        <w:rPr>
          <w:rFonts w:cstheme="minorHAnsi"/>
        </w:rPr>
        <w:fldChar w:fldCharType="end"/>
      </w:r>
      <w:r w:rsidRPr="00E47369">
        <w:rPr>
          <w:rFonts w:cstheme="minorHAnsi"/>
        </w:rPr>
        <w:t xml:space="preserve"> The DA reaction is believed to proceed by a concerted mechanism via a cyclic transition state guided by orbital symmetry. In the most common case the π electrons in the HOMO of the diene interact with the LUMO (π* orbital) of the dienophile. The reaction can then be favored if the diene contains an electron donation group and the dienophile contains an electron withdrawing group. In addition a Lewis acid catalyst can coordinate to the dienophile making it more electrophilic and subsequently more reactive toward the diene</w:t>
      </w:r>
      <w:r w:rsidRPr="00E47369">
        <w:rPr>
          <w:rFonts w:cstheme="minorHAnsi"/>
          <w:color w:val="000000" w:themeColor="text1"/>
        </w:rPr>
        <w:t xml:space="preserve">. </w:t>
      </w:r>
    </w:p>
    <w:p w14:paraId="677DFE61" w14:textId="77777777" w:rsidR="00536AE9" w:rsidRPr="00E47369" w:rsidRDefault="00536AE9" w:rsidP="00536AE9">
      <w:pPr>
        <w:jc w:val="both"/>
        <w:rPr>
          <w:rFonts w:cstheme="minorHAnsi"/>
          <w:color w:val="000000" w:themeColor="text1"/>
        </w:rPr>
      </w:pPr>
    </w:p>
    <w:p w14:paraId="6794B1FE" w14:textId="77777777" w:rsidR="008C02FE" w:rsidRPr="00E47369" w:rsidRDefault="008C02FE" w:rsidP="008C02FE">
      <w:pPr>
        <w:keepNext/>
        <w:jc w:val="center"/>
        <w:rPr>
          <w:rFonts w:cstheme="minorHAnsi"/>
        </w:rPr>
      </w:pPr>
      <w:r w:rsidRPr="00E47369">
        <w:rPr>
          <w:rFonts w:cstheme="minorHAnsi"/>
        </w:rPr>
        <w:object w:dxaOrig="2102" w:dyaOrig="662" w14:anchorId="7AE1971C">
          <v:shape id="_x0000_i1064" type="#_x0000_t75" style="width:132.9pt;height:41.15pt" o:ole="">
            <v:imagedata r:id="rId126" o:title=""/>
          </v:shape>
          <o:OLEObject Type="Embed" ProgID="ChemDraw.Document.6.0" ShapeID="_x0000_i1064" DrawAspect="Content" ObjectID="_1532784918" r:id="rId127"/>
        </w:object>
      </w:r>
    </w:p>
    <w:p w14:paraId="4E7D5203" w14:textId="77777777" w:rsidR="002A66B7" w:rsidRPr="00323B06" w:rsidRDefault="008C02FE" w:rsidP="00323B06">
      <w:pPr>
        <w:pStyle w:val="Caption"/>
      </w:pPr>
      <w:bookmarkStart w:id="186" w:name="_Ref451768116"/>
      <w:bookmarkStart w:id="187" w:name="_Toc457670703"/>
      <w:r w:rsidRPr="00323B06">
        <w:t xml:space="preserve">Figure III. </w:t>
      </w:r>
      <w:r w:rsidR="00443010">
        <w:fldChar w:fldCharType="begin"/>
      </w:r>
      <w:r w:rsidR="00443010">
        <w:instrText xml:space="preserve"> STYLEREF 2 \s </w:instrText>
      </w:r>
      <w:r w:rsidR="00443010">
        <w:fldChar w:fldCharType="separate"/>
      </w:r>
      <w:r w:rsidR="000A0E3D">
        <w:rPr>
          <w:noProof/>
        </w:rPr>
        <w:t>1</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1</w:t>
      </w:r>
      <w:r w:rsidR="00443010">
        <w:rPr>
          <w:noProof/>
        </w:rPr>
        <w:fldChar w:fldCharType="end"/>
      </w:r>
      <w:bookmarkEnd w:id="186"/>
      <w:r w:rsidRPr="00323B06">
        <w:t xml:space="preserve"> </w:t>
      </w:r>
      <w:r w:rsidR="002A66B7" w:rsidRPr="00323B06">
        <w:t xml:space="preserve">Diels-Alder </w:t>
      </w:r>
      <w:r w:rsidR="006358B0">
        <w:t>g</w:t>
      </w:r>
      <w:r w:rsidR="002A66B7" w:rsidRPr="00323B06">
        <w:t xml:space="preserve">eneral </w:t>
      </w:r>
      <w:r w:rsidR="006358B0">
        <w:t>r</w:t>
      </w:r>
      <w:r w:rsidR="002A66B7" w:rsidRPr="00323B06">
        <w:t>eaction</w:t>
      </w:r>
      <w:bookmarkEnd w:id="187"/>
    </w:p>
    <w:p w14:paraId="38C016C8" w14:textId="77777777" w:rsidR="008C02FE" w:rsidRPr="00E47369" w:rsidRDefault="008C02FE" w:rsidP="008C02FE">
      <w:pPr>
        <w:rPr>
          <w:rFonts w:cstheme="minorHAnsi"/>
        </w:rPr>
      </w:pPr>
    </w:p>
    <w:p w14:paraId="3C36BA64" w14:textId="77777777" w:rsidR="008730BD" w:rsidRPr="00E47369" w:rsidRDefault="008730BD" w:rsidP="00F17F93">
      <w:pPr>
        <w:pStyle w:val="Heading41"/>
        <w:rPr>
          <w:rFonts w:cstheme="minorHAnsi"/>
        </w:rPr>
      </w:pPr>
      <w:r w:rsidRPr="00E47369">
        <w:rPr>
          <w:rFonts w:cstheme="minorHAnsi"/>
        </w:rPr>
        <w:t>Tandem reaction concept</w:t>
      </w:r>
    </w:p>
    <w:p w14:paraId="1A996FF6" w14:textId="77777777" w:rsidR="002A66B7" w:rsidRPr="006358B0" w:rsidRDefault="002A66B7" w:rsidP="006358B0">
      <w:pPr>
        <w:widowControl w:val="0"/>
        <w:autoSpaceDE w:val="0"/>
        <w:autoSpaceDN w:val="0"/>
        <w:adjustRightInd w:val="0"/>
        <w:ind w:firstLine="360"/>
        <w:jc w:val="both"/>
        <w:rPr>
          <w:rFonts w:cstheme="minorHAnsi"/>
          <w:color w:val="000000" w:themeColor="text1"/>
        </w:rPr>
      </w:pPr>
      <w:r w:rsidRPr="00E47369">
        <w:rPr>
          <w:rFonts w:cstheme="minorHAnsi"/>
        </w:rPr>
        <w:t xml:space="preserve">The idea of a tandem DODH / DA reaction sounds the most straightforward. In this case both the diene and the dienophile could be formed in a DODH reaction from a polyol and a glycol. </w:t>
      </w:r>
      <w:r w:rsidRPr="00E47369">
        <w:rPr>
          <w:rFonts w:cstheme="minorHAnsi"/>
          <w:color w:val="000000" w:themeColor="text1"/>
        </w:rPr>
        <w:t xml:space="preserve">We started by exploring such a tandem system. We studied DODH / DA tandem </w:t>
      </w:r>
      <w:r w:rsidR="0017359D">
        <w:rPr>
          <w:rFonts w:cstheme="minorHAnsi"/>
          <w:color w:val="000000" w:themeColor="text1"/>
        </w:rPr>
        <w:t>reaction of</w:t>
      </w:r>
      <w:r w:rsidRPr="00E47369">
        <w:rPr>
          <w:rFonts w:cstheme="minorHAnsi"/>
          <w:color w:val="000000" w:themeColor="text1"/>
        </w:rPr>
        <w:t xml:space="preserve"> erythreitol and diethyl tartrate using </w:t>
      </w:r>
      <w:r w:rsidR="00047232">
        <w:rPr>
          <w:rFonts w:cstheme="minorHAnsi"/>
          <w:color w:val="000000" w:themeColor="text1"/>
        </w:rPr>
        <w:t>MeReO</w:t>
      </w:r>
      <w:r w:rsidR="00047232" w:rsidRPr="00047232">
        <w:rPr>
          <w:rFonts w:cstheme="minorHAnsi"/>
          <w:color w:val="000000" w:themeColor="text1"/>
          <w:vertAlign w:val="subscript"/>
        </w:rPr>
        <w:t>3</w:t>
      </w:r>
      <w:r w:rsidRPr="00E47369">
        <w:rPr>
          <w:rFonts w:cstheme="minorHAnsi"/>
          <w:color w:val="000000" w:themeColor="text1"/>
        </w:rPr>
        <w:t xml:space="preserve"> as catalyst and </w:t>
      </w:r>
      <w:r w:rsidR="00047232">
        <w:rPr>
          <w:rFonts w:cstheme="minorHAnsi"/>
          <w:color w:val="000000" w:themeColor="text1"/>
        </w:rPr>
        <w:t>3-octanol</w:t>
      </w:r>
      <w:r w:rsidRPr="00E47369">
        <w:rPr>
          <w:rFonts w:cstheme="minorHAnsi"/>
          <w:color w:val="000000" w:themeColor="text1"/>
        </w:rPr>
        <w:t xml:space="preserve"> as reducing agent </w:t>
      </w:r>
      <w:r w:rsidR="00047232">
        <w:rPr>
          <w:rFonts w:cstheme="minorHAnsi"/>
          <w:color w:val="000000" w:themeColor="text1"/>
        </w:rPr>
        <w:t>and solvent</w:t>
      </w:r>
      <w:r w:rsidRPr="00E47369">
        <w:rPr>
          <w:rFonts w:cstheme="minorHAnsi"/>
          <w:color w:val="000000" w:themeColor="text1"/>
        </w:rPr>
        <w:t>(</w:t>
      </w:r>
      <w:r w:rsidR="008C02FE" w:rsidRPr="00E47369">
        <w:rPr>
          <w:rFonts w:cstheme="minorHAnsi"/>
          <w:color w:val="000000" w:themeColor="text1"/>
        </w:rPr>
        <w:fldChar w:fldCharType="begin"/>
      </w:r>
      <w:r w:rsidR="008C02FE" w:rsidRPr="00E47369">
        <w:rPr>
          <w:rFonts w:cstheme="minorHAnsi"/>
          <w:color w:val="000000" w:themeColor="text1"/>
        </w:rPr>
        <w:instrText xml:space="preserve"> REF _Ref451768202 \h </w:instrText>
      </w:r>
      <w:r w:rsidR="00E47369">
        <w:rPr>
          <w:rFonts w:cstheme="minorHAnsi"/>
          <w:color w:val="000000" w:themeColor="text1"/>
        </w:rPr>
        <w:instrText xml:space="preserve"> \* MERGEFORMAT </w:instrText>
      </w:r>
      <w:r w:rsidR="008C02FE" w:rsidRPr="00E47369">
        <w:rPr>
          <w:rFonts w:cstheme="minorHAnsi"/>
          <w:color w:val="000000" w:themeColor="text1"/>
        </w:rPr>
      </w:r>
      <w:r w:rsidR="008C02FE" w:rsidRPr="00E47369">
        <w:rPr>
          <w:rFonts w:cstheme="minorHAnsi"/>
          <w:color w:val="000000" w:themeColor="text1"/>
        </w:rPr>
        <w:fldChar w:fldCharType="separate"/>
      </w:r>
      <w:r w:rsidR="000A0E3D" w:rsidRPr="000A0E3D">
        <w:rPr>
          <w:rFonts w:cstheme="minorHAnsi"/>
        </w:rPr>
        <w:t xml:space="preserve">Figure III. </w:t>
      </w:r>
      <w:r w:rsidR="000A0E3D" w:rsidRPr="000A0E3D">
        <w:rPr>
          <w:rFonts w:cstheme="minorHAnsi"/>
          <w:noProof/>
        </w:rPr>
        <w:t>1.2</w:t>
      </w:r>
      <w:r w:rsidR="008C02FE" w:rsidRPr="00E47369">
        <w:rPr>
          <w:rFonts w:cstheme="minorHAnsi"/>
          <w:color w:val="000000" w:themeColor="text1"/>
        </w:rPr>
        <w:fldChar w:fldCharType="end"/>
      </w:r>
      <w:r w:rsidRPr="00E47369">
        <w:rPr>
          <w:rFonts w:cstheme="minorHAnsi"/>
          <w:color w:val="000000" w:themeColor="text1"/>
        </w:rPr>
        <w:t xml:space="preserve">). </w:t>
      </w:r>
      <w:r w:rsidR="004C74E8">
        <w:rPr>
          <w:rFonts w:cstheme="minorHAnsi"/>
          <w:color w:val="000000" w:themeColor="text1"/>
        </w:rPr>
        <w:t xml:space="preserve">We obtained the cyclo-added product </w:t>
      </w:r>
      <w:r w:rsidR="00047232">
        <w:rPr>
          <w:rFonts w:cstheme="minorHAnsi"/>
          <w:color w:val="000000" w:themeColor="text1"/>
        </w:rPr>
        <w:t xml:space="preserve">with 60% </w:t>
      </w:r>
      <w:r w:rsidR="004C74E8">
        <w:rPr>
          <w:rFonts w:cstheme="minorHAnsi"/>
          <w:color w:val="000000" w:themeColor="text1"/>
        </w:rPr>
        <w:t>y</w:t>
      </w:r>
      <w:r w:rsidR="00047232">
        <w:rPr>
          <w:rFonts w:cstheme="minorHAnsi"/>
          <w:color w:val="000000" w:themeColor="text1"/>
        </w:rPr>
        <w:t xml:space="preserve">ield starting with diethyl fumarate instead of diethyl tartrate. </w:t>
      </w:r>
      <w:r w:rsidRPr="00E47369">
        <w:rPr>
          <w:rFonts w:cstheme="minorHAnsi"/>
          <w:color w:val="000000" w:themeColor="text1"/>
        </w:rPr>
        <w:t>Early in our preliminary study a similar tandem system was reported by Shiramizu and Toste.</w:t>
      </w:r>
      <w:r w:rsidRPr="00E47369">
        <w:rPr>
          <w:rFonts w:cstheme="minorHAnsi"/>
          <w:color w:val="000000" w:themeColor="text1"/>
        </w:rPr>
        <w:fldChar w:fldCharType="begin"/>
      </w:r>
      <w:r w:rsidRPr="00E47369">
        <w:rPr>
          <w:rFonts w:cstheme="minorHAnsi"/>
          <w:color w:val="000000" w:themeColor="text1"/>
        </w:rPr>
        <w:instrText xml:space="preserve"> ADDIN ZOTERO_ITEM CSL_CITATION {"citationID":"5nas0089f","properties":{"formattedCitation":"{\\rtf \\super 45\\nosupersub{}}","plainCitation":"45"},"citationItems":[{"id":405,"uris":["http://zotero.org/users/1624234/items/T47EEJV6"],"uri":["http://zotero.org/users/1624234/items/T47EEJV6"],"itemData":{"id":405,"type":"article-journal","title":"Expanding the Scope of Biomass-Derived Chemicals through Tandem Reactions Based on Oxorhenium-Catalyzed Deoxydehydration","container-title":"Angewandte Chemie International Edition","page":"12905-12909","volume":"52","issue":"49","source":"Wiley Online Library","DOI":"10.1002/anie.201307564","ISSN":"1521-3773","journalAbbreviation":"Angew. Chem. Int. Ed.","language":"en","author":[{"family":"Shiramizu","given":"Mika"},{"family":"Toste","given":"F. Dean"}],"issued":{"date-parts":[["2013"]]}}}],"schema":"https://github.com/citation-style-language/schema/raw/master/csl-citation.json"} </w:instrText>
      </w:r>
      <w:r w:rsidRPr="00E47369">
        <w:rPr>
          <w:rFonts w:cstheme="minorHAnsi"/>
          <w:color w:val="000000" w:themeColor="text1"/>
        </w:rPr>
        <w:fldChar w:fldCharType="separate"/>
      </w:r>
      <w:r w:rsidRPr="00E47369">
        <w:rPr>
          <w:rFonts w:cstheme="minorHAnsi"/>
          <w:vertAlign w:val="superscript"/>
        </w:rPr>
        <w:t>45</w:t>
      </w:r>
      <w:r w:rsidRPr="00E47369">
        <w:rPr>
          <w:rFonts w:cstheme="minorHAnsi"/>
          <w:color w:val="000000" w:themeColor="text1"/>
        </w:rPr>
        <w:fldChar w:fldCharType="end"/>
      </w:r>
      <w:r w:rsidRPr="00E47369">
        <w:rPr>
          <w:rFonts w:cstheme="minorHAnsi"/>
          <w:color w:val="000000" w:themeColor="text1"/>
        </w:rPr>
        <w:t xml:space="preserve"> </w:t>
      </w:r>
      <w:r w:rsidR="00117ED3">
        <w:rPr>
          <w:rFonts w:cstheme="minorHAnsi"/>
        </w:rPr>
        <w:t>Subsequently w</w:t>
      </w:r>
      <w:r w:rsidRPr="00E47369">
        <w:rPr>
          <w:rFonts w:cstheme="minorHAnsi"/>
        </w:rPr>
        <w:t xml:space="preserve">e </w:t>
      </w:r>
      <w:r w:rsidR="00117ED3">
        <w:rPr>
          <w:rFonts w:cstheme="minorHAnsi"/>
        </w:rPr>
        <w:t>changed our focus</w:t>
      </w:r>
      <w:r w:rsidRPr="00E47369">
        <w:rPr>
          <w:rFonts w:cstheme="minorHAnsi"/>
        </w:rPr>
        <w:t xml:space="preserve"> </w:t>
      </w:r>
      <w:r w:rsidR="00117ED3">
        <w:rPr>
          <w:rFonts w:cstheme="minorHAnsi"/>
        </w:rPr>
        <w:t xml:space="preserve">for </w:t>
      </w:r>
      <w:r w:rsidRPr="00E47369">
        <w:rPr>
          <w:rFonts w:cstheme="minorHAnsi"/>
        </w:rPr>
        <w:t>another system that we had in mind- a Hetero-Diels Alder (H-DA) transformation in which the dienophile would be an aldehyde produced from an alcohol r</w:t>
      </w:r>
      <w:r w:rsidR="00536AE9" w:rsidRPr="00E47369">
        <w:rPr>
          <w:rFonts w:cstheme="minorHAnsi"/>
        </w:rPr>
        <w:t>educing agent in the DODH step</w:t>
      </w:r>
    </w:p>
    <w:p w14:paraId="0B68FDD9" w14:textId="77777777" w:rsidR="00536AE9" w:rsidRPr="00E47369" w:rsidRDefault="00536AE9" w:rsidP="002A66B7">
      <w:pPr>
        <w:widowControl w:val="0"/>
        <w:autoSpaceDE w:val="0"/>
        <w:autoSpaceDN w:val="0"/>
        <w:adjustRightInd w:val="0"/>
        <w:ind w:firstLine="360"/>
        <w:jc w:val="both"/>
        <w:rPr>
          <w:rFonts w:cstheme="minorHAnsi"/>
        </w:rPr>
      </w:pPr>
    </w:p>
    <w:p w14:paraId="55DF1A43" w14:textId="77777777" w:rsidR="008C02FE" w:rsidRPr="00E47369" w:rsidRDefault="006358B0" w:rsidP="008C02FE">
      <w:pPr>
        <w:keepNext/>
        <w:widowControl w:val="0"/>
        <w:autoSpaceDE w:val="0"/>
        <w:autoSpaceDN w:val="0"/>
        <w:adjustRightInd w:val="0"/>
        <w:jc w:val="center"/>
        <w:rPr>
          <w:rFonts w:cstheme="minorHAnsi"/>
        </w:rPr>
      </w:pPr>
      <w:r w:rsidRPr="00E47369">
        <w:rPr>
          <w:rFonts w:cstheme="minorHAnsi"/>
        </w:rPr>
        <w:object w:dxaOrig="7344" w:dyaOrig="2964" w14:anchorId="3B6F15B1">
          <v:shape id="_x0000_i1065" type="#_x0000_t75" style="width:299.1pt;height:122.65pt" o:ole="">
            <v:imagedata r:id="rId128" o:title=""/>
          </v:shape>
          <o:OLEObject Type="Embed" ProgID="ChemDraw.Document.6.0" ShapeID="_x0000_i1065" DrawAspect="Content" ObjectID="_1532784919" r:id="rId129"/>
        </w:object>
      </w:r>
    </w:p>
    <w:p w14:paraId="6AFF7187" w14:textId="77777777" w:rsidR="002A66B7" w:rsidRPr="00323B06" w:rsidRDefault="008C02FE" w:rsidP="00323B06">
      <w:pPr>
        <w:pStyle w:val="Caption"/>
      </w:pPr>
      <w:bookmarkStart w:id="188" w:name="_Ref451768202"/>
      <w:bookmarkStart w:id="189" w:name="_Toc457670704"/>
      <w:r w:rsidRPr="00323B06">
        <w:t xml:space="preserve">Figure III. </w:t>
      </w:r>
      <w:r w:rsidR="00443010">
        <w:fldChar w:fldCharType="begin"/>
      </w:r>
      <w:r w:rsidR="00443010">
        <w:instrText xml:space="preserve"> STYLEREF 2 \s </w:instrText>
      </w:r>
      <w:r w:rsidR="00443010">
        <w:fldChar w:fldCharType="separate"/>
      </w:r>
      <w:r w:rsidR="000A0E3D">
        <w:rPr>
          <w:noProof/>
        </w:rPr>
        <w:t>1</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2</w:t>
      </w:r>
      <w:r w:rsidR="00443010">
        <w:rPr>
          <w:noProof/>
        </w:rPr>
        <w:fldChar w:fldCharType="end"/>
      </w:r>
      <w:bookmarkEnd w:id="188"/>
      <w:r w:rsidRPr="00323B06">
        <w:t xml:space="preserve"> </w:t>
      </w:r>
      <w:r w:rsidR="002A66B7" w:rsidRPr="00323B06">
        <w:t>DODH/DA reaction system</w:t>
      </w:r>
      <w:bookmarkEnd w:id="189"/>
    </w:p>
    <w:p w14:paraId="64B3252D" w14:textId="77777777" w:rsidR="002A66B7" w:rsidRPr="00E47369" w:rsidRDefault="002A66B7" w:rsidP="002A66B7">
      <w:pPr>
        <w:widowControl w:val="0"/>
        <w:autoSpaceDE w:val="0"/>
        <w:autoSpaceDN w:val="0"/>
        <w:adjustRightInd w:val="0"/>
        <w:jc w:val="center"/>
        <w:rPr>
          <w:rFonts w:cstheme="minorHAnsi"/>
          <w:color w:val="000000" w:themeColor="text1"/>
        </w:rPr>
      </w:pPr>
    </w:p>
    <w:p w14:paraId="47A62728" w14:textId="77777777" w:rsidR="002A66B7" w:rsidRPr="00E47369" w:rsidRDefault="002A66B7" w:rsidP="002A66B7">
      <w:pPr>
        <w:ind w:firstLine="360"/>
        <w:jc w:val="both"/>
        <w:rPr>
          <w:rFonts w:cstheme="minorHAnsi"/>
        </w:rPr>
      </w:pPr>
      <w:r w:rsidRPr="00E47369">
        <w:rPr>
          <w:rFonts w:cstheme="minorHAnsi"/>
        </w:rPr>
        <w:t>In the DODH/Hetero-Diels Alder tandem system the DODH reaction produces from the polyol a diene and from the alcohol reductant</w:t>
      </w:r>
      <w:r w:rsidR="00203D06" w:rsidRPr="00E47369">
        <w:rPr>
          <w:rFonts w:cstheme="minorHAnsi"/>
        </w:rPr>
        <w:t xml:space="preserve"> (</w:t>
      </w:r>
      <w:r w:rsidR="00203D06" w:rsidRPr="00E47369">
        <w:rPr>
          <w:rFonts w:cstheme="minorHAnsi"/>
          <w:b/>
        </w:rPr>
        <w:t>1</w:t>
      </w:r>
      <w:r w:rsidR="00203D06" w:rsidRPr="00E47369">
        <w:rPr>
          <w:rFonts w:cstheme="minorHAnsi"/>
        </w:rPr>
        <w:t>)</w:t>
      </w:r>
      <w:r w:rsidRPr="00E47369">
        <w:rPr>
          <w:rFonts w:cstheme="minorHAnsi"/>
        </w:rPr>
        <w:t xml:space="preserve"> </w:t>
      </w:r>
      <w:r w:rsidR="00203D06" w:rsidRPr="00E47369">
        <w:rPr>
          <w:rFonts w:cstheme="minorHAnsi"/>
        </w:rPr>
        <w:t>a dienophile (</w:t>
      </w:r>
      <w:r w:rsidR="00203D06" w:rsidRPr="00E47369">
        <w:rPr>
          <w:rFonts w:cstheme="minorHAnsi"/>
          <w:b/>
        </w:rPr>
        <w:t>2</w:t>
      </w:r>
      <w:r w:rsidR="00203D06" w:rsidRPr="00E47369">
        <w:rPr>
          <w:rFonts w:cstheme="minorHAnsi"/>
        </w:rPr>
        <w:t>) (</w:t>
      </w:r>
      <w:r w:rsidR="008C02FE" w:rsidRPr="00E47369">
        <w:rPr>
          <w:rFonts w:cstheme="minorHAnsi"/>
        </w:rPr>
        <w:fldChar w:fldCharType="begin"/>
      </w:r>
      <w:r w:rsidR="008C02FE" w:rsidRPr="00E47369">
        <w:rPr>
          <w:rFonts w:cstheme="minorHAnsi"/>
        </w:rPr>
        <w:instrText xml:space="preserve"> REF _Ref451768241 \h </w:instrText>
      </w:r>
      <w:r w:rsidR="00E47369">
        <w:rPr>
          <w:rFonts w:cstheme="minorHAnsi"/>
        </w:rPr>
        <w:instrText xml:space="preserve"> \* MERGEFORMAT </w:instrText>
      </w:r>
      <w:r w:rsidR="008C02FE" w:rsidRPr="00E47369">
        <w:rPr>
          <w:rFonts w:cstheme="minorHAnsi"/>
        </w:rPr>
      </w:r>
      <w:r w:rsidR="008C02FE" w:rsidRPr="00E47369">
        <w:rPr>
          <w:rFonts w:cstheme="minorHAnsi"/>
        </w:rPr>
        <w:fldChar w:fldCharType="separate"/>
      </w:r>
      <w:r w:rsidR="000A0E3D" w:rsidRPr="000A0E3D">
        <w:rPr>
          <w:rFonts w:cstheme="minorHAnsi"/>
        </w:rPr>
        <w:t xml:space="preserve">Figure III. </w:t>
      </w:r>
      <w:r w:rsidR="000A0E3D" w:rsidRPr="000A0E3D">
        <w:rPr>
          <w:rFonts w:cstheme="minorHAnsi"/>
          <w:noProof/>
        </w:rPr>
        <w:t>1.3</w:t>
      </w:r>
      <w:r w:rsidR="008C02FE" w:rsidRPr="00E47369">
        <w:rPr>
          <w:rFonts w:cstheme="minorHAnsi"/>
        </w:rPr>
        <w:fldChar w:fldCharType="end"/>
      </w:r>
      <w:r w:rsidRPr="00E47369">
        <w:rPr>
          <w:rFonts w:cstheme="minorHAnsi"/>
        </w:rPr>
        <w:t>). Together the diene and dienophile can undergo subsequent Diels-Alder cycloaddition. Our goal was to focus on utilizing both of the DODH co-products for the Hetero Diels-Alder (H-DA) cycloaddition, producing O-heterocycles (</w:t>
      </w:r>
      <w:r w:rsidR="00203D06" w:rsidRPr="00E47369">
        <w:rPr>
          <w:rFonts w:cstheme="minorHAnsi"/>
          <w:b/>
        </w:rPr>
        <w:t>3</w:t>
      </w:r>
      <w:r w:rsidRPr="00E47369">
        <w:rPr>
          <w:rFonts w:cstheme="minorHAnsi"/>
        </w:rPr>
        <w:t xml:space="preserve">, </w:t>
      </w:r>
      <w:r w:rsidR="008C02FE" w:rsidRPr="00E47369">
        <w:rPr>
          <w:rFonts w:cstheme="minorHAnsi"/>
        </w:rPr>
        <w:fldChar w:fldCharType="begin"/>
      </w:r>
      <w:r w:rsidR="008C02FE" w:rsidRPr="00E47369">
        <w:rPr>
          <w:rFonts w:cstheme="minorHAnsi"/>
        </w:rPr>
        <w:instrText xml:space="preserve"> REF _Ref451768241 \h </w:instrText>
      </w:r>
      <w:r w:rsidR="00E47369">
        <w:rPr>
          <w:rFonts w:cstheme="minorHAnsi"/>
        </w:rPr>
        <w:instrText xml:space="preserve"> \* MERGEFORMAT </w:instrText>
      </w:r>
      <w:r w:rsidR="008C02FE" w:rsidRPr="00E47369">
        <w:rPr>
          <w:rFonts w:cstheme="minorHAnsi"/>
        </w:rPr>
      </w:r>
      <w:r w:rsidR="008C02FE" w:rsidRPr="00E47369">
        <w:rPr>
          <w:rFonts w:cstheme="minorHAnsi"/>
        </w:rPr>
        <w:fldChar w:fldCharType="separate"/>
      </w:r>
      <w:r w:rsidR="000A0E3D" w:rsidRPr="000A0E3D">
        <w:rPr>
          <w:rFonts w:cstheme="minorHAnsi"/>
        </w:rPr>
        <w:t xml:space="preserve">Figure III. </w:t>
      </w:r>
      <w:r w:rsidR="000A0E3D" w:rsidRPr="000A0E3D">
        <w:rPr>
          <w:rFonts w:cstheme="minorHAnsi"/>
          <w:noProof/>
        </w:rPr>
        <w:t>1.3</w:t>
      </w:r>
      <w:r w:rsidR="008C02FE" w:rsidRPr="00E47369">
        <w:rPr>
          <w:rFonts w:cstheme="minorHAnsi"/>
        </w:rPr>
        <w:fldChar w:fldCharType="end"/>
      </w:r>
      <w:r w:rsidRPr="00E47369">
        <w:rPr>
          <w:rFonts w:cstheme="minorHAnsi"/>
        </w:rPr>
        <w:t>). By using the product of both the diol and the reducing agent this</w:t>
      </w:r>
      <w:r w:rsidR="00117ED3">
        <w:rPr>
          <w:rFonts w:cstheme="minorHAnsi"/>
        </w:rPr>
        <w:t xml:space="preserve"> system will be atom economical</w:t>
      </w:r>
      <w:r w:rsidRPr="00E47369">
        <w:rPr>
          <w:rFonts w:cstheme="minorHAnsi"/>
        </w:rPr>
        <w:t>. The products formed</w:t>
      </w:r>
      <w:r w:rsidR="003F273B">
        <w:rPr>
          <w:rFonts w:cstheme="minorHAnsi"/>
        </w:rPr>
        <w:t>, pyrans,</w:t>
      </w:r>
      <w:r w:rsidRPr="00E47369">
        <w:rPr>
          <w:rFonts w:cstheme="minorHAnsi"/>
        </w:rPr>
        <w:t xml:space="preserve"> could have large application in organic synthesis and could be further transformed to valuable building blocks. </w:t>
      </w:r>
      <w:r w:rsidR="003F273B">
        <w:rPr>
          <w:rFonts w:cstheme="minorHAnsi"/>
        </w:rPr>
        <w:t>In fact</w:t>
      </w:r>
      <w:r w:rsidR="00B035F4">
        <w:rPr>
          <w:rFonts w:cstheme="minorHAnsi"/>
        </w:rPr>
        <w:t xml:space="preserve"> pyran’s derivatives have interesting biological activities and potential medical applications, more specifically in the area of cancer and HIV drugs development.</w:t>
      </w:r>
      <w:r w:rsidR="00B035F4">
        <w:rPr>
          <w:rFonts w:cstheme="minorHAnsi"/>
        </w:rPr>
        <w:fldChar w:fldCharType="begin"/>
      </w:r>
      <w:r w:rsidR="00E028D6">
        <w:rPr>
          <w:rFonts w:cstheme="minorHAnsi"/>
        </w:rPr>
        <w:instrText xml:space="preserve"> ADDIN ZOTERO_ITEM CSL_CITATION {"citationID":"ghAh6uBu","properties":{"formattedCitation":"{\\rtf \\super 107\\uc0\\u8211{}113\\nosupersub{}}","plainCitation":"107–113"},"citationItems":[{"id":2056,"uris":["http://zotero.org/users/1624234/items/W48W3VKT"],"uri":["http://zotero.org/users/1624234/items/W48W3VKT"],"itemData":{"id":2056,"type":"article-journal","title":"Strategies and approaches for constructing 1-oxadecalins","container-title":"Tetrahedron","page":"10785-10813","volume":"62","issue":"47","source":"ScienceDirect","DOI":"10.1016/j.tet.2006.08.054","ISSN":"0040-4020","journalAbbreviation":"Tetrahedron","author":[{"family":"Tang","given":"Yu"},{"family":"Oppenheimer","given":"Jossian"},{"family":"Song","given":"Zhenlei"},{"family":"You","given":"Lingfeng"},{"family":"Zhang","given":"Xuejun"},{"family":"Hsung","given":"Richard P."}],"issued":{"date-parts":[["2006",11,20]]}}},{"id":2069,"uris":["http://zotero.org/users/1624234/items/WWWWESEK"],"uri":["http://zotero.org/users/1624234/items/WWWWESEK"],"itemData":{"id":2069,"type":"article-journal","title":"Environmentally benign, one-pot synthesis of pyrans by domino Knoevenagel/6π-electrocyclization in water and application to natural products","container-title":"Green Chemistry","page":"2003-2011","volume":"12","issue":"11","source":"pubs.rsc.org","abstract":"In water medium, environmentally benign, facile, and efficient synthesis of pyrans was achieved in good yields by the reactions of a variety of cyclic 1,3-dicarbonyls with several α,β-unsaturated aldehydes. The key strategy was a formal [3+3] cycloaddition by domino Knoevenagel/6π- electrocyclization. This methodology was applied to the synthesis of biologically interesting pyranocoumarin, pyranoquinolinone, and pyranonaphthoquinone derivatives along with selected natural and non-natural products.","DOI":"10.1039/C0GC00265H","ISSN":"1463-9270","journalAbbreviation":"Green Chem.","language":"en","author":[{"family":"Jung","given":"Ene Jin"},{"family":"Park","given":"Byung Ho"},{"family":"Lee","given":"Yong Rok"}],"issued":{"date-parts":[["2010",11,3]]}}},{"id":2061,"uris":["http://zotero.org/users/1624234/items/7X3XM4J7"],"uri":["http://zotero.org/users/1624234/items/7X3XM4J7"],"itemData":{"id":2061,"type":"article-journal","title":"Synthesis, Photochromic Properties, and Light-Controlled Metal Complexation of a Naphthopyran Derivative","container-title":"Organic Letters","page":"3761-3764","volume":"10","issue":"17","DOI":"10.1021/ol801406b","ISSN":"1523-7060","journalAbbreviation":"Org. Lett.","author":[{"family":"Kumar","given":"Satish"},{"family":"Hernandez","given":"David"},{"family":"Hoa","given":"Brenda"},{"family":"Lee","given":"Yuna"},{"family":"Yang","given":"Julie S."},{"family":"McCurdy","given":"Alison"}],"issued":{"date-parts":[["2008",9,1]]}}},{"id":2059,"uris":["http://zotero.org/users/1624234/items/SRGEDHXX"],"uri":["http://zotero.org/users/1624234/items/SRGEDHXX"],"itemData":{"id":2059,"type":"article-journal","title":"Chromene Chromium Carbene Complexes in the Syntheses of Naphthopyran and Naphthopyrandione Units Present in Photochromic Materials and Biologically Active Natural Products","container-title":"Journal of the American Chemical Society","page":"11044-11053","volume":"128","issue":"34","DOI":"10.1021/ja0568852","ISSN":"0002-7863","journalAbbreviation":"J. Am. Chem. Soc.","author":[{"family":"Rawat","given":"Manish"},{"family":"Prutyanov","given":"Victor"},{"family":"Wulff","given":"William D."}],"issued":{"date-parts":[["2006",8,1]]}}},{"id":2063,"uris":["http://zotero.org/users/1624234/items/9TCRCZP2"],"uri":["http://zotero.org/users/1624234/items/9TCRCZP2"],"itemData":{"id":2063,"type":"article-journal","title":"NMR Kinetic Investigations of the Photochemical and Thermal Reactions of a Photochromic Chromene","container-title":"The Journal of Organic Chemistry","page":"8968-8973","volume":"68","issue":"23","DOI":"10.1021/jo035279r","ISSN":"0022-3263","journalAbbreviation":"J. Org. Chem.","author":[{"family":"Delbaere","given":"Stéphanie"},{"family":"Micheau","given":"Jean-Claude"},{"family":"Vermeersch","given":"Gaston"}],"issued":{"date-parts":[["2003",11,1]]}}},{"id":2065,"uris":["http://zotero.org/users/1624234/items/V9NN4PH3"],"uri":["http://zotero.org/users/1624234/items/V9NN4PH3"],"itemData":{"id":2065,"type":"article-journal","title":"New Pyranocoumarins Isolated from Calophyllum lanigerum and Calophyllum teysmannii","container-title":"Journal of Natural Products","page":"754-758","volume":"59","issue":"8","DOI":"10.1021/np9603784","ISSN":"0163-3864","journalAbbreviation":"J. Nat. Prod.","author":[{"family":"McKee","given":"Tawnya C."},{"family":"Fuller","given":"Richard W."},{"family":"Covington","given":"Conni D."},{"family":"Cardellina","given":"John H."},{"family":"Gulakowski","given":"Robert J."},{"family":"Krepps","given":"Benjamin L."},{"family":"McMahon","given":"James B."},{"family":"Boyd","given":"Michael R."}],"issued":{"date-parts":[["1996",1,1]]}}},{"id":2067,"uris":["http://zotero.org/users/1624234/items/55DHSHT2"],"uri":["http://zotero.org/users/1624234/items/55DHSHT2"],"itemData":{"id":2067,"type":"article-journal","title":"Pyranocoumarins from Tropical Species of the Genus Calophyllum:  A Chemotaxonomic Study of Extracts in the National Cancer Institute Collection","container-title":"Journal of Natural Products","page":"1252-1256","volume":"61","issue":"10","DOI":"10.1021/np980140a","ISSN":"0163-3864","journalAbbreviation":"J. Nat. Prod.","author":[{"family":"McKee","given":"Tawnya C."},{"family":"Covington","given":"Conni D."},{"family":"Fuller","given":"Richard W."},{"family":"Bokesch","given":"Heidi R."},{"family":"Young","given":"Sherry"},{"family":"Cardellina","given":"John H."},{"family":"Kadushin","given":"Marian R."},{"family":"Soejarto","given":"D. Doel"},{"family":"Stevens","given":"Peter F."},{"family":"Cragg","given":"Gordon M."},{"family":"Boyd","given":"Michael R."}],"issued":{"date-parts":[["1998",10,1]]}}}],"schema":"https://github.com/citation-style-language/schema/raw/master/csl-citation.json"} </w:instrText>
      </w:r>
      <w:r w:rsidR="00B035F4">
        <w:rPr>
          <w:rFonts w:cstheme="minorHAnsi"/>
        </w:rPr>
        <w:fldChar w:fldCharType="separate"/>
      </w:r>
      <w:r w:rsidR="00E028D6" w:rsidRPr="00E028D6">
        <w:rPr>
          <w:rFonts w:ascii="Times New Roman" w:hAnsi="Times New Roman"/>
          <w:vertAlign w:val="superscript"/>
        </w:rPr>
        <w:t>107–113</w:t>
      </w:r>
      <w:r w:rsidR="00B035F4">
        <w:rPr>
          <w:rFonts w:cstheme="minorHAnsi"/>
        </w:rPr>
        <w:fldChar w:fldCharType="end"/>
      </w:r>
    </w:p>
    <w:p w14:paraId="4C391461" w14:textId="77777777" w:rsidR="008C02FE" w:rsidRPr="00E47369" w:rsidRDefault="00203D06" w:rsidP="008C02FE">
      <w:pPr>
        <w:keepNext/>
        <w:jc w:val="center"/>
        <w:rPr>
          <w:rFonts w:cstheme="minorHAnsi"/>
        </w:rPr>
      </w:pPr>
      <w:r w:rsidRPr="00E47369">
        <w:rPr>
          <w:rFonts w:cstheme="minorHAnsi"/>
        </w:rPr>
        <w:object w:dxaOrig="9057" w:dyaOrig="2711" w14:anchorId="2F9FFF58">
          <v:shape id="_x0000_i1066" type="#_x0000_t75" style="width:344.95pt;height:102.85pt" o:ole="">
            <v:imagedata r:id="rId130" o:title=""/>
          </v:shape>
          <o:OLEObject Type="Embed" ProgID="ChemDraw.Document.6.0" ShapeID="_x0000_i1066" DrawAspect="Content" ObjectID="_1532784920" r:id="rId131"/>
        </w:object>
      </w:r>
    </w:p>
    <w:p w14:paraId="44CFA7D4" w14:textId="77777777" w:rsidR="002A66B7" w:rsidRPr="00323B06" w:rsidRDefault="008C02FE" w:rsidP="00323B06">
      <w:pPr>
        <w:pStyle w:val="Caption"/>
      </w:pPr>
      <w:bookmarkStart w:id="190" w:name="_Ref451768241"/>
      <w:bookmarkStart w:id="191" w:name="_Toc457670705"/>
      <w:r w:rsidRPr="00323B06">
        <w:t xml:space="preserve">Figure III. </w:t>
      </w:r>
      <w:r w:rsidR="00443010">
        <w:fldChar w:fldCharType="begin"/>
      </w:r>
      <w:r w:rsidR="00443010">
        <w:instrText xml:space="preserve"> STYLEREF 2 \s </w:instrText>
      </w:r>
      <w:r w:rsidR="00443010">
        <w:fldChar w:fldCharType="separate"/>
      </w:r>
      <w:r w:rsidR="000A0E3D">
        <w:rPr>
          <w:noProof/>
        </w:rPr>
        <w:t>1</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3</w:t>
      </w:r>
      <w:r w:rsidR="00443010">
        <w:rPr>
          <w:noProof/>
        </w:rPr>
        <w:fldChar w:fldCharType="end"/>
      </w:r>
      <w:bookmarkEnd w:id="190"/>
      <w:r w:rsidR="002A66B7" w:rsidRPr="00323B06">
        <w:t xml:space="preserve"> DODH/Hetero Diels Alder </w:t>
      </w:r>
      <w:r w:rsidR="00317102">
        <w:t>t</w:t>
      </w:r>
      <w:r w:rsidR="002A66B7" w:rsidRPr="00323B06">
        <w:t xml:space="preserve">andem </w:t>
      </w:r>
      <w:r w:rsidR="00317102">
        <w:t>c</w:t>
      </w:r>
      <w:r w:rsidR="002A66B7" w:rsidRPr="00323B06">
        <w:t>oncept</w:t>
      </w:r>
      <w:bookmarkEnd w:id="191"/>
    </w:p>
    <w:p w14:paraId="6D663AA4" w14:textId="77777777" w:rsidR="008C02FE" w:rsidRPr="00E47369" w:rsidRDefault="008C02FE" w:rsidP="008C02FE">
      <w:pPr>
        <w:rPr>
          <w:rFonts w:cstheme="minorHAnsi"/>
        </w:rPr>
      </w:pPr>
    </w:p>
    <w:p w14:paraId="05E4A27D" w14:textId="4FF7045A" w:rsidR="002A66B7" w:rsidRPr="00E47369" w:rsidRDefault="00E028D6" w:rsidP="002A66B7">
      <w:pPr>
        <w:ind w:firstLine="360"/>
        <w:jc w:val="both"/>
        <w:rPr>
          <w:rFonts w:cstheme="minorHAnsi"/>
        </w:rPr>
      </w:pPr>
      <w:r>
        <w:rPr>
          <w:rFonts w:cstheme="minorHAnsi"/>
        </w:rPr>
        <w:t>We first</w:t>
      </w:r>
      <w:r w:rsidR="002A66B7" w:rsidRPr="00E47369">
        <w:rPr>
          <w:rFonts w:cstheme="minorHAnsi"/>
        </w:rPr>
        <w:t xml:space="preserve"> concentrated on the DODH side of this tandem system, since the alcohol (</w:t>
      </w:r>
      <w:r w:rsidR="00203D06" w:rsidRPr="00E47369">
        <w:rPr>
          <w:rFonts w:cstheme="minorHAnsi"/>
          <w:b/>
          <w:color w:val="000000" w:themeColor="text1"/>
        </w:rPr>
        <w:t>1</w:t>
      </w:r>
      <w:r w:rsidR="002A66B7" w:rsidRPr="00E47369">
        <w:rPr>
          <w:rFonts w:cstheme="minorHAnsi"/>
        </w:rPr>
        <w:t xml:space="preserve">, </w:t>
      </w:r>
      <w:r w:rsidR="008C02FE" w:rsidRPr="00E47369">
        <w:rPr>
          <w:rFonts w:cstheme="minorHAnsi"/>
        </w:rPr>
        <w:fldChar w:fldCharType="begin"/>
      </w:r>
      <w:r w:rsidR="008C02FE" w:rsidRPr="00E47369">
        <w:rPr>
          <w:rFonts w:cstheme="minorHAnsi"/>
        </w:rPr>
        <w:instrText xml:space="preserve"> REF _Ref451768241 \h </w:instrText>
      </w:r>
      <w:r w:rsidR="00E47369">
        <w:rPr>
          <w:rFonts w:cstheme="minorHAnsi"/>
        </w:rPr>
        <w:instrText xml:space="preserve"> \* MERGEFORMAT </w:instrText>
      </w:r>
      <w:r w:rsidR="008C02FE" w:rsidRPr="00E47369">
        <w:rPr>
          <w:rFonts w:cstheme="minorHAnsi"/>
        </w:rPr>
      </w:r>
      <w:r w:rsidR="008C02FE" w:rsidRPr="00E47369">
        <w:rPr>
          <w:rFonts w:cstheme="minorHAnsi"/>
        </w:rPr>
        <w:fldChar w:fldCharType="separate"/>
      </w:r>
      <w:r w:rsidR="000A0E3D" w:rsidRPr="000A0E3D">
        <w:rPr>
          <w:rFonts w:cstheme="minorHAnsi"/>
        </w:rPr>
        <w:t xml:space="preserve">Figure III. </w:t>
      </w:r>
      <w:r w:rsidR="000A0E3D" w:rsidRPr="000A0E3D">
        <w:rPr>
          <w:rFonts w:cstheme="minorHAnsi"/>
          <w:noProof/>
        </w:rPr>
        <w:t>1.3</w:t>
      </w:r>
      <w:r w:rsidR="008C02FE" w:rsidRPr="00E47369">
        <w:rPr>
          <w:rFonts w:cstheme="minorHAnsi"/>
        </w:rPr>
        <w:fldChar w:fldCharType="end"/>
      </w:r>
      <w:r>
        <w:rPr>
          <w:rFonts w:cstheme="minorHAnsi"/>
        </w:rPr>
        <w:t xml:space="preserve">) has never been reported as </w:t>
      </w:r>
      <w:r w:rsidR="002A66B7" w:rsidRPr="00E47369">
        <w:rPr>
          <w:rFonts w:cstheme="minorHAnsi"/>
        </w:rPr>
        <w:t>reducing agent for the DODH reaction. The most abundant four carbon polyol is erythritol and its conversion to butadiene has been reported with high yield in only one set of reaction conditions: MeReO</w:t>
      </w:r>
      <w:r w:rsidR="002A66B7" w:rsidRPr="00E47369">
        <w:rPr>
          <w:rFonts w:cstheme="minorHAnsi"/>
          <w:vertAlign w:val="subscript"/>
        </w:rPr>
        <w:t>3</w:t>
      </w:r>
      <w:r w:rsidR="002A66B7" w:rsidRPr="00E47369">
        <w:rPr>
          <w:rFonts w:cstheme="minorHAnsi"/>
        </w:rPr>
        <w:t xml:space="preserve"> (2.5 mol%) with </w:t>
      </w:r>
      <w:r w:rsidR="002A66B7" w:rsidRPr="00E47369">
        <w:rPr>
          <w:rFonts w:cstheme="minorHAnsi"/>
          <w:color w:val="000000" w:themeColor="text1"/>
        </w:rPr>
        <w:t>3-octanol (170</w:t>
      </w:r>
      <w:r w:rsidR="002A66B7" w:rsidRPr="00E47369">
        <w:rPr>
          <w:rFonts w:cstheme="minorHAnsi"/>
          <w:color w:val="000000" w:themeColor="text1"/>
          <w:vertAlign w:val="superscript"/>
        </w:rPr>
        <w:t>o</w:t>
      </w:r>
      <w:r w:rsidR="002A66B7" w:rsidRPr="00E47369">
        <w:rPr>
          <w:rFonts w:cstheme="minorHAnsi"/>
          <w:color w:val="000000" w:themeColor="text1"/>
        </w:rPr>
        <w:t>C, 1.5h, N</w:t>
      </w:r>
      <w:r w:rsidR="002A66B7" w:rsidRPr="00E47369">
        <w:rPr>
          <w:rFonts w:cstheme="minorHAnsi"/>
          <w:color w:val="000000" w:themeColor="text1"/>
          <w:vertAlign w:val="subscript"/>
        </w:rPr>
        <w:t>2</w:t>
      </w:r>
      <w:r w:rsidR="002A66B7" w:rsidRPr="00E47369">
        <w:rPr>
          <w:rFonts w:cstheme="minorHAnsi"/>
          <w:color w:val="000000" w:themeColor="text1"/>
        </w:rPr>
        <w:t>).</w:t>
      </w:r>
      <w:r w:rsidR="002A66B7" w:rsidRPr="00E47369">
        <w:rPr>
          <w:rFonts w:cstheme="minorHAnsi"/>
          <w:color w:val="000000" w:themeColor="text1"/>
        </w:rPr>
        <w:fldChar w:fldCharType="begin"/>
      </w:r>
      <w:r w:rsidR="002A66B7" w:rsidRPr="00E47369">
        <w:rPr>
          <w:rFonts w:cstheme="minorHAnsi"/>
          <w:color w:val="000000" w:themeColor="text1"/>
        </w:rPr>
        <w:instrText xml:space="preserve"> ADDIN ZOTERO_ITEM CSL_CITATION {"citationID":"2n11p50u79","properties":{"formattedCitation":"{\\rtf \\super 44\\nosupersub{}}","plainCitation":"44"},"citationItems":[{"id":154,"uris":["http://zotero.org/users/1624234/items/9UNQ7VFF"],"uri":["http://zotero.org/users/1624234/items/9UNQ7VFF"],"itemData":{"id":154,"type":"article-journal","title":"Deoxygenation of Biomass-Derived Feedstocks: Oxorhenium-Catalyzed Deoxydehydration of Sugars and Sugar Alcohols","container-title":"Angewandte Chemie International Edition","page":"8082-8086","volume":"51","issue":"32","source":"CrossRef","DOI":"10.1002/anie.201203877","ISSN":"14337851","shortTitle":"Deoxygenation of Biomass-Derived Feedstocks","author":[{"family":"Shiramizu","given":"Mika"},{"family":"Toste","given":"F. Dean"}],"issued":{"date-parts":[["2012",8,6]]}}}],"schema":"https://github.com/citation-style-language/schema/raw/master/csl-citation.json"} </w:instrText>
      </w:r>
      <w:r w:rsidR="002A66B7" w:rsidRPr="00E47369">
        <w:rPr>
          <w:rFonts w:cstheme="minorHAnsi"/>
          <w:color w:val="000000" w:themeColor="text1"/>
        </w:rPr>
        <w:fldChar w:fldCharType="separate"/>
      </w:r>
      <w:r w:rsidR="002A66B7" w:rsidRPr="00E47369">
        <w:rPr>
          <w:rFonts w:cstheme="minorHAnsi"/>
          <w:vertAlign w:val="superscript"/>
        </w:rPr>
        <w:t>44</w:t>
      </w:r>
      <w:r w:rsidR="002A66B7" w:rsidRPr="00E47369">
        <w:rPr>
          <w:rFonts w:cstheme="minorHAnsi"/>
          <w:color w:val="000000" w:themeColor="text1"/>
        </w:rPr>
        <w:fldChar w:fldCharType="end"/>
      </w:r>
      <w:r w:rsidR="002A66B7" w:rsidRPr="00E47369">
        <w:rPr>
          <w:rFonts w:cstheme="minorHAnsi"/>
          <w:color w:val="000000" w:themeColor="text1"/>
        </w:rPr>
        <w:t xml:space="preserve"> </w:t>
      </w:r>
      <w:r w:rsidR="002A66B7" w:rsidRPr="00E47369">
        <w:rPr>
          <w:rFonts w:cstheme="minorHAnsi"/>
        </w:rPr>
        <w:t>We determined the efficiency of the HDA reaction before attempting to further optimize the DODH reaction. We will consider also to potential need of Lewis acid catalyst on the H-DA step.</w:t>
      </w:r>
    </w:p>
    <w:p w14:paraId="2F3A4118" w14:textId="77777777" w:rsidR="002A66B7" w:rsidRPr="00E47369" w:rsidRDefault="002A66B7" w:rsidP="002A66B7">
      <w:pPr>
        <w:ind w:firstLine="360"/>
        <w:jc w:val="both"/>
        <w:rPr>
          <w:rFonts w:cstheme="minorHAnsi"/>
        </w:rPr>
      </w:pPr>
      <w:r w:rsidRPr="00E47369">
        <w:rPr>
          <w:rFonts w:cstheme="minorHAnsi"/>
          <w:color w:val="000000" w:themeColor="text1"/>
        </w:rPr>
        <w:t xml:space="preserve">We will then </w:t>
      </w:r>
      <w:r w:rsidRPr="00E47369">
        <w:rPr>
          <w:rFonts w:cstheme="minorHAnsi"/>
        </w:rPr>
        <w:t>consider using a less common dienophile for the HDA step: benzaldehyde. We have previously developed a DODH system using benzyl alcohol as a reducing agent which provide benzaldehyde as the co-product.</w:t>
      </w:r>
      <w:r w:rsidRPr="00E47369">
        <w:rPr>
          <w:rFonts w:cstheme="minorHAnsi"/>
        </w:rPr>
        <w:fldChar w:fldCharType="begin"/>
      </w:r>
      <w:r w:rsidRPr="00E47369">
        <w:rPr>
          <w:rFonts w:cstheme="minorHAnsi"/>
        </w:rPr>
        <w:instrText xml:space="preserve"> ADDIN ZOTERO_ITEM CSL_CITATION {"citationID":"virqb84f5","properties":{"formattedCitation":"{\\rtf \\super 46\\nosupersub{}}","plainCitation":"46"},"citationItems":[{"id":435,"uris":["http://zotero.org/users/1624234/items/VS4SE8DS"],"uri":["http://zotero.org/users/1624234/items/VS4SE8DS"],"itemData":{"id":435,"type":"article-journal","title":"Catalytic Deoxydehydration of Glycols with Alcohol Reductants","container-title":"ChemSusChem","page":"597-599","volume":"6","issue":"4","source":"CrossRef","DOI":"10.1002/cssc.201200781","ISSN":"18645631","author":[{"family":"Boucher-Jacobs","given":"Camille"},{"family":"Nicholas","given":"Kenneth M."}],"issued":{"date-parts":[["2013",4]]}}}],"schema":"https://github.com/citation-style-language/schema/raw/master/csl-citation.json"} </w:instrText>
      </w:r>
      <w:r w:rsidRPr="00E47369">
        <w:rPr>
          <w:rFonts w:cstheme="minorHAnsi"/>
        </w:rPr>
        <w:fldChar w:fldCharType="separate"/>
      </w:r>
      <w:r w:rsidRPr="00E47369">
        <w:rPr>
          <w:rFonts w:cstheme="minorHAnsi"/>
          <w:vertAlign w:val="superscript"/>
        </w:rPr>
        <w:t>46</w:t>
      </w:r>
      <w:r w:rsidRPr="00E47369">
        <w:rPr>
          <w:rFonts w:cstheme="minorHAnsi"/>
        </w:rPr>
        <w:fldChar w:fldCharType="end"/>
      </w:r>
      <w:r w:rsidRPr="00E47369">
        <w:rPr>
          <w:rFonts w:cstheme="minorHAnsi"/>
        </w:rPr>
        <w:t xml:space="preserve"> The HDA reaction of butadiene and benzaldehyde was first studied.</w:t>
      </w:r>
    </w:p>
    <w:p w14:paraId="68E00B96" w14:textId="77777777" w:rsidR="002A66B7" w:rsidRPr="00E47369" w:rsidRDefault="002A66B7" w:rsidP="002A66B7">
      <w:pPr>
        <w:jc w:val="both"/>
        <w:rPr>
          <w:rFonts w:cstheme="minorHAnsi"/>
        </w:rPr>
      </w:pPr>
    </w:p>
    <w:p w14:paraId="76295979" w14:textId="40D66D9E" w:rsidR="002A66B7" w:rsidRPr="00E47369" w:rsidRDefault="002A66B7" w:rsidP="000351A7">
      <w:pPr>
        <w:pStyle w:val="Heading3"/>
      </w:pPr>
      <w:bookmarkStart w:id="192" w:name="_Toc458938299"/>
      <w:r w:rsidRPr="00E47369">
        <w:t xml:space="preserve">DODH using </w:t>
      </w:r>
      <w:r w:rsidR="00057ECA">
        <w:rPr>
          <w:rFonts w:cstheme="majorHAnsi"/>
        </w:rPr>
        <w:t>α</w:t>
      </w:r>
      <w:r w:rsidR="00D717AF">
        <w:t>-h</w:t>
      </w:r>
      <w:r w:rsidR="00057ECA">
        <w:t xml:space="preserve">ydroxy </w:t>
      </w:r>
      <w:r w:rsidR="00D717AF">
        <w:t>c</w:t>
      </w:r>
      <w:r w:rsidRPr="00E47369">
        <w:t>arbonyl</w:t>
      </w:r>
      <w:r w:rsidR="006358B0">
        <w:t>s</w:t>
      </w:r>
      <w:r w:rsidRPr="00E47369">
        <w:t xml:space="preserve"> as </w:t>
      </w:r>
      <w:r w:rsidR="00D717AF">
        <w:t>r</w:t>
      </w:r>
      <w:r w:rsidRPr="00E47369">
        <w:t xml:space="preserve">educing </w:t>
      </w:r>
      <w:r w:rsidR="00D717AF">
        <w:t>a</w:t>
      </w:r>
      <w:r w:rsidRPr="00E47369">
        <w:t>gent</w:t>
      </w:r>
      <w:bookmarkEnd w:id="192"/>
    </w:p>
    <w:p w14:paraId="2B5A6AF3" w14:textId="77777777" w:rsidR="002A66B7" w:rsidRPr="00E47369" w:rsidRDefault="002A66B7" w:rsidP="002A66B7">
      <w:pPr>
        <w:ind w:firstLine="360"/>
        <w:jc w:val="both"/>
        <w:rPr>
          <w:rFonts w:cstheme="minorHAnsi"/>
          <w:color w:val="000000" w:themeColor="text1"/>
        </w:rPr>
      </w:pPr>
      <w:r w:rsidRPr="00E47369">
        <w:rPr>
          <w:rFonts w:cstheme="minorHAnsi"/>
        </w:rPr>
        <w:t>From our previous DODH studies we knew that erythritol can be a challenging polyol to convert to olefin so we decided to test the α-hydroxy carbonyl (</w:t>
      </w:r>
      <w:r w:rsidRPr="00E47369">
        <w:rPr>
          <w:rFonts w:cstheme="minorHAnsi"/>
          <w:b/>
        </w:rPr>
        <w:t>1</w:t>
      </w:r>
      <w:r w:rsidRPr="00E47369">
        <w:rPr>
          <w:rFonts w:cstheme="minorHAnsi"/>
        </w:rPr>
        <w:t xml:space="preserve">, </w:t>
      </w:r>
      <w:r w:rsidR="008C02FE" w:rsidRPr="00E47369">
        <w:rPr>
          <w:rFonts w:cstheme="minorHAnsi"/>
        </w:rPr>
        <w:fldChar w:fldCharType="begin"/>
      </w:r>
      <w:r w:rsidR="008C02FE" w:rsidRPr="00E47369">
        <w:rPr>
          <w:rFonts w:cstheme="minorHAnsi"/>
        </w:rPr>
        <w:instrText xml:space="preserve"> REF _Ref451768315 \h </w:instrText>
      </w:r>
      <w:r w:rsidR="00E47369">
        <w:rPr>
          <w:rFonts w:cstheme="minorHAnsi"/>
        </w:rPr>
        <w:instrText xml:space="preserve"> \* MERGEFORMAT </w:instrText>
      </w:r>
      <w:r w:rsidR="008C02FE" w:rsidRPr="00E47369">
        <w:rPr>
          <w:rFonts w:cstheme="minorHAnsi"/>
        </w:rPr>
      </w:r>
      <w:r w:rsidR="008C02FE" w:rsidRPr="00E47369">
        <w:rPr>
          <w:rFonts w:cstheme="minorHAnsi"/>
        </w:rPr>
        <w:fldChar w:fldCharType="separate"/>
      </w:r>
      <w:r w:rsidR="000A0E3D" w:rsidRPr="000A0E3D">
        <w:rPr>
          <w:rFonts w:cstheme="minorHAnsi"/>
        </w:rPr>
        <w:t xml:space="preserve">Figure III. </w:t>
      </w:r>
      <w:r w:rsidR="000A0E3D" w:rsidRPr="000A0E3D">
        <w:rPr>
          <w:rFonts w:cstheme="minorHAnsi"/>
          <w:noProof/>
        </w:rPr>
        <w:t>1.4</w:t>
      </w:r>
      <w:r w:rsidR="008C02FE" w:rsidRPr="00E47369">
        <w:rPr>
          <w:rFonts w:cstheme="minorHAnsi"/>
        </w:rPr>
        <w:fldChar w:fldCharType="end"/>
      </w:r>
      <w:r w:rsidR="0001167F" w:rsidRPr="00E47369">
        <w:rPr>
          <w:rFonts w:cstheme="minorHAnsi"/>
        </w:rPr>
        <w:t>) as reducing agent on a</w:t>
      </w:r>
      <w:r w:rsidRPr="00E47369">
        <w:rPr>
          <w:rFonts w:cstheme="minorHAnsi"/>
        </w:rPr>
        <w:t xml:space="preserve"> less problematic diol: diethyl tartrate. The best set of reaction conditions for the con</w:t>
      </w:r>
      <w:r w:rsidR="002E3FD9" w:rsidRPr="00E47369">
        <w:rPr>
          <w:rFonts w:cstheme="minorHAnsi"/>
        </w:rPr>
        <w:t>version of tartrate to fumarate</w:t>
      </w:r>
      <w:r w:rsidRPr="00E47369">
        <w:rPr>
          <w:rFonts w:cstheme="minorHAnsi"/>
        </w:rPr>
        <w:t xml:space="preserve"> used one equivalent of the reducing agent, 10 mol% of NH</w:t>
      </w:r>
      <w:r w:rsidRPr="00E47369">
        <w:rPr>
          <w:rFonts w:cstheme="minorHAnsi"/>
          <w:vertAlign w:val="subscript"/>
        </w:rPr>
        <w:t>4</w:t>
      </w:r>
      <w:r w:rsidRPr="00E47369">
        <w:rPr>
          <w:rFonts w:cstheme="minorHAnsi"/>
        </w:rPr>
        <w:t>ReO</w:t>
      </w:r>
      <w:r w:rsidRPr="00E47369">
        <w:rPr>
          <w:rFonts w:cstheme="minorHAnsi"/>
          <w:vertAlign w:val="subscript"/>
        </w:rPr>
        <w:t>4</w:t>
      </w:r>
      <w:r w:rsidRPr="00E47369">
        <w:rPr>
          <w:rFonts w:cstheme="minorHAnsi"/>
        </w:rPr>
        <w:t xml:space="preserve"> as catalyst, 0.2M diol in benzene as solvent at 150</w:t>
      </w:r>
      <w:r w:rsidRPr="00E47369">
        <w:rPr>
          <w:rFonts w:cstheme="minorHAnsi"/>
          <w:vertAlign w:val="superscript"/>
        </w:rPr>
        <w:t>o</w:t>
      </w:r>
      <w:r w:rsidRPr="00E47369">
        <w:rPr>
          <w:rFonts w:cstheme="minorHAnsi"/>
        </w:rPr>
        <w:t xml:space="preserve">C </w:t>
      </w:r>
      <w:r w:rsidRPr="00E47369">
        <w:rPr>
          <w:rFonts w:cstheme="minorHAnsi"/>
          <w:color w:val="000000" w:themeColor="text1"/>
        </w:rPr>
        <w:t>for 24 hours (</w:t>
      </w:r>
      <w:r w:rsidR="008C02FE" w:rsidRPr="00E47369">
        <w:rPr>
          <w:rFonts w:cstheme="minorHAnsi"/>
          <w:color w:val="000000" w:themeColor="text1"/>
        </w:rPr>
        <w:fldChar w:fldCharType="begin"/>
      </w:r>
      <w:r w:rsidR="008C02FE" w:rsidRPr="00E47369">
        <w:rPr>
          <w:rFonts w:cstheme="minorHAnsi"/>
          <w:color w:val="000000" w:themeColor="text1"/>
        </w:rPr>
        <w:instrText xml:space="preserve"> REF _Ref451768315 \h </w:instrText>
      </w:r>
      <w:r w:rsidR="00E47369">
        <w:rPr>
          <w:rFonts w:cstheme="minorHAnsi"/>
          <w:color w:val="000000" w:themeColor="text1"/>
        </w:rPr>
        <w:instrText xml:space="preserve"> \* MERGEFORMAT </w:instrText>
      </w:r>
      <w:r w:rsidR="008C02FE" w:rsidRPr="00E47369">
        <w:rPr>
          <w:rFonts w:cstheme="minorHAnsi"/>
          <w:color w:val="000000" w:themeColor="text1"/>
        </w:rPr>
      </w:r>
      <w:r w:rsidR="008C02FE" w:rsidRPr="00E47369">
        <w:rPr>
          <w:rFonts w:cstheme="minorHAnsi"/>
          <w:color w:val="000000" w:themeColor="text1"/>
        </w:rPr>
        <w:fldChar w:fldCharType="separate"/>
      </w:r>
      <w:r w:rsidR="000A0E3D" w:rsidRPr="000A0E3D">
        <w:rPr>
          <w:rFonts w:cstheme="minorHAnsi"/>
        </w:rPr>
        <w:t xml:space="preserve">Figure III. </w:t>
      </w:r>
      <w:r w:rsidR="000A0E3D" w:rsidRPr="000A0E3D">
        <w:rPr>
          <w:rFonts w:cstheme="minorHAnsi"/>
          <w:noProof/>
        </w:rPr>
        <w:t>1.4</w:t>
      </w:r>
      <w:r w:rsidR="008C02FE" w:rsidRPr="00E47369">
        <w:rPr>
          <w:rFonts w:cstheme="minorHAnsi"/>
          <w:color w:val="000000" w:themeColor="text1"/>
        </w:rPr>
        <w:fldChar w:fldCharType="end"/>
      </w:r>
      <w:r w:rsidR="00536AE9" w:rsidRPr="00E47369">
        <w:rPr>
          <w:rFonts w:cstheme="minorHAnsi"/>
          <w:color w:val="000000" w:themeColor="text1"/>
        </w:rPr>
        <w:t>).</w:t>
      </w:r>
    </w:p>
    <w:p w14:paraId="46C5A6A5" w14:textId="77777777" w:rsidR="00536AE9" w:rsidRPr="00E47369" w:rsidRDefault="00536AE9" w:rsidP="002A66B7">
      <w:pPr>
        <w:ind w:firstLine="360"/>
        <w:jc w:val="both"/>
        <w:rPr>
          <w:rFonts w:cstheme="minorHAnsi"/>
          <w:color w:val="000000" w:themeColor="text1"/>
        </w:rPr>
      </w:pPr>
    </w:p>
    <w:p w14:paraId="2796F4E4" w14:textId="77777777" w:rsidR="008C02FE" w:rsidRPr="00E47369" w:rsidRDefault="002A66B7" w:rsidP="00CD3A15">
      <w:pPr>
        <w:keepNext/>
        <w:spacing w:line="240" w:lineRule="auto"/>
        <w:jc w:val="center"/>
        <w:rPr>
          <w:rFonts w:cstheme="minorHAnsi"/>
        </w:rPr>
      </w:pPr>
      <w:r w:rsidRPr="00E47369">
        <w:rPr>
          <w:rFonts w:cstheme="minorHAnsi"/>
          <w:color w:val="000000" w:themeColor="text1"/>
        </w:rPr>
        <w:object w:dxaOrig="9290" w:dyaOrig="1600" w14:anchorId="281396DB">
          <v:shape id="_x0000_i1067" type="#_x0000_t75" style="width:370.3pt;height:60.15pt" o:ole="">
            <v:imagedata r:id="rId132" o:title=""/>
          </v:shape>
          <o:OLEObject Type="Embed" ProgID="ChemDraw.Document.6.0" ShapeID="_x0000_i1067" DrawAspect="Content" ObjectID="_1532784921" r:id="rId133"/>
        </w:object>
      </w:r>
    </w:p>
    <w:p w14:paraId="653D8659" w14:textId="77777777" w:rsidR="002A66B7" w:rsidRPr="00323B06" w:rsidRDefault="008C02FE" w:rsidP="00323B06">
      <w:pPr>
        <w:pStyle w:val="Caption"/>
      </w:pPr>
      <w:bookmarkStart w:id="193" w:name="_Ref451768315"/>
      <w:bookmarkStart w:id="194" w:name="_Toc457670706"/>
      <w:r w:rsidRPr="00323B06">
        <w:t xml:space="preserve">Figure III. </w:t>
      </w:r>
      <w:r w:rsidR="00443010">
        <w:fldChar w:fldCharType="begin"/>
      </w:r>
      <w:r w:rsidR="00443010">
        <w:instrText xml:space="preserve"> STYLEREF 2 \s </w:instrText>
      </w:r>
      <w:r w:rsidR="00443010">
        <w:fldChar w:fldCharType="separate"/>
      </w:r>
      <w:r w:rsidR="000A0E3D">
        <w:rPr>
          <w:noProof/>
        </w:rPr>
        <w:t>1</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4</w:t>
      </w:r>
      <w:r w:rsidR="00443010">
        <w:rPr>
          <w:noProof/>
        </w:rPr>
        <w:fldChar w:fldCharType="end"/>
      </w:r>
      <w:bookmarkEnd w:id="193"/>
      <w:r w:rsidRPr="00323B06">
        <w:t xml:space="preserve"> </w:t>
      </w:r>
      <w:r w:rsidR="002A66B7" w:rsidRPr="00323B06">
        <w:t xml:space="preserve">Activity of α-carbonyl alcohol as </w:t>
      </w:r>
      <w:r w:rsidR="009F1E84" w:rsidRPr="00323B06">
        <w:t>reducing agent for DODH of DET</w:t>
      </w:r>
      <w:bookmarkEnd w:id="194"/>
    </w:p>
    <w:p w14:paraId="0457F507" w14:textId="77777777" w:rsidR="009F1E84" w:rsidRPr="00E47369" w:rsidRDefault="009F1E84" w:rsidP="006358B0"/>
    <w:p w14:paraId="3D5FC836" w14:textId="77777777" w:rsidR="002A66B7" w:rsidRPr="00323B06" w:rsidRDefault="009F1E84" w:rsidP="00323B06">
      <w:pPr>
        <w:pStyle w:val="Caption"/>
      </w:pPr>
      <w:bookmarkStart w:id="195" w:name="_Toc457670486"/>
      <w:r w:rsidRPr="00323B06">
        <w:t xml:space="preserve">Table III. </w:t>
      </w:r>
      <w:r w:rsidR="00443010">
        <w:fldChar w:fldCharType="begin"/>
      </w:r>
      <w:r w:rsidR="00443010">
        <w:instrText xml:space="preserve"> STYLEREF 2 \s </w:instrText>
      </w:r>
      <w:r w:rsidR="00443010">
        <w:fldChar w:fldCharType="separate"/>
      </w:r>
      <w:r w:rsidR="000A0E3D">
        <w:rPr>
          <w:noProof/>
        </w:rPr>
        <w:t>1</w:t>
      </w:r>
      <w:r w:rsidR="00443010">
        <w:rPr>
          <w:noProof/>
        </w:rPr>
        <w:fldChar w:fldCharType="end"/>
      </w:r>
      <w:r w:rsidR="00E20ED7">
        <w:t>.</w:t>
      </w:r>
      <w:r w:rsidR="00443010">
        <w:fldChar w:fldCharType="begin"/>
      </w:r>
      <w:r w:rsidR="00443010">
        <w:instrText xml:space="preserve"> SEQ Table_III. \* ARABIC \s 2 </w:instrText>
      </w:r>
      <w:r w:rsidR="00443010">
        <w:fldChar w:fldCharType="separate"/>
      </w:r>
      <w:r w:rsidR="000A0E3D">
        <w:rPr>
          <w:noProof/>
        </w:rPr>
        <w:t>1</w:t>
      </w:r>
      <w:r w:rsidR="00443010">
        <w:rPr>
          <w:noProof/>
        </w:rPr>
        <w:fldChar w:fldCharType="end"/>
      </w:r>
      <w:r w:rsidRPr="00323B06">
        <w:t xml:space="preserve"> DEF</w:t>
      </w:r>
      <w:r w:rsidR="002A66B7" w:rsidRPr="00323B06">
        <w:t xml:space="preserve"> yield using α-hydroxy carbonyl</w:t>
      </w:r>
      <w:r w:rsidR="006358B0">
        <w:t>s</w:t>
      </w:r>
      <w:r w:rsidR="002A66B7" w:rsidRPr="00323B06">
        <w:t xml:space="preserve"> (1, </w:t>
      </w:r>
      <w:r w:rsidR="00C47A04" w:rsidRPr="00323B06">
        <w:fldChar w:fldCharType="begin"/>
      </w:r>
      <w:r w:rsidR="00C47A04" w:rsidRPr="00323B06">
        <w:instrText xml:space="preserve"> REF _Ref451768315 \h </w:instrText>
      </w:r>
      <w:r w:rsidR="00E47369" w:rsidRPr="00323B06">
        <w:instrText xml:space="preserve"> \* MERGEFORMAT </w:instrText>
      </w:r>
      <w:r w:rsidR="00C47A04" w:rsidRPr="00323B06">
        <w:fldChar w:fldCharType="separate"/>
      </w:r>
      <w:r w:rsidR="000A0E3D" w:rsidRPr="00323B06">
        <w:t xml:space="preserve">Figure III. </w:t>
      </w:r>
      <w:r w:rsidR="000A0E3D">
        <w:t>1.4</w:t>
      </w:r>
      <w:r w:rsidR="00C47A04" w:rsidRPr="00323B06">
        <w:fldChar w:fldCharType="end"/>
      </w:r>
      <w:r w:rsidR="002A66B7" w:rsidRPr="00323B06">
        <w:t>) as reducing agent</w:t>
      </w:r>
      <w:bookmarkEnd w:id="195"/>
      <w:r w:rsidR="002A66B7" w:rsidRPr="00323B06">
        <w:t xml:space="preserve"> </w:t>
      </w:r>
    </w:p>
    <w:p w14:paraId="1E90A213" w14:textId="77777777" w:rsidR="00B72949" w:rsidRPr="00E47369" w:rsidRDefault="00B72949" w:rsidP="00B72949">
      <w:pPr>
        <w:rPr>
          <w:rFonts w:cstheme="minorHAnsi"/>
        </w:rPr>
      </w:pPr>
    </w:p>
    <w:tbl>
      <w:tblPr>
        <w:tblStyle w:val="TableGrid"/>
        <w:tblW w:w="0" w:type="auto"/>
        <w:jc w:val="center"/>
        <w:tblLook w:val="04A0" w:firstRow="1" w:lastRow="0" w:firstColumn="1" w:lastColumn="0" w:noHBand="0" w:noVBand="1"/>
      </w:tblPr>
      <w:tblGrid>
        <w:gridCol w:w="1179"/>
        <w:gridCol w:w="1170"/>
        <w:gridCol w:w="1080"/>
        <w:gridCol w:w="3510"/>
      </w:tblGrid>
      <w:tr w:rsidR="002A66B7" w:rsidRPr="00E47369" w14:paraId="4E5A957A" w14:textId="77777777" w:rsidTr="00754BA7">
        <w:trPr>
          <w:trHeight w:val="679"/>
          <w:jc w:val="center"/>
        </w:trPr>
        <w:tc>
          <w:tcPr>
            <w:tcW w:w="1179" w:type="dxa"/>
            <w:tcBorders>
              <w:top w:val="single" w:sz="2" w:space="0" w:color="FFFFFF"/>
              <w:left w:val="single" w:sz="2" w:space="0" w:color="FFFFFF"/>
              <w:bottom w:val="single" w:sz="12" w:space="0" w:color="auto"/>
              <w:right w:val="single" w:sz="2" w:space="0" w:color="FFFFFF" w:themeColor="background1"/>
              <w:tl2br w:val="single" w:sz="4" w:space="0" w:color="A6A6A6"/>
            </w:tcBorders>
            <w:vAlign w:val="center"/>
          </w:tcPr>
          <w:p w14:paraId="2DA6804E" w14:textId="77777777" w:rsidR="00203D06" w:rsidRPr="00E47369" w:rsidRDefault="00203D06" w:rsidP="00203D06">
            <w:pPr>
              <w:spacing w:line="360" w:lineRule="auto"/>
              <w:jc w:val="center"/>
              <w:rPr>
                <w:rFonts w:cstheme="minorHAnsi"/>
                <w:b/>
                <w:color w:val="000000" w:themeColor="text1"/>
              </w:rPr>
            </w:pPr>
            <w:r w:rsidRPr="00E47369">
              <w:rPr>
                <w:rFonts w:cstheme="minorHAnsi"/>
                <w:b/>
                <w:color w:val="000000" w:themeColor="text1"/>
              </w:rPr>
              <w:t xml:space="preserve">ROH </w:t>
            </w:r>
          </w:p>
          <w:p w14:paraId="6794FC29" w14:textId="77777777" w:rsidR="002A66B7" w:rsidRPr="00E47369" w:rsidRDefault="00203D06" w:rsidP="00203D06">
            <w:pPr>
              <w:spacing w:line="360" w:lineRule="auto"/>
              <w:jc w:val="center"/>
              <w:rPr>
                <w:rFonts w:cstheme="minorHAnsi"/>
                <w:b/>
                <w:color w:val="000000" w:themeColor="text1"/>
              </w:rPr>
            </w:pPr>
            <w:r w:rsidRPr="00E47369">
              <w:rPr>
                <w:rFonts w:cstheme="minorHAnsi"/>
                <w:b/>
                <w:color w:val="000000" w:themeColor="text1"/>
              </w:rPr>
              <w:t xml:space="preserve">      </w:t>
            </w:r>
            <w:r w:rsidR="002A66B7" w:rsidRPr="00E47369">
              <w:rPr>
                <w:rFonts w:cstheme="minorHAnsi"/>
                <w:b/>
                <w:color w:val="000000" w:themeColor="text1"/>
              </w:rPr>
              <w:t>1</w:t>
            </w:r>
          </w:p>
          <w:p w14:paraId="599AAA34" w14:textId="77777777" w:rsidR="002A66B7" w:rsidRPr="00E47369" w:rsidRDefault="002A66B7" w:rsidP="00203D06">
            <w:pPr>
              <w:spacing w:line="360" w:lineRule="auto"/>
              <w:rPr>
                <w:rFonts w:cstheme="minorHAnsi"/>
                <w:color w:val="000000" w:themeColor="text1"/>
              </w:rPr>
            </w:pPr>
            <w:r w:rsidRPr="00E47369">
              <w:rPr>
                <w:rFonts w:cstheme="minorHAnsi"/>
                <w:color w:val="000000" w:themeColor="text1"/>
              </w:rPr>
              <w:t>entry</w:t>
            </w:r>
          </w:p>
        </w:tc>
        <w:tc>
          <w:tcPr>
            <w:tcW w:w="1170" w:type="dxa"/>
            <w:tcBorders>
              <w:top w:val="single" w:sz="2" w:space="0" w:color="FFFFFF" w:themeColor="background1"/>
              <w:left w:val="single" w:sz="2" w:space="0" w:color="FFFFFF" w:themeColor="background1"/>
              <w:bottom w:val="single" w:sz="12" w:space="0" w:color="auto"/>
              <w:right w:val="single" w:sz="2" w:space="0" w:color="FFFFFF" w:themeColor="background1"/>
            </w:tcBorders>
            <w:vAlign w:val="center"/>
          </w:tcPr>
          <w:p w14:paraId="1D8069A7" w14:textId="77777777" w:rsidR="002A66B7" w:rsidRPr="00E47369" w:rsidRDefault="002A66B7" w:rsidP="00203D06">
            <w:pPr>
              <w:spacing w:line="360" w:lineRule="auto"/>
              <w:jc w:val="center"/>
              <w:rPr>
                <w:rFonts w:cstheme="minorHAnsi"/>
                <w:color w:val="000000" w:themeColor="text1"/>
                <w:vertAlign w:val="subscript"/>
              </w:rPr>
            </w:pPr>
            <w:r w:rsidRPr="00E47369">
              <w:rPr>
                <w:rFonts w:cstheme="minorHAnsi"/>
                <w:color w:val="000000" w:themeColor="text1"/>
              </w:rPr>
              <w:t>R</w:t>
            </w:r>
            <w:r w:rsidRPr="00E47369">
              <w:rPr>
                <w:rFonts w:cstheme="minorHAnsi"/>
                <w:color w:val="000000" w:themeColor="text1"/>
                <w:vertAlign w:val="subscript"/>
              </w:rPr>
              <w:t>a</w:t>
            </w:r>
          </w:p>
          <w:p w14:paraId="6262008F" w14:textId="77777777" w:rsidR="002A66B7" w:rsidRPr="00E47369" w:rsidRDefault="002A66B7" w:rsidP="00203D06">
            <w:pPr>
              <w:spacing w:line="360" w:lineRule="auto"/>
              <w:jc w:val="center"/>
              <w:rPr>
                <w:rFonts w:cstheme="minorHAnsi"/>
                <w:color w:val="000000" w:themeColor="text1"/>
              </w:rPr>
            </w:pPr>
          </w:p>
        </w:tc>
        <w:tc>
          <w:tcPr>
            <w:tcW w:w="1080" w:type="dxa"/>
            <w:tcBorders>
              <w:top w:val="single" w:sz="2" w:space="0" w:color="FFFFFF" w:themeColor="background1"/>
              <w:left w:val="single" w:sz="2" w:space="0" w:color="FFFFFF" w:themeColor="background1"/>
              <w:bottom w:val="single" w:sz="12" w:space="0" w:color="auto"/>
              <w:right w:val="single" w:sz="4" w:space="0" w:color="A6A6A6" w:themeColor="background1" w:themeShade="A6"/>
            </w:tcBorders>
            <w:vAlign w:val="center"/>
          </w:tcPr>
          <w:p w14:paraId="64BC666F" w14:textId="77777777" w:rsidR="002A66B7" w:rsidRPr="00E47369" w:rsidRDefault="002A66B7" w:rsidP="00203D06">
            <w:pPr>
              <w:spacing w:line="360" w:lineRule="auto"/>
              <w:jc w:val="center"/>
              <w:rPr>
                <w:rFonts w:cstheme="minorHAnsi"/>
                <w:color w:val="000000" w:themeColor="text1"/>
                <w:vertAlign w:val="subscript"/>
              </w:rPr>
            </w:pPr>
            <w:r w:rsidRPr="00E47369">
              <w:rPr>
                <w:rFonts w:cstheme="minorHAnsi"/>
                <w:color w:val="000000" w:themeColor="text1"/>
              </w:rPr>
              <w:t>R</w:t>
            </w:r>
            <w:r w:rsidRPr="00E47369">
              <w:rPr>
                <w:rFonts w:cstheme="minorHAnsi"/>
                <w:color w:val="000000" w:themeColor="text1"/>
                <w:vertAlign w:val="subscript"/>
              </w:rPr>
              <w:t>b</w:t>
            </w:r>
          </w:p>
          <w:p w14:paraId="2AB28D29" w14:textId="77777777" w:rsidR="002A66B7" w:rsidRPr="00E47369" w:rsidRDefault="002A66B7" w:rsidP="00203D06">
            <w:pPr>
              <w:spacing w:line="360" w:lineRule="auto"/>
              <w:jc w:val="center"/>
              <w:rPr>
                <w:rFonts w:cstheme="minorHAnsi"/>
                <w:color w:val="000000" w:themeColor="text1"/>
              </w:rPr>
            </w:pPr>
          </w:p>
        </w:tc>
        <w:tc>
          <w:tcPr>
            <w:tcW w:w="3510" w:type="dxa"/>
            <w:tcBorders>
              <w:top w:val="single" w:sz="2" w:space="0" w:color="FFFFFF" w:themeColor="background1"/>
              <w:left w:val="single" w:sz="4" w:space="0" w:color="A6A6A6" w:themeColor="background1" w:themeShade="A6"/>
              <w:bottom w:val="single" w:sz="12" w:space="0" w:color="auto"/>
              <w:right w:val="single" w:sz="2" w:space="0" w:color="FFFFFF" w:themeColor="background1"/>
            </w:tcBorders>
            <w:vAlign w:val="center"/>
          </w:tcPr>
          <w:p w14:paraId="1EDE39C2" w14:textId="77777777" w:rsidR="002A66B7" w:rsidRPr="00E47369" w:rsidRDefault="002A66B7" w:rsidP="00810326">
            <w:pPr>
              <w:spacing w:line="360" w:lineRule="auto"/>
              <w:jc w:val="center"/>
              <w:rPr>
                <w:rFonts w:cstheme="minorHAnsi"/>
                <w:color w:val="000000" w:themeColor="text1"/>
              </w:rPr>
            </w:pPr>
            <w:r w:rsidRPr="00E47369">
              <w:rPr>
                <w:rFonts w:cstheme="minorHAnsi"/>
                <w:color w:val="000000" w:themeColor="text1"/>
              </w:rPr>
              <w:t xml:space="preserve">Yield of </w:t>
            </w:r>
            <w:r w:rsidRPr="00E47369">
              <w:rPr>
                <w:rFonts w:cstheme="minorHAnsi"/>
                <w:b/>
                <w:color w:val="000000" w:themeColor="text1"/>
              </w:rPr>
              <w:t xml:space="preserve">4 </w:t>
            </w:r>
            <w:r w:rsidRPr="00E47369">
              <w:rPr>
                <w:rFonts w:cstheme="minorHAnsi"/>
                <w:color w:val="000000" w:themeColor="text1"/>
              </w:rPr>
              <w:t>(</w:t>
            </w:r>
            <w:r w:rsidR="00810326">
              <w:rPr>
                <w:rFonts w:cstheme="minorHAnsi"/>
                <w:color w:val="000000" w:themeColor="text1"/>
              </w:rPr>
              <w:fldChar w:fldCharType="begin"/>
            </w:r>
            <w:r w:rsidR="00810326">
              <w:rPr>
                <w:rFonts w:cstheme="minorHAnsi"/>
                <w:color w:val="000000" w:themeColor="text1"/>
              </w:rPr>
              <w:instrText xml:space="preserve"> REF _Ref451768315 \h </w:instrText>
            </w:r>
            <w:r w:rsidR="00810326">
              <w:rPr>
                <w:rFonts w:cstheme="minorHAnsi"/>
                <w:color w:val="000000" w:themeColor="text1"/>
              </w:rPr>
            </w:r>
            <w:r w:rsidR="00810326">
              <w:rPr>
                <w:rFonts w:cstheme="minorHAnsi"/>
                <w:color w:val="000000" w:themeColor="text1"/>
              </w:rPr>
              <w:fldChar w:fldCharType="separate"/>
            </w:r>
            <w:r w:rsidR="000A0E3D" w:rsidRPr="00323B06">
              <w:t xml:space="preserve">Figure III. </w:t>
            </w:r>
            <w:r w:rsidR="000A0E3D">
              <w:rPr>
                <w:noProof/>
              </w:rPr>
              <w:t>1</w:t>
            </w:r>
            <w:r w:rsidR="000A0E3D">
              <w:t>.</w:t>
            </w:r>
            <w:r w:rsidR="000A0E3D">
              <w:rPr>
                <w:noProof/>
              </w:rPr>
              <w:t>4</w:t>
            </w:r>
            <w:r w:rsidR="00810326">
              <w:rPr>
                <w:rFonts w:cstheme="minorHAnsi"/>
                <w:color w:val="000000" w:themeColor="text1"/>
              </w:rPr>
              <w:fldChar w:fldCharType="end"/>
            </w:r>
            <w:r w:rsidR="00810326">
              <w:rPr>
                <w:rFonts w:cstheme="minorHAnsi"/>
                <w:color w:val="000000" w:themeColor="text1"/>
              </w:rPr>
              <w:t>)</w:t>
            </w:r>
          </w:p>
        </w:tc>
      </w:tr>
      <w:tr w:rsidR="002A66B7" w:rsidRPr="00E47369" w14:paraId="7CAB7DC6" w14:textId="77777777" w:rsidTr="00754BA7">
        <w:trPr>
          <w:jc w:val="center"/>
        </w:trPr>
        <w:tc>
          <w:tcPr>
            <w:tcW w:w="1179" w:type="dxa"/>
            <w:tcBorders>
              <w:top w:val="single" w:sz="12" w:space="0" w:color="auto"/>
              <w:left w:val="single" w:sz="2" w:space="0" w:color="FFFFFF"/>
              <w:bottom w:val="single" w:sz="2" w:space="0" w:color="FFFFFF"/>
              <w:right w:val="single" w:sz="12" w:space="0" w:color="auto"/>
            </w:tcBorders>
            <w:vAlign w:val="center"/>
          </w:tcPr>
          <w:p w14:paraId="04254689" w14:textId="77777777" w:rsidR="002A66B7" w:rsidRPr="00E47369" w:rsidRDefault="0001167F" w:rsidP="00754BA7">
            <w:pPr>
              <w:jc w:val="center"/>
              <w:rPr>
                <w:rFonts w:cstheme="minorHAnsi"/>
                <w:color w:val="000000" w:themeColor="text1"/>
              </w:rPr>
            </w:pPr>
            <w:r w:rsidRPr="00E47369">
              <w:rPr>
                <w:rFonts w:cstheme="minorHAnsi"/>
                <w:color w:val="000000" w:themeColor="text1"/>
              </w:rPr>
              <w:t>III</w:t>
            </w:r>
            <w:r w:rsidR="002A66B7" w:rsidRPr="00E47369">
              <w:rPr>
                <w:rFonts w:cstheme="minorHAnsi"/>
                <w:color w:val="000000" w:themeColor="text1"/>
              </w:rPr>
              <w:t>.1.</w:t>
            </w:r>
            <w:r w:rsidR="00754BA7" w:rsidRPr="00E47369">
              <w:rPr>
                <w:rFonts w:cstheme="minorHAnsi"/>
                <w:color w:val="000000" w:themeColor="text1"/>
              </w:rPr>
              <w:t>1.</w:t>
            </w:r>
            <w:r w:rsidR="002A66B7" w:rsidRPr="00E47369">
              <w:rPr>
                <w:rFonts w:cstheme="minorHAnsi"/>
                <w:color w:val="000000" w:themeColor="text1"/>
              </w:rPr>
              <w:t>1</w:t>
            </w:r>
          </w:p>
        </w:tc>
        <w:tc>
          <w:tcPr>
            <w:tcW w:w="1170" w:type="dxa"/>
            <w:tcBorders>
              <w:top w:val="single" w:sz="12" w:space="0" w:color="auto"/>
              <w:left w:val="single" w:sz="12" w:space="0" w:color="auto"/>
              <w:bottom w:val="single" w:sz="2" w:space="0" w:color="A6A6A6" w:themeColor="background1" w:themeShade="A6"/>
              <w:right w:val="single" w:sz="2" w:space="0" w:color="FFFFFF" w:themeColor="background1"/>
            </w:tcBorders>
            <w:vAlign w:val="center"/>
          </w:tcPr>
          <w:p w14:paraId="250FA7C0" w14:textId="77777777" w:rsidR="002A66B7" w:rsidRPr="00E47369" w:rsidRDefault="002A66B7" w:rsidP="002A66B7">
            <w:pPr>
              <w:jc w:val="center"/>
              <w:rPr>
                <w:rFonts w:cstheme="minorHAnsi"/>
                <w:color w:val="000000" w:themeColor="text1"/>
              </w:rPr>
            </w:pPr>
            <w:r w:rsidRPr="00E47369">
              <w:rPr>
                <w:rFonts w:cstheme="minorHAnsi"/>
                <w:color w:val="000000" w:themeColor="text1"/>
              </w:rPr>
              <w:t>H</w:t>
            </w:r>
          </w:p>
        </w:tc>
        <w:tc>
          <w:tcPr>
            <w:tcW w:w="1080" w:type="dxa"/>
            <w:tcBorders>
              <w:top w:val="single" w:sz="12" w:space="0" w:color="auto"/>
              <w:left w:val="single" w:sz="2" w:space="0" w:color="FFFFFF" w:themeColor="background1"/>
              <w:bottom w:val="single" w:sz="2" w:space="0" w:color="A6A6A6" w:themeColor="background1" w:themeShade="A6"/>
              <w:right w:val="single" w:sz="4" w:space="0" w:color="A6A6A6" w:themeColor="background1" w:themeShade="A6"/>
            </w:tcBorders>
            <w:vAlign w:val="center"/>
          </w:tcPr>
          <w:p w14:paraId="64A32A25" w14:textId="77777777" w:rsidR="002A66B7" w:rsidRPr="00E47369" w:rsidRDefault="002A66B7" w:rsidP="002A66B7">
            <w:pPr>
              <w:jc w:val="center"/>
              <w:rPr>
                <w:rFonts w:cstheme="minorHAnsi"/>
                <w:color w:val="000000" w:themeColor="text1"/>
              </w:rPr>
            </w:pPr>
            <w:r w:rsidRPr="00E47369">
              <w:rPr>
                <w:rFonts w:cstheme="minorHAnsi"/>
                <w:color w:val="000000" w:themeColor="text1"/>
              </w:rPr>
              <w:t>OMe</w:t>
            </w:r>
          </w:p>
        </w:tc>
        <w:tc>
          <w:tcPr>
            <w:tcW w:w="3510" w:type="dxa"/>
            <w:tcBorders>
              <w:top w:val="single" w:sz="12" w:space="0" w:color="auto"/>
              <w:left w:val="single" w:sz="4" w:space="0" w:color="A6A6A6" w:themeColor="background1" w:themeShade="A6"/>
              <w:bottom w:val="single" w:sz="2" w:space="0" w:color="A6A6A6" w:themeColor="background1" w:themeShade="A6"/>
              <w:right w:val="single" w:sz="2" w:space="0" w:color="FFFFFF" w:themeColor="background1"/>
            </w:tcBorders>
            <w:vAlign w:val="center"/>
          </w:tcPr>
          <w:p w14:paraId="6294AC86" w14:textId="77777777" w:rsidR="002A66B7" w:rsidRPr="00E47369" w:rsidRDefault="002A66B7" w:rsidP="002A66B7">
            <w:pPr>
              <w:jc w:val="center"/>
              <w:rPr>
                <w:rFonts w:cstheme="minorHAnsi"/>
                <w:color w:val="000000" w:themeColor="text1"/>
              </w:rPr>
            </w:pPr>
            <w:r w:rsidRPr="00E47369">
              <w:rPr>
                <w:rFonts w:cstheme="minorHAnsi"/>
                <w:color w:val="000000" w:themeColor="text1"/>
              </w:rPr>
              <w:t>72%</w:t>
            </w:r>
          </w:p>
        </w:tc>
      </w:tr>
      <w:tr w:rsidR="002A66B7" w:rsidRPr="00E47369" w14:paraId="07A2B94C" w14:textId="77777777" w:rsidTr="00754BA7">
        <w:trPr>
          <w:jc w:val="center"/>
        </w:trPr>
        <w:tc>
          <w:tcPr>
            <w:tcW w:w="1179" w:type="dxa"/>
            <w:tcBorders>
              <w:top w:val="single" w:sz="2" w:space="0" w:color="FFFFFF"/>
              <w:left w:val="single" w:sz="2" w:space="0" w:color="FFFFFF"/>
              <w:bottom w:val="single" w:sz="2" w:space="0" w:color="FFFFFF"/>
              <w:right w:val="single" w:sz="12" w:space="0" w:color="auto"/>
            </w:tcBorders>
            <w:vAlign w:val="center"/>
          </w:tcPr>
          <w:p w14:paraId="5A0500C0" w14:textId="77777777" w:rsidR="002A66B7" w:rsidRPr="00E47369" w:rsidRDefault="0001167F" w:rsidP="00754BA7">
            <w:pPr>
              <w:jc w:val="center"/>
              <w:rPr>
                <w:rFonts w:cstheme="minorHAnsi"/>
                <w:color w:val="000000" w:themeColor="text1"/>
              </w:rPr>
            </w:pPr>
            <w:r w:rsidRPr="00E47369">
              <w:rPr>
                <w:rFonts w:cstheme="minorHAnsi"/>
                <w:color w:val="000000" w:themeColor="text1"/>
              </w:rPr>
              <w:t>III</w:t>
            </w:r>
            <w:r w:rsidR="002A66B7" w:rsidRPr="00E47369">
              <w:rPr>
                <w:rFonts w:cstheme="minorHAnsi"/>
                <w:color w:val="000000" w:themeColor="text1"/>
              </w:rPr>
              <w:t>.1.</w:t>
            </w:r>
            <w:r w:rsidR="00754BA7" w:rsidRPr="00E47369">
              <w:rPr>
                <w:rFonts w:cstheme="minorHAnsi"/>
                <w:color w:val="000000" w:themeColor="text1"/>
              </w:rPr>
              <w:t>1</w:t>
            </w:r>
            <w:r w:rsidR="00483A80" w:rsidRPr="00E47369">
              <w:rPr>
                <w:rFonts w:cstheme="minorHAnsi"/>
                <w:color w:val="000000" w:themeColor="text1"/>
              </w:rPr>
              <w:t>.</w:t>
            </w:r>
            <w:r w:rsidR="002A66B7" w:rsidRPr="00E47369">
              <w:rPr>
                <w:rFonts w:cstheme="minorHAnsi"/>
                <w:color w:val="000000" w:themeColor="text1"/>
              </w:rPr>
              <w:t>2</w:t>
            </w:r>
          </w:p>
        </w:tc>
        <w:tc>
          <w:tcPr>
            <w:tcW w:w="1170" w:type="dxa"/>
            <w:tcBorders>
              <w:top w:val="single" w:sz="2" w:space="0" w:color="A6A6A6" w:themeColor="background1" w:themeShade="A6"/>
              <w:left w:val="single" w:sz="12" w:space="0" w:color="auto"/>
              <w:bottom w:val="single" w:sz="2" w:space="0" w:color="A6A6A6" w:themeColor="background1" w:themeShade="A6"/>
              <w:right w:val="single" w:sz="2" w:space="0" w:color="FFFFFF" w:themeColor="background1"/>
            </w:tcBorders>
            <w:vAlign w:val="center"/>
          </w:tcPr>
          <w:p w14:paraId="0CFAAE47" w14:textId="77777777" w:rsidR="002A66B7" w:rsidRPr="00E47369" w:rsidRDefault="002A66B7" w:rsidP="002A66B7">
            <w:pPr>
              <w:jc w:val="center"/>
              <w:rPr>
                <w:rFonts w:cstheme="minorHAnsi"/>
                <w:color w:val="000000" w:themeColor="text1"/>
              </w:rPr>
            </w:pPr>
            <w:r w:rsidRPr="00E47369">
              <w:rPr>
                <w:rFonts w:cstheme="minorHAnsi"/>
                <w:color w:val="000000" w:themeColor="text1"/>
              </w:rPr>
              <w:t>H</w:t>
            </w:r>
          </w:p>
        </w:tc>
        <w:tc>
          <w:tcPr>
            <w:tcW w:w="1080" w:type="dxa"/>
            <w:tcBorders>
              <w:top w:val="single" w:sz="2" w:space="0" w:color="A6A6A6" w:themeColor="background1" w:themeShade="A6"/>
              <w:left w:val="single" w:sz="2" w:space="0" w:color="FFFFFF" w:themeColor="background1"/>
              <w:bottom w:val="single" w:sz="2" w:space="0" w:color="A6A6A6" w:themeColor="background1" w:themeShade="A6"/>
              <w:right w:val="single" w:sz="4" w:space="0" w:color="A6A6A6" w:themeColor="background1" w:themeShade="A6"/>
            </w:tcBorders>
            <w:vAlign w:val="center"/>
          </w:tcPr>
          <w:p w14:paraId="07FC9C2F" w14:textId="77777777" w:rsidR="002A66B7" w:rsidRPr="00E47369" w:rsidRDefault="002A66B7" w:rsidP="002A66B7">
            <w:pPr>
              <w:jc w:val="center"/>
              <w:rPr>
                <w:rFonts w:cstheme="minorHAnsi"/>
                <w:color w:val="000000" w:themeColor="text1"/>
              </w:rPr>
            </w:pPr>
            <w:r w:rsidRPr="00E47369">
              <w:rPr>
                <w:rFonts w:cstheme="minorHAnsi"/>
                <w:color w:val="000000" w:themeColor="text1"/>
              </w:rPr>
              <w:t>OEt</w:t>
            </w:r>
          </w:p>
        </w:tc>
        <w:tc>
          <w:tcPr>
            <w:tcW w:w="3510" w:type="dxa"/>
            <w:tcBorders>
              <w:top w:val="single" w:sz="2" w:space="0" w:color="A6A6A6" w:themeColor="background1" w:themeShade="A6"/>
              <w:left w:val="single" w:sz="4" w:space="0" w:color="A6A6A6" w:themeColor="background1" w:themeShade="A6"/>
              <w:bottom w:val="single" w:sz="2" w:space="0" w:color="A6A6A6" w:themeColor="background1" w:themeShade="A6"/>
              <w:right w:val="single" w:sz="2" w:space="0" w:color="FFFFFF" w:themeColor="background1"/>
            </w:tcBorders>
            <w:vAlign w:val="center"/>
          </w:tcPr>
          <w:p w14:paraId="01006802" w14:textId="77777777" w:rsidR="002A66B7" w:rsidRPr="00E47369" w:rsidRDefault="002A66B7" w:rsidP="002A66B7">
            <w:pPr>
              <w:jc w:val="center"/>
              <w:rPr>
                <w:rFonts w:cstheme="minorHAnsi"/>
                <w:color w:val="000000" w:themeColor="text1"/>
              </w:rPr>
            </w:pPr>
            <w:r w:rsidRPr="00E47369">
              <w:rPr>
                <w:rFonts w:cstheme="minorHAnsi"/>
                <w:color w:val="000000" w:themeColor="text1"/>
              </w:rPr>
              <w:t>88%</w:t>
            </w:r>
          </w:p>
        </w:tc>
      </w:tr>
      <w:tr w:rsidR="002A66B7" w:rsidRPr="00E47369" w14:paraId="6CB699C3" w14:textId="77777777" w:rsidTr="00754BA7">
        <w:trPr>
          <w:jc w:val="center"/>
        </w:trPr>
        <w:tc>
          <w:tcPr>
            <w:tcW w:w="1179" w:type="dxa"/>
            <w:tcBorders>
              <w:top w:val="single" w:sz="2" w:space="0" w:color="FFFFFF"/>
              <w:left w:val="single" w:sz="2" w:space="0" w:color="FFFFFF"/>
              <w:bottom w:val="single" w:sz="2" w:space="0" w:color="FFFFFF"/>
              <w:right w:val="single" w:sz="12" w:space="0" w:color="auto"/>
            </w:tcBorders>
            <w:vAlign w:val="center"/>
          </w:tcPr>
          <w:p w14:paraId="08AB3E4E" w14:textId="77777777" w:rsidR="002A66B7" w:rsidRPr="00E47369" w:rsidRDefault="0001167F" w:rsidP="00203D06">
            <w:pPr>
              <w:jc w:val="center"/>
              <w:rPr>
                <w:rFonts w:cstheme="minorHAnsi"/>
                <w:color w:val="000000" w:themeColor="text1"/>
              </w:rPr>
            </w:pPr>
            <w:r w:rsidRPr="00E47369">
              <w:rPr>
                <w:rFonts w:cstheme="minorHAnsi"/>
                <w:color w:val="000000" w:themeColor="text1"/>
              </w:rPr>
              <w:t>III</w:t>
            </w:r>
            <w:r w:rsidR="002A66B7" w:rsidRPr="00E47369">
              <w:rPr>
                <w:rFonts w:cstheme="minorHAnsi"/>
                <w:color w:val="000000" w:themeColor="text1"/>
              </w:rPr>
              <w:t>.1.</w:t>
            </w:r>
            <w:r w:rsidR="00754BA7" w:rsidRPr="00E47369">
              <w:rPr>
                <w:rFonts w:cstheme="minorHAnsi"/>
                <w:color w:val="000000" w:themeColor="text1"/>
              </w:rPr>
              <w:t>1</w:t>
            </w:r>
            <w:r w:rsidR="00483A80" w:rsidRPr="00E47369">
              <w:rPr>
                <w:rFonts w:cstheme="minorHAnsi"/>
                <w:color w:val="000000" w:themeColor="text1"/>
              </w:rPr>
              <w:t>.</w:t>
            </w:r>
            <w:r w:rsidR="002A66B7" w:rsidRPr="00E47369">
              <w:rPr>
                <w:rFonts w:cstheme="minorHAnsi"/>
                <w:color w:val="000000" w:themeColor="text1"/>
              </w:rPr>
              <w:t>3</w:t>
            </w:r>
          </w:p>
        </w:tc>
        <w:tc>
          <w:tcPr>
            <w:tcW w:w="1170" w:type="dxa"/>
            <w:tcBorders>
              <w:top w:val="single" w:sz="2" w:space="0" w:color="A6A6A6" w:themeColor="background1" w:themeShade="A6"/>
              <w:left w:val="single" w:sz="12" w:space="0" w:color="auto"/>
              <w:bottom w:val="single" w:sz="2" w:space="0" w:color="A6A6A6" w:themeColor="background1" w:themeShade="A6"/>
              <w:right w:val="single" w:sz="2" w:space="0" w:color="FFFFFF" w:themeColor="background1"/>
            </w:tcBorders>
            <w:vAlign w:val="center"/>
          </w:tcPr>
          <w:p w14:paraId="2C81DCF7" w14:textId="77777777" w:rsidR="002A66B7" w:rsidRPr="00E47369" w:rsidRDefault="002A66B7" w:rsidP="002A66B7">
            <w:pPr>
              <w:jc w:val="center"/>
              <w:rPr>
                <w:rFonts w:cstheme="minorHAnsi"/>
                <w:color w:val="000000" w:themeColor="text1"/>
              </w:rPr>
            </w:pPr>
            <w:r w:rsidRPr="00E47369">
              <w:rPr>
                <w:rFonts w:cstheme="minorHAnsi"/>
                <w:color w:val="000000" w:themeColor="text1"/>
              </w:rPr>
              <w:t>Me</w:t>
            </w:r>
          </w:p>
        </w:tc>
        <w:tc>
          <w:tcPr>
            <w:tcW w:w="1080" w:type="dxa"/>
            <w:tcBorders>
              <w:top w:val="single" w:sz="2" w:space="0" w:color="A6A6A6" w:themeColor="background1" w:themeShade="A6"/>
              <w:left w:val="single" w:sz="2" w:space="0" w:color="FFFFFF" w:themeColor="background1"/>
              <w:bottom w:val="single" w:sz="2" w:space="0" w:color="A6A6A6" w:themeColor="background1" w:themeShade="A6"/>
              <w:right w:val="single" w:sz="4" w:space="0" w:color="A6A6A6" w:themeColor="background1" w:themeShade="A6"/>
            </w:tcBorders>
            <w:vAlign w:val="center"/>
          </w:tcPr>
          <w:p w14:paraId="0D06A86B" w14:textId="77777777" w:rsidR="002A66B7" w:rsidRPr="00E47369" w:rsidRDefault="002A66B7" w:rsidP="002A66B7">
            <w:pPr>
              <w:jc w:val="center"/>
              <w:rPr>
                <w:rFonts w:cstheme="minorHAnsi"/>
                <w:color w:val="000000" w:themeColor="text1"/>
              </w:rPr>
            </w:pPr>
            <w:r w:rsidRPr="00E47369">
              <w:rPr>
                <w:rFonts w:cstheme="minorHAnsi"/>
                <w:color w:val="000000" w:themeColor="text1"/>
              </w:rPr>
              <w:t>OEt</w:t>
            </w:r>
          </w:p>
        </w:tc>
        <w:tc>
          <w:tcPr>
            <w:tcW w:w="3510" w:type="dxa"/>
            <w:tcBorders>
              <w:top w:val="single" w:sz="2" w:space="0" w:color="A6A6A6" w:themeColor="background1" w:themeShade="A6"/>
              <w:left w:val="single" w:sz="4" w:space="0" w:color="A6A6A6" w:themeColor="background1" w:themeShade="A6"/>
              <w:bottom w:val="single" w:sz="2" w:space="0" w:color="A6A6A6" w:themeColor="background1" w:themeShade="A6"/>
              <w:right w:val="single" w:sz="2" w:space="0" w:color="FFFFFF" w:themeColor="background1"/>
            </w:tcBorders>
            <w:vAlign w:val="center"/>
          </w:tcPr>
          <w:p w14:paraId="5377C0F0" w14:textId="77777777" w:rsidR="002A66B7" w:rsidRPr="00E47369" w:rsidRDefault="002A66B7" w:rsidP="002A66B7">
            <w:pPr>
              <w:jc w:val="center"/>
              <w:rPr>
                <w:rFonts w:cstheme="minorHAnsi"/>
                <w:color w:val="000000" w:themeColor="text1"/>
              </w:rPr>
            </w:pPr>
            <w:r w:rsidRPr="00E47369">
              <w:rPr>
                <w:rFonts w:cstheme="minorHAnsi"/>
                <w:color w:val="000000" w:themeColor="text1"/>
              </w:rPr>
              <w:t xml:space="preserve">96% </w:t>
            </w:r>
          </w:p>
          <w:p w14:paraId="343191E4" w14:textId="77777777" w:rsidR="002A66B7" w:rsidRPr="00E47369" w:rsidRDefault="002A66B7" w:rsidP="002A66B7">
            <w:pPr>
              <w:jc w:val="center"/>
              <w:rPr>
                <w:rFonts w:cstheme="minorHAnsi"/>
                <w:color w:val="000000" w:themeColor="text1"/>
              </w:rPr>
            </w:pPr>
            <w:r w:rsidRPr="00E47369">
              <w:rPr>
                <w:rFonts w:cstheme="minorHAnsi"/>
                <w:color w:val="000000" w:themeColor="text1"/>
              </w:rPr>
              <w:t>(55% with MeReO</w:t>
            </w:r>
            <w:r w:rsidRPr="00E47369">
              <w:rPr>
                <w:rFonts w:cstheme="minorHAnsi"/>
                <w:color w:val="000000" w:themeColor="text1"/>
                <w:vertAlign w:val="subscript"/>
              </w:rPr>
              <w:t>3</w:t>
            </w:r>
            <w:r w:rsidRPr="00E47369">
              <w:rPr>
                <w:rFonts w:cstheme="minorHAnsi"/>
                <w:color w:val="000000" w:themeColor="text1"/>
              </w:rPr>
              <w:t>)</w:t>
            </w:r>
          </w:p>
        </w:tc>
      </w:tr>
      <w:tr w:rsidR="002A66B7" w:rsidRPr="00E47369" w14:paraId="2610F55D" w14:textId="77777777" w:rsidTr="00754BA7">
        <w:trPr>
          <w:jc w:val="center"/>
        </w:trPr>
        <w:tc>
          <w:tcPr>
            <w:tcW w:w="1179" w:type="dxa"/>
            <w:tcBorders>
              <w:top w:val="single" w:sz="2" w:space="0" w:color="FFFFFF"/>
              <w:left w:val="single" w:sz="2" w:space="0" w:color="FFFFFF"/>
              <w:bottom w:val="single" w:sz="2" w:space="0" w:color="FFFFFF"/>
              <w:right w:val="single" w:sz="12" w:space="0" w:color="auto"/>
            </w:tcBorders>
            <w:vAlign w:val="center"/>
          </w:tcPr>
          <w:p w14:paraId="3435C80D" w14:textId="77777777" w:rsidR="002A66B7" w:rsidRPr="00E47369" w:rsidRDefault="0001167F" w:rsidP="00203D06">
            <w:pPr>
              <w:jc w:val="center"/>
              <w:rPr>
                <w:rFonts w:cstheme="minorHAnsi"/>
                <w:color w:val="000000" w:themeColor="text1"/>
              </w:rPr>
            </w:pPr>
            <w:r w:rsidRPr="00E47369">
              <w:rPr>
                <w:rFonts w:cstheme="minorHAnsi"/>
                <w:color w:val="000000" w:themeColor="text1"/>
              </w:rPr>
              <w:t>III</w:t>
            </w:r>
            <w:r w:rsidR="002A66B7" w:rsidRPr="00E47369">
              <w:rPr>
                <w:rFonts w:cstheme="minorHAnsi"/>
                <w:color w:val="000000" w:themeColor="text1"/>
              </w:rPr>
              <w:t>.1.</w:t>
            </w:r>
            <w:r w:rsidR="00754BA7" w:rsidRPr="00E47369">
              <w:rPr>
                <w:rFonts w:cstheme="minorHAnsi"/>
                <w:color w:val="000000" w:themeColor="text1"/>
              </w:rPr>
              <w:t>1</w:t>
            </w:r>
            <w:r w:rsidR="00483A80" w:rsidRPr="00E47369">
              <w:rPr>
                <w:rFonts w:cstheme="minorHAnsi"/>
                <w:color w:val="000000" w:themeColor="text1"/>
              </w:rPr>
              <w:t>.</w:t>
            </w:r>
            <w:r w:rsidR="002A66B7" w:rsidRPr="00E47369">
              <w:rPr>
                <w:rFonts w:cstheme="minorHAnsi"/>
                <w:color w:val="000000" w:themeColor="text1"/>
              </w:rPr>
              <w:t>4</w:t>
            </w:r>
          </w:p>
        </w:tc>
        <w:tc>
          <w:tcPr>
            <w:tcW w:w="1170" w:type="dxa"/>
            <w:tcBorders>
              <w:top w:val="single" w:sz="2" w:space="0" w:color="A6A6A6" w:themeColor="background1" w:themeShade="A6"/>
              <w:left w:val="single" w:sz="12" w:space="0" w:color="auto"/>
              <w:bottom w:val="single" w:sz="2" w:space="0" w:color="A6A6A6" w:themeColor="background1" w:themeShade="A6"/>
              <w:right w:val="single" w:sz="2" w:space="0" w:color="FFFFFF" w:themeColor="background1"/>
            </w:tcBorders>
            <w:vAlign w:val="center"/>
          </w:tcPr>
          <w:p w14:paraId="0E485818" w14:textId="77777777" w:rsidR="002A66B7" w:rsidRPr="00E47369" w:rsidRDefault="002A66B7" w:rsidP="002A66B7">
            <w:pPr>
              <w:jc w:val="center"/>
              <w:rPr>
                <w:rFonts w:cstheme="minorHAnsi"/>
                <w:color w:val="000000" w:themeColor="text1"/>
              </w:rPr>
            </w:pPr>
            <w:r w:rsidRPr="00E47369">
              <w:rPr>
                <w:rFonts w:cstheme="minorHAnsi"/>
                <w:color w:val="000000" w:themeColor="text1"/>
              </w:rPr>
              <w:t>Me</w:t>
            </w:r>
          </w:p>
        </w:tc>
        <w:tc>
          <w:tcPr>
            <w:tcW w:w="1080" w:type="dxa"/>
            <w:tcBorders>
              <w:top w:val="single" w:sz="2" w:space="0" w:color="A6A6A6" w:themeColor="background1" w:themeShade="A6"/>
              <w:left w:val="single" w:sz="2" w:space="0" w:color="FFFFFF" w:themeColor="background1"/>
              <w:bottom w:val="single" w:sz="2" w:space="0" w:color="A6A6A6" w:themeColor="background1" w:themeShade="A6"/>
              <w:right w:val="single" w:sz="4" w:space="0" w:color="A6A6A6" w:themeColor="background1" w:themeShade="A6"/>
            </w:tcBorders>
            <w:vAlign w:val="center"/>
          </w:tcPr>
          <w:p w14:paraId="08683B22" w14:textId="77777777" w:rsidR="002A66B7" w:rsidRPr="00E47369" w:rsidRDefault="002A66B7" w:rsidP="002A66B7">
            <w:pPr>
              <w:jc w:val="center"/>
              <w:rPr>
                <w:rFonts w:cstheme="minorHAnsi"/>
                <w:color w:val="000000" w:themeColor="text1"/>
              </w:rPr>
            </w:pPr>
            <w:r w:rsidRPr="00E47369">
              <w:rPr>
                <w:rFonts w:cstheme="minorHAnsi"/>
                <w:color w:val="000000" w:themeColor="text1"/>
              </w:rPr>
              <w:t>OH</w:t>
            </w:r>
          </w:p>
        </w:tc>
        <w:tc>
          <w:tcPr>
            <w:tcW w:w="3510" w:type="dxa"/>
            <w:tcBorders>
              <w:top w:val="single" w:sz="2" w:space="0" w:color="A6A6A6" w:themeColor="background1" w:themeShade="A6"/>
              <w:left w:val="single" w:sz="4" w:space="0" w:color="A6A6A6" w:themeColor="background1" w:themeShade="A6"/>
              <w:bottom w:val="single" w:sz="2" w:space="0" w:color="A6A6A6" w:themeColor="background1" w:themeShade="A6"/>
              <w:right w:val="single" w:sz="2" w:space="0" w:color="FFFFFF" w:themeColor="background1"/>
            </w:tcBorders>
            <w:vAlign w:val="center"/>
          </w:tcPr>
          <w:p w14:paraId="21B1337D" w14:textId="77777777" w:rsidR="002A66B7" w:rsidRPr="00E47369" w:rsidRDefault="002A66B7" w:rsidP="002A66B7">
            <w:pPr>
              <w:jc w:val="center"/>
              <w:rPr>
                <w:rFonts w:cstheme="minorHAnsi"/>
                <w:color w:val="000000" w:themeColor="text1"/>
              </w:rPr>
            </w:pPr>
            <w:r w:rsidRPr="00E47369">
              <w:rPr>
                <w:rFonts w:cstheme="minorHAnsi"/>
                <w:color w:val="000000" w:themeColor="text1"/>
              </w:rPr>
              <w:t>81%</w:t>
            </w:r>
          </w:p>
        </w:tc>
      </w:tr>
      <w:tr w:rsidR="002A66B7" w:rsidRPr="00E47369" w14:paraId="34AD4B98" w14:textId="77777777" w:rsidTr="00754BA7">
        <w:trPr>
          <w:jc w:val="center"/>
        </w:trPr>
        <w:tc>
          <w:tcPr>
            <w:tcW w:w="1179" w:type="dxa"/>
            <w:tcBorders>
              <w:top w:val="single" w:sz="2" w:space="0" w:color="FFFFFF"/>
              <w:left w:val="single" w:sz="2" w:space="0" w:color="FFFFFF"/>
              <w:bottom w:val="single" w:sz="2" w:space="0" w:color="FFFFFF"/>
              <w:right w:val="single" w:sz="12" w:space="0" w:color="auto"/>
            </w:tcBorders>
            <w:vAlign w:val="center"/>
          </w:tcPr>
          <w:p w14:paraId="73A1B80A" w14:textId="77777777" w:rsidR="002A66B7" w:rsidRPr="00E47369" w:rsidRDefault="0001167F" w:rsidP="00203D06">
            <w:pPr>
              <w:jc w:val="center"/>
              <w:rPr>
                <w:rFonts w:cstheme="minorHAnsi"/>
                <w:color w:val="000000" w:themeColor="text1"/>
              </w:rPr>
            </w:pPr>
            <w:r w:rsidRPr="00E47369">
              <w:rPr>
                <w:rFonts w:cstheme="minorHAnsi"/>
                <w:color w:val="000000" w:themeColor="text1"/>
              </w:rPr>
              <w:t>III</w:t>
            </w:r>
            <w:r w:rsidR="002A66B7" w:rsidRPr="00E47369">
              <w:rPr>
                <w:rFonts w:cstheme="minorHAnsi"/>
                <w:color w:val="000000" w:themeColor="text1"/>
              </w:rPr>
              <w:t>.1.</w:t>
            </w:r>
            <w:r w:rsidR="00754BA7" w:rsidRPr="00E47369">
              <w:rPr>
                <w:rFonts w:cstheme="minorHAnsi"/>
                <w:color w:val="000000" w:themeColor="text1"/>
              </w:rPr>
              <w:t>1</w:t>
            </w:r>
            <w:r w:rsidR="00483A80" w:rsidRPr="00E47369">
              <w:rPr>
                <w:rFonts w:cstheme="minorHAnsi"/>
                <w:color w:val="000000" w:themeColor="text1"/>
              </w:rPr>
              <w:t>.</w:t>
            </w:r>
            <w:r w:rsidR="002A66B7" w:rsidRPr="00E47369">
              <w:rPr>
                <w:rFonts w:cstheme="minorHAnsi"/>
                <w:color w:val="000000" w:themeColor="text1"/>
              </w:rPr>
              <w:t>5</w:t>
            </w:r>
          </w:p>
        </w:tc>
        <w:tc>
          <w:tcPr>
            <w:tcW w:w="1170" w:type="dxa"/>
            <w:tcBorders>
              <w:top w:val="single" w:sz="2" w:space="0" w:color="A6A6A6" w:themeColor="background1" w:themeShade="A6"/>
              <w:left w:val="single" w:sz="12" w:space="0" w:color="auto"/>
              <w:bottom w:val="single" w:sz="2" w:space="0" w:color="FFFFFF"/>
              <w:right w:val="single" w:sz="2" w:space="0" w:color="FFFFFF" w:themeColor="background1"/>
            </w:tcBorders>
            <w:vAlign w:val="center"/>
          </w:tcPr>
          <w:p w14:paraId="1E1E4DDF" w14:textId="77777777" w:rsidR="002A66B7" w:rsidRPr="00E47369" w:rsidRDefault="002A66B7" w:rsidP="002A66B7">
            <w:pPr>
              <w:jc w:val="center"/>
              <w:rPr>
                <w:rFonts w:cstheme="minorHAnsi"/>
                <w:color w:val="000000" w:themeColor="text1"/>
              </w:rPr>
            </w:pPr>
            <w:r w:rsidRPr="00E47369">
              <w:rPr>
                <w:rFonts w:cstheme="minorHAnsi"/>
                <w:color w:val="000000" w:themeColor="text1"/>
              </w:rPr>
              <w:t>H</w:t>
            </w:r>
          </w:p>
        </w:tc>
        <w:tc>
          <w:tcPr>
            <w:tcW w:w="1080" w:type="dxa"/>
            <w:tcBorders>
              <w:top w:val="single" w:sz="2" w:space="0" w:color="A6A6A6" w:themeColor="background1" w:themeShade="A6"/>
              <w:left w:val="single" w:sz="2" w:space="0" w:color="FFFFFF" w:themeColor="background1"/>
              <w:bottom w:val="single" w:sz="2" w:space="0" w:color="FFFFFF"/>
              <w:right w:val="single" w:sz="4" w:space="0" w:color="A6A6A6" w:themeColor="background1" w:themeShade="A6"/>
            </w:tcBorders>
            <w:vAlign w:val="center"/>
          </w:tcPr>
          <w:p w14:paraId="0B9E2FC5" w14:textId="77777777" w:rsidR="002A66B7" w:rsidRPr="00E47369" w:rsidRDefault="002A66B7" w:rsidP="002A66B7">
            <w:pPr>
              <w:jc w:val="center"/>
              <w:rPr>
                <w:rFonts w:cstheme="minorHAnsi"/>
                <w:color w:val="000000" w:themeColor="text1"/>
              </w:rPr>
            </w:pPr>
            <w:r w:rsidRPr="00E47369">
              <w:rPr>
                <w:rFonts w:cstheme="minorHAnsi"/>
                <w:color w:val="000000" w:themeColor="text1"/>
              </w:rPr>
              <w:t>Me</w:t>
            </w:r>
          </w:p>
        </w:tc>
        <w:tc>
          <w:tcPr>
            <w:tcW w:w="3510" w:type="dxa"/>
            <w:tcBorders>
              <w:top w:val="single" w:sz="2" w:space="0" w:color="A6A6A6" w:themeColor="background1" w:themeShade="A6"/>
              <w:left w:val="single" w:sz="4" w:space="0" w:color="A6A6A6" w:themeColor="background1" w:themeShade="A6"/>
              <w:bottom w:val="single" w:sz="2" w:space="0" w:color="FFFFFF"/>
              <w:right w:val="single" w:sz="2" w:space="0" w:color="FFFFFF" w:themeColor="background1"/>
            </w:tcBorders>
            <w:vAlign w:val="center"/>
          </w:tcPr>
          <w:p w14:paraId="4E9B3E2E" w14:textId="77777777" w:rsidR="002A66B7" w:rsidRPr="00E47369" w:rsidRDefault="002A66B7" w:rsidP="002A66B7">
            <w:pPr>
              <w:jc w:val="center"/>
              <w:rPr>
                <w:rFonts w:cstheme="minorHAnsi"/>
                <w:color w:val="000000" w:themeColor="text1"/>
              </w:rPr>
            </w:pPr>
            <w:r w:rsidRPr="00E47369">
              <w:rPr>
                <w:rFonts w:cstheme="minorHAnsi"/>
                <w:color w:val="000000" w:themeColor="text1"/>
              </w:rPr>
              <w:t>80%</w:t>
            </w:r>
          </w:p>
        </w:tc>
      </w:tr>
    </w:tbl>
    <w:p w14:paraId="7739DABC" w14:textId="77777777" w:rsidR="002A66B7" w:rsidRPr="00E47369" w:rsidRDefault="002A66B7" w:rsidP="002A66B7">
      <w:pPr>
        <w:rPr>
          <w:rFonts w:cstheme="minorHAnsi"/>
          <w:color w:val="000000" w:themeColor="text1"/>
        </w:rPr>
      </w:pPr>
    </w:p>
    <w:p w14:paraId="01895A4F" w14:textId="77777777" w:rsidR="002A66B7" w:rsidRPr="00E47369" w:rsidRDefault="002A66B7" w:rsidP="002A66B7">
      <w:pPr>
        <w:ind w:firstLine="360"/>
        <w:jc w:val="both"/>
        <w:rPr>
          <w:rFonts w:cstheme="minorHAnsi"/>
        </w:rPr>
      </w:pPr>
      <w:r w:rsidRPr="00E47369">
        <w:rPr>
          <w:rFonts w:cstheme="minorHAnsi"/>
          <w:color w:val="000000" w:themeColor="text1"/>
        </w:rPr>
        <w:t xml:space="preserve">We </w:t>
      </w:r>
      <w:r w:rsidRPr="00E47369">
        <w:rPr>
          <w:rFonts w:cstheme="minorHAnsi"/>
        </w:rPr>
        <w:t xml:space="preserve">analyzed these reactions by </w:t>
      </w:r>
      <w:r w:rsidRPr="00E47369">
        <w:rPr>
          <w:rFonts w:cstheme="minorHAnsi"/>
          <w:vertAlign w:val="superscript"/>
        </w:rPr>
        <w:t>1</w:t>
      </w:r>
      <w:r w:rsidRPr="00E47369">
        <w:rPr>
          <w:rFonts w:cstheme="minorHAnsi"/>
        </w:rPr>
        <w:t>H-NMR. The formation of diethyl fumarate was simple to follow since it exhibits a strong singlet at 6.8 ppm in the proton NMR</w:t>
      </w:r>
      <w:r w:rsidR="00E028D6">
        <w:rPr>
          <w:rFonts w:cstheme="minorHAnsi"/>
        </w:rPr>
        <w:t xml:space="preserve"> spectrum</w:t>
      </w:r>
      <w:r w:rsidRPr="00E47369">
        <w:rPr>
          <w:rFonts w:cstheme="minorHAnsi"/>
        </w:rPr>
        <w:t xml:space="preserve">. This allowed us to determine an NMR yield for each alkene with the α-hydroxy carbonyl as reducing agent. Methyl glycolate (entry </w:t>
      </w:r>
      <w:r w:rsidR="0001167F" w:rsidRPr="00E47369">
        <w:rPr>
          <w:rFonts w:cstheme="minorHAnsi"/>
        </w:rPr>
        <w:t>III</w:t>
      </w:r>
      <w:r w:rsidRPr="00E47369">
        <w:rPr>
          <w:rFonts w:cstheme="minorHAnsi"/>
        </w:rPr>
        <w:t>.1.</w:t>
      </w:r>
      <w:r w:rsidR="00754BA7" w:rsidRPr="00E47369">
        <w:rPr>
          <w:rFonts w:cstheme="minorHAnsi"/>
        </w:rPr>
        <w:t>1</w:t>
      </w:r>
      <w:r w:rsidR="00483A80" w:rsidRPr="00E47369">
        <w:rPr>
          <w:rFonts w:cstheme="minorHAnsi"/>
        </w:rPr>
        <w:t>.</w:t>
      </w:r>
      <w:r w:rsidRPr="00E47369">
        <w:rPr>
          <w:rFonts w:cstheme="minorHAnsi"/>
        </w:rPr>
        <w:t xml:space="preserve">1) provided the lowest yield with 72%. With ethyl glycolate (entry </w:t>
      </w:r>
      <w:r w:rsidR="0001167F" w:rsidRPr="00E47369">
        <w:rPr>
          <w:rFonts w:cstheme="minorHAnsi"/>
        </w:rPr>
        <w:t>III</w:t>
      </w:r>
      <w:r w:rsidRPr="00E47369">
        <w:rPr>
          <w:rFonts w:cstheme="minorHAnsi"/>
        </w:rPr>
        <w:t>.1.</w:t>
      </w:r>
      <w:r w:rsidR="00754BA7" w:rsidRPr="00E47369">
        <w:rPr>
          <w:rFonts w:cstheme="minorHAnsi"/>
        </w:rPr>
        <w:t>1</w:t>
      </w:r>
      <w:r w:rsidR="00483A80" w:rsidRPr="00E47369">
        <w:rPr>
          <w:rFonts w:cstheme="minorHAnsi"/>
        </w:rPr>
        <w:t>.</w:t>
      </w:r>
      <w:r w:rsidRPr="00E47369">
        <w:rPr>
          <w:rFonts w:cstheme="minorHAnsi"/>
        </w:rPr>
        <w:t xml:space="preserve">2) the yield was improved up to 88%. We were able to use lactic acid (entry </w:t>
      </w:r>
      <w:r w:rsidR="0001167F" w:rsidRPr="00E47369">
        <w:rPr>
          <w:rFonts w:cstheme="minorHAnsi"/>
        </w:rPr>
        <w:t>III</w:t>
      </w:r>
      <w:r w:rsidRPr="00E47369">
        <w:rPr>
          <w:rFonts w:cstheme="minorHAnsi"/>
        </w:rPr>
        <w:t>.1.</w:t>
      </w:r>
      <w:r w:rsidR="00754BA7" w:rsidRPr="00E47369">
        <w:rPr>
          <w:rFonts w:cstheme="minorHAnsi"/>
        </w:rPr>
        <w:t>1</w:t>
      </w:r>
      <w:r w:rsidR="00483A80" w:rsidRPr="00E47369">
        <w:rPr>
          <w:rFonts w:cstheme="minorHAnsi"/>
        </w:rPr>
        <w:t>.</w:t>
      </w:r>
      <w:r w:rsidRPr="00E47369">
        <w:rPr>
          <w:rFonts w:cstheme="minorHAnsi"/>
        </w:rPr>
        <w:t>4); an abundant and renewable chemical; as reducing agent with 81% yield. Lactic acid was used directly as an 81% solution in water exhibiting the tolerance of the DODH system to so</w:t>
      </w:r>
      <w:r w:rsidR="00E028D6">
        <w:rPr>
          <w:rFonts w:cstheme="minorHAnsi"/>
        </w:rPr>
        <w:t xml:space="preserve">me amount of water. Moving </w:t>
      </w:r>
      <w:r w:rsidRPr="00E47369">
        <w:rPr>
          <w:rFonts w:cstheme="minorHAnsi"/>
        </w:rPr>
        <w:t xml:space="preserve">from </w:t>
      </w:r>
      <w:r w:rsidRPr="00E47369">
        <w:rPr>
          <w:rFonts w:cstheme="minorHAnsi"/>
          <w:color w:val="000000" w:themeColor="text1"/>
        </w:rPr>
        <w:t xml:space="preserve">α-hydroxy ester to α-hydroxy ketone, hydroxyl acetone (entry </w:t>
      </w:r>
      <w:r w:rsidR="0001167F" w:rsidRPr="00E47369">
        <w:rPr>
          <w:rFonts w:cstheme="minorHAnsi"/>
          <w:color w:val="000000" w:themeColor="text1"/>
        </w:rPr>
        <w:t>III</w:t>
      </w:r>
      <w:r w:rsidRPr="00E47369">
        <w:rPr>
          <w:rFonts w:cstheme="minorHAnsi"/>
          <w:color w:val="000000" w:themeColor="text1"/>
        </w:rPr>
        <w:t>.1.</w:t>
      </w:r>
      <w:r w:rsidR="00483A80" w:rsidRPr="00E47369">
        <w:rPr>
          <w:rFonts w:cstheme="minorHAnsi"/>
          <w:color w:val="000000" w:themeColor="text1"/>
        </w:rPr>
        <w:t>a.</w:t>
      </w:r>
      <w:r w:rsidRPr="00E47369">
        <w:rPr>
          <w:rFonts w:cstheme="minorHAnsi"/>
          <w:color w:val="000000" w:themeColor="text1"/>
        </w:rPr>
        <w:t xml:space="preserve">5) provided similar yield </w:t>
      </w:r>
      <w:r w:rsidR="00E028D6">
        <w:rPr>
          <w:rFonts w:cstheme="minorHAnsi"/>
          <w:color w:val="000000" w:themeColor="text1"/>
        </w:rPr>
        <w:t>of</w:t>
      </w:r>
      <w:r w:rsidRPr="00E47369">
        <w:rPr>
          <w:rFonts w:cstheme="minorHAnsi"/>
          <w:color w:val="000000" w:themeColor="text1"/>
        </w:rPr>
        <w:t xml:space="preserve"> 80%.</w:t>
      </w:r>
      <w:r w:rsidRPr="00E47369">
        <w:rPr>
          <w:rFonts w:cstheme="minorHAnsi"/>
        </w:rPr>
        <w:t xml:space="preserve"> Using a secondary alcohol in the case of entry </w:t>
      </w:r>
      <w:r w:rsidR="0001167F" w:rsidRPr="00E47369">
        <w:rPr>
          <w:rFonts w:cstheme="minorHAnsi"/>
        </w:rPr>
        <w:t>III</w:t>
      </w:r>
      <w:r w:rsidRPr="00E47369">
        <w:rPr>
          <w:rFonts w:cstheme="minorHAnsi"/>
        </w:rPr>
        <w:t>.1.</w:t>
      </w:r>
      <w:r w:rsidR="00483A80" w:rsidRPr="00E47369">
        <w:rPr>
          <w:rFonts w:cstheme="minorHAnsi"/>
        </w:rPr>
        <w:t>a.</w:t>
      </w:r>
      <w:r w:rsidRPr="00E47369">
        <w:rPr>
          <w:rFonts w:cstheme="minorHAnsi"/>
        </w:rPr>
        <w:t xml:space="preserve">3 provided the highest yield </w:t>
      </w:r>
      <w:r w:rsidR="00E028D6">
        <w:rPr>
          <w:rFonts w:cstheme="minorHAnsi"/>
        </w:rPr>
        <w:t>of</w:t>
      </w:r>
      <w:r w:rsidRPr="00E47369">
        <w:rPr>
          <w:rFonts w:cstheme="minorHAnsi"/>
        </w:rPr>
        <w:t xml:space="preserve"> 96%. In the specific case of entry </w:t>
      </w:r>
      <w:r w:rsidR="0001167F" w:rsidRPr="00E47369">
        <w:rPr>
          <w:rFonts w:cstheme="minorHAnsi"/>
        </w:rPr>
        <w:t>III</w:t>
      </w:r>
      <w:r w:rsidRPr="00E47369">
        <w:rPr>
          <w:rFonts w:cstheme="minorHAnsi"/>
        </w:rPr>
        <w:t>.1.</w:t>
      </w:r>
      <w:r w:rsidR="00483A80" w:rsidRPr="00E47369">
        <w:rPr>
          <w:rFonts w:cstheme="minorHAnsi"/>
        </w:rPr>
        <w:t>a.</w:t>
      </w:r>
      <w:r w:rsidRPr="00E47369">
        <w:rPr>
          <w:rFonts w:cstheme="minorHAnsi"/>
        </w:rPr>
        <w:t>3 with ethyl lactate as reducing age</w:t>
      </w:r>
      <w:r w:rsidRPr="00E47369">
        <w:rPr>
          <w:rFonts w:cstheme="minorHAnsi"/>
          <w:color w:val="000000" w:themeColor="text1"/>
        </w:rPr>
        <w:t>nt, we tested MeReO</w:t>
      </w:r>
      <w:r w:rsidRPr="00E47369">
        <w:rPr>
          <w:rFonts w:cstheme="minorHAnsi"/>
          <w:color w:val="000000" w:themeColor="text1"/>
          <w:vertAlign w:val="subscript"/>
        </w:rPr>
        <w:t>3</w:t>
      </w:r>
      <w:r w:rsidRPr="00E47369">
        <w:rPr>
          <w:rFonts w:cstheme="minorHAnsi"/>
          <w:color w:val="000000" w:themeColor="text1"/>
        </w:rPr>
        <w:t xml:space="preserve"> as the catalyst. This change in the catalyst dropped the yield in diethyl tartrate to 55%.</w:t>
      </w:r>
    </w:p>
    <w:p w14:paraId="578FF55E" w14:textId="6C914A85" w:rsidR="002A66B7" w:rsidRPr="00C70710" w:rsidRDefault="002A66B7" w:rsidP="00C70710">
      <w:pPr>
        <w:ind w:firstLine="360"/>
        <w:jc w:val="both"/>
        <w:rPr>
          <w:rFonts w:cstheme="minorHAnsi"/>
          <w:color w:val="000000" w:themeColor="text1"/>
        </w:rPr>
      </w:pPr>
      <w:r w:rsidRPr="00E47369">
        <w:rPr>
          <w:rFonts w:cstheme="minorHAnsi"/>
          <w:color w:val="000000" w:themeColor="text1"/>
        </w:rPr>
        <w:t xml:space="preserve">Following these results we </w:t>
      </w:r>
      <w:r w:rsidR="00E028D6">
        <w:rPr>
          <w:rFonts w:cstheme="minorHAnsi"/>
          <w:color w:val="000000" w:themeColor="text1"/>
        </w:rPr>
        <w:t>used</w:t>
      </w:r>
      <w:r w:rsidRPr="00E47369">
        <w:rPr>
          <w:rFonts w:cstheme="minorHAnsi"/>
          <w:color w:val="000000" w:themeColor="text1"/>
        </w:rPr>
        <w:t xml:space="preserve"> the alcohol reductant w</w:t>
      </w:r>
      <w:r w:rsidR="00E409A4">
        <w:rPr>
          <w:rFonts w:cstheme="minorHAnsi"/>
          <w:color w:val="000000" w:themeColor="text1"/>
        </w:rPr>
        <w:t>hich provided the highest yield,</w:t>
      </w:r>
      <w:r w:rsidRPr="00E47369">
        <w:rPr>
          <w:rFonts w:cstheme="minorHAnsi"/>
          <w:color w:val="000000" w:themeColor="text1"/>
        </w:rPr>
        <w:t xml:space="preserve"> ethyl lactate</w:t>
      </w:r>
      <w:r w:rsidR="00E409A4">
        <w:rPr>
          <w:rFonts w:cstheme="minorHAnsi"/>
          <w:color w:val="000000" w:themeColor="text1"/>
        </w:rPr>
        <w:t>,</w:t>
      </w:r>
      <w:r w:rsidRPr="00E47369">
        <w:rPr>
          <w:rFonts w:cstheme="minorHAnsi"/>
          <w:color w:val="000000" w:themeColor="text1"/>
        </w:rPr>
        <w:t xml:space="preserve"> to a </w:t>
      </w:r>
      <w:r w:rsidR="00E409A4">
        <w:rPr>
          <w:rFonts w:cstheme="minorHAnsi"/>
          <w:color w:val="000000" w:themeColor="text1"/>
        </w:rPr>
        <w:t>larg</w:t>
      </w:r>
      <w:r w:rsidRPr="00E47369">
        <w:rPr>
          <w:rFonts w:cstheme="minorHAnsi"/>
          <w:color w:val="000000" w:themeColor="text1"/>
        </w:rPr>
        <w:t>er survey of diols. (</w:t>
      </w:r>
      <w:r w:rsidR="00C70710">
        <w:rPr>
          <w:rFonts w:cstheme="minorHAnsi"/>
          <w:color w:val="000000" w:themeColor="text1"/>
        </w:rPr>
        <w:t>Table III. 1.2)</w:t>
      </w:r>
      <w:r w:rsidRPr="00E47369">
        <w:rPr>
          <w:rFonts w:cstheme="minorHAnsi"/>
          <w:color w:val="000000" w:themeColor="text1"/>
        </w:rPr>
        <w:t>.</w:t>
      </w:r>
    </w:p>
    <w:p w14:paraId="48C4FE23" w14:textId="77777777" w:rsidR="00536AE9" w:rsidRPr="00E47369" w:rsidRDefault="00536AE9" w:rsidP="002A66B7">
      <w:pPr>
        <w:ind w:firstLine="360"/>
        <w:jc w:val="both"/>
        <w:rPr>
          <w:rFonts w:cstheme="minorHAnsi"/>
          <w:color w:val="000000" w:themeColor="text1"/>
        </w:rPr>
      </w:pPr>
    </w:p>
    <w:p w14:paraId="485664EC" w14:textId="77777777" w:rsidR="00754BA7" w:rsidRPr="00E47369" w:rsidRDefault="002A66B7" w:rsidP="00CD3A15">
      <w:pPr>
        <w:keepNext/>
        <w:spacing w:line="240" w:lineRule="auto"/>
        <w:jc w:val="center"/>
        <w:rPr>
          <w:rFonts w:cstheme="minorHAnsi"/>
        </w:rPr>
      </w:pPr>
      <w:r w:rsidRPr="00E47369">
        <w:rPr>
          <w:rFonts w:cstheme="minorHAnsi"/>
          <w:color w:val="000000" w:themeColor="text1"/>
        </w:rPr>
        <w:object w:dxaOrig="6372" w:dyaOrig="1418" w14:anchorId="128F18C4">
          <v:shape id="_x0000_i1068" type="#_x0000_t75" style="width:297.5pt;height:67.25pt" o:ole="">
            <v:imagedata r:id="rId134" o:title=""/>
          </v:shape>
          <o:OLEObject Type="Embed" ProgID="ChemDraw.Document.6.0" ShapeID="_x0000_i1068" DrawAspect="Content" ObjectID="_1532784922" r:id="rId135"/>
        </w:object>
      </w:r>
    </w:p>
    <w:p w14:paraId="356A9444" w14:textId="77777777" w:rsidR="002A66B7" w:rsidRPr="00323B06" w:rsidRDefault="00754BA7" w:rsidP="00323B06">
      <w:pPr>
        <w:pStyle w:val="Caption"/>
      </w:pPr>
      <w:bookmarkStart w:id="196" w:name="_Ref451796339"/>
      <w:bookmarkStart w:id="197" w:name="_Toc457670707"/>
      <w:r w:rsidRPr="00323B06">
        <w:t xml:space="preserve">Figure III. </w:t>
      </w:r>
      <w:r w:rsidR="00443010">
        <w:fldChar w:fldCharType="begin"/>
      </w:r>
      <w:r w:rsidR="00443010">
        <w:instrText xml:space="preserve"> STYLEREF 2 \s </w:instrText>
      </w:r>
      <w:r w:rsidR="00443010">
        <w:fldChar w:fldCharType="separate"/>
      </w:r>
      <w:r w:rsidR="000A0E3D">
        <w:rPr>
          <w:noProof/>
        </w:rPr>
        <w:t>1</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5</w:t>
      </w:r>
      <w:r w:rsidR="00443010">
        <w:rPr>
          <w:noProof/>
        </w:rPr>
        <w:fldChar w:fldCharType="end"/>
      </w:r>
      <w:bookmarkEnd w:id="196"/>
      <w:r w:rsidRPr="00323B06">
        <w:t xml:space="preserve"> </w:t>
      </w:r>
      <w:r w:rsidR="002A66B7" w:rsidRPr="00323B06">
        <w:t>Activity of ethyl lactate as reducing agent for DODH of diols (</w:t>
      </w:r>
      <w:r w:rsidR="002A66B7" w:rsidRPr="00323B06">
        <w:rPr>
          <w:u w:val="single"/>
        </w:rPr>
        <w:t>1</w:t>
      </w:r>
      <w:r w:rsidR="002A66B7" w:rsidRPr="00323B06">
        <w:t>)</w:t>
      </w:r>
      <w:bookmarkEnd w:id="197"/>
    </w:p>
    <w:p w14:paraId="54C6C912" w14:textId="77777777" w:rsidR="00E409A4" w:rsidRDefault="00E409A4" w:rsidP="00686DC2">
      <w:bookmarkStart w:id="198" w:name="_Ref451798048"/>
    </w:p>
    <w:p w14:paraId="78CCB9E8" w14:textId="77777777" w:rsidR="005C4B18" w:rsidRDefault="005C4B18" w:rsidP="00686DC2"/>
    <w:p w14:paraId="69829793" w14:textId="77777777" w:rsidR="005C4B18" w:rsidRDefault="005C4B18" w:rsidP="00686DC2"/>
    <w:p w14:paraId="51FDE1B4" w14:textId="77777777" w:rsidR="005C4B18" w:rsidRDefault="005C4B18" w:rsidP="00686DC2"/>
    <w:p w14:paraId="13C8A789" w14:textId="77777777" w:rsidR="005C4B18" w:rsidRDefault="005C4B18" w:rsidP="00686DC2"/>
    <w:p w14:paraId="335F6FA0" w14:textId="77777777" w:rsidR="005C4B18" w:rsidRDefault="005C4B18" w:rsidP="00686DC2"/>
    <w:p w14:paraId="1DDD5F5F" w14:textId="77777777" w:rsidR="00537311" w:rsidRDefault="00537311" w:rsidP="00686DC2"/>
    <w:p w14:paraId="5E566A28" w14:textId="77777777" w:rsidR="00537311" w:rsidRDefault="00537311" w:rsidP="00686DC2"/>
    <w:p w14:paraId="34336F80" w14:textId="77777777" w:rsidR="00537311" w:rsidRPr="00E47369" w:rsidRDefault="00537311" w:rsidP="00686DC2"/>
    <w:p w14:paraId="691CA59B" w14:textId="77777777" w:rsidR="00C47A04" w:rsidRPr="00323B06" w:rsidRDefault="00754BA7" w:rsidP="00323B06">
      <w:pPr>
        <w:pStyle w:val="Caption"/>
      </w:pPr>
      <w:bookmarkStart w:id="199" w:name="_Toc457670487"/>
      <w:r w:rsidRPr="00323B06">
        <w:t xml:space="preserve">Table III. </w:t>
      </w:r>
      <w:r w:rsidR="00443010">
        <w:fldChar w:fldCharType="begin"/>
      </w:r>
      <w:r w:rsidR="00443010">
        <w:instrText xml:space="preserve"> STYLEREF 2 \s </w:instrText>
      </w:r>
      <w:r w:rsidR="00443010">
        <w:fldChar w:fldCharType="separate"/>
      </w:r>
      <w:r w:rsidR="000A0E3D">
        <w:rPr>
          <w:noProof/>
        </w:rPr>
        <w:t>1</w:t>
      </w:r>
      <w:r w:rsidR="00443010">
        <w:rPr>
          <w:noProof/>
        </w:rPr>
        <w:fldChar w:fldCharType="end"/>
      </w:r>
      <w:r w:rsidR="00E20ED7">
        <w:t>.</w:t>
      </w:r>
      <w:r w:rsidR="00443010">
        <w:fldChar w:fldCharType="begin"/>
      </w:r>
      <w:r w:rsidR="00443010">
        <w:instrText xml:space="preserve"> SEQ Table_III. \* ARABIC \s 2 </w:instrText>
      </w:r>
      <w:r w:rsidR="00443010">
        <w:fldChar w:fldCharType="separate"/>
      </w:r>
      <w:r w:rsidR="000A0E3D">
        <w:rPr>
          <w:noProof/>
        </w:rPr>
        <w:t>2</w:t>
      </w:r>
      <w:r w:rsidR="00443010">
        <w:rPr>
          <w:noProof/>
        </w:rPr>
        <w:fldChar w:fldCharType="end"/>
      </w:r>
      <w:bookmarkEnd w:id="198"/>
      <w:r w:rsidRPr="00323B06">
        <w:t xml:space="preserve"> </w:t>
      </w:r>
      <w:r w:rsidR="002A66B7" w:rsidRPr="00323B06">
        <w:t xml:space="preserve">Alkene yield using ethyl lactate as reducing agent </w:t>
      </w:r>
      <w:r w:rsidRPr="00323B06">
        <w:t>(</w:t>
      </w:r>
      <w:r w:rsidRPr="00323B06">
        <w:fldChar w:fldCharType="begin"/>
      </w:r>
      <w:r w:rsidRPr="00323B06">
        <w:instrText xml:space="preserve"> REF _Ref451796339 \h </w:instrText>
      </w:r>
      <w:r w:rsidR="00E47369" w:rsidRPr="00323B06">
        <w:instrText xml:space="preserve"> \* MERGEFORMAT </w:instrText>
      </w:r>
      <w:r w:rsidRPr="00323B06">
        <w:fldChar w:fldCharType="separate"/>
      </w:r>
      <w:r w:rsidR="000A0E3D" w:rsidRPr="00323B06">
        <w:t xml:space="preserve">Figure III. </w:t>
      </w:r>
      <w:r w:rsidR="000A0E3D">
        <w:t>1.5</w:t>
      </w:r>
      <w:r w:rsidRPr="00323B06">
        <w:fldChar w:fldCharType="end"/>
      </w:r>
      <w:r w:rsidRPr="00323B06">
        <w:t>)</w:t>
      </w:r>
      <w:bookmarkEnd w:id="199"/>
    </w:p>
    <w:p w14:paraId="0B0A24FF" w14:textId="77777777" w:rsidR="00810326" w:rsidRPr="00810326" w:rsidRDefault="00810326" w:rsidP="00810326"/>
    <w:tbl>
      <w:tblPr>
        <w:tblW w:w="6729" w:type="dxa"/>
        <w:jc w:val="center"/>
        <w:tblCellMar>
          <w:left w:w="0" w:type="dxa"/>
          <w:right w:w="0" w:type="dxa"/>
        </w:tblCellMar>
        <w:tblLook w:val="0600" w:firstRow="0" w:lastRow="0" w:firstColumn="0" w:lastColumn="0" w:noHBand="1" w:noVBand="1"/>
      </w:tblPr>
      <w:tblGrid>
        <w:gridCol w:w="900"/>
        <w:gridCol w:w="1836"/>
        <w:gridCol w:w="2121"/>
        <w:gridCol w:w="936"/>
        <w:gridCol w:w="936"/>
      </w:tblGrid>
      <w:tr w:rsidR="002A66B7" w:rsidRPr="00E47369" w14:paraId="1865FB4B" w14:textId="77777777" w:rsidTr="00483A80">
        <w:trPr>
          <w:trHeight w:val="334"/>
          <w:jc w:val="center"/>
        </w:trPr>
        <w:tc>
          <w:tcPr>
            <w:tcW w:w="900" w:type="dxa"/>
            <w:tcBorders>
              <w:bottom w:val="single" w:sz="12" w:space="0" w:color="000000" w:themeColor="text1"/>
            </w:tcBorders>
          </w:tcPr>
          <w:p w14:paraId="1F39FD84" w14:textId="77777777" w:rsidR="002A66B7" w:rsidRPr="00E47369" w:rsidRDefault="002A66B7" w:rsidP="00537311">
            <w:pPr>
              <w:spacing w:line="276" w:lineRule="auto"/>
              <w:jc w:val="center"/>
              <w:rPr>
                <w:rFonts w:cstheme="minorHAnsi"/>
                <w:color w:val="000000" w:themeColor="text1"/>
                <w:szCs w:val="36"/>
              </w:rPr>
            </w:pPr>
            <w:r w:rsidRPr="00E47369">
              <w:rPr>
                <w:rFonts w:cstheme="minorHAnsi"/>
                <w:color w:val="000000" w:themeColor="text1"/>
                <w:szCs w:val="36"/>
              </w:rPr>
              <w:t>Entry</w:t>
            </w:r>
          </w:p>
        </w:tc>
        <w:tc>
          <w:tcPr>
            <w:tcW w:w="1836" w:type="dxa"/>
            <w:tcBorders>
              <w:left w:val="nil"/>
              <w:bottom w:val="single" w:sz="12" w:space="0" w:color="000000" w:themeColor="text1"/>
            </w:tcBorders>
            <w:shd w:val="clear" w:color="auto" w:fill="auto"/>
            <w:tcMar>
              <w:top w:w="15" w:type="dxa"/>
              <w:left w:w="15" w:type="dxa"/>
              <w:bottom w:w="0" w:type="dxa"/>
              <w:right w:w="15" w:type="dxa"/>
            </w:tcMar>
            <w:vAlign w:val="center"/>
            <w:hideMark/>
          </w:tcPr>
          <w:p w14:paraId="0EBF713F" w14:textId="77777777" w:rsidR="00810326" w:rsidRDefault="00810326" w:rsidP="00537311">
            <w:pPr>
              <w:spacing w:line="276" w:lineRule="auto"/>
              <w:jc w:val="center"/>
              <w:rPr>
                <w:rFonts w:cstheme="minorHAnsi"/>
                <w:color w:val="000000" w:themeColor="text1"/>
                <w:szCs w:val="36"/>
              </w:rPr>
            </w:pPr>
            <w:r>
              <w:rPr>
                <w:rFonts w:cstheme="minorHAnsi"/>
                <w:color w:val="000000" w:themeColor="text1"/>
                <w:szCs w:val="36"/>
              </w:rPr>
              <w:t>Diol</w:t>
            </w:r>
          </w:p>
          <w:p w14:paraId="61682B84" w14:textId="77777777" w:rsidR="002A66B7" w:rsidRPr="00E47369" w:rsidRDefault="002A66B7" w:rsidP="00537311">
            <w:pPr>
              <w:spacing w:line="276" w:lineRule="auto"/>
              <w:jc w:val="center"/>
              <w:rPr>
                <w:rFonts w:cstheme="minorHAnsi"/>
                <w:color w:val="000000" w:themeColor="text1"/>
                <w:szCs w:val="36"/>
              </w:rPr>
            </w:pPr>
            <w:r w:rsidRPr="00E47369">
              <w:rPr>
                <w:rFonts w:cstheme="minorHAnsi"/>
                <w:color w:val="000000" w:themeColor="text1"/>
                <w:szCs w:val="36"/>
              </w:rPr>
              <w:t>(</w:t>
            </w:r>
            <w:r w:rsidRPr="00E47369">
              <w:rPr>
                <w:rFonts w:cstheme="minorHAnsi"/>
                <w:b/>
                <w:color w:val="000000" w:themeColor="text1"/>
                <w:szCs w:val="36"/>
              </w:rPr>
              <w:t>1</w:t>
            </w:r>
            <w:r w:rsidRPr="00E47369">
              <w:rPr>
                <w:rFonts w:cstheme="minorHAnsi"/>
                <w:color w:val="000000" w:themeColor="text1"/>
                <w:szCs w:val="36"/>
              </w:rPr>
              <w:t xml:space="preserve">, </w:t>
            </w:r>
            <w:r w:rsidR="00810326">
              <w:rPr>
                <w:rFonts w:cstheme="minorHAnsi"/>
                <w:color w:val="000000" w:themeColor="text1"/>
                <w:szCs w:val="36"/>
              </w:rPr>
              <w:fldChar w:fldCharType="begin"/>
            </w:r>
            <w:r w:rsidR="00810326">
              <w:rPr>
                <w:rFonts w:cstheme="minorHAnsi"/>
                <w:color w:val="000000" w:themeColor="text1"/>
                <w:szCs w:val="36"/>
              </w:rPr>
              <w:instrText xml:space="preserve"> REF _Ref451796339 \h  \* MERGEFORMAT </w:instrText>
            </w:r>
            <w:r w:rsidR="00810326">
              <w:rPr>
                <w:rFonts w:cstheme="minorHAnsi"/>
                <w:color w:val="000000" w:themeColor="text1"/>
                <w:szCs w:val="36"/>
              </w:rPr>
            </w:r>
            <w:r w:rsidR="00810326">
              <w:rPr>
                <w:rFonts w:cstheme="minorHAnsi"/>
                <w:color w:val="000000" w:themeColor="text1"/>
                <w:szCs w:val="36"/>
              </w:rPr>
              <w:fldChar w:fldCharType="separate"/>
            </w:r>
            <w:r w:rsidR="000A0E3D" w:rsidRPr="000A0E3D">
              <w:rPr>
                <w:rFonts w:cstheme="minorHAnsi"/>
              </w:rPr>
              <w:t xml:space="preserve">Figure III. </w:t>
            </w:r>
            <w:r w:rsidR="000A0E3D" w:rsidRPr="000A0E3D">
              <w:rPr>
                <w:rFonts w:cstheme="minorHAnsi"/>
                <w:noProof/>
              </w:rPr>
              <w:t>1.5</w:t>
            </w:r>
            <w:r w:rsidR="00810326">
              <w:rPr>
                <w:rFonts w:cstheme="minorHAnsi"/>
                <w:color w:val="000000" w:themeColor="text1"/>
                <w:szCs w:val="36"/>
              </w:rPr>
              <w:fldChar w:fldCharType="end"/>
            </w:r>
            <w:r w:rsidRPr="00E47369">
              <w:rPr>
                <w:rFonts w:cstheme="minorHAnsi"/>
                <w:color w:val="000000" w:themeColor="text1"/>
                <w:szCs w:val="36"/>
              </w:rPr>
              <w:t>)</w:t>
            </w:r>
          </w:p>
        </w:tc>
        <w:tc>
          <w:tcPr>
            <w:tcW w:w="2121" w:type="dxa"/>
            <w:tcBorders>
              <w:left w:val="nil"/>
              <w:bottom w:val="single" w:sz="12" w:space="0" w:color="auto"/>
              <w:right w:val="single" w:sz="12" w:space="0" w:color="auto"/>
            </w:tcBorders>
            <w:vAlign w:val="center"/>
          </w:tcPr>
          <w:p w14:paraId="745A588B" w14:textId="77777777" w:rsidR="00810326" w:rsidRDefault="002A66B7" w:rsidP="00537311">
            <w:pPr>
              <w:spacing w:line="276" w:lineRule="auto"/>
              <w:jc w:val="center"/>
              <w:textAlignment w:val="bottom"/>
              <w:rPr>
                <w:rFonts w:cstheme="minorHAnsi"/>
                <w:color w:val="000000" w:themeColor="text1"/>
                <w:kern w:val="24"/>
                <w:szCs w:val="28"/>
              </w:rPr>
            </w:pPr>
            <w:r w:rsidRPr="00E47369">
              <w:rPr>
                <w:rFonts w:cstheme="minorHAnsi"/>
                <w:color w:val="000000" w:themeColor="text1"/>
                <w:kern w:val="24"/>
                <w:szCs w:val="28"/>
              </w:rPr>
              <w:t>A</w:t>
            </w:r>
            <w:r w:rsidR="00810326">
              <w:rPr>
                <w:rFonts w:cstheme="minorHAnsi"/>
                <w:color w:val="000000" w:themeColor="text1"/>
                <w:kern w:val="24"/>
                <w:szCs w:val="28"/>
              </w:rPr>
              <w:t>lkene</w:t>
            </w:r>
          </w:p>
          <w:p w14:paraId="4903B46C" w14:textId="77777777" w:rsidR="002A66B7" w:rsidRPr="00E47369" w:rsidRDefault="002A66B7" w:rsidP="00537311">
            <w:pPr>
              <w:spacing w:line="276" w:lineRule="auto"/>
              <w:jc w:val="center"/>
              <w:textAlignment w:val="bottom"/>
              <w:rPr>
                <w:rFonts w:cstheme="minorHAnsi"/>
                <w:color w:val="000000" w:themeColor="text1"/>
                <w:kern w:val="24"/>
                <w:szCs w:val="28"/>
              </w:rPr>
            </w:pPr>
            <w:r w:rsidRPr="00E47369">
              <w:rPr>
                <w:rFonts w:cstheme="minorHAnsi"/>
                <w:color w:val="000000" w:themeColor="text1"/>
                <w:szCs w:val="36"/>
              </w:rPr>
              <w:t>(</w:t>
            </w:r>
            <w:r w:rsidRPr="00E47369">
              <w:rPr>
                <w:rFonts w:cstheme="minorHAnsi"/>
                <w:b/>
                <w:color w:val="000000" w:themeColor="text1"/>
                <w:szCs w:val="36"/>
              </w:rPr>
              <w:t>3</w:t>
            </w:r>
            <w:r w:rsidRPr="00E47369">
              <w:rPr>
                <w:rFonts w:cstheme="minorHAnsi"/>
                <w:color w:val="000000" w:themeColor="text1"/>
                <w:szCs w:val="36"/>
              </w:rPr>
              <w:t xml:space="preserve">, </w:t>
            </w:r>
            <w:r w:rsidR="00810326">
              <w:rPr>
                <w:rFonts w:cstheme="minorHAnsi"/>
                <w:color w:val="000000" w:themeColor="text1"/>
                <w:szCs w:val="36"/>
              </w:rPr>
              <w:fldChar w:fldCharType="begin"/>
            </w:r>
            <w:r w:rsidR="00810326">
              <w:rPr>
                <w:rFonts w:cstheme="minorHAnsi"/>
                <w:color w:val="000000" w:themeColor="text1"/>
                <w:szCs w:val="36"/>
              </w:rPr>
              <w:instrText xml:space="preserve"> REF _Ref451796339 \h  \* MERGEFORMAT </w:instrText>
            </w:r>
            <w:r w:rsidR="00810326">
              <w:rPr>
                <w:rFonts w:cstheme="minorHAnsi"/>
                <w:color w:val="000000" w:themeColor="text1"/>
                <w:szCs w:val="36"/>
              </w:rPr>
            </w:r>
            <w:r w:rsidR="00810326">
              <w:rPr>
                <w:rFonts w:cstheme="minorHAnsi"/>
                <w:color w:val="000000" w:themeColor="text1"/>
                <w:szCs w:val="36"/>
              </w:rPr>
              <w:fldChar w:fldCharType="separate"/>
            </w:r>
            <w:r w:rsidR="000A0E3D" w:rsidRPr="000A0E3D">
              <w:rPr>
                <w:rFonts w:cstheme="minorHAnsi"/>
              </w:rPr>
              <w:t xml:space="preserve">Figure III. </w:t>
            </w:r>
            <w:r w:rsidR="000A0E3D" w:rsidRPr="000A0E3D">
              <w:rPr>
                <w:rFonts w:cstheme="minorHAnsi"/>
                <w:noProof/>
              </w:rPr>
              <w:t>1.5</w:t>
            </w:r>
            <w:r w:rsidR="00810326">
              <w:rPr>
                <w:rFonts w:cstheme="minorHAnsi"/>
                <w:color w:val="000000" w:themeColor="text1"/>
                <w:szCs w:val="36"/>
              </w:rPr>
              <w:fldChar w:fldCharType="end"/>
            </w:r>
            <w:r w:rsidRPr="00E47369">
              <w:rPr>
                <w:rFonts w:cstheme="minorHAnsi"/>
                <w:color w:val="000000" w:themeColor="text1"/>
                <w:szCs w:val="36"/>
              </w:rPr>
              <w:t>)</w:t>
            </w:r>
          </w:p>
        </w:tc>
        <w:tc>
          <w:tcPr>
            <w:tcW w:w="936" w:type="dxa"/>
            <w:tcBorders>
              <w:left w:val="single" w:sz="12" w:space="0" w:color="auto"/>
              <w:bottom w:val="single" w:sz="12" w:space="0" w:color="auto"/>
            </w:tcBorders>
            <w:shd w:val="clear" w:color="auto" w:fill="auto"/>
            <w:tcMar>
              <w:top w:w="15" w:type="dxa"/>
              <w:left w:w="15" w:type="dxa"/>
              <w:bottom w:w="0" w:type="dxa"/>
              <w:right w:w="15" w:type="dxa"/>
            </w:tcMar>
            <w:vAlign w:val="center"/>
            <w:hideMark/>
          </w:tcPr>
          <w:p w14:paraId="2E2D6AAD" w14:textId="77777777" w:rsidR="002A66B7" w:rsidRPr="00E47369" w:rsidRDefault="002A66B7" w:rsidP="00537311">
            <w:pPr>
              <w:spacing w:line="276" w:lineRule="auto"/>
              <w:jc w:val="center"/>
              <w:textAlignment w:val="bottom"/>
              <w:rPr>
                <w:rFonts w:cstheme="minorHAnsi"/>
                <w:color w:val="000000" w:themeColor="text1"/>
                <w:szCs w:val="36"/>
              </w:rPr>
            </w:pPr>
            <w:r w:rsidRPr="00E47369">
              <w:rPr>
                <w:rFonts w:cstheme="minorHAnsi"/>
                <w:color w:val="000000" w:themeColor="text1"/>
                <w:kern w:val="24"/>
                <w:szCs w:val="28"/>
              </w:rPr>
              <w:t>1M</w:t>
            </w:r>
          </w:p>
        </w:tc>
        <w:tc>
          <w:tcPr>
            <w:tcW w:w="936" w:type="dxa"/>
            <w:tcBorders>
              <w:left w:val="nil"/>
              <w:bottom w:val="single" w:sz="12" w:space="0" w:color="auto"/>
            </w:tcBorders>
            <w:shd w:val="clear" w:color="auto" w:fill="auto"/>
            <w:tcMar>
              <w:top w:w="15" w:type="dxa"/>
              <w:left w:w="15" w:type="dxa"/>
              <w:bottom w:w="0" w:type="dxa"/>
              <w:right w:w="15" w:type="dxa"/>
            </w:tcMar>
            <w:vAlign w:val="center"/>
            <w:hideMark/>
          </w:tcPr>
          <w:p w14:paraId="1F6247B7" w14:textId="77777777" w:rsidR="002A66B7" w:rsidRPr="00E47369" w:rsidRDefault="002A66B7" w:rsidP="00537311">
            <w:pPr>
              <w:spacing w:line="276" w:lineRule="auto"/>
              <w:jc w:val="center"/>
              <w:textAlignment w:val="bottom"/>
              <w:rPr>
                <w:rFonts w:cstheme="minorHAnsi"/>
                <w:color w:val="000000" w:themeColor="text1"/>
                <w:szCs w:val="36"/>
              </w:rPr>
            </w:pPr>
            <w:r w:rsidRPr="00E47369">
              <w:rPr>
                <w:rFonts w:cstheme="minorHAnsi"/>
                <w:color w:val="000000" w:themeColor="text1"/>
                <w:kern w:val="24"/>
                <w:szCs w:val="28"/>
              </w:rPr>
              <w:t>0.25M</w:t>
            </w:r>
          </w:p>
        </w:tc>
      </w:tr>
      <w:tr w:rsidR="002A66B7" w:rsidRPr="00E47369" w14:paraId="79A2ABD8" w14:textId="77777777" w:rsidTr="00483A80">
        <w:trPr>
          <w:trHeight w:val="496"/>
          <w:jc w:val="center"/>
        </w:trPr>
        <w:tc>
          <w:tcPr>
            <w:tcW w:w="900" w:type="dxa"/>
            <w:tcBorders>
              <w:top w:val="single" w:sz="12" w:space="0" w:color="000000" w:themeColor="text1"/>
            </w:tcBorders>
            <w:vAlign w:val="center"/>
          </w:tcPr>
          <w:p w14:paraId="1B662E7C" w14:textId="77777777" w:rsidR="002A66B7" w:rsidRPr="00E47369" w:rsidRDefault="00483A80" w:rsidP="00537311">
            <w:pPr>
              <w:spacing w:line="276" w:lineRule="auto"/>
              <w:jc w:val="center"/>
              <w:textAlignment w:val="bottom"/>
              <w:rPr>
                <w:rFonts w:cstheme="minorHAnsi"/>
                <w:noProof/>
                <w:color w:val="000000" w:themeColor="text1"/>
              </w:rPr>
            </w:pPr>
            <w:r w:rsidRPr="00E47369">
              <w:rPr>
                <w:rFonts w:cstheme="minorHAnsi"/>
                <w:noProof/>
                <w:color w:val="000000" w:themeColor="text1"/>
              </w:rPr>
              <w:t>III</w:t>
            </w:r>
            <w:r w:rsidR="002A66B7" w:rsidRPr="00E47369">
              <w:rPr>
                <w:rFonts w:cstheme="minorHAnsi"/>
                <w:noProof/>
                <w:color w:val="000000" w:themeColor="text1"/>
              </w:rPr>
              <w:t>.</w:t>
            </w:r>
            <w:r w:rsidRPr="00E47369">
              <w:rPr>
                <w:rFonts w:cstheme="minorHAnsi"/>
                <w:noProof/>
                <w:color w:val="000000" w:themeColor="text1"/>
              </w:rPr>
              <w:t>1</w:t>
            </w:r>
            <w:r w:rsidR="002A66B7" w:rsidRPr="00E47369">
              <w:rPr>
                <w:rFonts w:cstheme="minorHAnsi"/>
                <w:noProof/>
                <w:color w:val="000000" w:themeColor="text1"/>
              </w:rPr>
              <w:t>.</w:t>
            </w:r>
            <w:r w:rsidR="00754BA7" w:rsidRPr="00E47369">
              <w:rPr>
                <w:rFonts w:cstheme="minorHAnsi"/>
                <w:noProof/>
                <w:color w:val="000000" w:themeColor="text1"/>
              </w:rPr>
              <w:t>2</w:t>
            </w:r>
            <w:r w:rsidRPr="00E47369">
              <w:rPr>
                <w:rFonts w:cstheme="minorHAnsi"/>
                <w:noProof/>
                <w:color w:val="000000" w:themeColor="text1"/>
              </w:rPr>
              <w:t>.</w:t>
            </w:r>
            <w:r w:rsidR="00203D06" w:rsidRPr="00E47369">
              <w:rPr>
                <w:rFonts w:cstheme="minorHAnsi"/>
                <w:noProof/>
                <w:color w:val="000000" w:themeColor="text1"/>
              </w:rPr>
              <w:t>6</w:t>
            </w:r>
          </w:p>
        </w:tc>
        <w:tc>
          <w:tcPr>
            <w:tcW w:w="1836" w:type="dxa"/>
            <w:tcBorders>
              <w:top w:val="single" w:sz="12" w:space="0" w:color="000000" w:themeColor="text1"/>
              <w:left w:val="nil"/>
              <w:right w:val="dashed" w:sz="4" w:space="0" w:color="auto"/>
            </w:tcBorders>
            <w:shd w:val="clear" w:color="auto" w:fill="auto"/>
            <w:tcMar>
              <w:top w:w="15" w:type="dxa"/>
              <w:left w:w="15" w:type="dxa"/>
              <w:bottom w:w="0" w:type="dxa"/>
              <w:right w:w="15" w:type="dxa"/>
            </w:tcMar>
            <w:vAlign w:val="center"/>
            <w:hideMark/>
          </w:tcPr>
          <w:p w14:paraId="3A121467" w14:textId="77777777" w:rsidR="002A66B7" w:rsidRPr="00E47369" w:rsidRDefault="00E409A4" w:rsidP="00537311">
            <w:pPr>
              <w:spacing w:line="276" w:lineRule="auto"/>
              <w:jc w:val="center"/>
              <w:textAlignment w:val="bottom"/>
              <w:rPr>
                <w:rFonts w:cstheme="minorHAnsi"/>
                <w:color w:val="000000" w:themeColor="text1"/>
                <w:szCs w:val="36"/>
              </w:rPr>
            </w:pPr>
            <w:r w:rsidRPr="00E47369">
              <w:rPr>
                <w:rFonts w:cstheme="minorHAnsi"/>
              </w:rPr>
              <w:object w:dxaOrig="1529" w:dyaOrig="721" w14:anchorId="16B5DC71">
                <v:shape id="_x0000_i1069" type="#_x0000_t75" style="width:41.15pt;height:20.55pt" o:ole="">
                  <v:imagedata r:id="rId136" o:title=""/>
                </v:shape>
                <o:OLEObject Type="Embed" ProgID="ChemDraw.Document.6.0" ShapeID="_x0000_i1069" DrawAspect="Content" ObjectID="_1532784923" r:id="rId137"/>
              </w:object>
            </w:r>
          </w:p>
        </w:tc>
        <w:tc>
          <w:tcPr>
            <w:tcW w:w="2121" w:type="dxa"/>
            <w:tcBorders>
              <w:top w:val="single" w:sz="12" w:space="0" w:color="auto"/>
              <w:left w:val="dashed" w:sz="4" w:space="0" w:color="auto"/>
              <w:right w:val="single" w:sz="12" w:space="0" w:color="auto"/>
            </w:tcBorders>
            <w:vAlign w:val="center"/>
          </w:tcPr>
          <w:p w14:paraId="62A58696" w14:textId="77777777" w:rsidR="002A66B7" w:rsidRPr="00E47369" w:rsidRDefault="00E409A4" w:rsidP="00537311">
            <w:pPr>
              <w:spacing w:line="276" w:lineRule="auto"/>
              <w:jc w:val="center"/>
              <w:textAlignment w:val="center"/>
              <w:rPr>
                <w:rFonts w:cstheme="minorHAnsi"/>
                <w:color w:val="000000" w:themeColor="text1"/>
                <w:kern w:val="24"/>
                <w:szCs w:val="28"/>
              </w:rPr>
            </w:pPr>
            <w:r w:rsidRPr="00E47369">
              <w:rPr>
                <w:rFonts w:cstheme="minorHAnsi"/>
              </w:rPr>
              <w:object w:dxaOrig="1058" w:dyaOrig="348" w14:anchorId="59D6883B">
                <v:shape id="_x0000_i1070" type="#_x0000_t75" style="width:30.05pt;height:9.5pt" o:ole="">
                  <v:imagedata r:id="rId138" o:title=""/>
                </v:shape>
                <o:OLEObject Type="Embed" ProgID="ChemDraw.Document.6.0" ShapeID="_x0000_i1070" DrawAspect="Content" ObjectID="_1532784924" r:id="rId139"/>
              </w:object>
            </w:r>
          </w:p>
        </w:tc>
        <w:tc>
          <w:tcPr>
            <w:tcW w:w="936" w:type="dxa"/>
            <w:tcBorders>
              <w:top w:val="single" w:sz="12" w:space="0" w:color="auto"/>
              <w:left w:val="single" w:sz="12" w:space="0" w:color="auto"/>
            </w:tcBorders>
            <w:shd w:val="clear" w:color="auto" w:fill="auto"/>
            <w:tcMar>
              <w:top w:w="15" w:type="dxa"/>
              <w:left w:w="15" w:type="dxa"/>
              <w:bottom w:w="0" w:type="dxa"/>
              <w:right w:w="15" w:type="dxa"/>
            </w:tcMar>
            <w:vAlign w:val="center"/>
            <w:hideMark/>
          </w:tcPr>
          <w:p w14:paraId="03291A2A" w14:textId="77777777" w:rsidR="002A66B7" w:rsidRPr="00E47369" w:rsidRDefault="002A66B7" w:rsidP="00537311">
            <w:pPr>
              <w:spacing w:line="276" w:lineRule="auto"/>
              <w:jc w:val="center"/>
              <w:textAlignment w:val="center"/>
              <w:rPr>
                <w:rFonts w:cstheme="minorHAnsi"/>
                <w:color w:val="000000" w:themeColor="text1"/>
                <w:szCs w:val="36"/>
              </w:rPr>
            </w:pPr>
            <w:r w:rsidRPr="00E47369">
              <w:rPr>
                <w:rFonts w:cstheme="minorHAnsi"/>
                <w:color w:val="000000" w:themeColor="text1"/>
                <w:kern w:val="24"/>
                <w:szCs w:val="28"/>
              </w:rPr>
              <w:t>40%</w:t>
            </w:r>
          </w:p>
        </w:tc>
        <w:tc>
          <w:tcPr>
            <w:tcW w:w="936" w:type="dxa"/>
            <w:tcBorders>
              <w:top w:val="single" w:sz="12" w:space="0" w:color="auto"/>
              <w:left w:val="nil"/>
            </w:tcBorders>
            <w:shd w:val="clear" w:color="auto" w:fill="auto"/>
            <w:tcMar>
              <w:top w:w="15" w:type="dxa"/>
              <w:left w:w="15" w:type="dxa"/>
              <w:bottom w:w="0" w:type="dxa"/>
              <w:right w:w="15" w:type="dxa"/>
            </w:tcMar>
            <w:vAlign w:val="center"/>
            <w:hideMark/>
          </w:tcPr>
          <w:p w14:paraId="5ADD5F6C" w14:textId="77777777" w:rsidR="002A66B7" w:rsidRPr="00E47369" w:rsidRDefault="002A66B7" w:rsidP="00537311">
            <w:pPr>
              <w:spacing w:line="276" w:lineRule="auto"/>
              <w:jc w:val="center"/>
              <w:textAlignment w:val="center"/>
              <w:rPr>
                <w:rFonts w:cstheme="minorHAnsi"/>
                <w:color w:val="000000" w:themeColor="text1"/>
                <w:szCs w:val="36"/>
              </w:rPr>
            </w:pPr>
            <w:r w:rsidRPr="00E47369">
              <w:rPr>
                <w:rFonts w:cstheme="minorHAnsi"/>
                <w:color w:val="000000" w:themeColor="text1"/>
                <w:kern w:val="24"/>
                <w:szCs w:val="28"/>
              </w:rPr>
              <w:t>26%</w:t>
            </w:r>
          </w:p>
        </w:tc>
      </w:tr>
      <w:tr w:rsidR="002A66B7" w:rsidRPr="00E47369" w14:paraId="3F4ECB71" w14:textId="77777777" w:rsidTr="00483A80">
        <w:trPr>
          <w:trHeight w:val="524"/>
          <w:jc w:val="center"/>
        </w:trPr>
        <w:tc>
          <w:tcPr>
            <w:tcW w:w="900" w:type="dxa"/>
            <w:vAlign w:val="center"/>
          </w:tcPr>
          <w:p w14:paraId="70A766BE" w14:textId="77777777" w:rsidR="002A66B7" w:rsidRPr="00E47369" w:rsidRDefault="00483A80" w:rsidP="00537311">
            <w:pPr>
              <w:spacing w:line="276" w:lineRule="auto"/>
              <w:jc w:val="center"/>
              <w:textAlignment w:val="bottom"/>
              <w:rPr>
                <w:rFonts w:cstheme="minorHAnsi"/>
                <w:noProof/>
                <w:color w:val="000000" w:themeColor="text1"/>
              </w:rPr>
            </w:pPr>
            <w:r w:rsidRPr="00E47369">
              <w:rPr>
                <w:rFonts w:cstheme="minorHAnsi"/>
                <w:noProof/>
                <w:color w:val="000000" w:themeColor="text1"/>
              </w:rPr>
              <w:t>III</w:t>
            </w:r>
            <w:r w:rsidR="002A66B7" w:rsidRPr="00E47369">
              <w:rPr>
                <w:rFonts w:cstheme="minorHAnsi"/>
                <w:noProof/>
                <w:color w:val="000000" w:themeColor="text1"/>
              </w:rPr>
              <w:t>.</w:t>
            </w:r>
            <w:r w:rsidRPr="00E47369">
              <w:rPr>
                <w:rFonts w:cstheme="minorHAnsi"/>
                <w:noProof/>
                <w:color w:val="000000" w:themeColor="text1"/>
              </w:rPr>
              <w:t>1</w:t>
            </w:r>
            <w:r w:rsidR="002A66B7" w:rsidRPr="00E47369">
              <w:rPr>
                <w:rFonts w:cstheme="minorHAnsi"/>
                <w:noProof/>
                <w:color w:val="000000" w:themeColor="text1"/>
              </w:rPr>
              <w:t>.</w:t>
            </w:r>
            <w:r w:rsidR="00754BA7" w:rsidRPr="00E47369">
              <w:rPr>
                <w:rFonts w:cstheme="minorHAnsi"/>
                <w:noProof/>
                <w:color w:val="000000" w:themeColor="text1"/>
              </w:rPr>
              <w:t>2</w:t>
            </w:r>
            <w:r w:rsidRPr="00E47369">
              <w:rPr>
                <w:rFonts w:cstheme="minorHAnsi"/>
                <w:noProof/>
                <w:color w:val="000000" w:themeColor="text1"/>
              </w:rPr>
              <w:t>.</w:t>
            </w:r>
            <w:r w:rsidR="00203D06" w:rsidRPr="00E47369">
              <w:rPr>
                <w:rFonts w:cstheme="minorHAnsi"/>
                <w:noProof/>
                <w:color w:val="000000" w:themeColor="text1"/>
              </w:rPr>
              <w:t>7</w:t>
            </w:r>
          </w:p>
        </w:tc>
        <w:tc>
          <w:tcPr>
            <w:tcW w:w="1836" w:type="dxa"/>
            <w:tcBorders>
              <w:left w:val="nil"/>
              <w:right w:val="dashed" w:sz="4" w:space="0" w:color="auto"/>
            </w:tcBorders>
            <w:shd w:val="clear" w:color="auto" w:fill="auto"/>
            <w:tcMar>
              <w:top w:w="15" w:type="dxa"/>
              <w:left w:w="15" w:type="dxa"/>
              <w:bottom w:w="0" w:type="dxa"/>
              <w:right w:w="15" w:type="dxa"/>
            </w:tcMar>
            <w:vAlign w:val="center"/>
            <w:hideMark/>
          </w:tcPr>
          <w:p w14:paraId="611D68CE" w14:textId="77777777" w:rsidR="002A66B7" w:rsidRPr="00E47369" w:rsidRDefault="00E409A4" w:rsidP="00537311">
            <w:pPr>
              <w:spacing w:line="276" w:lineRule="auto"/>
              <w:jc w:val="center"/>
              <w:textAlignment w:val="bottom"/>
              <w:rPr>
                <w:rFonts w:cstheme="minorHAnsi"/>
                <w:color w:val="000000" w:themeColor="text1"/>
                <w:szCs w:val="36"/>
              </w:rPr>
            </w:pPr>
            <w:r w:rsidRPr="00E47369">
              <w:rPr>
                <w:rFonts w:cstheme="minorHAnsi"/>
              </w:rPr>
              <w:object w:dxaOrig="2110" w:dyaOrig="721" w14:anchorId="16352D95">
                <v:shape id="_x0000_i1071" type="#_x0000_t75" style="width:53.8pt;height:18.2pt" o:ole="">
                  <v:imagedata r:id="rId140" o:title=""/>
                </v:shape>
                <o:OLEObject Type="Embed" ProgID="ChemDraw.Document.6.0" ShapeID="_x0000_i1071" DrawAspect="Content" ObjectID="_1532784925" r:id="rId141"/>
              </w:object>
            </w:r>
          </w:p>
        </w:tc>
        <w:tc>
          <w:tcPr>
            <w:tcW w:w="2121" w:type="dxa"/>
            <w:tcBorders>
              <w:left w:val="dashed" w:sz="4" w:space="0" w:color="auto"/>
              <w:right w:val="single" w:sz="12" w:space="0" w:color="auto"/>
            </w:tcBorders>
            <w:vAlign w:val="center"/>
          </w:tcPr>
          <w:p w14:paraId="404A8253" w14:textId="77777777" w:rsidR="002A66B7" w:rsidRPr="00E47369" w:rsidRDefault="00E409A4" w:rsidP="00537311">
            <w:pPr>
              <w:spacing w:line="276" w:lineRule="auto"/>
              <w:jc w:val="center"/>
              <w:textAlignment w:val="center"/>
              <w:rPr>
                <w:rFonts w:cstheme="minorHAnsi"/>
                <w:color w:val="000000" w:themeColor="text1"/>
                <w:kern w:val="24"/>
                <w:szCs w:val="28"/>
              </w:rPr>
            </w:pPr>
            <w:r w:rsidRPr="00E47369">
              <w:rPr>
                <w:rFonts w:cstheme="minorHAnsi"/>
              </w:rPr>
              <w:object w:dxaOrig="1639" w:dyaOrig="433" w14:anchorId="1122610F">
                <v:shape id="_x0000_i1072" type="#_x0000_t75" style="width:41.15pt;height:11.85pt" o:ole="">
                  <v:imagedata r:id="rId142" o:title=""/>
                </v:shape>
                <o:OLEObject Type="Embed" ProgID="ChemDraw.Document.6.0" ShapeID="_x0000_i1072" DrawAspect="Content" ObjectID="_1532784926" r:id="rId143"/>
              </w:object>
            </w:r>
          </w:p>
        </w:tc>
        <w:tc>
          <w:tcPr>
            <w:tcW w:w="936" w:type="dxa"/>
            <w:tcBorders>
              <w:left w:val="single" w:sz="12" w:space="0" w:color="auto"/>
            </w:tcBorders>
            <w:shd w:val="clear" w:color="auto" w:fill="auto"/>
            <w:tcMar>
              <w:top w:w="15" w:type="dxa"/>
              <w:left w:w="15" w:type="dxa"/>
              <w:bottom w:w="0" w:type="dxa"/>
              <w:right w:w="15" w:type="dxa"/>
            </w:tcMar>
            <w:vAlign w:val="center"/>
            <w:hideMark/>
          </w:tcPr>
          <w:p w14:paraId="05767BAE" w14:textId="77777777" w:rsidR="002A66B7" w:rsidRPr="00E47369" w:rsidRDefault="002A66B7" w:rsidP="00537311">
            <w:pPr>
              <w:spacing w:line="276" w:lineRule="auto"/>
              <w:jc w:val="center"/>
              <w:textAlignment w:val="center"/>
              <w:rPr>
                <w:rFonts w:cstheme="minorHAnsi"/>
                <w:color w:val="000000" w:themeColor="text1"/>
                <w:szCs w:val="36"/>
              </w:rPr>
            </w:pPr>
            <w:r w:rsidRPr="00E47369">
              <w:rPr>
                <w:rFonts w:cstheme="minorHAnsi"/>
                <w:color w:val="000000" w:themeColor="text1"/>
                <w:kern w:val="24"/>
                <w:szCs w:val="28"/>
              </w:rPr>
              <w:t>21%</w:t>
            </w:r>
          </w:p>
        </w:tc>
        <w:tc>
          <w:tcPr>
            <w:tcW w:w="936" w:type="dxa"/>
            <w:tcBorders>
              <w:left w:val="nil"/>
            </w:tcBorders>
            <w:shd w:val="clear" w:color="auto" w:fill="auto"/>
            <w:tcMar>
              <w:top w:w="15" w:type="dxa"/>
              <w:left w:w="15" w:type="dxa"/>
              <w:bottom w:w="0" w:type="dxa"/>
              <w:right w:w="15" w:type="dxa"/>
            </w:tcMar>
            <w:vAlign w:val="center"/>
            <w:hideMark/>
          </w:tcPr>
          <w:p w14:paraId="2D73674D" w14:textId="77777777" w:rsidR="002A66B7" w:rsidRPr="00E47369" w:rsidRDefault="002A66B7" w:rsidP="00537311">
            <w:pPr>
              <w:spacing w:line="276" w:lineRule="auto"/>
              <w:jc w:val="center"/>
              <w:textAlignment w:val="center"/>
              <w:rPr>
                <w:rFonts w:cstheme="minorHAnsi"/>
                <w:color w:val="000000" w:themeColor="text1"/>
                <w:szCs w:val="36"/>
              </w:rPr>
            </w:pPr>
            <w:r w:rsidRPr="00E47369">
              <w:rPr>
                <w:rFonts w:cstheme="minorHAnsi"/>
                <w:color w:val="000000" w:themeColor="text1"/>
                <w:kern w:val="24"/>
                <w:szCs w:val="28"/>
              </w:rPr>
              <w:t>34%</w:t>
            </w:r>
          </w:p>
        </w:tc>
      </w:tr>
      <w:tr w:rsidR="002A66B7" w:rsidRPr="00E47369" w14:paraId="71F8739B" w14:textId="77777777" w:rsidTr="00483A80">
        <w:trPr>
          <w:trHeight w:val="686"/>
          <w:jc w:val="center"/>
        </w:trPr>
        <w:tc>
          <w:tcPr>
            <w:tcW w:w="900" w:type="dxa"/>
            <w:vAlign w:val="center"/>
          </w:tcPr>
          <w:p w14:paraId="4CDF790E" w14:textId="77777777" w:rsidR="002A66B7" w:rsidRPr="00E47369" w:rsidRDefault="00483A80" w:rsidP="00537311">
            <w:pPr>
              <w:spacing w:line="276" w:lineRule="auto"/>
              <w:jc w:val="center"/>
              <w:textAlignment w:val="bottom"/>
              <w:rPr>
                <w:rFonts w:cstheme="minorHAnsi"/>
                <w:noProof/>
                <w:color w:val="000000" w:themeColor="text1"/>
              </w:rPr>
            </w:pPr>
            <w:r w:rsidRPr="00E47369">
              <w:rPr>
                <w:rFonts w:cstheme="minorHAnsi"/>
                <w:noProof/>
                <w:color w:val="000000" w:themeColor="text1"/>
              </w:rPr>
              <w:t>III</w:t>
            </w:r>
            <w:r w:rsidR="002A66B7" w:rsidRPr="00E47369">
              <w:rPr>
                <w:rFonts w:cstheme="minorHAnsi"/>
                <w:noProof/>
                <w:color w:val="000000" w:themeColor="text1"/>
              </w:rPr>
              <w:t>.</w:t>
            </w:r>
            <w:r w:rsidRPr="00E47369">
              <w:rPr>
                <w:rFonts w:cstheme="minorHAnsi"/>
                <w:noProof/>
                <w:color w:val="000000" w:themeColor="text1"/>
              </w:rPr>
              <w:t>1</w:t>
            </w:r>
            <w:r w:rsidR="002A66B7" w:rsidRPr="00E47369">
              <w:rPr>
                <w:rFonts w:cstheme="minorHAnsi"/>
                <w:noProof/>
                <w:color w:val="000000" w:themeColor="text1"/>
              </w:rPr>
              <w:t>.</w:t>
            </w:r>
            <w:r w:rsidR="00754BA7" w:rsidRPr="00E47369">
              <w:rPr>
                <w:rFonts w:cstheme="minorHAnsi"/>
                <w:noProof/>
                <w:color w:val="000000" w:themeColor="text1"/>
              </w:rPr>
              <w:t>2</w:t>
            </w:r>
            <w:r w:rsidRPr="00E47369">
              <w:rPr>
                <w:rFonts w:cstheme="minorHAnsi"/>
                <w:noProof/>
                <w:color w:val="000000" w:themeColor="text1"/>
              </w:rPr>
              <w:t>.</w:t>
            </w:r>
            <w:r w:rsidR="00203D06" w:rsidRPr="00E47369">
              <w:rPr>
                <w:rFonts w:cstheme="minorHAnsi"/>
                <w:noProof/>
                <w:color w:val="000000" w:themeColor="text1"/>
              </w:rPr>
              <w:t>8</w:t>
            </w:r>
          </w:p>
        </w:tc>
        <w:tc>
          <w:tcPr>
            <w:tcW w:w="1836" w:type="dxa"/>
            <w:tcBorders>
              <w:left w:val="nil"/>
              <w:right w:val="dashed" w:sz="4" w:space="0" w:color="auto"/>
            </w:tcBorders>
            <w:shd w:val="clear" w:color="auto" w:fill="auto"/>
            <w:tcMar>
              <w:top w:w="15" w:type="dxa"/>
              <w:left w:w="15" w:type="dxa"/>
              <w:bottom w:w="0" w:type="dxa"/>
              <w:right w:w="15" w:type="dxa"/>
            </w:tcMar>
            <w:vAlign w:val="center"/>
            <w:hideMark/>
          </w:tcPr>
          <w:p w14:paraId="3433E11C" w14:textId="77777777" w:rsidR="002A66B7" w:rsidRPr="00E47369" w:rsidRDefault="002A66B7" w:rsidP="00537311">
            <w:pPr>
              <w:spacing w:line="276" w:lineRule="auto"/>
              <w:jc w:val="center"/>
              <w:textAlignment w:val="bottom"/>
              <w:rPr>
                <w:rFonts w:cstheme="minorHAnsi"/>
                <w:color w:val="000000" w:themeColor="text1"/>
                <w:szCs w:val="36"/>
              </w:rPr>
            </w:pPr>
            <w:r w:rsidRPr="00E47369">
              <w:rPr>
                <w:rFonts w:cstheme="minorHAnsi"/>
              </w:rPr>
              <w:object w:dxaOrig="2357" w:dyaOrig="965" w14:anchorId="6EF22B34">
                <v:shape id="_x0000_i1073" type="#_x0000_t75" style="width:62.5pt;height:25.3pt" o:ole="">
                  <v:imagedata r:id="rId144" o:title=""/>
                </v:shape>
                <o:OLEObject Type="Embed" ProgID="ChemDraw.Document.6.0" ShapeID="_x0000_i1073" DrawAspect="Content" ObjectID="_1532784927" r:id="rId145"/>
              </w:object>
            </w:r>
          </w:p>
        </w:tc>
        <w:tc>
          <w:tcPr>
            <w:tcW w:w="2121" w:type="dxa"/>
            <w:tcBorders>
              <w:left w:val="dashed" w:sz="4" w:space="0" w:color="auto"/>
              <w:right w:val="single" w:sz="12" w:space="0" w:color="auto"/>
            </w:tcBorders>
            <w:vAlign w:val="center"/>
          </w:tcPr>
          <w:p w14:paraId="454FAC8A" w14:textId="77777777" w:rsidR="002A66B7" w:rsidRPr="00E47369" w:rsidRDefault="00E409A4" w:rsidP="00537311">
            <w:pPr>
              <w:spacing w:line="276" w:lineRule="auto"/>
              <w:jc w:val="center"/>
              <w:textAlignment w:val="center"/>
              <w:rPr>
                <w:rFonts w:cstheme="minorHAnsi"/>
                <w:color w:val="000000" w:themeColor="text1"/>
                <w:kern w:val="24"/>
                <w:szCs w:val="28"/>
              </w:rPr>
            </w:pPr>
            <w:r w:rsidRPr="00E47369">
              <w:rPr>
                <w:rFonts w:cstheme="minorHAnsi"/>
              </w:rPr>
              <w:object w:dxaOrig="1890" w:dyaOrig="677" w14:anchorId="5B7050EA">
                <v:shape id="_x0000_i1074" type="#_x0000_t75" style="width:46.7pt;height:16.6pt" o:ole="">
                  <v:imagedata r:id="rId146" o:title=""/>
                </v:shape>
                <o:OLEObject Type="Embed" ProgID="ChemDraw.Document.6.0" ShapeID="_x0000_i1074" DrawAspect="Content" ObjectID="_1532784928" r:id="rId147"/>
              </w:object>
            </w:r>
          </w:p>
        </w:tc>
        <w:tc>
          <w:tcPr>
            <w:tcW w:w="936" w:type="dxa"/>
            <w:tcBorders>
              <w:left w:val="single" w:sz="12" w:space="0" w:color="auto"/>
            </w:tcBorders>
            <w:shd w:val="clear" w:color="auto" w:fill="auto"/>
            <w:tcMar>
              <w:top w:w="15" w:type="dxa"/>
              <w:left w:w="15" w:type="dxa"/>
              <w:bottom w:w="0" w:type="dxa"/>
              <w:right w:w="15" w:type="dxa"/>
            </w:tcMar>
            <w:vAlign w:val="center"/>
            <w:hideMark/>
          </w:tcPr>
          <w:p w14:paraId="1C9AFAE8" w14:textId="77777777" w:rsidR="002A66B7" w:rsidRPr="00E47369" w:rsidRDefault="002A66B7" w:rsidP="00537311">
            <w:pPr>
              <w:spacing w:line="276" w:lineRule="auto"/>
              <w:jc w:val="center"/>
              <w:textAlignment w:val="center"/>
              <w:rPr>
                <w:rFonts w:cstheme="minorHAnsi"/>
                <w:color w:val="000000" w:themeColor="text1"/>
                <w:szCs w:val="36"/>
              </w:rPr>
            </w:pPr>
            <w:r w:rsidRPr="00E47369">
              <w:rPr>
                <w:rFonts w:cstheme="minorHAnsi"/>
                <w:color w:val="000000" w:themeColor="text1"/>
                <w:kern w:val="24"/>
                <w:szCs w:val="28"/>
              </w:rPr>
              <w:t>13%</w:t>
            </w:r>
          </w:p>
        </w:tc>
        <w:tc>
          <w:tcPr>
            <w:tcW w:w="936" w:type="dxa"/>
            <w:tcBorders>
              <w:left w:val="nil"/>
            </w:tcBorders>
            <w:shd w:val="clear" w:color="auto" w:fill="auto"/>
            <w:tcMar>
              <w:top w:w="15" w:type="dxa"/>
              <w:left w:w="15" w:type="dxa"/>
              <w:bottom w:w="0" w:type="dxa"/>
              <w:right w:w="15" w:type="dxa"/>
            </w:tcMar>
            <w:vAlign w:val="center"/>
            <w:hideMark/>
          </w:tcPr>
          <w:p w14:paraId="009868C8" w14:textId="77777777" w:rsidR="002A66B7" w:rsidRPr="00E47369" w:rsidRDefault="002A66B7" w:rsidP="00537311">
            <w:pPr>
              <w:spacing w:line="276" w:lineRule="auto"/>
              <w:jc w:val="center"/>
              <w:textAlignment w:val="center"/>
              <w:rPr>
                <w:rFonts w:cstheme="minorHAnsi"/>
                <w:color w:val="000000" w:themeColor="text1"/>
                <w:szCs w:val="36"/>
              </w:rPr>
            </w:pPr>
            <w:r w:rsidRPr="00E47369">
              <w:rPr>
                <w:rFonts w:cstheme="minorHAnsi"/>
                <w:color w:val="000000" w:themeColor="text1"/>
                <w:kern w:val="24"/>
                <w:szCs w:val="28"/>
              </w:rPr>
              <w:t>30%</w:t>
            </w:r>
          </w:p>
        </w:tc>
      </w:tr>
      <w:tr w:rsidR="002A66B7" w:rsidRPr="00E47369" w14:paraId="3EED24D4" w14:textId="77777777" w:rsidTr="00483A80">
        <w:trPr>
          <w:trHeight w:val="965"/>
          <w:jc w:val="center"/>
        </w:trPr>
        <w:tc>
          <w:tcPr>
            <w:tcW w:w="900" w:type="dxa"/>
            <w:tcBorders>
              <w:bottom w:val="nil"/>
            </w:tcBorders>
            <w:vAlign w:val="center"/>
          </w:tcPr>
          <w:p w14:paraId="6377EEEE" w14:textId="77777777" w:rsidR="002A66B7" w:rsidRPr="00E47369" w:rsidRDefault="00483A80" w:rsidP="00537311">
            <w:pPr>
              <w:spacing w:line="276" w:lineRule="auto"/>
              <w:jc w:val="center"/>
              <w:textAlignment w:val="bottom"/>
              <w:rPr>
                <w:rFonts w:cstheme="minorHAnsi"/>
                <w:noProof/>
                <w:color w:val="000000" w:themeColor="text1"/>
              </w:rPr>
            </w:pPr>
            <w:r w:rsidRPr="00E47369">
              <w:rPr>
                <w:rFonts w:cstheme="minorHAnsi"/>
                <w:noProof/>
                <w:color w:val="000000" w:themeColor="text1"/>
              </w:rPr>
              <w:t>III</w:t>
            </w:r>
            <w:r w:rsidR="002A66B7" w:rsidRPr="00E47369">
              <w:rPr>
                <w:rFonts w:cstheme="minorHAnsi"/>
                <w:noProof/>
                <w:color w:val="000000" w:themeColor="text1"/>
              </w:rPr>
              <w:t>.</w:t>
            </w:r>
            <w:r w:rsidRPr="00E47369">
              <w:rPr>
                <w:rFonts w:cstheme="minorHAnsi"/>
                <w:noProof/>
                <w:color w:val="000000" w:themeColor="text1"/>
              </w:rPr>
              <w:t>1.</w:t>
            </w:r>
            <w:r w:rsidR="00754BA7" w:rsidRPr="00E47369">
              <w:rPr>
                <w:rFonts w:cstheme="minorHAnsi"/>
                <w:noProof/>
                <w:color w:val="000000" w:themeColor="text1"/>
              </w:rPr>
              <w:t>2</w:t>
            </w:r>
            <w:r w:rsidR="002A66B7" w:rsidRPr="00E47369">
              <w:rPr>
                <w:rFonts w:cstheme="minorHAnsi"/>
                <w:noProof/>
                <w:color w:val="000000" w:themeColor="text1"/>
              </w:rPr>
              <w:t>.</w:t>
            </w:r>
            <w:r w:rsidR="00203D06" w:rsidRPr="00E47369">
              <w:rPr>
                <w:rFonts w:cstheme="minorHAnsi"/>
                <w:noProof/>
                <w:color w:val="000000" w:themeColor="text1"/>
              </w:rPr>
              <w:t>9</w:t>
            </w:r>
          </w:p>
        </w:tc>
        <w:tc>
          <w:tcPr>
            <w:tcW w:w="1836" w:type="dxa"/>
            <w:tcBorders>
              <w:left w:val="nil"/>
              <w:bottom w:val="nil"/>
              <w:right w:val="dashed" w:sz="4" w:space="0" w:color="auto"/>
            </w:tcBorders>
            <w:shd w:val="clear" w:color="auto" w:fill="auto"/>
            <w:tcMar>
              <w:top w:w="15" w:type="dxa"/>
              <w:left w:w="15" w:type="dxa"/>
              <w:bottom w:w="0" w:type="dxa"/>
              <w:right w:w="15" w:type="dxa"/>
            </w:tcMar>
            <w:vAlign w:val="center"/>
            <w:hideMark/>
          </w:tcPr>
          <w:p w14:paraId="0B15FBF4" w14:textId="77777777" w:rsidR="002A66B7" w:rsidRPr="00E47369" w:rsidRDefault="002A66B7" w:rsidP="00537311">
            <w:pPr>
              <w:spacing w:line="276" w:lineRule="auto"/>
              <w:jc w:val="center"/>
              <w:textAlignment w:val="bottom"/>
              <w:rPr>
                <w:rFonts w:cstheme="minorHAnsi"/>
                <w:color w:val="000000" w:themeColor="text1"/>
                <w:szCs w:val="36"/>
              </w:rPr>
            </w:pPr>
            <w:r w:rsidRPr="00E47369">
              <w:rPr>
                <w:rFonts w:cstheme="minorHAnsi"/>
              </w:rPr>
              <w:object w:dxaOrig="1970" w:dyaOrig="965" w14:anchorId="7EDD17EA">
                <v:shape id="_x0000_i1075" type="#_x0000_t75" style="width:51.45pt;height:25.3pt" o:ole="">
                  <v:imagedata r:id="rId148" o:title=""/>
                </v:shape>
                <o:OLEObject Type="Embed" ProgID="ChemDraw.Document.6.0" ShapeID="_x0000_i1075" DrawAspect="Content" ObjectID="_1532784929" r:id="rId149"/>
              </w:object>
            </w:r>
          </w:p>
        </w:tc>
        <w:tc>
          <w:tcPr>
            <w:tcW w:w="2121" w:type="dxa"/>
            <w:tcBorders>
              <w:left w:val="dashed" w:sz="4" w:space="0" w:color="auto"/>
              <w:bottom w:val="nil"/>
              <w:right w:val="single" w:sz="12" w:space="0" w:color="auto"/>
            </w:tcBorders>
            <w:vAlign w:val="center"/>
          </w:tcPr>
          <w:p w14:paraId="656F6ACC" w14:textId="77777777" w:rsidR="002A66B7" w:rsidRPr="00E47369" w:rsidRDefault="002A66B7" w:rsidP="00537311">
            <w:pPr>
              <w:spacing w:line="276" w:lineRule="auto"/>
              <w:jc w:val="center"/>
              <w:textAlignment w:val="center"/>
              <w:rPr>
                <w:rFonts w:cstheme="minorHAnsi"/>
                <w:color w:val="000000" w:themeColor="text1"/>
                <w:kern w:val="24"/>
                <w:szCs w:val="28"/>
              </w:rPr>
            </w:pPr>
            <w:r w:rsidRPr="00E47369">
              <w:rPr>
                <w:rFonts w:cstheme="minorHAnsi"/>
              </w:rPr>
              <w:object w:dxaOrig="1968" w:dyaOrig="389" w14:anchorId="02EB7654">
                <v:shape id="_x0000_i1076" type="#_x0000_t75" style="width:51.45pt;height:9.5pt" o:ole="">
                  <v:imagedata r:id="rId150" o:title=""/>
                </v:shape>
                <o:OLEObject Type="Embed" ProgID="ChemDraw.Document.6.0" ShapeID="_x0000_i1076" DrawAspect="Content" ObjectID="_1532784930" r:id="rId151"/>
              </w:object>
            </w:r>
          </w:p>
        </w:tc>
        <w:tc>
          <w:tcPr>
            <w:tcW w:w="936" w:type="dxa"/>
            <w:tcBorders>
              <w:left w:val="single" w:sz="12" w:space="0" w:color="auto"/>
              <w:bottom w:val="nil"/>
            </w:tcBorders>
            <w:shd w:val="clear" w:color="auto" w:fill="auto"/>
            <w:tcMar>
              <w:top w:w="15" w:type="dxa"/>
              <w:left w:w="15" w:type="dxa"/>
              <w:bottom w:w="0" w:type="dxa"/>
              <w:right w:w="15" w:type="dxa"/>
            </w:tcMar>
            <w:vAlign w:val="center"/>
            <w:hideMark/>
          </w:tcPr>
          <w:p w14:paraId="7E6105EC" w14:textId="77777777" w:rsidR="002A66B7" w:rsidRPr="00E47369" w:rsidRDefault="002A66B7" w:rsidP="00537311">
            <w:pPr>
              <w:spacing w:line="276" w:lineRule="auto"/>
              <w:jc w:val="center"/>
              <w:textAlignment w:val="center"/>
              <w:rPr>
                <w:rFonts w:cstheme="minorHAnsi"/>
                <w:color w:val="000000" w:themeColor="text1"/>
                <w:szCs w:val="36"/>
              </w:rPr>
            </w:pPr>
            <w:r w:rsidRPr="00E47369">
              <w:rPr>
                <w:rFonts w:cstheme="minorHAnsi"/>
                <w:color w:val="000000" w:themeColor="text1"/>
                <w:kern w:val="24"/>
                <w:szCs w:val="28"/>
              </w:rPr>
              <w:t>66.5%</w:t>
            </w:r>
          </w:p>
        </w:tc>
        <w:tc>
          <w:tcPr>
            <w:tcW w:w="936" w:type="dxa"/>
            <w:tcBorders>
              <w:left w:val="nil"/>
              <w:bottom w:val="nil"/>
            </w:tcBorders>
            <w:shd w:val="clear" w:color="auto" w:fill="auto"/>
            <w:tcMar>
              <w:top w:w="15" w:type="dxa"/>
              <w:left w:w="15" w:type="dxa"/>
              <w:bottom w:w="0" w:type="dxa"/>
              <w:right w:w="15" w:type="dxa"/>
            </w:tcMar>
            <w:vAlign w:val="center"/>
            <w:hideMark/>
          </w:tcPr>
          <w:p w14:paraId="6B2D2B90" w14:textId="77777777" w:rsidR="002A66B7" w:rsidRPr="00E47369" w:rsidRDefault="002A66B7" w:rsidP="00537311">
            <w:pPr>
              <w:spacing w:line="276" w:lineRule="auto"/>
              <w:jc w:val="center"/>
              <w:textAlignment w:val="center"/>
              <w:rPr>
                <w:rFonts w:cstheme="minorHAnsi"/>
                <w:color w:val="000000" w:themeColor="text1"/>
                <w:szCs w:val="36"/>
              </w:rPr>
            </w:pPr>
            <w:r w:rsidRPr="00E47369">
              <w:rPr>
                <w:rFonts w:cstheme="minorHAnsi"/>
                <w:color w:val="000000" w:themeColor="text1"/>
                <w:kern w:val="24"/>
                <w:szCs w:val="28"/>
              </w:rPr>
              <w:t>88-95%</w:t>
            </w:r>
          </w:p>
        </w:tc>
      </w:tr>
    </w:tbl>
    <w:p w14:paraId="2AAABA0D" w14:textId="77777777" w:rsidR="002A66B7" w:rsidRPr="00E47369" w:rsidRDefault="002A66B7" w:rsidP="002A66B7">
      <w:pPr>
        <w:jc w:val="both"/>
        <w:rPr>
          <w:rFonts w:cstheme="minorHAnsi"/>
          <w:color w:val="000000" w:themeColor="text1"/>
        </w:rPr>
      </w:pPr>
    </w:p>
    <w:p w14:paraId="72B040D0" w14:textId="77777777" w:rsidR="002A66B7" w:rsidRPr="00E47369" w:rsidRDefault="002A66B7" w:rsidP="00536AE9">
      <w:pPr>
        <w:ind w:firstLine="360"/>
        <w:jc w:val="both"/>
        <w:rPr>
          <w:rFonts w:cstheme="minorHAnsi"/>
        </w:rPr>
      </w:pPr>
      <w:r w:rsidRPr="00E47369">
        <w:rPr>
          <w:rFonts w:cstheme="minorHAnsi"/>
        </w:rPr>
        <w:t xml:space="preserve">The alkene yields from 1,2-octanediol (entry </w:t>
      </w:r>
      <w:r w:rsidR="00754BA7" w:rsidRPr="00E47369">
        <w:rPr>
          <w:rFonts w:cstheme="minorHAnsi"/>
        </w:rPr>
        <w:t>III</w:t>
      </w:r>
      <w:r w:rsidRPr="00E47369">
        <w:rPr>
          <w:rFonts w:cstheme="minorHAnsi"/>
        </w:rPr>
        <w:t>.</w:t>
      </w:r>
      <w:r w:rsidR="00754BA7" w:rsidRPr="00E47369">
        <w:rPr>
          <w:rFonts w:cstheme="minorHAnsi"/>
        </w:rPr>
        <w:t>1.</w:t>
      </w:r>
      <w:r w:rsidRPr="00E47369">
        <w:rPr>
          <w:rFonts w:cstheme="minorHAnsi"/>
        </w:rPr>
        <w:t xml:space="preserve">2.1), glycerol monostearate (entry </w:t>
      </w:r>
      <w:r w:rsidR="00754BA7" w:rsidRPr="00E47369">
        <w:rPr>
          <w:rFonts w:cstheme="minorHAnsi"/>
        </w:rPr>
        <w:t>III.1</w:t>
      </w:r>
      <w:r w:rsidRPr="00E47369">
        <w:rPr>
          <w:rFonts w:cstheme="minorHAnsi"/>
        </w:rPr>
        <w:t xml:space="preserve">.2.2) and batyl alcohol (entry </w:t>
      </w:r>
      <w:r w:rsidR="00754BA7" w:rsidRPr="00E47369">
        <w:rPr>
          <w:rFonts w:cstheme="minorHAnsi"/>
        </w:rPr>
        <w:t>III.1</w:t>
      </w:r>
      <w:r w:rsidRPr="00E47369">
        <w:rPr>
          <w:rFonts w:cstheme="minorHAnsi"/>
        </w:rPr>
        <w:t xml:space="preserve">.2.3), were much lower than that obtained from diethyl tartrate. In these experiments we tried both the usual concentration for the DODH and the reported concentrations for a H-DA reaction (0.25M and 1M respectively). We discovered that the </w:t>
      </w:r>
      <w:r w:rsidR="00E409A4">
        <w:rPr>
          <w:rFonts w:cstheme="minorHAnsi"/>
        </w:rPr>
        <w:t>concentrations</w:t>
      </w:r>
      <w:r w:rsidRPr="00E47369">
        <w:rPr>
          <w:rFonts w:cstheme="minorHAnsi"/>
        </w:rPr>
        <w:t xml:space="preserve"> of the reaction has different effects depending on the diol, but most of the time higher </w:t>
      </w:r>
      <w:r w:rsidR="00E409A4">
        <w:rPr>
          <w:rFonts w:cstheme="minorHAnsi"/>
        </w:rPr>
        <w:t>concentration</w:t>
      </w:r>
      <w:r w:rsidRPr="00E47369">
        <w:rPr>
          <w:rFonts w:cstheme="minorHAnsi"/>
        </w:rPr>
        <w:t xml:space="preserve"> provided lower yield. </w:t>
      </w:r>
      <w:r w:rsidR="00E409A4">
        <w:rPr>
          <w:rFonts w:cstheme="minorHAnsi"/>
        </w:rPr>
        <w:t xml:space="preserve">We could explain this behavior by </w:t>
      </w:r>
      <w:r w:rsidR="006358B0">
        <w:rPr>
          <w:rFonts w:cstheme="minorHAnsi"/>
        </w:rPr>
        <w:t>faster formation of a</w:t>
      </w:r>
      <w:r w:rsidR="00E409A4">
        <w:rPr>
          <w:rFonts w:cstheme="minorHAnsi"/>
        </w:rPr>
        <w:t xml:space="preserve"> side product </w:t>
      </w:r>
      <w:r w:rsidR="00017981">
        <w:rPr>
          <w:rFonts w:cstheme="minorHAnsi"/>
        </w:rPr>
        <w:t>at higher concentration.</w:t>
      </w:r>
    </w:p>
    <w:p w14:paraId="6EB35F53" w14:textId="77777777" w:rsidR="00DF5A6F" w:rsidRPr="00E47369" w:rsidRDefault="00DF5A6F" w:rsidP="002A66B7">
      <w:pPr>
        <w:ind w:firstLine="720"/>
        <w:jc w:val="both"/>
        <w:rPr>
          <w:rFonts w:cstheme="minorHAnsi"/>
        </w:rPr>
      </w:pPr>
    </w:p>
    <w:p w14:paraId="725CE56A" w14:textId="77777777" w:rsidR="00754BA7" w:rsidRPr="00E47369" w:rsidRDefault="00FE05A3" w:rsidP="00CD3A15">
      <w:pPr>
        <w:keepNext/>
        <w:spacing w:line="240" w:lineRule="auto"/>
        <w:jc w:val="center"/>
        <w:rPr>
          <w:rFonts w:cstheme="minorHAnsi"/>
        </w:rPr>
      </w:pPr>
      <w:r w:rsidRPr="00E47369">
        <w:rPr>
          <w:rFonts w:cstheme="minorHAnsi"/>
          <w:color w:val="000000" w:themeColor="text1"/>
        </w:rPr>
        <w:object w:dxaOrig="6386" w:dyaOrig="1459" w14:anchorId="1E2733FB">
          <v:shape id="_x0000_i1077" type="#_x0000_t75" style="width:317.25pt;height:71.2pt" o:ole="">
            <v:imagedata r:id="rId152" o:title=""/>
          </v:shape>
          <o:OLEObject Type="Embed" ProgID="ChemDraw.Document.6.0" ShapeID="_x0000_i1077" DrawAspect="Content" ObjectID="_1532784931" r:id="rId153"/>
        </w:object>
      </w:r>
    </w:p>
    <w:p w14:paraId="70DA13DB" w14:textId="77777777" w:rsidR="002A66B7" w:rsidRPr="00323B06" w:rsidRDefault="00EB114B" w:rsidP="00323B06">
      <w:pPr>
        <w:pStyle w:val="Caption"/>
      </w:pPr>
      <w:bookmarkStart w:id="200" w:name="_Ref451796489"/>
      <w:bookmarkStart w:id="201" w:name="_Toc457670708"/>
      <w:r w:rsidRPr="00323B06">
        <w:t xml:space="preserve">Figure III. </w:t>
      </w:r>
      <w:r w:rsidR="00443010">
        <w:fldChar w:fldCharType="begin"/>
      </w:r>
      <w:r w:rsidR="00443010">
        <w:instrText xml:space="preserve"> STYLEREF 2 \s </w:instrText>
      </w:r>
      <w:r w:rsidR="00443010">
        <w:fldChar w:fldCharType="separate"/>
      </w:r>
      <w:r w:rsidR="000A0E3D">
        <w:rPr>
          <w:noProof/>
        </w:rPr>
        <w:t>1</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6</w:t>
      </w:r>
      <w:r w:rsidR="00443010">
        <w:rPr>
          <w:noProof/>
        </w:rPr>
        <w:fldChar w:fldCharType="end"/>
      </w:r>
      <w:bookmarkEnd w:id="200"/>
      <w:r w:rsidR="00754BA7" w:rsidRPr="00323B06">
        <w:t xml:space="preserve"> </w:t>
      </w:r>
      <w:r w:rsidR="002A66B7" w:rsidRPr="00323B06">
        <w:t>Activity of other α-hydroxy carbonyl (</w:t>
      </w:r>
      <w:r w:rsidR="002A66B7" w:rsidRPr="00323B06">
        <w:rPr>
          <w:u w:val="single"/>
        </w:rPr>
        <w:t>2</w:t>
      </w:r>
      <w:r w:rsidR="002A66B7" w:rsidRPr="00323B06">
        <w:t>) as reducing agent for DODH of glycols (</w:t>
      </w:r>
      <w:r w:rsidR="002A66B7" w:rsidRPr="00323B06">
        <w:rPr>
          <w:u w:val="single"/>
        </w:rPr>
        <w:t>1</w:t>
      </w:r>
      <w:r w:rsidR="002A66B7" w:rsidRPr="00323B06">
        <w:t>)</w:t>
      </w:r>
      <w:bookmarkEnd w:id="201"/>
    </w:p>
    <w:p w14:paraId="7938BE9A" w14:textId="77777777" w:rsidR="00E409A4" w:rsidRDefault="00E409A4" w:rsidP="00754BA7">
      <w:pPr>
        <w:rPr>
          <w:rFonts w:cstheme="minorHAnsi"/>
        </w:rPr>
      </w:pPr>
    </w:p>
    <w:p w14:paraId="1E714A55" w14:textId="77777777" w:rsidR="005C4B18" w:rsidRDefault="005C4B18" w:rsidP="00754BA7">
      <w:pPr>
        <w:rPr>
          <w:rFonts w:cstheme="minorHAnsi"/>
        </w:rPr>
      </w:pPr>
    </w:p>
    <w:p w14:paraId="34495BB7" w14:textId="77777777" w:rsidR="00537311" w:rsidRPr="00E47369" w:rsidRDefault="00537311" w:rsidP="00754BA7">
      <w:pPr>
        <w:rPr>
          <w:rFonts w:cstheme="minorHAnsi"/>
        </w:rPr>
      </w:pPr>
    </w:p>
    <w:p w14:paraId="10F51881" w14:textId="77777777" w:rsidR="002A66B7" w:rsidRPr="00323B06" w:rsidRDefault="00754BA7" w:rsidP="00323B06">
      <w:pPr>
        <w:pStyle w:val="Caption"/>
      </w:pPr>
      <w:bookmarkStart w:id="202" w:name="_Ref451796599"/>
      <w:bookmarkStart w:id="203" w:name="_Toc457670488"/>
      <w:r w:rsidRPr="00323B06">
        <w:t xml:space="preserve">Table III. </w:t>
      </w:r>
      <w:r w:rsidR="00443010">
        <w:fldChar w:fldCharType="begin"/>
      </w:r>
      <w:r w:rsidR="00443010">
        <w:instrText xml:space="preserve"> STYLEREF 2 \s </w:instrText>
      </w:r>
      <w:r w:rsidR="00443010">
        <w:fldChar w:fldCharType="separate"/>
      </w:r>
      <w:r w:rsidR="000A0E3D">
        <w:rPr>
          <w:noProof/>
        </w:rPr>
        <w:t>1</w:t>
      </w:r>
      <w:r w:rsidR="00443010">
        <w:rPr>
          <w:noProof/>
        </w:rPr>
        <w:fldChar w:fldCharType="end"/>
      </w:r>
      <w:r w:rsidR="00E20ED7">
        <w:t>.</w:t>
      </w:r>
      <w:r w:rsidR="00443010">
        <w:fldChar w:fldCharType="begin"/>
      </w:r>
      <w:r w:rsidR="00443010">
        <w:instrText xml:space="preserve"> SEQ Table_III. \* ARABIC \s 2 </w:instrText>
      </w:r>
      <w:r w:rsidR="00443010">
        <w:fldChar w:fldCharType="separate"/>
      </w:r>
      <w:r w:rsidR="000A0E3D">
        <w:rPr>
          <w:noProof/>
        </w:rPr>
        <w:t>3</w:t>
      </w:r>
      <w:r w:rsidR="00443010">
        <w:rPr>
          <w:noProof/>
        </w:rPr>
        <w:fldChar w:fldCharType="end"/>
      </w:r>
      <w:bookmarkEnd w:id="202"/>
      <w:r w:rsidRPr="00323B06">
        <w:t xml:space="preserve"> </w:t>
      </w:r>
      <w:r w:rsidR="002A66B7" w:rsidRPr="00323B06">
        <w:t>Alkene (</w:t>
      </w:r>
      <w:r w:rsidR="002A66B7" w:rsidRPr="00323B06">
        <w:rPr>
          <w:u w:val="single"/>
        </w:rPr>
        <w:t>3</w:t>
      </w:r>
      <w:r w:rsidR="002A66B7" w:rsidRPr="00323B06">
        <w:t>) yield using α-hydroxy carbonyl (</w:t>
      </w:r>
      <w:r w:rsidR="002A66B7" w:rsidRPr="00323B06">
        <w:rPr>
          <w:u w:val="single"/>
        </w:rPr>
        <w:t>2</w:t>
      </w:r>
      <w:r w:rsidR="002A66B7" w:rsidRPr="00323B06">
        <w:t>) as reducing agents</w:t>
      </w:r>
      <w:r w:rsidRPr="00323B06">
        <w:t xml:space="preserve"> (</w:t>
      </w:r>
      <w:r w:rsidRPr="00323B06">
        <w:fldChar w:fldCharType="begin"/>
      </w:r>
      <w:r w:rsidRPr="00323B06">
        <w:instrText xml:space="preserve"> REF _Ref451796489 \h </w:instrText>
      </w:r>
      <w:r w:rsidR="00E47369" w:rsidRPr="00323B06">
        <w:instrText xml:space="preserve"> \* MERGEFORMAT </w:instrText>
      </w:r>
      <w:r w:rsidRPr="00323B06">
        <w:fldChar w:fldCharType="separate"/>
      </w:r>
      <w:r w:rsidR="000A0E3D" w:rsidRPr="00323B06">
        <w:t xml:space="preserve">Figure III. </w:t>
      </w:r>
      <w:r w:rsidR="000A0E3D">
        <w:t>1.6</w:t>
      </w:r>
      <w:r w:rsidRPr="00323B06">
        <w:fldChar w:fldCharType="end"/>
      </w:r>
      <w:r w:rsidRPr="00323B06">
        <w:t>)</w:t>
      </w:r>
      <w:bookmarkEnd w:id="203"/>
    </w:p>
    <w:tbl>
      <w:tblPr>
        <w:tblW w:w="7410" w:type="dxa"/>
        <w:jc w:val="center"/>
        <w:tblCellMar>
          <w:left w:w="0" w:type="dxa"/>
          <w:right w:w="0" w:type="dxa"/>
        </w:tblCellMar>
        <w:tblLook w:val="0600" w:firstRow="0" w:lastRow="0" w:firstColumn="0" w:lastColumn="0" w:noHBand="1" w:noVBand="1"/>
      </w:tblPr>
      <w:tblGrid>
        <w:gridCol w:w="807"/>
        <w:gridCol w:w="2075"/>
        <w:gridCol w:w="1632"/>
        <w:gridCol w:w="1456"/>
        <w:gridCol w:w="1440"/>
      </w:tblGrid>
      <w:tr w:rsidR="002A66B7" w:rsidRPr="00E47369" w14:paraId="0B5D358B" w14:textId="77777777" w:rsidTr="002A66B7">
        <w:trPr>
          <w:trHeight w:val="345"/>
          <w:jc w:val="center"/>
        </w:trPr>
        <w:tc>
          <w:tcPr>
            <w:tcW w:w="810" w:type="dxa"/>
            <w:tcBorders>
              <w:top w:val="nil"/>
              <w:left w:val="nil"/>
              <w:bottom w:val="nil"/>
              <w:right w:val="nil"/>
            </w:tcBorders>
          </w:tcPr>
          <w:p w14:paraId="25B9B866" w14:textId="77777777" w:rsidR="002A66B7" w:rsidRPr="00E47369" w:rsidRDefault="002A66B7" w:rsidP="002A66B7">
            <w:pPr>
              <w:jc w:val="center"/>
              <w:rPr>
                <w:rFonts w:cstheme="minorHAnsi"/>
                <w:color w:val="000000" w:themeColor="text1"/>
              </w:rPr>
            </w:pPr>
          </w:p>
        </w:tc>
        <w:tc>
          <w:tcPr>
            <w:tcW w:w="2160" w:type="dxa"/>
            <w:tcBorders>
              <w:top w:val="nil"/>
              <w:left w:val="nil"/>
              <w:right w:val="single" w:sz="18" w:space="0" w:color="auto"/>
            </w:tcBorders>
            <w:shd w:val="clear" w:color="auto" w:fill="auto"/>
            <w:tcMar>
              <w:top w:w="15" w:type="dxa"/>
              <w:left w:w="15" w:type="dxa"/>
              <w:bottom w:w="0" w:type="dxa"/>
              <w:right w:w="15" w:type="dxa"/>
            </w:tcMar>
            <w:vAlign w:val="center"/>
          </w:tcPr>
          <w:p w14:paraId="60E3E8FC" w14:textId="77777777" w:rsidR="002A66B7" w:rsidRPr="00E47369" w:rsidRDefault="002A66B7" w:rsidP="00CD3A15">
            <w:pPr>
              <w:spacing w:line="240" w:lineRule="auto"/>
              <w:jc w:val="center"/>
              <w:rPr>
                <w:rFonts w:cstheme="minorHAnsi"/>
                <w:color w:val="000000" w:themeColor="text1"/>
              </w:rPr>
            </w:pPr>
            <w:r w:rsidRPr="00E47369">
              <w:rPr>
                <w:rFonts w:cstheme="minorHAnsi"/>
                <w:color w:val="000000" w:themeColor="text1"/>
              </w:rPr>
              <w:t>Column</w:t>
            </w:r>
          </w:p>
        </w:tc>
        <w:tc>
          <w:tcPr>
            <w:tcW w:w="1710" w:type="dxa"/>
            <w:tcBorders>
              <w:top w:val="nil"/>
              <w:left w:val="single" w:sz="18" w:space="0" w:color="auto"/>
            </w:tcBorders>
            <w:shd w:val="clear" w:color="auto" w:fill="auto"/>
            <w:tcMar>
              <w:top w:w="15" w:type="dxa"/>
              <w:left w:w="15" w:type="dxa"/>
              <w:bottom w:w="0" w:type="dxa"/>
              <w:right w:w="15" w:type="dxa"/>
            </w:tcMar>
            <w:vAlign w:val="center"/>
          </w:tcPr>
          <w:p w14:paraId="226DF3C6" w14:textId="77777777" w:rsidR="002A66B7" w:rsidRPr="00E47369" w:rsidRDefault="00E450E7" w:rsidP="003D16D2">
            <w:pPr>
              <w:spacing w:line="240" w:lineRule="auto"/>
              <w:jc w:val="center"/>
              <w:rPr>
                <w:rFonts w:cstheme="minorHAnsi"/>
                <w:color w:val="000000" w:themeColor="text1"/>
              </w:rPr>
            </w:pPr>
            <w:r w:rsidRPr="00E47369">
              <w:rPr>
                <w:rFonts w:cstheme="minorHAnsi"/>
                <w:color w:val="000000" w:themeColor="text1"/>
              </w:rPr>
              <w:t>III.1</w:t>
            </w:r>
            <w:r w:rsidR="002A66B7" w:rsidRPr="00E47369">
              <w:rPr>
                <w:rFonts w:cstheme="minorHAnsi"/>
                <w:color w:val="000000" w:themeColor="text1"/>
              </w:rPr>
              <w:t>.3.A</w:t>
            </w:r>
          </w:p>
        </w:tc>
        <w:tc>
          <w:tcPr>
            <w:tcW w:w="1470" w:type="dxa"/>
            <w:tcBorders>
              <w:top w:val="nil"/>
            </w:tcBorders>
            <w:vAlign w:val="center"/>
          </w:tcPr>
          <w:p w14:paraId="6F2DBFCE" w14:textId="77777777" w:rsidR="002A66B7" w:rsidRPr="00E47369" w:rsidRDefault="00E450E7" w:rsidP="003D16D2">
            <w:pPr>
              <w:spacing w:line="240" w:lineRule="auto"/>
              <w:jc w:val="center"/>
              <w:rPr>
                <w:rFonts w:cstheme="minorHAnsi"/>
                <w:color w:val="000000" w:themeColor="text1"/>
              </w:rPr>
            </w:pPr>
            <w:r w:rsidRPr="00E47369">
              <w:rPr>
                <w:rFonts w:cstheme="minorHAnsi"/>
                <w:color w:val="000000" w:themeColor="text1"/>
              </w:rPr>
              <w:t>III.1</w:t>
            </w:r>
            <w:r w:rsidR="002A66B7" w:rsidRPr="00E47369">
              <w:rPr>
                <w:rFonts w:cstheme="minorHAnsi"/>
                <w:color w:val="000000" w:themeColor="text1"/>
              </w:rPr>
              <w:t>.3.B</w:t>
            </w:r>
          </w:p>
        </w:tc>
        <w:tc>
          <w:tcPr>
            <w:tcW w:w="1260" w:type="dxa"/>
            <w:tcBorders>
              <w:top w:val="nil"/>
              <w:right w:val="nil"/>
            </w:tcBorders>
            <w:vAlign w:val="center"/>
          </w:tcPr>
          <w:p w14:paraId="4924299D" w14:textId="77777777" w:rsidR="002A66B7" w:rsidRPr="00E47369" w:rsidRDefault="00E450E7" w:rsidP="003D16D2">
            <w:pPr>
              <w:spacing w:line="240" w:lineRule="auto"/>
              <w:jc w:val="center"/>
              <w:rPr>
                <w:rFonts w:cstheme="minorHAnsi"/>
                <w:color w:val="000000" w:themeColor="text1"/>
              </w:rPr>
            </w:pPr>
            <w:r w:rsidRPr="00E47369">
              <w:rPr>
                <w:rFonts w:cstheme="minorHAnsi"/>
                <w:color w:val="000000" w:themeColor="text1"/>
              </w:rPr>
              <w:t>III.1</w:t>
            </w:r>
            <w:r w:rsidR="002A66B7" w:rsidRPr="00E47369">
              <w:rPr>
                <w:rFonts w:cstheme="minorHAnsi"/>
                <w:color w:val="000000" w:themeColor="text1"/>
              </w:rPr>
              <w:t>.3.C</w:t>
            </w:r>
          </w:p>
        </w:tc>
      </w:tr>
      <w:tr w:rsidR="002A66B7" w:rsidRPr="00E47369" w14:paraId="726D065F" w14:textId="77777777" w:rsidTr="002A66B7">
        <w:trPr>
          <w:trHeight w:val="345"/>
          <w:jc w:val="center"/>
        </w:trPr>
        <w:tc>
          <w:tcPr>
            <w:tcW w:w="810" w:type="dxa"/>
            <w:tcBorders>
              <w:top w:val="nil"/>
              <w:left w:val="nil"/>
              <w:bottom w:val="single" w:sz="18" w:space="0" w:color="000000" w:themeColor="text1"/>
              <w:right w:val="nil"/>
            </w:tcBorders>
          </w:tcPr>
          <w:p w14:paraId="11DBD03E" w14:textId="77777777" w:rsidR="002A66B7" w:rsidRPr="00E47369" w:rsidRDefault="002A66B7" w:rsidP="002A66B7">
            <w:pPr>
              <w:jc w:val="center"/>
              <w:rPr>
                <w:rFonts w:cstheme="minorHAnsi"/>
                <w:color w:val="000000" w:themeColor="text1"/>
              </w:rPr>
            </w:pPr>
          </w:p>
          <w:p w14:paraId="38D09D96" w14:textId="77777777" w:rsidR="002A66B7" w:rsidRPr="00E47369" w:rsidRDefault="002A66B7" w:rsidP="002A66B7">
            <w:pPr>
              <w:jc w:val="center"/>
              <w:rPr>
                <w:rFonts w:cstheme="minorHAnsi"/>
                <w:color w:val="000000" w:themeColor="text1"/>
              </w:rPr>
            </w:pPr>
            <w:r w:rsidRPr="00E47369">
              <w:rPr>
                <w:rFonts w:cstheme="minorHAnsi"/>
                <w:color w:val="000000" w:themeColor="text1"/>
              </w:rPr>
              <w:t>Entry</w:t>
            </w:r>
          </w:p>
        </w:tc>
        <w:tc>
          <w:tcPr>
            <w:tcW w:w="2160" w:type="dxa"/>
            <w:tcBorders>
              <w:top w:val="nil"/>
              <w:left w:val="nil"/>
              <w:bottom w:val="single" w:sz="18" w:space="0" w:color="000000" w:themeColor="text1"/>
              <w:right w:val="single" w:sz="18" w:space="0" w:color="auto"/>
              <w:tl2br w:val="single" w:sz="4" w:space="0" w:color="A6A6A6" w:themeColor="background1" w:themeShade="A6"/>
            </w:tcBorders>
            <w:shd w:val="clear" w:color="auto" w:fill="auto"/>
            <w:tcMar>
              <w:top w:w="15" w:type="dxa"/>
              <w:left w:w="15" w:type="dxa"/>
              <w:bottom w:w="0" w:type="dxa"/>
              <w:right w:w="15" w:type="dxa"/>
            </w:tcMar>
            <w:vAlign w:val="center"/>
          </w:tcPr>
          <w:p w14:paraId="363A4CC6" w14:textId="77777777" w:rsidR="002A66B7" w:rsidRPr="00E47369" w:rsidRDefault="002A66B7" w:rsidP="00CD3A15">
            <w:pPr>
              <w:spacing w:line="240" w:lineRule="auto"/>
              <w:jc w:val="right"/>
              <w:rPr>
                <w:rFonts w:cstheme="minorHAnsi"/>
                <w:color w:val="000000" w:themeColor="text1"/>
              </w:rPr>
            </w:pPr>
            <w:r w:rsidRPr="00E47369">
              <w:rPr>
                <w:rFonts w:cstheme="minorHAnsi"/>
                <w:b/>
                <w:color w:val="000000" w:themeColor="text1"/>
              </w:rPr>
              <w:t>2</w:t>
            </w:r>
            <w:r w:rsidRPr="00E47369">
              <w:rPr>
                <w:rFonts w:cstheme="minorHAnsi"/>
                <w:color w:val="000000" w:themeColor="text1"/>
              </w:rPr>
              <w:t xml:space="preserve"> (R</w:t>
            </w:r>
            <w:r w:rsidRPr="00E47369">
              <w:rPr>
                <w:rFonts w:cstheme="minorHAnsi"/>
                <w:color w:val="000000" w:themeColor="text1"/>
                <w:vertAlign w:val="subscript"/>
              </w:rPr>
              <w:t>1</w:t>
            </w:r>
            <w:r w:rsidRPr="00E47369">
              <w:rPr>
                <w:rFonts w:cstheme="minorHAnsi"/>
                <w:color w:val="000000" w:themeColor="text1"/>
              </w:rPr>
              <w:t>,</w:t>
            </w:r>
            <w:r w:rsidRPr="00E47369">
              <w:rPr>
                <w:rFonts w:cstheme="minorHAnsi"/>
                <w:color w:val="000000" w:themeColor="text1"/>
                <w:vertAlign w:val="subscript"/>
              </w:rPr>
              <w:t xml:space="preserve"> </w:t>
            </w:r>
            <w:r w:rsidRPr="00E47369">
              <w:rPr>
                <w:rFonts w:cstheme="minorHAnsi"/>
                <w:color w:val="000000" w:themeColor="text1"/>
              </w:rPr>
              <w:t>R</w:t>
            </w:r>
            <w:r w:rsidRPr="00E47369">
              <w:rPr>
                <w:rFonts w:cstheme="minorHAnsi"/>
                <w:color w:val="000000" w:themeColor="text1"/>
                <w:vertAlign w:val="subscript"/>
              </w:rPr>
              <w:t>2</w:t>
            </w:r>
            <w:r w:rsidRPr="00E47369">
              <w:rPr>
                <w:rFonts w:cstheme="minorHAnsi"/>
                <w:color w:val="000000" w:themeColor="text1"/>
              </w:rPr>
              <w:t>)</w:t>
            </w:r>
            <w:r w:rsidR="003D16D2" w:rsidRPr="00E47369">
              <w:rPr>
                <w:rFonts w:cstheme="minorHAnsi"/>
                <w:color w:val="000000" w:themeColor="text1"/>
              </w:rPr>
              <w:t xml:space="preserve"> </w:t>
            </w:r>
          </w:p>
          <w:p w14:paraId="75A01421" w14:textId="77777777" w:rsidR="002A66B7" w:rsidRPr="00E47369" w:rsidRDefault="002A66B7" w:rsidP="00CD3A15">
            <w:pPr>
              <w:spacing w:line="240" w:lineRule="auto"/>
              <w:jc w:val="center"/>
              <w:rPr>
                <w:rFonts w:cstheme="minorHAnsi"/>
                <w:b/>
                <w:color w:val="000000" w:themeColor="text1"/>
              </w:rPr>
            </w:pPr>
            <w:r w:rsidRPr="00E47369">
              <w:rPr>
                <w:rFonts w:cstheme="minorHAnsi"/>
                <w:b/>
                <w:color w:val="000000" w:themeColor="text1"/>
              </w:rPr>
              <w:t>1</w:t>
            </w:r>
          </w:p>
        </w:tc>
        <w:tc>
          <w:tcPr>
            <w:tcW w:w="1710" w:type="dxa"/>
            <w:tcBorders>
              <w:left w:val="single" w:sz="18" w:space="0" w:color="auto"/>
              <w:bottom w:val="single" w:sz="18" w:space="0" w:color="000000" w:themeColor="text1"/>
            </w:tcBorders>
            <w:shd w:val="clear" w:color="auto" w:fill="auto"/>
            <w:tcMar>
              <w:top w:w="15" w:type="dxa"/>
              <w:left w:w="15" w:type="dxa"/>
              <w:bottom w:w="0" w:type="dxa"/>
              <w:right w:w="15" w:type="dxa"/>
            </w:tcMar>
            <w:vAlign w:val="center"/>
          </w:tcPr>
          <w:p w14:paraId="19312BC7" w14:textId="77777777" w:rsidR="002A66B7" w:rsidRPr="00E47369" w:rsidRDefault="002A66B7" w:rsidP="003D16D2">
            <w:pPr>
              <w:spacing w:line="240" w:lineRule="auto"/>
              <w:jc w:val="center"/>
              <w:rPr>
                <w:rFonts w:cstheme="minorHAnsi"/>
                <w:color w:val="000000" w:themeColor="text1"/>
              </w:rPr>
            </w:pPr>
            <w:r w:rsidRPr="00E47369">
              <w:rPr>
                <w:rFonts w:cstheme="minorHAnsi"/>
                <w:color w:val="000000" w:themeColor="text1"/>
              </w:rPr>
              <w:t>Me, OEt</w:t>
            </w:r>
          </w:p>
        </w:tc>
        <w:tc>
          <w:tcPr>
            <w:tcW w:w="1470" w:type="dxa"/>
            <w:tcBorders>
              <w:bottom w:val="single" w:sz="18" w:space="0" w:color="000000" w:themeColor="text1"/>
            </w:tcBorders>
            <w:vAlign w:val="center"/>
          </w:tcPr>
          <w:p w14:paraId="0E693974" w14:textId="77777777" w:rsidR="002A66B7" w:rsidRPr="00E47369" w:rsidRDefault="002A66B7" w:rsidP="003D16D2">
            <w:pPr>
              <w:spacing w:line="240" w:lineRule="auto"/>
              <w:jc w:val="center"/>
              <w:rPr>
                <w:rFonts w:cstheme="minorHAnsi"/>
                <w:color w:val="000000" w:themeColor="text1"/>
              </w:rPr>
            </w:pPr>
            <w:r w:rsidRPr="00E47369">
              <w:rPr>
                <w:rFonts w:cstheme="minorHAnsi"/>
                <w:color w:val="000000" w:themeColor="text1"/>
              </w:rPr>
              <w:t>Me, OH</w:t>
            </w:r>
          </w:p>
        </w:tc>
        <w:tc>
          <w:tcPr>
            <w:tcW w:w="1260" w:type="dxa"/>
            <w:tcBorders>
              <w:bottom w:val="single" w:sz="18" w:space="0" w:color="000000" w:themeColor="text1"/>
              <w:right w:val="nil"/>
            </w:tcBorders>
            <w:vAlign w:val="center"/>
          </w:tcPr>
          <w:p w14:paraId="75CDC78B" w14:textId="77777777" w:rsidR="002A66B7" w:rsidRPr="00E47369" w:rsidRDefault="002A66B7" w:rsidP="003D16D2">
            <w:pPr>
              <w:spacing w:line="240" w:lineRule="auto"/>
              <w:jc w:val="center"/>
              <w:rPr>
                <w:rFonts w:cstheme="minorHAnsi"/>
                <w:color w:val="000000" w:themeColor="text1"/>
              </w:rPr>
            </w:pPr>
            <w:r w:rsidRPr="00E47369">
              <w:rPr>
                <w:rFonts w:cstheme="minorHAnsi"/>
                <w:color w:val="000000" w:themeColor="text1"/>
              </w:rPr>
              <w:t>H, Me</w:t>
            </w:r>
          </w:p>
        </w:tc>
      </w:tr>
      <w:tr w:rsidR="002A66B7" w:rsidRPr="00E47369" w14:paraId="486F11B0" w14:textId="77777777" w:rsidTr="002A66B7">
        <w:trPr>
          <w:trHeight w:val="524"/>
          <w:jc w:val="center"/>
        </w:trPr>
        <w:tc>
          <w:tcPr>
            <w:tcW w:w="810" w:type="dxa"/>
            <w:tcBorders>
              <w:top w:val="single" w:sz="18" w:space="0" w:color="000000" w:themeColor="text1"/>
            </w:tcBorders>
            <w:vAlign w:val="center"/>
          </w:tcPr>
          <w:p w14:paraId="5B9A537C" w14:textId="77777777" w:rsidR="002A66B7" w:rsidRPr="00E47369" w:rsidRDefault="00754BA7" w:rsidP="003D16D2">
            <w:pPr>
              <w:spacing w:line="240" w:lineRule="auto"/>
              <w:jc w:val="center"/>
              <w:rPr>
                <w:rFonts w:cstheme="minorHAnsi"/>
                <w:noProof/>
                <w:color w:val="000000" w:themeColor="text1"/>
              </w:rPr>
            </w:pPr>
            <w:r w:rsidRPr="00E47369">
              <w:rPr>
                <w:rFonts w:cstheme="minorHAnsi"/>
                <w:noProof/>
                <w:color w:val="000000" w:themeColor="text1"/>
              </w:rPr>
              <w:t>III.1</w:t>
            </w:r>
            <w:r w:rsidR="002A66B7" w:rsidRPr="00E47369">
              <w:rPr>
                <w:rFonts w:cstheme="minorHAnsi"/>
                <w:noProof/>
                <w:color w:val="000000" w:themeColor="text1"/>
              </w:rPr>
              <w:t>.3.1</w:t>
            </w:r>
          </w:p>
        </w:tc>
        <w:tc>
          <w:tcPr>
            <w:tcW w:w="2160" w:type="dxa"/>
            <w:tcBorders>
              <w:top w:val="single" w:sz="18" w:space="0" w:color="000000" w:themeColor="text1"/>
              <w:right w:val="single" w:sz="18" w:space="0" w:color="auto"/>
            </w:tcBorders>
            <w:shd w:val="clear" w:color="auto" w:fill="auto"/>
            <w:tcMar>
              <w:top w:w="15" w:type="dxa"/>
              <w:left w:w="15" w:type="dxa"/>
              <w:bottom w:w="0" w:type="dxa"/>
              <w:right w:w="15" w:type="dxa"/>
            </w:tcMar>
            <w:vAlign w:val="center"/>
            <w:hideMark/>
          </w:tcPr>
          <w:p w14:paraId="4A81A851" w14:textId="77777777" w:rsidR="002A66B7" w:rsidRPr="00E47369" w:rsidRDefault="002A66B7" w:rsidP="003D16D2">
            <w:pPr>
              <w:spacing w:line="240" w:lineRule="auto"/>
              <w:jc w:val="center"/>
              <w:rPr>
                <w:rFonts w:cstheme="minorHAnsi"/>
                <w:color w:val="000000" w:themeColor="text1"/>
              </w:rPr>
            </w:pPr>
            <w:r w:rsidRPr="00E47369">
              <w:rPr>
                <w:rFonts w:cstheme="minorHAnsi"/>
              </w:rPr>
              <w:object w:dxaOrig="1529" w:dyaOrig="721" w14:anchorId="6101F841">
                <v:shape id="_x0000_i1078" type="#_x0000_t75" style="width:41.15pt;height:20.55pt" o:ole="">
                  <v:imagedata r:id="rId136" o:title=""/>
                </v:shape>
                <o:OLEObject Type="Embed" ProgID="ChemDraw.Document.6.0" ShapeID="_x0000_i1078" DrawAspect="Content" ObjectID="_1532784932" r:id="rId154"/>
              </w:object>
            </w:r>
          </w:p>
        </w:tc>
        <w:tc>
          <w:tcPr>
            <w:tcW w:w="1710" w:type="dxa"/>
            <w:tcBorders>
              <w:top w:val="single" w:sz="18" w:space="0" w:color="000000" w:themeColor="text1"/>
              <w:left w:val="single" w:sz="18" w:space="0" w:color="auto"/>
            </w:tcBorders>
            <w:shd w:val="clear" w:color="auto" w:fill="auto"/>
            <w:tcMar>
              <w:top w:w="15" w:type="dxa"/>
              <w:left w:w="15" w:type="dxa"/>
              <w:bottom w:w="0" w:type="dxa"/>
              <w:right w:w="15" w:type="dxa"/>
            </w:tcMar>
            <w:vAlign w:val="center"/>
            <w:hideMark/>
          </w:tcPr>
          <w:p w14:paraId="6B231752" w14:textId="77777777" w:rsidR="002A66B7" w:rsidRPr="00E47369" w:rsidRDefault="002A66B7" w:rsidP="003D16D2">
            <w:pPr>
              <w:spacing w:line="240" w:lineRule="auto"/>
              <w:jc w:val="center"/>
              <w:rPr>
                <w:rFonts w:cstheme="minorHAnsi"/>
                <w:color w:val="000000" w:themeColor="text1"/>
              </w:rPr>
            </w:pPr>
            <w:r w:rsidRPr="00E47369">
              <w:rPr>
                <w:rFonts w:cstheme="minorHAnsi"/>
                <w:color w:val="000000" w:themeColor="text1"/>
              </w:rPr>
              <w:t>43% (1M)</w:t>
            </w:r>
          </w:p>
        </w:tc>
        <w:tc>
          <w:tcPr>
            <w:tcW w:w="1470" w:type="dxa"/>
            <w:tcBorders>
              <w:top w:val="single" w:sz="18" w:space="0" w:color="000000" w:themeColor="text1"/>
              <w:left w:val="nil"/>
            </w:tcBorders>
            <w:vAlign w:val="center"/>
          </w:tcPr>
          <w:p w14:paraId="3C429435" w14:textId="77777777" w:rsidR="002A66B7" w:rsidRPr="00E47369" w:rsidRDefault="002A66B7" w:rsidP="003D16D2">
            <w:pPr>
              <w:spacing w:line="240" w:lineRule="auto"/>
              <w:jc w:val="center"/>
              <w:rPr>
                <w:rFonts w:cstheme="minorHAnsi"/>
                <w:color w:val="000000" w:themeColor="text1"/>
              </w:rPr>
            </w:pPr>
            <w:r w:rsidRPr="00E47369">
              <w:rPr>
                <w:rFonts w:cstheme="minorHAnsi"/>
                <w:color w:val="000000" w:themeColor="text1"/>
              </w:rPr>
              <w:t>26%(0.2M)</w:t>
            </w:r>
          </w:p>
          <w:p w14:paraId="613C92FD" w14:textId="77777777" w:rsidR="002A66B7" w:rsidRPr="00E47369" w:rsidRDefault="002A66B7" w:rsidP="003D16D2">
            <w:pPr>
              <w:spacing w:line="240" w:lineRule="auto"/>
              <w:jc w:val="center"/>
              <w:rPr>
                <w:rFonts w:cstheme="minorHAnsi"/>
                <w:color w:val="000000" w:themeColor="text1"/>
              </w:rPr>
            </w:pPr>
            <w:r w:rsidRPr="00E47369">
              <w:rPr>
                <w:rFonts w:cstheme="minorHAnsi"/>
                <w:color w:val="000000" w:themeColor="text1"/>
              </w:rPr>
              <w:t>0%(MeReO</w:t>
            </w:r>
            <w:r w:rsidRPr="00E47369">
              <w:rPr>
                <w:rFonts w:cstheme="minorHAnsi"/>
                <w:color w:val="000000" w:themeColor="text1"/>
                <w:vertAlign w:val="subscript"/>
              </w:rPr>
              <w:t>3</w:t>
            </w:r>
            <w:r w:rsidRPr="00E47369">
              <w:rPr>
                <w:rFonts w:cstheme="minorHAnsi"/>
                <w:color w:val="000000" w:themeColor="text1"/>
              </w:rPr>
              <w:t>)</w:t>
            </w:r>
          </w:p>
        </w:tc>
        <w:tc>
          <w:tcPr>
            <w:tcW w:w="1260" w:type="dxa"/>
            <w:tcBorders>
              <w:top w:val="single" w:sz="18" w:space="0" w:color="000000" w:themeColor="text1"/>
              <w:left w:val="nil"/>
            </w:tcBorders>
            <w:vAlign w:val="center"/>
          </w:tcPr>
          <w:p w14:paraId="6BDFD6AA" w14:textId="77777777" w:rsidR="002A66B7" w:rsidRPr="00E47369" w:rsidRDefault="002A66B7" w:rsidP="003D16D2">
            <w:pPr>
              <w:spacing w:line="240" w:lineRule="auto"/>
              <w:jc w:val="center"/>
              <w:rPr>
                <w:rFonts w:cstheme="minorHAnsi"/>
                <w:color w:val="000000" w:themeColor="text1"/>
              </w:rPr>
            </w:pPr>
            <w:r w:rsidRPr="00E47369">
              <w:rPr>
                <w:rFonts w:cstheme="minorHAnsi"/>
                <w:color w:val="000000" w:themeColor="text1"/>
              </w:rPr>
              <w:t>52%(0.2M)</w:t>
            </w:r>
          </w:p>
          <w:p w14:paraId="053B2109" w14:textId="77777777" w:rsidR="002A66B7" w:rsidRPr="00E47369" w:rsidRDefault="002A66B7" w:rsidP="003D16D2">
            <w:pPr>
              <w:spacing w:line="240" w:lineRule="auto"/>
              <w:jc w:val="center"/>
              <w:rPr>
                <w:rFonts w:cstheme="minorHAnsi"/>
                <w:color w:val="000000" w:themeColor="text1"/>
              </w:rPr>
            </w:pPr>
            <w:r w:rsidRPr="00E47369">
              <w:rPr>
                <w:rFonts w:cstheme="minorHAnsi"/>
                <w:color w:val="000000" w:themeColor="text1"/>
              </w:rPr>
              <w:t>40%(MeReO</w:t>
            </w:r>
            <w:r w:rsidRPr="00E47369">
              <w:rPr>
                <w:rFonts w:cstheme="minorHAnsi"/>
                <w:color w:val="000000" w:themeColor="text1"/>
                <w:vertAlign w:val="subscript"/>
              </w:rPr>
              <w:t>3</w:t>
            </w:r>
            <w:r w:rsidRPr="00E47369">
              <w:rPr>
                <w:rFonts w:cstheme="minorHAnsi"/>
                <w:color w:val="000000" w:themeColor="text1"/>
              </w:rPr>
              <w:t>)</w:t>
            </w:r>
          </w:p>
        </w:tc>
      </w:tr>
      <w:tr w:rsidR="002A66B7" w:rsidRPr="00E47369" w14:paraId="3168BC46" w14:textId="77777777" w:rsidTr="002A66B7">
        <w:trPr>
          <w:trHeight w:val="524"/>
          <w:jc w:val="center"/>
        </w:trPr>
        <w:tc>
          <w:tcPr>
            <w:tcW w:w="810" w:type="dxa"/>
            <w:vAlign w:val="center"/>
          </w:tcPr>
          <w:p w14:paraId="68066859" w14:textId="77777777" w:rsidR="002A66B7" w:rsidRPr="00E47369" w:rsidRDefault="00754BA7" w:rsidP="003D16D2">
            <w:pPr>
              <w:spacing w:line="240" w:lineRule="auto"/>
              <w:jc w:val="center"/>
              <w:rPr>
                <w:rFonts w:cstheme="minorHAnsi"/>
                <w:color w:val="000000" w:themeColor="text1"/>
              </w:rPr>
            </w:pPr>
            <w:r w:rsidRPr="00E47369">
              <w:rPr>
                <w:rFonts w:cstheme="minorHAnsi"/>
                <w:color w:val="000000" w:themeColor="text1"/>
              </w:rPr>
              <w:t>III.1</w:t>
            </w:r>
            <w:r w:rsidR="002A66B7" w:rsidRPr="00E47369">
              <w:rPr>
                <w:rFonts w:cstheme="minorHAnsi"/>
                <w:color w:val="000000" w:themeColor="text1"/>
              </w:rPr>
              <w:t>.3.2</w:t>
            </w:r>
          </w:p>
        </w:tc>
        <w:tc>
          <w:tcPr>
            <w:tcW w:w="2160" w:type="dxa"/>
            <w:tcBorders>
              <w:right w:val="single" w:sz="18" w:space="0" w:color="auto"/>
            </w:tcBorders>
            <w:shd w:val="clear" w:color="auto" w:fill="auto"/>
            <w:tcMar>
              <w:top w:w="15" w:type="dxa"/>
              <w:left w:w="15" w:type="dxa"/>
              <w:bottom w:w="0" w:type="dxa"/>
              <w:right w:w="15" w:type="dxa"/>
            </w:tcMar>
            <w:vAlign w:val="center"/>
            <w:hideMark/>
          </w:tcPr>
          <w:p w14:paraId="58DE0F3F" w14:textId="77777777" w:rsidR="002A66B7" w:rsidRPr="00E47369" w:rsidRDefault="00017981" w:rsidP="003D16D2">
            <w:pPr>
              <w:spacing w:line="240" w:lineRule="auto"/>
              <w:jc w:val="center"/>
              <w:rPr>
                <w:rFonts w:cstheme="minorHAnsi"/>
                <w:color w:val="000000" w:themeColor="text1"/>
              </w:rPr>
            </w:pPr>
            <w:r w:rsidRPr="00E47369">
              <w:rPr>
                <w:rFonts w:cstheme="minorHAnsi"/>
              </w:rPr>
              <w:object w:dxaOrig="2110" w:dyaOrig="721" w14:anchorId="239DBED1">
                <v:shape id="_x0000_i1079" type="#_x0000_t75" style="width:56.2pt;height:20.55pt" o:ole="">
                  <v:imagedata r:id="rId140" o:title=""/>
                </v:shape>
                <o:OLEObject Type="Embed" ProgID="ChemDraw.Document.6.0" ShapeID="_x0000_i1079" DrawAspect="Content" ObjectID="_1532784933" r:id="rId155"/>
              </w:object>
            </w:r>
          </w:p>
        </w:tc>
        <w:tc>
          <w:tcPr>
            <w:tcW w:w="1710" w:type="dxa"/>
            <w:tcBorders>
              <w:left w:val="single" w:sz="18" w:space="0" w:color="auto"/>
            </w:tcBorders>
            <w:shd w:val="clear" w:color="auto" w:fill="auto"/>
            <w:tcMar>
              <w:top w:w="15" w:type="dxa"/>
              <w:left w:w="15" w:type="dxa"/>
              <w:bottom w:w="0" w:type="dxa"/>
              <w:right w:w="15" w:type="dxa"/>
            </w:tcMar>
            <w:vAlign w:val="center"/>
            <w:hideMark/>
          </w:tcPr>
          <w:p w14:paraId="59FBD9D3" w14:textId="77777777" w:rsidR="002A66B7" w:rsidRPr="00E47369" w:rsidRDefault="002A66B7" w:rsidP="003D16D2">
            <w:pPr>
              <w:spacing w:line="240" w:lineRule="auto"/>
              <w:jc w:val="center"/>
              <w:rPr>
                <w:rFonts w:cstheme="minorHAnsi"/>
                <w:color w:val="000000" w:themeColor="text1"/>
              </w:rPr>
            </w:pPr>
            <w:r w:rsidRPr="00E47369">
              <w:rPr>
                <w:rFonts w:cstheme="minorHAnsi"/>
                <w:color w:val="000000" w:themeColor="text1"/>
              </w:rPr>
              <w:t>34% (0.25M)</w:t>
            </w:r>
          </w:p>
        </w:tc>
        <w:tc>
          <w:tcPr>
            <w:tcW w:w="1470" w:type="dxa"/>
            <w:tcBorders>
              <w:left w:val="nil"/>
            </w:tcBorders>
            <w:vAlign w:val="center"/>
          </w:tcPr>
          <w:p w14:paraId="2DE049BF" w14:textId="77777777" w:rsidR="002A66B7" w:rsidRPr="00E47369" w:rsidRDefault="002A66B7" w:rsidP="003D16D2">
            <w:pPr>
              <w:spacing w:line="240" w:lineRule="auto"/>
              <w:jc w:val="center"/>
              <w:rPr>
                <w:rFonts w:cstheme="minorHAnsi"/>
                <w:color w:val="000000" w:themeColor="text1"/>
              </w:rPr>
            </w:pPr>
            <w:r w:rsidRPr="00E47369">
              <w:rPr>
                <w:rFonts w:cstheme="minorHAnsi"/>
                <w:color w:val="000000" w:themeColor="text1"/>
              </w:rPr>
              <w:t>-</w:t>
            </w:r>
          </w:p>
        </w:tc>
        <w:tc>
          <w:tcPr>
            <w:tcW w:w="1260" w:type="dxa"/>
            <w:tcBorders>
              <w:left w:val="nil"/>
            </w:tcBorders>
            <w:vAlign w:val="center"/>
          </w:tcPr>
          <w:p w14:paraId="1079F2EA" w14:textId="77777777" w:rsidR="002A66B7" w:rsidRPr="00E47369" w:rsidRDefault="002A66B7" w:rsidP="003D16D2">
            <w:pPr>
              <w:spacing w:line="240" w:lineRule="auto"/>
              <w:jc w:val="center"/>
              <w:rPr>
                <w:rFonts w:cstheme="minorHAnsi"/>
                <w:color w:val="000000" w:themeColor="text1"/>
              </w:rPr>
            </w:pPr>
            <w:r w:rsidRPr="00E47369">
              <w:rPr>
                <w:rFonts w:cstheme="minorHAnsi"/>
                <w:color w:val="000000" w:themeColor="text1"/>
              </w:rPr>
              <w:t>-</w:t>
            </w:r>
          </w:p>
        </w:tc>
      </w:tr>
      <w:tr w:rsidR="002A66B7" w:rsidRPr="00E47369" w14:paraId="7A26EEC6" w14:textId="77777777" w:rsidTr="002A66B7">
        <w:trPr>
          <w:trHeight w:val="866"/>
          <w:jc w:val="center"/>
        </w:trPr>
        <w:tc>
          <w:tcPr>
            <w:tcW w:w="810" w:type="dxa"/>
            <w:vAlign w:val="center"/>
          </w:tcPr>
          <w:p w14:paraId="1A0B84ED" w14:textId="77777777" w:rsidR="002A66B7" w:rsidRPr="00E47369" w:rsidRDefault="00754BA7" w:rsidP="003D16D2">
            <w:pPr>
              <w:spacing w:line="240" w:lineRule="auto"/>
              <w:jc w:val="center"/>
              <w:rPr>
                <w:rFonts w:cstheme="minorHAnsi"/>
                <w:noProof/>
                <w:color w:val="000000" w:themeColor="text1"/>
              </w:rPr>
            </w:pPr>
            <w:r w:rsidRPr="00E47369">
              <w:rPr>
                <w:rFonts w:cstheme="minorHAnsi"/>
                <w:color w:val="000000" w:themeColor="text1"/>
              </w:rPr>
              <w:t>III.1</w:t>
            </w:r>
            <w:r w:rsidR="002A66B7" w:rsidRPr="00E47369">
              <w:rPr>
                <w:rFonts w:cstheme="minorHAnsi"/>
                <w:noProof/>
                <w:color w:val="000000" w:themeColor="text1"/>
              </w:rPr>
              <w:t>.3.3</w:t>
            </w:r>
          </w:p>
        </w:tc>
        <w:tc>
          <w:tcPr>
            <w:tcW w:w="2160" w:type="dxa"/>
            <w:tcBorders>
              <w:right w:val="single" w:sz="18" w:space="0" w:color="auto"/>
            </w:tcBorders>
            <w:shd w:val="clear" w:color="auto" w:fill="auto"/>
            <w:tcMar>
              <w:top w:w="15" w:type="dxa"/>
              <w:left w:w="15" w:type="dxa"/>
              <w:bottom w:w="0" w:type="dxa"/>
              <w:right w:w="15" w:type="dxa"/>
            </w:tcMar>
            <w:vAlign w:val="center"/>
            <w:hideMark/>
          </w:tcPr>
          <w:p w14:paraId="46F7341D" w14:textId="77777777" w:rsidR="002A66B7" w:rsidRPr="00E47369" w:rsidRDefault="002A66B7" w:rsidP="003D16D2">
            <w:pPr>
              <w:spacing w:line="240" w:lineRule="auto"/>
              <w:jc w:val="center"/>
              <w:rPr>
                <w:rFonts w:cstheme="minorHAnsi"/>
                <w:color w:val="000000" w:themeColor="text1"/>
              </w:rPr>
            </w:pPr>
            <w:r w:rsidRPr="00E47369">
              <w:rPr>
                <w:rFonts w:cstheme="minorHAnsi"/>
              </w:rPr>
              <w:object w:dxaOrig="2357" w:dyaOrig="965" w14:anchorId="75AE0C4C">
                <v:shape id="_x0000_i1080" type="#_x0000_t75" style="width:60.15pt;height:25.3pt" o:ole="">
                  <v:imagedata r:id="rId144" o:title=""/>
                </v:shape>
                <o:OLEObject Type="Embed" ProgID="ChemDraw.Document.6.0" ShapeID="_x0000_i1080" DrawAspect="Content" ObjectID="_1532784934" r:id="rId156"/>
              </w:object>
            </w:r>
          </w:p>
        </w:tc>
        <w:tc>
          <w:tcPr>
            <w:tcW w:w="1710" w:type="dxa"/>
            <w:tcBorders>
              <w:left w:val="single" w:sz="18" w:space="0" w:color="auto"/>
            </w:tcBorders>
            <w:shd w:val="clear" w:color="auto" w:fill="auto"/>
            <w:tcMar>
              <w:top w:w="15" w:type="dxa"/>
              <w:left w:w="15" w:type="dxa"/>
              <w:bottom w:w="0" w:type="dxa"/>
              <w:right w:w="15" w:type="dxa"/>
            </w:tcMar>
            <w:vAlign w:val="center"/>
            <w:hideMark/>
          </w:tcPr>
          <w:p w14:paraId="14972956" w14:textId="77777777" w:rsidR="002A66B7" w:rsidRPr="00E47369" w:rsidRDefault="002A66B7" w:rsidP="003D16D2">
            <w:pPr>
              <w:spacing w:line="240" w:lineRule="auto"/>
              <w:jc w:val="center"/>
              <w:rPr>
                <w:rFonts w:cstheme="minorHAnsi"/>
                <w:color w:val="000000" w:themeColor="text1"/>
              </w:rPr>
            </w:pPr>
            <w:r w:rsidRPr="00E47369">
              <w:rPr>
                <w:rFonts w:cstheme="minorHAnsi"/>
                <w:color w:val="000000" w:themeColor="text1"/>
              </w:rPr>
              <w:t>30% (0.25M)</w:t>
            </w:r>
          </w:p>
        </w:tc>
        <w:tc>
          <w:tcPr>
            <w:tcW w:w="1470" w:type="dxa"/>
            <w:tcBorders>
              <w:left w:val="nil"/>
            </w:tcBorders>
            <w:vAlign w:val="center"/>
          </w:tcPr>
          <w:p w14:paraId="061971D5" w14:textId="77777777" w:rsidR="002A66B7" w:rsidRPr="00E47369" w:rsidRDefault="002A66B7" w:rsidP="003D16D2">
            <w:pPr>
              <w:spacing w:line="240" w:lineRule="auto"/>
              <w:jc w:val="center"/>
              <w:rPr>
                <w:rFonts w:cstheme="minorHAnsi"/>
                <w:color w:val="000000" w:themeColor="text1"/>
              </w:rPr>
            </w:pPr>
            <w:r w:rsidRPr="00E47369">
              <w:rPr>
                <w:rFonts w:cstheme="minorHAnsi"/>
                <w:color w:val="000000" w:themeColor="text1"/>
              </w:rPr>
              <w:t>17%(0.2M)</w:t>
            </w:r>
          </w:p>
        </w:tc>
        <w:tc>
          <w:tcPr>
            <w:tcW w:w="1260" w:type="dxa"/>
            <w:tcBorders>
              <w:left w:val="nil"/>
            </w:tcBorders>
            <w:vAlign w:val="center"/>
          </w:tcPr>
          <w:p w14:paraId="1930A497" w14:textId="77777777" w:rsidR="002A66B7" w:rsidRPr="00E47369" w:rsidRDefault="002A66B7" w:rsidP="003D16D2">
            <w:pPr>
              <w:spacing w:line="240" w:lineRule="auto"/>
              <w:jc w:val="center"/>
              <w:rPr>
                <w:rFonts w:cstheme="minorHAnsi"/>
                <w:color w:val="000000" w:themeColor="text1"/>
              </w:rPr>
            </w:pPr>
            <w:r w:rsidRPr="00E47369">
              <w:rPr>
                <w:rFonts w:cstheme="minorHAnsi"/>
                <w:color w:val="000000" w:themeColor="text1"/>
              </w:rPr>
              <w:t>42%(0.2M)</w:t>
            </w:r>
          </w:p>
        </w:tc>
      </w:tr>
      <w:tr w:rsidR="002A66B7" w:rsidRPr="00E47369" w14:paraId="7F8655D3" w14:textId="77777777" w:rsidTr="002A66B7">
        <w:trPr>
          <w:trHeight w:val="974"/>
          <w:jc w:val="center"/>
        </w:trPr>
        <w:tc>
          <w:tcPr>
            <w:tcW w:w="810" w:type="dxa"/>
            <w:vAlign w:val="center"/>
          </w:tcPr>
          <w:p w14:paraId="42A30B6E" w14:textId="77777777" w:rsidR="002A66B7" w:rsidRPr="00E47369" w:rsidRDefault="00754BA7" w:rsidP="003D16D2">
            <w:pPr>
              <w:spacing w:line="240" w:lineRule="auto"/>
              <w:jc w:val="center"/>
              <w:rPr>
                <w:rFonts w:cstheme="minorHAnsi"/>
                <w:noProof/>
                <w:color w:val="000000" w:themeColor="text1"/>
              </w:rPr>
            </w:pPr>
            <w:r w:rsidRPr="00E47369">
              <w:rPr>
                <w:rFonts w:cstheme="minorHAnsi"/>
                <w:color w:val="000000" w:themeColor="text1"/>
              </w:rPr>
              <w:t>III.1</w:t>
            </w:r>
            <w:r w:rsidR="002A66B7" w:rsidRPr="00E47369">
              <w:rPr>
                <w:rFonts w:cstheme="minorHAnsi"/>
                <w:noProof/>
                <w:color w:val="000000" w:themeColor="text1"/>
              </w:rPr>
              <w:t>.3.4</w:t>
            </w:r>
          </w:p>
        </w:tc>
        <w:tc>
          <w:tcPr>
            <w:tcW w:w="2160" w:type="dxa"/>
            <w:tcBorders>
              <w:right w:val="single" w:sz="18" w:space="0" w:color="auto"/>
            </w:tcBorders>
            <w:shd w:val="clear" w:color="auto" w:fill="auto"/>
            <w:tcMar>
              <w:top w:w="15" w:type="dxa"/>
              <w:left w:w="15" w:type="dxa"/>
              <w:bottom w:w="0" w:type="dxa"/>
              <w:right w:w="15" w:type="dxa"/>
            </w:tcMar>
            <w:vAlign w:val="center"/>
            <w:hideMark/>
          </w:tcPr>
          <w:p w14:paraId="03FA4B37" w14:textId="77777777" w:rsidR="002A66B7" w:rsidRPr="00E47369" w:rsidRDefault="002A66B7" w:rsidP="003D16D2">
            <w:pPr>
              <w:spacing w:line="240" w:lineRule="auto"/>
              <w:jc w:val="center"/>
              <w:rPr>
                <w:rFonts w:cstheme="minorHAnsi"/>
                <w:color w:val="000000" w:themeColor="text1"/>
              </w:rPr>
            </w:pPr>
            <w:r w:rsidRPr="00E47369">
              <w:rPr>
                <w:rFonts w:cstheme="minorHAnsi"/>
              </w:rPr>
              <w:object w:dxaOrig="1970" w:dyaOrig="965" w14:anchorId="311ABE8A">
                <v:shape id="_x0000_i1081" type="#_x0000_t75" style="width:51.45pt;height:25.3pt" o:ole="">
                  <v:imagedata r:id="rId148" o:title=""/>
                </v:shape>
                <o:OLEObject Type="Embed" ProgID="ChemDraw.Document.6.0" ShapeID="_x0000_i1081" DrawAspect="Content" ObjectID="_1532784935" r:id="rId157"/>
              </w:object>
            </w:r>
          </w:p>
        </w:tc>
        <w:tc>
          <w:tcPr>
            <w:tcW w:w="1710" w:type="dxa"/>
            <w:tcBorders>
              <w:left w:val="single" w:sz="18" w:space="0" w:color="auto"/>
              <w:bottom w:val="nil"/>
            </w:tcBorders>
            <w:shd w:val="clear" w:color="auto" w:fill="auto"/>
            <w:tcMar>
              <w:top w:w="15" w:type="dxa"/>
              <w:left w:w="15" w:type="dxa"/>
              <w:bottom w:w="0" w:type="dxa"/>
              <w:right w:w="15" w:type="dxa"/>
            </w:tcMar>
            <w:vAlign w:val="center"/>
            <w:hideMark/>
          </w:tcPr>
          <w:p w14:paraId="34241EB3" w14:textId="77777777" w:rsidR="002A66B7" w:rsidRPr="00E47369" w:rsidRDefault="002A66B7" w:rsidP="003D16D2">
            <w:pPr>
              <w:spacing w:line="240" w:lineRule="auto"/>
              <w:jc w:val="center"/>
              <w:rPr>
                <w:rFonts w:cstheme="minorHAnsi"/>
                <w:color w:val="000000" w:themeColor="text1"/>
              </w:rPr>
            </w:pPr>
            <w:r w:rsidRPr="00E47369">
              <w:rPr>
                <w:rFonts w:cstheme="minorHAnsi"/>
                <w:color w:val="000000" w:themeColor="text1"/>
              </w:rPr>
              <w:t>88-95% (0.25M)</w:t>
            </w:r>
          </w:p>
        </w:tc>
        <w:tc>
          <w:tcPr>
            <w:tcW w:w="1470" w:type="dxa"/>
            <w:tcBorders>
              <w:left w:val="nil"/>
              <w:bottom w:val="nil"/>
            </w:tcBorders>
            <w:vAlign w:val="center"/>
          </w:tcPr>
          <w:p w14:paraId="68BA88D3" w14:textId="77777777" w:rsidR="002A66B7" w:rsidRPr="00E47369" w:rsidRDefault="002A66B7" w:rsidP="003D16D2">
            <w:pPr>
              <w:spacing w:line="240" w:lineRule="auto"/>
              <w:jc w:val="center"/>
              <w:rPr>
                <w:rFonts w:cstheme="minorHAnsi"/>
                <w:color w:val="000000" w:themeColor="text1"/>
              </w:rPr>
            </w:pPr>
            <w:r w:rsidRPr="00E47369">
              <w:rPr>
                <w:rFonts w:cstheme="minorHAnsi"/>
                <w:color w:val="000000" w:themeColor="text1"/>
              </w:rPr>
              <w:t>80%(0.2M)</w:t>
            </w:r>
          </w:p>
        </w:tc>
        <w:tc>
          <w:tcPr>
            <w:tcW w:w="1260" w:type="dxa"/>
            <w:tcBorders>
              <w:left w:val="nil"/>
              <w:bottom w:val="nil"/>
            </w:tcBorders>
            <w:vAlign w:val="center"/>
          </w:tcPr>
          <w:p w14:paraId="571FF1A6" w14:textId="77777777" w:rsidR="002A66B7" w:rsidRPr="00E47369" w:rsidRDefault="002A66B7" w:rsidP="003D16D2">
            <w:pPr>
              <w:spacing w:line="240" w:lineRule="auto"/>
              <w:jc w:val="center"/>
              <w:rPr>
                <w:rFonts w:cstheme="minorHAnsi"/>
                <w:color w:val="000000" w:themeColor="text1"/>
              </w:rPr>
            </w:pPr>
            <w:r w:rsidRPr="00E47369">
              <w:rPr>
                <w:rFonts w:cstheme="minorHAnsi"/>
                <w:color w:val="000000" w:themeColor="text1"/>
              </w:rPr>
              <w:t>80%(0.2M)</w:t>
            </w:r>
          </w:p>
        </w:tc>
      </w:tr>
    </w:tbl>
    <w:p w14:paraId="5F978EC4" w14:textId="77777777" w:rsidR="002A66B7" w:rsidRPr="00E47369" w:rsidRDefault="002A66B7" w:rsidP="002A66B7">
      <w:pPr>
        <w:rPr>
          <w:rFonts w:cstheme="minorHAnsi"/>
          <w:color w:val="000000" w:themeColor="text1"/>
        </w:rPr>
      </w:pPr>
    </w:p>
    <w:p w14:paraId="544CCCA5" w14:textId="483E7D81" w:rsidR="002A66B7" w:rsidRPr="00E47369" w:rsidRDefault="002A66B7" w:rsidP="002A66B7">
      <w:pPr>
        <w:ind w:firstLine="360"/>
        <w:jc w:val="both"/>
        <w:rPr>
          <w:rFonts w:cstheme="minorHAnsi"/>
          <w:color w:val="000000" w:themeColor="text1"/>
        </w:rPr>
      </w:pPr>
      <w:r w:rsidRPr="00E47369">
        <w:rPr>
          <w:rFonts w:cstheme="minorHAnsi"/>
          <w:color w:val="000000" w:themeColor="text1"/>
        </w:rPr>
        <w:t>Ethyl lactate (</w:t>
      </w:r>
      <w:r w:rsidR="00754BA7" w:rsidRPr="00E47369">
        <w:rPr>
          <w:rFonts w:cstheme="minorHAnsi"/>
          <w:color w:val="000000" w:themeColor="text1"/>
        </w:rPr>
        <w:t xml:space="preserve">Column </w:t>
      </w:r>
      <w:r w:rsidR="00E450E7" w:rsidRPr="00E47369">
        <w:rPr>
          <w:rFonts w:cstheme="minorHAnsi"/>
          <w:color w:val="000000" w:themeColor="text1"/>
        </w:rPr>
        <w:t>III.1</w:t>
      </w:r>
      <w:r w:rsidR="00754BA7" w:rsidRPr="00E47369">
        <w:rPr>
          <w:rFonts w:cstheme="minorHAnsi"/>
          <w:color w:val="000000" w:themeColor="text1"/>
        </w:rPr>
        <w:t>.3.A</w:t>
      </w:r>
      <w:r w:rsidRPr="00E47369">
        <w:rPr>
          <w:rFonts w:cstheme="minorHAnsi"/>
          <w:color w:val="000000" w:themeColor="text1"/>
        </w:rPr>
        <w:t xml:space="preserve">) was </w:t>
      </w:r>
      <w:r w:rsidRPr="00E47369">
        <w:rPr>
          <w:rFonts w:cstheme="minorHAnsi"/>
        </w:rPr>
        <w:t>found not to be a really efficient re</w:t>
      </w:r>
      <w:r w:rsidR="00754BA7" w:rsidRPr="00E47369">
        <w:rPr>
          <w:rFonts w:cstheme="minorHAnsi"/>
        </w:rPr>
        <w:t>ducing agent on terminal diols</w:t>
      </w:r>
      <w:r w:rsidRPr="00E47369">
        <w:rPr>
          <w:rFonts w:cstheme="minorHAnsi"/>
          <w:color w:val="000000" w:themeColor="text1"/>
        </w:rPr>
        <w:t>. As the other α-hydroxy carbonyl w</w:t>
      </w:r>
      <w:r w:rsidR="00E450E7" w:rsidRPr="00E47369">
        <w:rPr>
          <w:rFonts w:cstheme="minorHAnsi"/>
          <w:color w:val="000000" w:themeColor="text1"/>
        </w:rPr>
        <w:t>ere relatively efficient on DET</w:t>
      </w:r>
      <w:r w:rsidRPr="00E47369">
        <w:rPr>
          <w:rFonts w:cstheme="minorHAnsi"/>
          <w:color w:val="000000" w:themeColor="text1"/>
        </w:rPr>
        <w:t xml:space="preserve"> we tested two of these- lactic acid (</w:t>
      </w:r>
      <w:r w:rsidR="00E450E7" w:rsidRPr="00E47369">
        <w:rPr>
          <w:rFonts w:cstheme="minorHAnsi"/>
          <w:color w:val="000000" w:themeColor="text1"/>
        </w:rPr>
        <w:t>C</w:t>
      </w:r>
      <w:r w:rsidRPr="00E47369">
        <w:rPr>
          <w:rFonts w:cstheme="minorHAnsi"/>
          <w:color w:val="000000" w:themeColor="text1"/>
        </w:rPr>
        <w:t xml:space="preserve">olumn </w:t>
      </w:r>
      <w:r w:rsidR="00E450E7" w:rsidRPr="00E47369">
        <w:rPr>
          <w:rFonts w:cstheme="minorHAnsi"/>
          <w:color w:val="000000" w:themeColor="text1"/>
        </w:rPr>
        <w:t>III.1</w:t>
      </w:r>
      <w:r w:rsidRPr="00E47369">
        <w:rPr>
          <w:rFonts w:cstheme="minorHAnsi"/>
          <w:color w:val="000000" w:themeColor="text1"/>
        </w:rPr>
        <w:t xml:space="preserve">.3.B) and hydroxyacetone </w:t>
      </w:r>
      <w:r w:rsidRPr="00E47369">
        <w:rPr>
          <w:rFonts w:cstheme="minorHAnsi"/>
        </w:rPr>
        <w:t>(</w:t>
      </w:r>
      <w:r w:rsidR="00E450E7" w:rsidRPr="00E47369">
        <w:rPr>
          <w:rFonts w:cstheme="minorHAnsi"/>
        </w:rPr>
        <w:t>C</w:t>
      </w:r>
      <w:r w:rsidRPr="00E47369">
        <w:rPr>
          <w:rFonts w:cstheme="minorHAnsi"/>
        </w:rPr>
        <w:t xml:space="preserve">olumn </w:t>
      </w:r>
      <w:r w:rsidR="00E450E7" w:rsidRPr="00E47369">
        <w:rPr>
          <w:rFonts w:cstheme="minorHAnsi"/>
        </w:rPr>
        <w:t>III.1</w:t>
      </w:r>
      <w:r w:rsidRPr="00E47369">
        <w:rPr>
          <w:rFonts w:cstheme="minorHAnsi"/>
        </w:rPr>
        <w:t>.3.C) o</w:t>
      </w:r>
      <w:r w:rsidR="00E450E7" w:rsidRPr="00E47369">
        <w:rPr>
          <w:rFonts w:cstheme="minorHAnsi"/>
        </w:rPr>
        <w:t>n the terminal glycols as well (</w:t>
      </w:r>
      <w:r w:rsidR="005C4B18">
        <w:rPr>
          <w:rFonts w:cstheme="minorHAnsi"/>
        </w:rPr>
        <w:t>Table III. 1.3)</w:t>
      </w:r>
      <w:r w:rsidRPr="00E47369">
        <w:rPr>
          <w:rFonts w:cstheme="minorHAnsi"/>
        </w:rPr>
        <w:t>. The alkene yields were worst in the case of lactic acid (</w:t>
      </w:r>
      <w:r w:rsidR="00E450E7" w:rsidRPr="00E47369">
        <w:rPr>
          <w:rFonts w:cstheme="minorHAnsi"/>
        </w:rPr>
        <w:t>C</w:t>
      </w:r>
      <w:r w:rsidRPr="00E47369">
        <w:rPr>
          <w:rFonts w:cstheme="minorHAnsi"/>
        </w:rPr>
        <w:t xml:space="preserve">olumn </w:t>
      </w:r>
      <w:r w:rsidR="00E450E7" w:rsidRPr="00E47369">
        <w:rPr>
          <w:rFonts w:cstheme="minorHAnsi"/>
        </w:rPr>
        <w:t>III.1</w:t>
      </w:r>
      <w:r w:rsidRPr="00E47369">
        <w:rPr>
          <w:rFonts w:cstheme="minorHAnsi"/>
        </w:rPr>
        <w:t>.3.B) and only slightly improved in the case of hydroxyacetone. We also tried MeReO</w:t>
      </w:r>
      <w:r w:rsidRPr="00E47369">
        <w:rPr>
          <w:rFonts w:cstheme="minorHAnsi"/>
          <w:vertAlign w:val="subscript"/>
        </w:rPr>
        <w:t>3</w:t>
      </w:r>
      <w:r w:rsidRPr="00E47369">
        <w:rPr>
          <w:rFonts w:cstheme="minorHAnsi"/>
        </w:rPr>
        <w:t xml:space="preserve"> as catalyst for the DODH of 1,2-octanediol (entry </w:t>
      </w:r>
      <w:r w:rsidR="00E450E7" w:rsidRPr="00E47369">
        <w:rPr>
          <w:rFonts w:cstheme="minorHAnsi"/>
        </w:rPr>
        <w:t>III.1.</w:t>
      </w:r>
      <w:r w:rsidRPr="00E47369">
        <w:rPr>
          <w:rFonts w:cstheme="minorHAnsi"/>
        </w:rPr>
        <w:t>3.1). The MeReO</w:t>
      </w:r>
      <w:r w:rsidRPr="00E47369">
        <w:rPr>
          <w:rFonts w:cstheme="minorHAnsi"/>
          <w:vertAlign w:val="subscript"/>
        </w:rPr>
        <w:t>3</w:t>
      </w:r>
      <w:r w:rsidRPr="00E47369">
        <w:rPr>
          <w:rFonts w:cstheme="minorHAnsi"/>
        </w:rPr>
        <w:t xml:space="preserve"> DODH reaction did not provide any alkene using lactic acid as reducing agent, but provided similar yield to the NH</w:t>
      </w:r>
      <w:r w:rsidRPr="00E47369">
        <w:rPr>
          <w:rFonts w:cstheme="minorHAnsi"/>
          <w:vertAlign w:val="subscript"/>
        </w:rPr>
        <w:t>4</w:t>
      </w:r>
      <w:r w:rsidRPr="00E47369">
        <w:rPr>
          <w:rFonts w:cstheme="minorHAnsi"/>
        </w:rPr>
        <w:t>ReO</w:t>
      </w:r>
      <w:r w:rsidRPr="00E47369">
        <w:rPr>
          <w:rFonts w:cstheme="minorHAnsi"/>
          <w:vertAlign w:val="subscript"/>
        </w:rPr>
        <w:t>4</w:t>
      </w:r>
      <w:r w:rsidRPr="00E47369">
        <w:rPr>
          <w:rFonts w:cstheme="minorHAnsi"/>
        </w:rPr>
        <w:t xml:space="preserve"> catalyzed reaction </w:t>
      </w:r>
      <w:r w:rsidRPr="00E47369">
        <w:rPr>
          <w:rFonts w:cstheme="minorHAnsi"/>
          <w:color w:val="000000" w:themeColor="text1"/>
        </w:rPr>
        <w:t xml:space="preserve">using hydroxyacetone. </w:t>
      </w:r>
    </w:p>
    <w:p w14:paraId="2153AECF" w14:textId="77777777" w:rsidR="002A66B7" w:rsidRPr="00E47369" w:rsidRDefault="002A66B7" w:rsidP="002A66B7">
      <w:pPr>
        <w:ind w:firstLine="360"/>
        <w:jc w:val="both"/>
        <w:rPr>
          <w:rFonts w:cstheme="minorHAnsi"/>
          <w:color w:val="000000" w:themeColor="text1"/>
        </w:rPr>
      </w:pPr>
      <w:r w:rsidRPr="00E47369">
        <w:rPr>
          <w:rFonts w:cstheme="minorHAnsi"/>
        </w:rPr>
        <w:t xml:space="preserve">Several DODH reactions were run on erythritol with these alcohols as reducing agents. No large quantity of </w:t>
      </w:r>
      <w:r w:rsidRPr="00E47369">
        <w:rPr>
          <w:rFonts w:cstheme="minorHAnsi"/>
          <w:color w:val="000000" w:themeColor="text1"/>
        </w:rPr>
        <w:t>butadiene or of DA adducts were detected in any of these reactions. These preliminary results on α-hydroxy carbonyl</w:t>
      </w:r>
      <w:r w:rsidR="00017981">
        <w:rPr>
          <w:rFonts w:cstheme="minorHAnsi"/>
          <w:color w:val="000000" w:themeColor="text1"/>
        </w:rPr>
        <w:t>s</w:t>
      </w:r>
      <w:r w:rsidRPr="00E47369">
        <w:rPr>
          <w:rFonts w:cstheme="minorHAnsi"/>
          <w:color w:val="000000" w:themeColor="text1"/>
        </w:rPr>
        <w:t xml:space="preserve"> as reducing agents in the DODH reaction were not encouraging for the development of an </w:t>
      </w:r>
      <w:r w:rsidRPr="00E47369">
        <w:rPr>
          <w:rFonts w:cstheme="minorHAnsi"/>
        </w:rPr>
        <w:t xml:space="preserve">efficient tandem DODH-HDA system. Since </w:t>
      </w:r>
      <w:r w:rsidRPr="00E47369">
        <w:rPr>
          <w:rFonts w:cstheme="minorHAnsi"/>
          <w:color w:val="000000" w:themeColor="text1"/>
        </w:rPr>
        <w:t xml:space="preserve">these alcohols were efficient on DET we looked at the quantification of the dicarbonyl product formed in these reaction. Although the yields in fumarate </w:t>
      </w:r>
      <w:r w:rsidRPr="00E47369">
        <w:rPr>
          <w:rFonts w:cstheme="minorHAnsi"/>
        </w:rPr>
        <w:t>were high, we could not find as much of dicarbonyl formed in the reaction. In only a few cases we found small NMR signals (</w:t>
      </w:r>
      <w:r w:rsidRPr="00E47369">
        <w:rPr>
          <w:rFonts w:cstheme="minorHAnsi"/>
          <w:vertAlign w:val="superscript"/>
        </w:rPr>
        <w:t>1</w:t>
      </w:r>
      <w:r w:rsidRPr="00E47369">
        <w:rPr>
          <w:rFonts w:cstheme="minorHAnsi"/>
        </w:rPr>
        <w:t xml:space="preserve">H and </w:t>
      </w:r>
      <w:r w:rsidRPr="00E47369">
        <w:rPr>
          <w:rFonts w:cstheme="minorHAnsi"/>
          <w:vertAlign w:val="superscript"/>
        </w:rPr>
        <w:t>13</w:t>
      </w:r>
      <w:r w:rsidRPr="00E47369">
        <w:rPr>
          <w:rFonts w:cstheme="minorHAnsi"/>
        </w:rPr>
        <w:t xml:space="preserve">C) from the expected dicarbonyl products. For example, entry </w:t>
      </w:r>
      <w:r w:rsidR="00E450E7" w:rsidRPr="00E47369">
        <w:rPr>
          <w:rFonts w:cstheme="minorHAnsi"/>
        </w:rPr>
        <w:t>III.1</w:t>
      </w:r>
      <w:r w:rsidRPr="00E47369">
        <w:rPr>
          <w:rFonts w:cstheme="minorHAnsi"/>
        </w:rPr>
        <w:t xml:space="preserve">.1.2 with an 88% yield in DEF, showed a yield of ethyl pyruvate of only 48%. This raised the question of the stability of the dicarbonyl compounds under the reaction conditions. Since the dicarbonyl compounds should react soon after its formation with the diene, we decided to attempt a trapping experiment of the dicarbonyl compound in the HDA cycloadditon. Taking the case of entry </w:t>
      </w:r>
      <w:r w:rsidR="00E450E7" w:rsidRPr="00E47369">
        <w:rPr>
          <w:rFonts w:cstheme="minorHAnsi"/>
        </w:rPr>
        <w:t>III.1</w:t>
      </w:r>
      <w:r w:rsidRPr="00E47369">
        <w:rPr>
          <w:rFonts w:cstheme="minorHAnsi"/>
        </w:rPr>
        <w:t>.3.1 (NH</w:t>
      </w:r>
      <w:r w:rsidRPr="00E47369">
        <w:rPr>
          <w:rFonts w:cstheme="minorHAnsi"/>
          <w:vertAlign w:val="subscript"/>
        </w:rPr>
        <w:t>4</w:t>
      </w:r>
      <w:r w:rsidRPr="00E47369">
        <w:rPr>
          <w:rFonts w:cstheme="minorHAnsi"/>
        </w:rPr>
        <w:t>ReO</w:t>
      </w:r>
      <w:r w:rsidRPr="00E47369">
        <w:rPr>
          <w:rFonts w:cstheme="minorHAnsi"/>
          <w:vertAlign w:val="subscript"/>
        </w:rPr>
        <w:t>4</w:t>
      </w:r>
      <w:r w:rsidRPr="00E47369">
        <w:rPr>
          <w:rFonts w:cstheme="minorHAnsi"/>
        </w:rPr>
        <w:t xml:space="preserve"> as catalyst), we attempted to trap the ketoaldehyde, methyl glyoxal (</w:t>
      </w:r>
      <w:r w:rsidR="00E450E7" w:rsidRPr="00E47369">
        <w:rPr>
          <w:rFonts w:cstheme="minorHAnsi"/>
          <w:b/>
        </w:rPr>
        <w:t>2</w:t>
      </w:r>
      <w:r w:rsidRPr="00E47369">
        <w:rPr>
          <w:rFonts w:cstheme="minorHAnsi"/>
        </w:rPr>
        <w:t xml:space="preserve">, </w:t>
      </w:r>
      <w:r w:rsidR="00E450E7" w:rsidRPr="00E47369">
        <w:rPr>
          <w:rFonts w:cstheme="minorHAnsi"/>
        </w:rPr>
        <w:fldChar w:fldCharType="begin"/>
      </w:r>
      <w:r w:rsidR="00E450E7" w:rsidRPr="00E47369">
        <w:rPr>
          <w:rFonts w:cstheme="minorHAnsi"/>
        </w:rPr>
        <w:instrText xml:space="preserve"> REF _Ref451797091 \h </w:instrText>
      </w:r>
      <w:r w:rsidR="00E47369">
        <w:rPr>
          <w:rFonts w:cstheme="minorHAnsi"/>
        </w:rPr>
        <w:instrText xml:space="preserve"> \* MERGEFORMAT </w:instrText>
      </w:r>
      <w:r w:rsidR="00E450E7" w:rsidRPr="00E47369">
        <w:rPr>
          <w:rFonts w:cstheme="minorHAnsi"/>
        </w:rPr>
      </w:r>
      <w:r w:rsidR="00E450E7" w:rsidRPr="00E47369">
        <w:rPr>
          <w:rFonts w:cstheme="minorHAnsi"/>
        </w:rPr>
        <w:fldChar w:fldCharType="separate"/>
      </w:r>
      <w:r w:rsidR="000A0E3D" w:rsidRPr="000A0E3D">
        <w:rPr>
          <w:rFonts w:cstheme="minorHAnsi"/>
        </w:rPr>
        <w:t xml:space="preserve">Figure III. </w:t>
      </w:r>
      <w:r w:rsidR="000A0E3D" w:rsidRPr="000A0E3D">
        <w:rPr>
          <w:rFonts w:cstheme="minorHAnsi"/>
          <w:noProof/>
        </w:rPr>
        <w:t>1.7</w:t>
      </w:r>
      <w:r w:rsidR="00E450E7" w:rsidRPr="00E47369">
        <w:rPr>
          <w:rFonts w:cstheme="minorHAnsi"/>
        </w:rPr>
        <w:fldChar w:fldCharType="end"/>
      </w:r>
      <w:r w:rsidRPr="00E47369">
        <w:rPr>
          <w:rFonts w:cstheme="minorHAnsi"/>
        </w:rPr>
        <w:t>); by adding excess isoprene to the reaction (</w:t>
      </w:r>
      <w:r w:rsidR="00E450E7" w:rsidRPr="00E47369">
        <w:rPr>
          <w:rFonts w:cstheme="minorHAnsi"/>
        </w:rPr>
        <w:fldChar w:fldCharType="begin"/>
      </w:r>
      <w:r w:rsidR="00E450E7" w:rsidRPr="00E47369">
        <w:rPr>
          <w:rFonts w:cstheme="minorHAnsi"/>
        </w:rPr>
        <w:instrText xml:space="preserve"> REF _Ref451797091 \h </w:instrText>
      </w:r>
      <w:r w:rsidR="00E47369">
        <w:rPr>
          <w:rFonts w:cstheme="minorHAnsi"/>
        </w:rPr>
        <w:instrText xml:space="preserve"> \* MERGEFORMAT </w:instrText>
      </w:r>
      <w:r w:rsidR="00E450E7" w:rsidRPr="00E47369">
        <w:rPr>
          <w:rFonts w:cstheme="minorHAnsi"/>
        </w:rPr>
      </w:r>
      <w:r w:rsidR="00E450E7" w:rsidRPr="00E47369">
        <w:rPr>
          <w:rFonts w:cstheme="minorHAnsi"/>
        </w:rPr>
        <w:fldChar w:fldCharType="separate"/>
      </w:r>
      <w:r w:rsidR="000A0E3D" w:rsidRPr="000A0E3D">
        <w:rPr>
          <w:rFonts w:cstheme="minorHAnsi"/>
        </w:rPr>
        <w:t xml:space="preserve">Figure III. </w:t>
      </w:r>
      <w:r w:rsidR="000A0E3D" w:rsidRPr="000A0E3D">
        <w:rPr>
          <w:rFonts w:cstheme="minorHAnsi"/>
          <w:noProof/>
        </w:rPr>
        <w:t>1.7</w:t>
      </w:r>
      <w:r w:rsidR="00E450E7" w:rsidRPr="00E47369">
        <w:rPr>
          <w:rFonts w:cstheme="minorHAnsi"/>
        </w:rPr>
        <w:fldChar w:fldCharType="end"/>
      </w:r>
      <w:r w:rsidRPr="00E47369">
        <w:rPr>
          <w:rFonts w:cstheme="minorHAnsi"/>
          <w:color w:val="000000" w:themeColor="text1"/>
        </w:rPr>
        <w:t xml:space="preserve">). </w:t>
      </w:r>
    </w:p>
    <w:p w14:paraId="2265FF03" w14:textId="77777777" w:rsidR="00B72949" w:rsidRPr="00E47369" w:rsidRDefault="00B72949" w:rsidP="002A66B7">
      <w:pPr>
        <w:ind w:firstLine="360"/>
        <w:jc w:val="both"/>
        <w:rPr>
          <w:rFonts w:cstheme="minorHAnsi"/>
          <w:color w:val="000000" w:themeColor="text1"/>
        </w:rPr>
      </w:pPr>
    </w:p>
    <w:p w14:paraId="3DF4D854" w14:textId="77777777" w:rsidR="00E450E7" w:rsidRPr="00E47369" w:rsidRDefault="00E450E7" w:rsidP="00E450E7">
      <w:pPr>
        <w:keepNext/>
        <w:jc w:val="center"/>
        <w:rPr>
          <w:rFonts w:cstheme="minorHAnsi"/>
        </w:rPr>
      </w:pPr>
      <w:r w:rsidRPr="00E47369">
        <w:rPr>
          <w:rFonts w:cstheme="minorHAnsi"/>
          <w:color w:val="000000" w:themeColor="text1"/>
        </w:rPr>
        <w:object w:dxaOrig="9734" w:dyaOrig="4082" w14:anchorId="6A0C8295">
          <v:shape id="_x0000_i1082" type="#_x0000_t75" style="width:396.4pt;height:164.55pt" o:ole="">
            <v:imagedata r:id="rId158" o:title=""/>
          </v:shape>
          <o:OLEObject Type="Embed" ProgID="ChemDraw.Document.6.0" ShapeID="_x0000_i1082" DrawAspect="Content" ObjectID="_1532784936" r:id="rId159"/>
        </w:object>
      </w:r>
    </w:p>
    <w:p w14:paraId="751BD7DE" w14:textId="77777777" w:rsidR="002A66B7" w:rsidRPr="00323B06" w:rsidRDefault="00E450E7" w:rsidP="00323B06">
      <w:pPr>
        <w:pStyle w:val="Caption"/>
      </w:pPr>
      <w:bookmarkStart w:id="204" w:name="_Ref451797091"/>
      <w:bookmarkStart w:id="205" w:name="_Toc457670709"/>
      <w:r w:rsidRPr="00323B06">
        <w:t xml:space="preserve">Figure III. </w:t>
      </w:r>
      <w:r w:rsidR="00443010">
        <w:fldChar w:fldCharType="begin"/>
      </w:r>
      <w:r w:rsidR="00443010">
        <w:instrText xml:space="preserve"> STYLEREF 2 \s </w:instrText>
      </w:r>
      <w:r w:rsidR="00443010">
        <w:fldChar w:fldCharType="separate"/>
      </w:r>
      <w:r w:rsidR="000A0E3D">
        <w:rPr>
          <w:noProof/>
        </w:rPr>
        <w:t>1</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7</w:t>
      </w:r>
      <w:r w:rsidR="00443010">
        <w:rPr>
          <w:noProof/>
        </w:rPr>
        <w:fldChar w:fldCharType="end"/>
      </w:r>
      <w:bookmarkEnd w:id="204"/>
      <w:r w:rsidRPr="00323B06">
        <w:t xml:space="preserve"> </w:t>
      </w:r>
      <w:r w:rsidR="002A66B7" w:rsidRPr="00323B06">
        <w:t>Trapping experiment of methyl glyoxal (</w:t>
      </w:r>
      <w:r w:rsidRPr="00323B06">
        <w:rPr>
          <w:u w:val="single"/>
        </w:rPr>
        <w:t>2</w:t>
      </w:r>
      <w:r w:rsidR="002A66B7" w:rsidRPr="00323B06">
        <w:t>)</w:t>
      </w:r>
      <w:r w:rsidRPr="00323B06">
        <w:t xml:space="preserve"> by cycloaddition with isoprene</w:t>
      </w:r>
      <w:bookmarkEnd w:id="205"/>
    </w:p>
    <w:p w14:paraId="4835592F" w14:textId="77777777" w:rsidR="00E450E7" w:rsidRPr="00E47369" w:rsidRDefault="00E450E7" w:rsidP="00E450E7">
      <w:pPr>
        <w:rPr>
          <w:rFonts w:cstheme="minorHAnsi"/>
        </w:rPr>
      </w:pPr>
    </w:p>
    <w:p w14:paraId="41AB2B87" w14:textId="77777777" w:rsidR="002A66B7" w:rsidRPr="00E47369" w:rsidRDefault="002A66B7" w:rsidP="002A66B7">
      <w:pPr>
        <w:ind w:firstLine="360"/>
        <w:jc w:val="both"/>
        <w:rPr>
          <w:rFonts w:cstheme="minorHAnsi"/>
        </w:rPr>
      </w:pPr>
      <w:r w:rsidRPr="00E47369">
        <w:rPr>
          <w:rFonts w:cstheme="minorHAnsi"/>
        </w:rPr>
        <w:t>The cycloaddition products (</w:t>
      </w:r>
      <w:r w:rsidR="00E450E7" w:rsidRPr="00E47369">
        <w:rPr>
          <w:rFonts w:cstheme="minorHAnsi"/>
          <w:b/>
        </w:rPr>
        <w:t>3</w:t>
      </w:r>
      <w:r w:rsidRPr="00E47369">
        <w:rPr>
          <w:rFonts w:cstheme="minorHAnsi"/>
        </w:rPr>
        <w:t xml:space="preserve"> and </w:t>
      </w:r>
      <w:r w:rsidR="00E450E7" w:rsidRPr="00E47369">
        <w:rPr>
          <w:rFonts w:cstheme="minorHAnsi"/>
          <w:b/>
        </w:rPr>
        <w:t>3</w:t>
      </w:r>
      <w:r w:rsidRPr="00E47369">
        <w:rPr>
          <w:rFonts w:cstheme="minorHAnsi"/>
          <w:b/>
        </w:rPr>
        <w:t>’</w:t>
      </w:r>
      <w:r w:rsidRPr="00E47369">
        <w:rPr>
          <w:rFonts w:cstheme="minorHAnsi"/>
        </w:rPr>
        <w:t xml:space="preserve">, </w:t>
      </w:r>
      <w:r w:rsidR="00E450E7" w:rsidRPr="00E47369">
        <w:rPr>
          <w:rFonts w:cstheme="minorHAnsi"/>
        </w:rPr>
        <w:fldChar w:fldCharType="begin"/>
      </w:r>
      <w:r w:rsidR="00E450E7" w:rsidRPr="00E47369">
        <w:rPr>
          <w:rFonts w:cstheme="minorHAnsi"/>
        </w:rPr>
        <w:instrText xml:space="preserve"> REF _Ref451797091 \h </w:instrText>
      </w:r>
      <w:r w:rsidR="00E47369">
        <w:rPr>
          <w:rFonts w:cstheme="minorHAnsi"/>
        </w:rPr>
        <w:instrText xml:space="preserve"> \* MERGEFORMAT </w:instrText>
      </w:r>
      <w:r w:rsidR="00E450E7" w:rsidRPr="00E47369">
        <w:rPr>
          <w:rFonts w:cstheme="minorHAnsi"/>
        </w:rPr>
      </w:r>
      <w:r w:rsidR="00E450E7" w:rsidRPr="00E47369">
        <w:rPr>
          <w:rFonts w:cstheme="minorHAnsi"/>
        </w:rPr>
        <w:fldChar w:fldCharType="separate"/>
      </w:r>
      <w:r w:rsidR="000A0E3D" w:rsidRPr="000A0E3D">
        <w:rPr>
          <w:rFonts w:cstheme="minorHAnsi"/>
        </w:rPr>
        <w:t xml:space="preserve">Figure III. </w:t>
      </w:r>
      <w:r w:rsidR="000A0E3D" w:rsidRPr="000A0E3D">
        <w:rPr>
          <w:rFonts w:cstheme="minorHAnsi"/>
          <w:noProof/>
        </w:rPr>
        <w:t>1.7</w:t>
      </w:r>
      <w:r w:rsidR="00E450E7" w:rsidRPr="00E47369">
        <w:rPr>
          <w:rFonts w:cstheme="minorHAnsi"/>
        </w:rPr>
        <w:fldChar w:fldCharType="end"/>
      </w:r>
      <w:r w:rsidRPr="00E47369">
        <w:rPr>
          <w:rFonts w:cstheme="minorHAnsi"/>
        </w:rPr>
        <w:t>) were not detected by NMR in the reaction mixture. One explanation to this result could be that the cycloaddition process is slow and that the methyl glyoxal (</w:t>
      </w:r>
      <w:r w:rsidRPr="00E47369">
        <w:rPr>
          <w:rFonts w:cstheme="minorHAnsi"/>
          <w:b/>
        </w:rPr>
        <w:t>2</w:t>
      </w:r>
      <w:r w:rsidRPr="00E47369">
        <w:rPr>
          <w:rFonts w:cstheme="minorHAnsi"/>
        </w:rPr>
        <w:t xml:space="preserve">, </w:t>
      </w:r>
      <w:r w:rsidR="00E450E7" w:rsidRPr="00E47369">
        <w:rPr>
          <w:rFonts w:cstheme="minorHAnsi"/>
        </w:rPr>
        <w:fldChar w:fldCharType="begin"/>
      </w:r>
      <w:r w:rsidR="00E450E7" w:rsidRPr="00E47369">
        <w:rPr>
          <w:rFonts w:cstheme="minorHAnsi"/>
        </w:rPr>
        <w:instrText xml:space="preserve"> REF _Ref451797091 \h </w:instrText>
      </w:r>
      <w:r w:rsidR="00E47369">
        <w:rPr>
          <w:rFonts w:cstheme="minorHAnsi"/>
        </w:rPr>
        <w:instrText xml:space="preserve"> \* MERGEFORMAT </w:instrText>
      </w:r>
      <w:r w:rsidR="00E450E7" w:rsidRPr="00E47369">
        <w:rPr>
          <w:rFonts w:cstheme="minorHAnsi"/>
        </w:rPr>
      </w:r>
      <w:r w:rsidR="00E450E7" w:rsidRPr="00E47369">
        <w:rPr>
          <w:rFonts w:cstheme="minorHAnsi"/>
        </w:rPr>
        <w:fldChar w:fldCharType="separate"/>
      </w:r>
      <w:r w:rsidR="000A0E3D" w:rsidRPr="000A0E3D">
        <w:rPr>
          <w:rFonts w:cstheme="minorHAnsi"/>
        </w:rPr>
        <w:t xml:space="preserve">Figure III. </w:t>
      </w:r>
      <w:r w:rsidR="000A0E3D" w:rsidRPr="000A0E3D">
        <w:rPr>
          <w:rFonts w:cstheme="minorHAnsi"/>
          <w:noProof/>
        </w:rPr>
        <w:t>1.7</w:t>
      </w:r>
      <w:r w:rsidR="00E450E7" w:rsidRPr="00E47369">
        <w:rPr>
          <w:rFonts w:cstheme="minorHAnsi"/>
        </w:rPr>
        <w:fldChar w:fldCharType="end"/>
      </w:r>
      <w:r w:rsidRPr="00E47369">
        <w:rPr>
          <w:rFonts w:cstheme="minorHAnsi"/>
        </w:rPr>
        <w:t>) degrades faster under the reaction conditions than the HDA process.</w:t>
      </w:r>
    </w:p>
    <w:p w14:paraId="5EB1B082" w14:textId="77777777" w:rsidR="002A66B7" w:rsidRPr="00E47369" w:rsidRDefault="002A66B7" w:rsidP="002A66B7">
      <w:pPr>
        <w:jc w:val="both"/>
        <w:rPr>
          <w:rFonts w:cstheme="minorHAnsi"/>
        </w:rPr>
      </w:pPr>
    </w:p>
    <w:p w14:paraId="61CD5C97" w14:textId="47801609" w:rsidR="002A66B7" w:rsidRPr="00E47369" w:rsidRDefault="002A66B7" w:rsidP="000351A7">
      <w:pPr>
        <w:pStyle w:val="Heading3"/>
      </w:pPr>
      <w:bookmarkStart w:id="206" w:name="_Toc458938300"/>
      <w:r w:rsidRPr="00E47369">
        <w:t xml:space="preserve">Study of the </w:t>
      </w:r>
      <w:r w:rsidR="00D717AF">
        <w:t>H</w:t>
      </w:r>
      <w:r w:rsidRPr="00E47369">
        <w:t xml:space="preserve">etero Diels Alder </w:t>
      </w:r>
      <w:r w:rsidR="00D717AF">
        <w:t>s</w:t>
      </w:r>
      <w:r w:rsidRPr="00E47369">
        <w:t>tep</w:t>
      </w:r>
      <w:bookmarkEnd w:id="206"/>
    </w:p>
    <w:p w14:paraId="1E66063E" w14:textId="77777777" w:rsidR="002A66B7" w:rsidRPr="00E47369" w:rsidRDefault="002A66B7" w:rsidP="002A66B7">
      <w:pPr>
        <w:ind w:firstLine="360"/>
        <w:jc w:val="both"/>
        <w:rPr>
          <w:rFonts w:cstheme="minorHAnsi"/>
        </w:rPr>
      </w:pPr>
      <w:r w:rsidRPr="00E47369">
        <w:rPr>
          <w:rFonts w:cstheme="minorHAnsi"/>
        </w:rPr>
        <w:t>The failure of the trapping experiment raised an important concern about the HDA step in the reaction. We decided, therefore, to study this part of the tandem reaction.</w:t>
      </w:r>
    </w:p>
    <w:p w14:paraId="4B0A35E4" w14:textId="77777777" w:rsidR="00B72949" w:rsidRPr="00E47369" w:rsidRDefault="00B72949" w:rsidP="002A66B7">
      <w:pPr>
        <w:ind w:firstLine="360"/>
        <w:jc w:val="both"/>
        <w:rPr>
          <w:rFonts w:cstheme="minorHAnsi"/>
        </w:rPr>
      </w:pPr>
    </w:p>
    <w:p w14:paraId="61C23C99" w14:textId="77777777" w:rsidR="002A66B7" w:rsidRPr="00E47369" w:rsidRDefault="002A66B7" w:rsidP="00C36752">
      <w:pPr>
        <w:pStyle w:val="Heading41"/>
        <w:numPr>
          <w:ilvl w:val="0"/>
          <w:numId w:val="12"/>
        </w:numPr>
        <w:rPr>
          <w:rFonts w:cstheme="minorHAnsi"/>
        </w:rPr>
      </w:pPr>
      <w:r w:rsidRPr="00E47369">
        <w:rPr>
          <w:rFonts w:cstheme="minorHAnsi"/>
        </w:rPr>
        <w:t>α-Dicarbonyls as dienophile</w:t>
      </w:r>
    </w:p>
    <w:p w14:paraId="739BB270" w14:textId="77777777" w:rsidR="002A66B7" w:rsidRPr="00E47369" w:rsidRDefault="002A66B7" w:rsidP="002A66B7">
      <w:pPr>
        <w:ind w:firstLine="360"/>
        <w:jc w:val="both"/>
        <w:rPr>
          <w:rFonts w:cstheme="minorHAnsi"/>
          <w:color w:val="000000" w:themeColor="text1"/>
        </w:rPr>
      </w:pPr>
      <w:r w:rsidRPr="00E47369">
        <w:rPr>
          <w:rFonts w:cstheme="minorHAnsi"/>
        </w:rPr>
        <w:t>The HDA reaction is often reported as a thermal reaction.</w:t>
      </w:r>
      <w:r w:rsidRPr="00E47369">
        <w:rPr>
          <w:rFonts w:cstheme="minorHAnsi"/>
        </w:rPr>
        <w:fldChar w:fldCharType="begin"/>
      </w:r>
      <w:r w:rsidR="00E028D6">
        <w:rPr>
          <w:rFonts w:cstheme="minorHAnsi"/>
        </w:rPr>
        <w:instrText xml:space="preserve"> ADDIN ZOTERO_ITEM CSL_CITATION {"citationID":"a6psm80m5","properties":{"formattedCitation":"{\\rtf \\super 114\\uc0\\u8211{}116\\nosupersub{}}","plainCitation":"114–116"},"citationItems":[{"id":1460,"uris":["http://zotero.org/users/1624234/items/JT8WRHD3"],"uri":["http://zotero.org/users/1624234/items/JT8WRHD3"],"itemData":{"id":1460,"type":"article-journal","title":"Reactions de cycloaddition [4 + 2] sous micro - ondes des derives du glyoxal","container-title":"Tetrahedron Letters","page":"1723-1724","volume":"32","issue":"14","source":"ScienceDirect","abstract":"Résumé\nHetero Diels-Alder reactions of methylglyoxylate and glyoxal monoacetal with 2-methyl-1,3-pentadiene have been studied under pressure in a microwave oven. Reaction times were dramatically reduced and degradation and polymerisation were avoided.","DOI":"10.1016/S0040-4039(00)74313-9","ISSN":"0040-4039","journalAbbreviation":"Tetrahedron Letters","author":[{"family":"Stambouli","given":"A."},{"family":"Chastrette","given":"M."},{"family":"Soufiaoui","given":"M."}],"issued":{"date-parts":[["1991",4,1]]}}},{"id":1484,"uris":["http://zotero.org/users/1624234/items/XPM5H35R"],"uri":["http://zotero.org/users/1624234/items/XPM5H35R"],"itemData":{"id":1484,"type":"article-journal","title":"Microwave-Assisted Carbonyl Diels-Alder and Carbonyl-Ene Reactions Supported on Graphite","container-title":"Liebigs Annalen","page":"743-744","volume":"1996","issue":"5","source":"Wiley Online Library","abstract":"“Dry” carbonyl Diels-Alder and carbonyl-ene reactions with microwaves and reactants supported on graphite were dramatically accelerated with respect to homogeneous conditions both involving classical or microwave heating. Although the reactions were carried out in an open reactor, a control of the evaporation of volatile reagents was possible, probably due to their retention or confinement by graphite.","DOI":"10.1002/jlac.199619960516","ISSN":"1099-0690","journalAbbreviation":"Liebigs Ann./Recl.","language":"en","author":[{"family":"Garrigues","given":"Bernard"},{"family":"Laurent","given":"Régis"},{"family":"Laporte","given":"Christian"},{"family":"Laporterie","given":"André"},{"family":"Dubac","given":"Jacques"}],"issued":{"date-parts":[["1996",5,1]]}}},{"id":1477,"uris":["http://zotero.org/users/1624234/items/858ZFV69"],"uri":["http://zotero.org/users/1624234/items/858ZFV69"],"itemData":{"id":1477,"type":"chapter","title":"Chapter 4 - Carbonyl Dienophiles","container-title":"Organic Chemistry","collection-title":"Hetero Diels—Alder Methodology in Organic Synthesis","publisher":"Elsevier","page":"94-119","volume":"47","source":"ScienceDirect","URL":"http://www.sciencedirect.com/science/article/pii/B978008091697250007X","editor":[{"family":"Weinreb","given":"Dale L. Boger and Steven M."}],"issued":{"date-parts":[["1987"]]},"accessed":{"date-parts":[["2016",4,3]]}}}],"schema":"https://github.com/citation-style-language/schema/raw/master/csl-citation.json"} </w:instrText>
      </w:r>
      <w:r w:rsidRPr="00E47369">
        <w:rPr>
          <w:rFonts w:cstheme="minorHAnsi"/>
        </w:rPr>
        <w:fldChar w:fldCharType="separate"/>
      </w:r>
      <w:r w:rsidR="00E028D6" w:rsidRPr="00E028D6">
        <w:rPr>
          <w:rFonts w:ascii="Times New Roman" w:hAnsi="Times New Roman"/>
          <w:vertAlign w:val="superscript"/>
        </w:rPr>
        <w:t>114–116</w:t>
      </w:r>
      <w:r w:rsidRPr="00E47369">
        <w:rPr>
          <w:rFonts w:cstheme="minorHAnsi"/>
        </w:rPr>
        <w:fldChar w:fldCharType="end"/>
      </w:r>
      <w:r w:rsidRPr="00E47369">
        <w:rPr>
          <w:rFonts w:cstheme="minorHAnsi"/>
        </w:rPr>
        <w:t xml:space="preserve"> In order to decrease the temperature of the reaction Lewis acid catalysts </w:t>
      </w:r>
      <w:r w:rsidRPr="00E47369">
        <w:rPr>
          <w:rFonts w:cstheme="minorHAnsi"/>
          <w:color w:val="000000" w:themeColor="text1"/>
        </w:rPr>
        <w:t>have been studied.</w:t>
      </w:r>
      <w:r w:rsidRPr="00E47369">
        <w:rPr>
          <w:rFonts w:cstheme="minorHAnsi"/>
          <w:color w:val="000000" w:themeColor="text1"/>
        </w:rPr>
        <w:fldChar w:fldCharType="begin"/>
      </w:r>
      <w:r w:rsidR="00E028D6">
        <w:rPr>
          <w:rFonts w:cstheme="minorHAnsi"/>
          <w:color w:val="000000" w:themeColor="text1"/>
        </w:rPr>
        <w:instrText xml:space="preserve"> ADDIN ZOTERO_ITEM CSL_CITATION {"citationID":"XbIitXRP","properties":{"formattedCitation":"{\\rtf \\super 117\\uc0\\u8211{}123\\nosupersub{}}","plainCitation":"117–123"},"citationItems":[{"id":1465,"uris":["http://zotero.org/users/1624234/items/FSNZNCBZ"],"uri":["http://zotero.org/users/1624234/items/FSNZNCBZ"],"itemData":{"id":1465,"type":"article-journal","title":"Asymmetric hetero Diels-Alder reactions and ene reactions catalyzed by chiral copper(II) complexes","container-title":"The Journal of Organic Chemistry","page":"5757-5762","volume":"60","issue":"18","source":"ACS Publications","DOI":"10.1021/jo00123a007","ISSN":"0022-3263","journalAbbreviation":"J. Org. Chem.","author":[{"family":"Johannsen","given":"Mogens"},{"family":"Joergensen","given":"Karl Anker"}],"issued":{"date-parts":[["1995",9,1]]}}},{"id":41,"uris":["http://zotero.org/users/1624234/items/3IE9CTDF"],"uri":["http://zotero.org/users/1624234/items/3IE9CTDF"],"itemData":{"id":41,"type":"article-journal","title":"C2-Symmetric Copper(II) Complexes as Chiral Lewis Acids. Catalytic Enantioselective Carbonyl−Ene Reactions with Glyoxylate and Pyruvate Esters","container-title":"Journal of the American Chemical Society","page":"7936-7943","volume":"122","issue":"33","source":"ACS Publications","abstract":"The C2-symmetric complexes [Cu(S,S)-tert-butylbis(oxazolinyl)](SbF6)2 (2a), its bis(aquo) counterpart [Cu(S,S)-tert-butylbis(oxazolinyl)(H2O)2](SbF6)2 (4), and [Cu(S,S)-phenylbis(oxazolinyl)](OTf)2 (1c) have been shown to catalyze the enantioselective ene reaction between glyoxylate esters and various olefins. Monosubstituted, disubstituted, and trisubstituted olefins each react with ethyl glyoxylate in the presence of 0.2?10 mol % of catalysts 1, 2, and 4 to afford the ene products in good yield and enantioselectivity. Complex 2a has also been shown to catalyze the addition of 1,1-disubstituted olefins to methyl pyruvate in good yields (76?95%) and excellent enantioselectivies (≥98% ee). The synthetic utility of the glyoxylate?ene reaction was demonstrated by conversion of the resulting α-hydroxy ester into the corresponding methyl ester, free acid, Weinreb amide, and α-azido ester, all with no detectable racemization.","DOI":"10.1021/ja000913t","ISSN":"0002-7863","journalAbbreviation":"J. Am. Chem. Soc.","author":[{"family":"Evans","given":"David A."},{"family":"Tregay","given":"Steven W."},{"family":"Burgey","given":"Christopher S."},{"family":"Paras","given":"Nick A."},{"family":"Vojkovsky","given":"Tomas"}],"issued":{"date-parts":[["2000"]],"season":"août"}}},{"id":1473,"uris":["http://zotero.org/users/1624234/items/6XN7SXTK"],"uri":["http://zotero.org/users/1624234/items/6XN7SXTK"],"itemData":{"id":1473,"type":"article-journal","title":"Reactions de quelques dienes avec le pyruvate dðhyle en presence de AlCl3","container-title":"Tetrahedron Letters","page":"2069-2071","volume":"15","issue":"24","source":"ScienceDirect","DOI":"10.1016/S0040-4039(01)82634-4","ISSN":"0040-4039","journalAbbreviation":"Tetrahedron Letters","author":[{"family":"Jankowski","given":"Krzysztof"},{"family":"Luce","given":"Rhéal"}],"issued":{"date-parts":[["1974"]]}}},{"id":200,"uris":["http://zotero.org/users/1624234/items/DBTFK7RP"],"uri":["http://zotero.org/users/1624234/items/DBTFK7RP"],"itemData":{"id":200,"type":"article-journal","title":"Trifluoromethanesulfonic Acid, an Efficient Catalyst for the Hetero Diels-Alder Reaction and an Improved Synthesis of Mefrosol.","container-title":"Tetrahedron Letters","page":"2569-2572","volume":"38","issue":"14","source":"ScienceDirect","abstract":"Trifluoromethanesulfonic (triflic) acid (1 mol%) has been found to be an efficient catalyst for the hetero Diels-Alder reaction between aromatic aldehydes and unactivated dienes. © 1997 Elsevier Science Ltd.","DOI":"10.1016/S0040-4039(97)00403-6","ISSN":"0040-4039","journalAbbreviation":"Tetrahedron Letters","author":[{"family":"Aggarwal","given":"Varinder K"},{"family":"Vennall","given":"Graham P"},{"family":"Davey","given":"Paul N"},{"family":"Newman","given":"Chris"}],"issued":{"date-parts":[["1997"]],"season":"avril"}}},{"id":383,"uris":["http://zotero.org/users/1624234/items/RNIZAJXB"],"uri":["http://zotero.org/users/1624234/items/RNIZAJXB"],"itemData":{"id":383,"type":"article-journal","title":"Montmorillonite clay-catalyzed hetero-Diels–Alder reaction of 2,3-dimethyl-1,3-butadiene with benzaldehydes","container-title":"Tetrahedron Letters","page":"1577-1579","volume":"48","issue":"9","source":"ScienceDirect","abstract":"Montmorillonite K10 clay was found to catalyze the hetero-Diels–Alder reaction of 2,3-dimethyl-1,3-butadiene with o-anisaldehyde and other benzaldehyde derivatives; a transition state involving chelation of the clay’s metal ions with the dienophile’s heteroatoms is proposed.","DOI":"10.1016/j.tetlet.2007.01.010","ISSN":"0040-4039","journalAbbreviation":"Tetrahedron Letters","author":[{"family":"Dintzner","given":"Matthew R."},{"family":"Little","given":"Andrew J."},{"family":"Pacilli","given":"Massimo"},{"family":"Pileggi","given":"Dominic J."},{"family":"Osner","given":"Zachary R."},{"family":"Lyons","given":"Thomas W."}],"issued":{"date-parts":[["2007"]],"season":"février"}}},{"id":1494,"uris":["http://zotero.org/users/1624234/items/EF5FQQF3"],"uri":["http://zotero.org/users/1624234/items/EF5FQQF3"],"itemData":{"id":1494,"type":"article-journal","title":"Scandium(III) Perfluorooctanesulfonate [Sc(OPf)&lt;sub&gt;3&lt;/sub&gt;] : A Novel Catalyst for the Hetero Diels–Alder Reaction of Aldehydes with Non-Activated Dienes","container-title":"Bulletin of the Chemical Society of Japan","page":"1421-1426","volume":"70","issue":"6","source":"J-Stage","abstract":"Scandium(III) perfluorooctanesulfonate [scandium(III) perflate, Sc(OPf)3] was prepared from either scandium(III) chloride or oxide and perfluorooctanesulfonic acid. The perflate thus obtained acts as a novel Lewis acid catalyst for the intermolecular hetero Diels–Alder reaction of aldehydes with non-activated dienes under mild conditions. The characteristic features of the catalyst include (i) low hygroscopicity, (ii) ease of handling, and (iii) robustness for the recycling use.","DOI":"10.1246/bcsj.70.1421","shortTitle":"Scandium(III) Perfluorooctanesulfonate [Sc(OPf)&lt;sub&gt;3&lt;/sub&gt;]","author":[{"family":"Hanamoto","given":"Takeshi"},{"family":"Sugimoto","given":"Yuichi"},{"family":"Jin","given":"Yong Zhi"},{"family":"Inanaga","given":"Junji"}],"issued":{"date-parts":[["1997"]]}}},{"id":1468,"uris":["http://zotero.org/users/1624234/items/H3HSQS3Z"],"uri":["http://zotero.org/users/1624234/items/H3HSQS3Z"],"itemData":{"id":1468,"type":"article-journal","title":"Aqueous Catalysis:  Methylrhenium Trioxide (MTO) as a Homogeneous Catalyst for the Diels−Alder Reaction","container-title":"Journal of the American Chemical Society","page":"3507-3512","volume":"119","issue":"15","source":"ACS Publications","abstract":"The title compound proves to be an effective and efficient catalyst for the Diels?Alder reaction when the dienophile is an α,?-unsaturated ketone or aldehyde. It is especially effective in water. Equal amounts of any such dienophile and any of six representative dienes (isoprene, 2-methyl-1,3-pentadiene, 2,3-dimethyl-1,3-butadiene, cyclopentadiene, 1,2,3,4,5-pentamethylcyclopentadiene, and 1,3-cyclohexadiene) were used, along with 1% MTO. The reactions gave usually &gt;90% isolated yield of the cycloaddition product except for the larger dienophiles. Nearly exclusively, there was formed one product isomer, the same one that usually predominates. The reactions were often run in chloroform (mostly) and in other organic solvents. A select number were carried out in water, where the reactions gave a greater product yield in a considerably shorter time. Water, itself, is known to enhance the rates of Diels?Alder reactions, but MTO exerts an additional accelerating effect. Kinetics studies were carried out to show that the rate is proportional to the catalyst concentration. The products do not inhibit the reaction. The desirability of MTO as a Diels?Alder catalyst stems from a combination of favorable properties:? the inertness to air/oxygen, the tolerance for many substrates, the use of an aqueous medium, and the absence of product inhibition. The initial step appears to be the (weak) coordination of the carbonyl oxygen to the electropositive rhenium center. Steric crowding around rhenium inhibits reactions of the larger dienophiles.","DOI":"10.1021/ja963172y","ISSN":"0002-7863","shortTitle":"Aqueous Catalysis","journalAbbreviation":"J. Am. Chem. Soc.","author":[{"family":"Zhu","given":"Zuolin"},{"family":"Espenson","given":"James H."}],"issued":{"date-parts":[["1997",4,1]]}}}],"schema":"https://github.com/citation-style-language/schema/raw/master/csl-citation.json"} </w:instrText>
      </w:r>
      <w:r w:rsidRPr="00E47369">
        <w:rPr>
          <w:rFonts w:cstheme="minorHAnsi"/>
          <w:color w:val="000000" w:themeColor="text1"/>
        </w:rPr>
        <w:fldChar w:fldCharType="separate"/>
      </w:r>
      <w:r w:rsidR="00E028D6" w:rsidRPr="00E028D6">
        <w:rPr>
          <w:rFonts w:ascii="Times New Roman" w:hAnsi="Times New Roman"/>
          <w:vertAlign w:val="superscript"/>
        </w:rPr>
        <w:t>117–123</w:t>
      </w:r>
      <w:r w:rsidRPr="00E47369">
        <w:rPr>
          <w:rFonts w:cstheme="minorHAnsi"/>
          <w:color w:val="000000" w:themeColor="text1"/>
        </w:rPr>
        <w:fldChar w:fldCharType="end"/>
      </w:r>
      <w:r w:rsidRPr="00E47369">
        <w:rPr>
          <w:rFonts w:cstheme="minorHAnsi"/>
          <w:color w:val="000000" w:themeColor="text1"/>
        </w:rPr>
        <w:t xml:space="preserve">  First we started to study the thermal reactivity of </w:t>
      </w:r>
      <w:r w:rsidRPr="00E47369">
        <w:rPr>
          <w:rFonts w:cstheme="minorHAnsi"/>
        </w:rPr>
        <w:t>α-dicarbonyl as dienophiles (at the DODH reaction temperature) and then we tried some of the reported Lewis acids as additives. Both isoprene and 1,3-butadiene were tested as dienes with ethyl pyruvate and ethyl glyoxalate as dienophiles</w:t>
      </w:r>
      <w:r w:rsidR="00E450E7" w:rsidRPr="00E47369">
        <w:rPr>
          <w:rFonts w:cstheme="minorHAnsi"/>
        </w:rPr>
        <w:t xml:space="preserve"> (</w:t>
      </w:r>
      <w:r w:rsidR="00E450E7" w:rsidRPr="00E47369">
        <w:rPr>
          <w:rFonts w:cstheme="minorHAnsi"/>
        </w:rPr>
        <w:fldChar w:fldCharType="begin"/>
      </w:r>
      <w:r w:rsidR="00E450E7" w:rsidRPr="00E47369">
        <w:rPr>
          <w:rFonts w:cstheme="minorHAnsi"/>
        </w:rPr>
        <w:instrText xml:space="preserve"> REF _Ref451797187 \h </w:instrText>
      </w:r>
      <w:r w:rsidR="00E47369">
        <w:rPr>
          <w:rFonts w:cstheme="minorHAnsi"/>
        </w:rPr>
        <w:instrText xml:space="preserve"> \* MERGEFORMAT </w:instrText>
      </w:r>
      <w:r w:rsidR="00E450E7" w:rsidRPr="00E47369">
        <w:rPr>
          <w:rFonts w:cstheme="minorHAnsi"/>
        </w:rPr>
      </w:r>
      <w:r w:rsidR="00E450E7" w:rsidRPr="00E47369">
        <w:rPr>
          <w:rFonts w:cstheme="minorHAnsi"/>
        </w:rPr>
        <w:fldChar w:fldCharType="separate"/>
      </w:r>
      <w:r w:rsidR="000A0E3D" w:rsidRPr="000A0E3D">
        <w:rPr>
          <w:rFonts w:cstheme="minorHAnsi"/>
        </w:rPr>
        <w:t xml:space="preserve">Figure III. </w:t>
      </w:r>
      <w:r w:rsidR="000A0E3D" w:rsidRPr="000A0E3D">
        <w:rPr>
          <w:rFonts w:cstheme="minorHAnsi"/>
          <w:noProof/>
        </w:rPr>
        <w:t>1.8</w:t>
      </w:r>
      <w:r w:rsidR="00E450E7" w:rsidRPr="00E47369">
        <w:rPr>
          <w:rFonts w:cstheme="minorHAnsi"/>
        </w:rPr>
        <w:fldChar w:fldCharType="end"/>
      </w:r>
      <w:r w:rsidR="00E450E7" w:rsidRPr="00E47369">
        <w:rPr>
          <w:rFonts w:cstheme="minorHAnsi"/>
        </w:rPr>
        <w:t>)</w:t>
      </w:r>
      <w:r w:rsidRPr="00E47369">
        <w:rPr>
          <w:rFonts w:cstheme="minorHAnsi"/>
          <w:color w:val="000000" w:themeColor="text1"/>
        </w:rPr>
        <w:t xml:space="preserve">. </w:t>
      </w:r>
    </w:p>
    <w:p w14:paraId="3719725E" w14:textId="77777777" w:rsidR="00B72949" w:rsidRPr="00E47369" w:rsidRDefault="00B72949" w:rsidP="002A66B7">
      <w:pPr>
        <w:ind w:firstLine="360"/>
        <w:jc w:val="both"/>
        <w:rPr>
          <w:rFonts w:cstheme="minorHAnsi"/>
          <w:color w:val="000000" w:themeColor="text1"/>
        </w:rPr>
      </w:pPr>
    </w:p>
    <w:p w14:paraId="66454767" w14:textId="77777777" w:rsidR="00E450E7" w:rsidRPr="00E47369" w:rsidRDefault="008730BD" w:rsidP="00E450E7">
      <w:pPr>
        <w:keepNext/>
        <w:jc w:val="center"/>
        <w:rPr>
          <w:rFonts w:cstheme="minorHAnsi"/>
        </w:rPr>
      </w:pPr>
      <w:r w:rsidRPr="00E47369">
        <w:rPr>
          <w:rFonts w:cstheme="minorHAnsi"/>
          <w:color w:val="000000" w:themeColor="text1"/>
        </w:rPr>
        <w:object w:dxaOrig="8407" w:dyaOrig="2119" w14:anchorId="7CFA6EC8">
          <v:shape id="_x0000_i1083" type="#_x0000_t75" style="width:380.55pt;height:97.3pt" o:ole="">
            <v:imagedata r:id="rId160" o:title=""/>
          </v:shape>
          <o:OLEObject Type="Embed" ProgID="ChemDraw.Document.6.0" ShapeID="_x0000_i1083" DrawAspect="Content" ObjectID="_1532784937" r:id="rId161"/>
        </w:object>
      </w:r>
    </w:p>
    <w:p w14:paraId="0AD130A9" w14:textId="77777777" w:rsidR="002A66B7" w:rsidRPr="00323B06" w:rsidRDefault="00E450E7" w:rsidP="00323B06">
      <w:pPr>
        <w:pStyle w:val="Caption"/>
      </w:pPr>
      <w:bookmarkStart w:id="207" w:name="_Ref451797187"/>
      <w:bookmarkStart w:id="208" w:name="_Toc457670710"/>
      <w:r w:rsidRPr="00323B06">
        <w:t xml:space="preserve">Figure III. </w:t>
      </w:r>
      <w:r w:rsidR="00443010">
        <w:fldChar w:fldCharType="begin"/>
      </w:r>
      <w:r w:rsidR="00443010">
        <w:instrText xml:space="preserve"> STYLEREF 2 \s </w:instrText>
      </w:r>
      <w:r w:rsidR="00443010">
        <w:fldChar w:fldCharType="separate"/>
      </w:r>
      <w:r w:rsidR="000A0E3D">
        <w:rPr>
          <w:noProof/>
        </w:rPr>
        <w:t>1</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8</w:t>
      </w:r>
      <w:r w:rsidR="00443010">
        <w:rPr>
          <w:noProof/>
        </w:rPr>
        <w:fldChar w:fldCharType="end"/>
      </w:r>
      <w:bookmarkEnd w:id="207"/>
      <w:r w:rsidRPr="00323B06">
        <w:t xml:space="preserve"> </w:t>
      </w:r>
      <w:r w:rsidR="002A66B7" w:rsidRPr="00323B06">
        <w:t xml:space="preserve">Study of </w:t>
      </w:r>
      <w:r w:rsidR="0016299B" w:rsidRPr="00323B06">
        <w:t>H</w:t>
      </w:r>
      <w:r w:rsidR="0016299B">
        <w:t>etero-Diel Alder</w:t>
      </w:r>
      <w:r w:rsidR="0016299B" w:rsidRPr="00323B06">
        <w:t xml:space="preserve"> </w:t>
      </w:r>
      <w:r w:rsidR="002A66B7" w:rsidRPr="00323B06">
        <w:t>step</w:t>
      </w:r>
      <w:bookmarkEnd w:id="208"/>
    </w:p>
    <w:p w14:paraId="164468A3" w14:textId="77777777" w:rsidR="007D4B40" w:rsidRPr="00E47369" w:rsidRDefault="007D4B40" w:rsidP="007D4B40">
      <w:pPr>
        <w:rPr>
          <w:rFonts w:cstheme="minorHAnsi"/>
        </w:rPr>
      </w:pPr>
    </w:p>
    <w:p w14:paraId="596EF341" w14:textId="77777777" w:rsidR="002A66B7" w:rsidRPr="00E47369" w:rsidRDefault="002A66B7" w:rsidP="002A66B7">
      <w:pPr>
        <w:ind w:firstLine="360"/>
        <w:jc w:val="both"/>
        <w:rPr>
          <w:rFonts w:cstheme="minorHAnsi"/>
          <w:color w:val="000000" w:themeColor="text1"/>
        </w:rPr>
      </w:pPr>
      <w:r w:rsidRPr="00E47369">
        <w:rPr>
          <w:rFonts w:cstheme="minorHAnsi"/>
          <w:color w:val="000000" w:themeColor="text1"/>
        </w:rPr>
        <w:t xml:space="preserve">The thermal reaction, </w:t>
      </w:r>
      <w:r w:rsidRPr="00E47369">
        <w:rPr>
          <w:rFonts w:cstheme="minorHAnsi"/>
        </w:rPr>
        <w:t>without a Lewis acid additive, did not occur when toluene was used as a solvent. For both dienophile 2 (</w:t>
      </w:r>
      <w:r w:rsidR="00E450E7" w:rsidRPr="00E47369">
        <w:rPr>
          <w:rFonts w:cstheme="minorHAnsi"/>
        </w:rPr>
        <w:fldChar w:fldCharType="begin"/>
      </w:r>
      <w:r w:rsidR="00E450E7" w:rsidRPr="00E47369">
        <w:rPr>
          <w:rFonts w:cstheme="minorHAnsi"/>
        </w:rPr>
        <w:instrText xml:space="preserve"> REF _Ref451797187 \h </w:instrText>
      </w:r>
      <w:r w:rsidR="00E47369">
        <w:rPr>
          <w:rFonts w:cstheme="minorHAnsi"/>
        </w:rPr>
        <w:instrText xml:space="preserve"> \* MERGEFORMAT </w:instrText>
      </w:r>
      <w:r w:rsidR="00E450E7" w:rsidRPr="00E47369">
        <w:rPr>
          <w:rFonts w:cstheme="minorHAnsi"/>
        </w:rPr>
      </w:r>
      <w:r w:rsidR="00E450E7" w:rsidRPr="00E47369">
        <w:rPr>
          <w:rFonts w:cstheme="minorHAnsi"/>
        </w:rPr>
        <w:fldChar w:fldCharType="separate"/>
      </w:r>
      <w:r w:rsidR="000A0E3D" w:rsidRPr="000A0E3D">
        <w:rPr>
          <w:rFonts w:cstheme="minorHAnsi"/>
        </w:rPr>
        <w:t xml:space="preserve">Figure III. </w:t>
      </w:r>
      <w:r w:rsidR="000A0E3D" w:rsidRPr="000A0E3D">
        <w:rPr>
          <w:rFonts w:cstheme="minorHAnsi"/>
          <w:noProof/>
        </w:rPr>
        <w:t>1.8</w:t>
      </w:r>
      <w:r w:rsidR="00E450E7" w:rsidRPr="00E47369">
        <w:rPr>
          <w:rFonts w:cstheme="minorHAnsi"/>
        </w:rPr>
        <w:fldChar w:fldCharType="end"/>
      </w:r>
      <w:r w:rsidRPr="00E47369">
        <w:rPr>
          <w:rFonts w:cstheme="minorHAnsi"/>
        </w:rPr>
        <w:t>), we found traces of 3’ (</w:t>
      </w:r>
      <w:r w:rsidR="00E450E7" w:rsidRPr="00E47369">
        <w:rPr>
          <w:rFonts w:cstheme="minorHAnsi"/>
        </w:rPr>
        <w:fldChar w:fldCharType="begin"/>
      </w:r>
      <w:r w:rsidR="00E450E7" w:rsidRPr="00E47369">
        <w:rPr>
          <w:rFonts w:cstheme="minorHAnsi"/>
        </w:rPr>
        <w:instrText xml:space="preserve"> REF _Ref451797187 \h </w:instrText>
      </w:r>
      <w:r w:rsidR="00E47369">
        <w:rPr>
          <w:rFonts w:cstheme="minorHAnsi"/>
        </w:rPr>
        <w:instrText xml:space="preserve"> \* MERGEFORMAT </w:instrText>
      </w:r>
      <w:r w:rsidR="00E450E7" w:rsidRPr="00E47369">
        <w:rPr>
          <w:rFonts w:cstheme="minorHAnsi"/>
        </w:rPr>
      </w:r>
      <w:r w:rsidR="00E450E7" w:rsidRPr="00E47369">
        <w:rPr>
          <w:rFonts w:cstheme="minorHAnsi"/>
        </w:rPr>
        <w:fldChar w:fldCharType="separate"/>
      </w:r>
      <w:r w:rsidR="000A0E3D" w:rsidRPr="000A0E3D">
        <w:rPr>
          <w:rFonts w:cstheme="minorHAnsi"/>
        </w:rPr>
        <w:t xml:space="preserve">Figure III. </w:t>
      </w:r>
      <w:r w:rsidR="000A0E3D" w:rsidRPr="000A0E3D">
        <w:rPr>
          <w:rFonts w:cstheme="minorHAnsi"/>
          <w:noProof/>
        </w:rPr>
        <w:t>1.8</w:t>
      </w:r>
      <w:r w:rsidR="00E450E7" w:rsidRPr="00E47369">
        <w:rPr>
          <w:rFonts w:cstheme="minorHAnsi"/>
        </w:rPr>
        <w:fldChar w:fldCharType="end"/>
      </w:r>
      <w:r w:rsidRPr="00E47369">
        <w:rPr>
          <w:rFonts w:cstheme="minorHAnsi"/>
        </w:rPr>
        <w:t>) by GCMS when isoprene was used in a slight excess to play the role of the solvent in the absence of toluene. The H-DA reaction appears to require high concentrations to work efficiently, which led us to conclude that it is a rather slow reaction and unfavorable when a solvent is employed. F</w:t>
      </w:r>
      <w:r w:rsidRPr="00E47369">
        <w:rPr>
          <w:rFonts w:cstheme="minorHAnsi"/>
          <w:color w:val="000000" w:themeColor="text1"/>
        </w:rPr>
        <w:t xml:space="preserve">or the purpose of the tandem reaction system it is will be difficult to run the DODH reaction in </w:t>
      </w:r>
      <w:r w:rsidRPr="00E47369">
        <w:rPr>
          <w:rFonts w:cstheme="minorHAnsi"/>
        </w:rPr>
        <w:t>the</w:t>
      </w:r>
      <w:r w:rsidRPr="00E47369">
        <w:rPr>
          <w:rFonts w:cstheme="minorHAnsi"/>
          <w:color w:val="000000" w:themeColor="text1"/>
        </w:rPr>
        <w:t xml:space="preserve"> absence of solvent or to have the diene as solvent and it will be difficult to have an excess of diene over the dienophile due to the stoichiometry of the reaction. </w:t>
      </w:r>
    </w:p>
    <w:p w14:paraId="1076EDBE" w14:textId="77777777" w:rsidR="002A66B7" w:rsidRPr="00E47369" w:rsidRDefault="002A66B7" w:rsidP="002A66B7">
      <w:pPr>
        <w:ind w:firstLine="360"/>
        <w:jc w:val="both"/>
        <w:rPr>
          <w:rFonts w:cstheme="minorHAnsi"/>
          <w:color w:val="000000" w:themeColor="text1"/>
        </w:rPr>
      </w:pPr>
      <w:r w:rsidRPr="00E47369">
        <w:rPr>
          <w:rFonts w:cstheme="minorHAnsi"/>
          <w:color w:val="000000" w:themeColor="text1"/>
        </w:rPr>
        <w:t xml:space="preserve">We decided to test if we </w:t>
      </w:r>
      <w:r w:rsidRPr="00E47369">
        <w:rPr>
          <w:rFonts w:cstheme="minorHAnsi"/>
        </w:rPr>
        <w:t>could catalyze the HDA step with Lewis acids. These reactions were tested in toluene as solvent (1M) using 10mol% of the Lewis acids. None of the tested Lewis acids (Additives: ZnCl</w:t>
      </w:r>
      <w:r w:rsidRPr="00E47369">
        <w:rPr>
          <w:rFonts w:cstheme="minorHAnsi"/>
          <w:vertAlign w:val="subscript"/>
        </w:rPr>
        <w:t>2</w:t>
      </w:r>
      <w:r w:rsidRPr="00E47369">
        <w:rPr>
          <w:rFonts w:cstheme="minorHAnsi"/>
        </w:rPr>
        <w:t>, AlCl</w:t>
      </w:r>
      <w:r w:rsidRPr="00E47369">
        <w:rPr>
          <w:rFonts w:cstheme="minorHAnsi"/>
          <w:vertAlign w:val="subscript"/>
        </w:rPr>
        <w:t>3</w:t>
      </w:r>
      <w:r w:rsidRPr="00E47369">
        <w:rPr>
          <w:rFonts w:cstheme="minorHAnsi"/>
        </w:rPr>
        <w:t>, Sc(OTf)</w:t>
      </w:r>
      <w:r w:rsidRPr="00E47369">
        <w:rPr>
          <w:rFonts w:cstheme="minorHAnsi"/>
          <w:vertAlign w:val="subscript"/>
        </w:rPr>
        <w:t>3</w:t>
      </w:r>
      <w:r w:rsidRPr="00E47369">
        <w:rPr>
          <w:rFonts w:cstheme="minorHAnsi"/>
        </w:rPr>
        <w:t>, MeReO</w:t>
      </w:r>
      <w:r w:rsidRPr="00E47369">
        <w:rPr>
          <w:rFonts w:cstheme="minorHAnsi"/>
          <w:vertAlign w:val="subscript"/>
        </w:rPr>
        <w:t>3</w:t>
      </w:r>
      <w:r w:rsidRPr="00E47369">
        <w:rPr>
          <w:rFonts w:cstheme="minorHAnsi"/>
        </w:rPr>
        <w:t xml:space="preserve">, </w:t>
      </w:r>
      <w:r w:rsidR="00E450E7" w:rsidRPr="00E47369">
        <w:rPr>
          <w:rFonts w:cstheme="minorHAnsi"/>
        </w:rPr>
        <w:fldChar w:fldCharType="begin"/>
      </w:r>
      <w:r w:rsidR="00E450E7" w:rsidRPr="00E47369">
        <w:rPr>
          <w:rFonts w:cstheme="minorHAnsi"/>
        </w:rPr>
        <w:instrText xml:space="preserve"> REF _Ref451797187 \h </w:instrText>
      </w:r>
      <w:r w:rsidR="00E47369">
        <w:rPr>
          <w:rFonts w:cstheme="minorHAnsi"/>
        </w:rPr>
        <w:instrText xml:space="preserve"> \* MERGEFORMAT </w:instrText>
      </w:r>
      <w:r w:rsidR="00E450E7" w:rsidRPr="00E47369">
        <w:rPr>
          <w:rFonts w:cstheme="minorHAnsi"/>
        </w:rPr>
      </w:r>
      <w:r w:rsidR="00E450E7" w:rsidRPr="00E47369">
        <w:rPr>
          <w:rFonts w:cstheme="minorHAnsi"/>
        </w:rPr>
        <w:fldChar w:fldCharType="separate"/>
      </w:r>
      <w:r w:rsidR="000A0E3D" w:rsidRPr="000A0E3D">
        <w:rPr>
          <w:rFonts w:cstheme="minorHAnsi"/>
        </w:rPr>
        <w:t xml:space="preserve">Figure III. </w:t>
      </w:r>
      <w:r w:rsidR="000A0E3D" w:rsidRPr="000A0E3D">
        <w:rPr>
          <w:rFonts w:cstheme="minorHAnsi"/>
          <w:noProof/>
        </w:rPr>
        <w:t>1.8</w:t>
      </w:r>
      <w:r w:rsidR="00E450E7" w:rsidRPr="00E47369">
        <w:rPr>
          <w:rFonts w:cstheme="minorHAnsi"/>
        </w:rPr>
        <w:fldChar w:fldCharType="end"/>
      </w:r>
      <w:r w:rsidRPr="00E47369">
        <w:rPr>
          <w:rFonts w:cstheme="minorHAnsi"/>
        </w:rPr>
        <w:t>) catalysts improved the form</w:t>
      </w:r>
      <w:r w:rsidRPr="00E47369">
        <w:rPr>
          <w:rFonts w:cstheme="minorHAnsi"/>
          <w:color w:val="000000" w:themeColor="text1"/>
        </w:rPr>
        <w:t xml:space="preserve">ation and the yield of </w:t>
      </w:r>
      <w:r w:rsidRPr="00E47369">
        <w:rPr>
          <w:rFonts w:cstheme="minorHAnsi"/>
          <w:b/>
          <w:color w:val="000000" w:themeColor="text1"/>
        </w:rPr>
        <w:t>3</w:t>
      </w:r>
      <w:r w:rsidRPr="00E47369">
        <w:rPr>
          <w:rFonts w:cstheme="minorHAnsi"/>
          <w:color w:val="000000" w:themeColor="text1"/>
        </w:rPr>
        <w:t xml:space="preserve"> or </w:t>
      </w:r>
      <w:r w:rsidRPr="00E47369">
        <w:rPr>
          <w:rFonts w:cstheme="minorHAnsi"/>
          <w:b/>
          <w:color w:val="000000" w:themeColor="text1"/>
        </w:rPr>
        <w:t>3’</w:t>
      </w:r>
      <w:r w:rsidRPr="00E47369">
        <w:rPr>
          <w:rFonts w:cstheme="minorHAnsi"/>
          <w:color w:val="000000" w:themeColor="text1"/>
        </w:rPr>
        <w:t xml:space="preserve"> (</w:t>
      </w:r>
      <w:r w:rsidR="00E450E7" w:rsidRPr="00E47369">
        <w:rPr>
          <w:rFonts w:cstheme="minorHAnsi"/>
        </w:rPr>
        <w:fldChar w:fldCharType="begin"/>
      </w:r>
      <w:r w:rsidR="00E450E7" w:rsidRPr="00E47369">
        <w:rPr>
          <w:rFonts w:cstheme="minorHAnsi"/>
        </w:rPr>
        <w:instrText xml:space="preserve"> REF _Ref451797187 \h </w:instrText>
      </w:r>
      <w:r w:rsidR="00E47369">
        <w:rPr>
          <w:rFonts w:cstheme="minorHAnsi"/>
        </w:rPr>
        <w:instrText xml:space="preserve"> \* MERGEFORMAT </w:instrText>
      </w:r>
      <w:r w:rsidR="00E450E7" w:rsidRPr="00E47369">
        <w:rPr>
          <w:rFonts w:cstheme="minorHAnsi"/>
        </w:rPr>
      </w:r>
      <w:r w:rsidR="00E450E7" w:rsidRPr="00E47369">
        <w:rPr>
          <w:rFonts w:cstheme="minorHAnsi"/>
        </w:rPr>
        <w:fldChar w:fldCharType="separate"/>
      </w:r>
      <w:r w:rsidR="000A0E3D" w:rsidRPr="000A0E3D">
        <w:rPr>
          <w:rFonts w:cstheme="minorHAnsi"/>
        </w:rPr>
        <w:t xml:space="preserve">Figure III. </w:t>
      </w:r>
      <w:r w:rsidR="000A0E3D" w:rsidRPr="000A0E3D">
        <w:rPr>
          <w:rFonts w:cstheme="minorHAnsi"/>
          <w:noProof/>
        </w:rPr>
        <w:t>1.8</w:t>
      </w:r>
      <w:r w:rsidR="00E450E7" w:rsidRPr="00E47369">
        <w:rPr>
          <w:rFonts w:cstheme="minorHAnsi"/>
        </w:rPr>
        <w:fldChar w:fldCharType="end"/>
      </w:r>
      <w:r w:rsidRPr="00E47369">
        <w:rPr>
          <w:rFonts w:cstheme="minorHAnsi"/>
          <w:color w:val="000000" w:themeColor="text1"/>
        </w:rPr>
        <w:t xml:space="preserve">). The addition </w:t>
      </w:r>
      <w:r w:rsidRPr="00E47369">
        <w:rPr>
          <w:rFonts w:cstheme="minorHAnsi"/>
        </w:rPr>
        <w:t xml:space="preserve">of hydroquinone as a polymerization inhibitor has been studied in of these many cases without success. A variation of different </w:t>
      </w:r>
      <w:r w:rsidRPr="00E47369">
        <w:rPr>
          <w:rFonts w:cstheme="minorHAnsi"/>
          <w:color w:val="000000" w:themeColor="text1"/>
        </w:rPr>
        <w:t>types, volume of solvent were studied as well without seeing much of cycloadduct product (</w:t>
      </w:r>
      <w:r w:rsidRPr="00E47369">
        <w:rPr>
          <w:rFonts w:cstheme="minorHAnsi"/>
          <w:b/>
          <w:color w:val="000000" w:themeColor="text1"/>
        </w:rPr>
        <w:t>3</w:t>
      </w:r>
      <w:r w:rsidRPr="00E47369">
        <w:rPr>
          <w:rFonts w:cstheme="minorHAnsi"/>
          <w:color w:val="000000" w:themeColor="text1"/>
        </w:rPr>
        <w:t xml:space="preserve"> or </w:t>
      </w:r>
      <w:r w:rsidRPr="00E47369">
        <w:rPr>
          <w:rFonts w:cstheme="minorHAnsi"/>
          <w:b/>
          <w:color w:val="000000" w:themeColor="text1"/>
        </w:rPr>
        <w:t>3’</w:t>
      </w:r>
      <w:r w:rsidRPr="00E47369">
        <w:rPr>
          <w:rFonts w:cstheme="minorHAnsi"/>
          <w:color w:val="000000" w:themeColor="text1"/>
        </w:rPr>
        <w:t xml:space="preserve">, </w:t>
      </w:r>
      <w:r w:rsidR="00E450E7" w:rsidRPr="00E47369">
        <w:rPr>
          <w:rFonts w:cstheme="minorHAnsi"/>
        </w:rPr>
        <w:fldChar w:fldCharType="begin"/>
      </w:r>
      <w:r w:rsidR="00E450E7" w:rsidRPr="00E47369">
        <w:rPr>
          <w:rFonts w:cstheme="minorHAnsi"/>
        </w:rPr>
        <w:instrText xml:space="preserve"> REF _Ref451797187 \h </w:instrText>
      </w:r>
      <w:r w:rsidR="00E47369">
        <w:rPr>
          <w:rFonts w:cstheme="minorHAnsi"/>
        </w:rPr>
        <w:instrText xml:space="preserve"> \* MERGEFORMAT </w:instrText>
      </w:r>
      <w:r w:rsidR="00E450E7" w:rsidRPr="00E47369">
        <w:rPr>
          <w:rFonts w:cstheme="minorHAnsi"/>
        </w:rPr>
      </w:r>
      <w:r w:rsidR="00E450E7" w:rsidRPr="00E47369">
        <w:rPr>
          <w:rFonts w:cstheme="minorHAnsi"/>
        </w:rPr>
        <w:fldChar w:fldCharType="separate"/>
      </w:r>
      <w:r w:rsidR="000A0E3D" w:rsidRPr="000A0E3D">
        <w:rPr>
          <w:rFonts w:cstheme="minorHAnsi"/>
        </w:rPr>
        <w:t xml:space="preserve">Figure III. </w:t>
      </w:r>
      <w:r w:rsidR="000A0E3D" w:rsidRPr="000A0E3D">
        <w:rPr>
          <w:rFonts w:cstheme="minorHAnsi"/>
          <w:noProof/>
        </w:rPr>
        <w:t>1.8</w:t>
      </w:r>
      <w:r w:rsidR="00E450E7" w:rsidRPr="00E47369">
        <w:rPr>
          <w:rFonts w:cstheme="minorHAnsi"/>
        </w:rPr>
        <w:fldChar w:fldCharType="end"/>
      </w:r>
      <w:r w:rsidRPr="00E47369">
        <w:rPr>
          <w:rFonts w:cstheme="minorHAnsi"/>
          <w:color w:val="000000" w:themeColor="text1"/>
        </w:rPr>
        <w:t>).</w:t>
      </w:r>
    </w:p>
    <w:p w14:paraId="3D8B3F6E" w14:textId="77777777" w:rsidR="002A66B7" w:rsidRPr="00E47369" w:rsidRDefault="002A66B7" w:rsidP="002A66B7">
      <w:pPr>
        <w:ind w:firstLine="360"/>
        <w:jc w:val="both"/>
        <w:rPr>
          <w:rFonts w:cstheme="minorHAnsi"/>
          <w:color w:val="000000" w:themeColor="text1"/>
        </w:rPr>
      </w:pPr>
      <w:r w:rsidRPr="00E47369">
        <w:rPr>
          <w:rFonts w:cstheme="minorHAnsi"/>
          <w:color w:val="000000" w:themeColor="text1"/>
        </w:rPr>
        <w:t xml:space="preserve">In this study of the H-DA reaction between </w:t>
      </w:r>
      <w:r w:rsidRPr="00E47369">
        <w:rPr>
          <w:rFonts w:cstheme="minorHAnsi"/>
        </w:rPr>
        <w:t xml:space="preserve">α-dicarbonyl </w:t>
      </w:r>
      <w:r w:rsidRPr="00E47369">
        <w:rPr>
          <w:rFonts w:cstheme="minorHAnsi"/>
          <w:color w:val="000000" w:themeColor="text1"/>
        </w:rPr>
        <w:t xml:space="preserve">species and simple dienes we have found that the reaction conditions for this cycloaddition are </w:t>
      </w:r>
      <w:r w:rsidRPr="00E47369">
        <w:rPr>
          <w:rFonts w:cstheme="minorHAnsi"/>
        </w:rPr>
        <w:t>not favorable for a tandem reaction by its requirement of high concentration and an excess of diene (which will be limiting</w:t>
      </w:r>
      <w:r w:rsidRPr="00E47369">
        <w:rPr>
          <w:rFonts w:cstheme="minorHAnsi"/>
          <w:color w:val="000000" w:themeColor="text1"/>
        </w:rPr>
        <w:t xml:space="preserve"> reaction after the DODH reaction step). We have also found that Lewis acids catalyst were not very efficient at catalyzing the reaction under our reaction condition</w:t>
      </w:r>
      <w:r w:rsidR="00017981">
        <w:rPr>
          <w:rFonts w:cstheme="minorHAnsi"/>
          <w:color w:val="000000" w:themeColor="text1"/>
        </w:rPr>
        <w:t>s</w:t>
      </w:r>
      <w:r w:rsidRPr="00E47369">
        <w:rPr>
          <w:rFonts w:cstheme="minorHAnsi"/>
          <w:color w:val="000000" w:themeColor="text1"/>
        </w:rPr>
        <w:t>. In conclusion the chance for a tandem DODH / H-DA reaction looks compromise</w:t>
      </w:r>
      <w:r w:rsidR="00017981">
        <w:rPr>
          <w:rFonts w:cstheme="minorHAnsi"/>
          <w:color w:val="000000" w:themeColor="text1"/>
        </w:rPr>
        <w:t>d</w:t>
      </w:r>
      <w:r w:rsidRPr="00E47369">
        <w:rPr>
          <w:rFonts w:cstheme="minorHAnsi"/>
          <w:color w:val="000000" w:themeColor="text1"/>
        </w:rPr>
        <w:t xml:space="preserve"> as the </w:t>
      </w:r>
      <w:r w:rsidRPr="00E47369">
        <w:rPr>
          <w:rFonts w:cstheme="minorHAnsi"/>
        </w:rPr>
        <w:t xml:space="preserve">α-carbonyl alcohols </w:t>
      </w:r>
      <w:r w:rsidRPr="00E47369">
        <w:rPr>
          <w:rFonts w:cstheme="minorHAnsi"/>
          <w:color w:val="000000" w:themeColor="text1"/>
        </w:rPr>
        <w:t xml:space="preserve">do not have great activity </w:t>
      </w:r>
      <w:r w:rsidR="00017981">
        <w:rPr>
          <w:rFonts w:cstheme="minorHAnsi"/>
          <w:color w:val="000000" w:themeColor="text1"/>
        </w:rPr>
        <w:t>as reducing agent on erythreitol</w:t>
      </w:r>
      <w:r w:rsidRPr="00E47369">
        <w:rPr>
          <w:rFonts w:cstheme="minorHAnsi"/>
          <w:color w:val="000000" w:themeColor="text1"/>
        </w:rPr>
        <w:t>.</w:t>
      </w:r>
    </w:p>
    <w:p w14:paraId="220D3BA6" w14:textId="77777777" w:rsidR="00B72949" w:rsidRDefault="00B72949" w:rsidP="002A66B7">
      <w:pPr>
        <w:ind w:firstLine="360"/>
        <w:jc w:val="both"/>
        <w:rPr>
          <w:rFonts w:cstheme="minorHAnsi"/>
          <w:color w:val="000000" w:themeColor="text1"/>
        </w:rPr>
      </w:pPr>
    </w:p>
    <w:p w14:paraId="2061A0FF" w14:textId="77777777" w:rsidR="005C4B18" w:rsidRPr="00E47369" w:rsidRDefault="005C4B18" w:rsidP="002A66B7">
      <w:pPr>
        <w:ind w:firstLine="360"/>
        <w:jc w:val="both"/>
        <w:rPr>
          <w:rFonts w:cstheme="minorHAnsi"/>
          <w:color w:val="000000" w:themeColor="text1"/>
        </w:rPr>
      </w:pPr>
    </w:p>
    <w:p w14:paraId="70B61D3A" w14:textId="27CBDA28" w:rsidR="002A66B7" w:rsidRPr="00E47369" w:rsidRDefault="002A66B7" w:rsidP="00F17F93">
      <w:pPr>
        <w:pStyle w:val="Heading41"/>
        <w:rPr>
          <w:rFonts w:cstheme="minorHAnsi"/>
        </w:rPr>
      </w:pPr>
      <w:r w:rsidRPr="00E47369">
        <w:rPr>
          <w:rFonts w:cstheme="minorHAnsi"/>
        </w:rPr>
        <w:t xml:space="preserve">Benzaldehyde as </w:t>
      </w:r>
      <w:r w:rsidR="00D717AF">
        <w:rPr>
          <w:rFonts w:cstheme="minorHAnsi"/>
        </w:rPr>
        <w:t>d</w:t>
      </w:r>
      <w:r w:rsidRPr="00E47369">
        <w:rPr>
          <w:rFonts w:cstheme="minorHAnsi"/>
        </w:rPr>
        <w:t>ienophile</w:t>
      </w:r>
    </w:p>
    <w:p w14:paraId="158C36AE" w14:textId="77777777" w:rsidR="002A66B7" w:rsidRPr="00E47369" w:rsidRDefault="002A66B7" w:rsidP="002A66B7">
      <w:pPr>
        <w:ind w:firstLine="360"/>
        <w:jc w:val="both"/>
        <w:rPr>
          <w:rFonts w:cstheme="minorHAnsi"/>
          <w:color w:val="000000" w:themeColor="text1"/>
        </w:rPr>
      </w:pPr>
      <w:r w:rsidRPr="00E47369">
        <w:rPr>
          <w:rFonts w:cstheme="minorHAnsi"/>
        </w:rPr>
        <w:t>We found a recent report from Bansal’s group of a successful HDA cycloaddition reaction with benzaldehyde as the dienophile.</w:t>
      </w:r>
      <w:r w:rsidRPr="00E47369">
        <w:rPr>
          <w:rFonts w:cstheme="minorHAnsi"/>
        </w:rPr>
        <w:fldChar w:fldCharType="begin"/>
      </w:r>
      <w:r w:rsidR="00E028D6">
        <w:rPr>
          <w:rFonts w:cstheme="minorHAnsi"/>
        </w:rPr>
        <w:instrText xml:space="preserve"> ADDIN ZOTERO_ITEM CSL_CITATION {"citationID":"1o808ufdo6","properties":{"formattedCitation":"{\\rtf \\super 124\\nosupersub{}}","plainCitation":"124"},"citationItems":[{"id":55,"uris":["http://zotero.org/users/1624234/items/4CZZHPCI"],"uri":["http://zotero.org/users/1624234/items/4CZZHPCI"],"itemData":{"id":55,"type":"article-journal","title":"Hetero-Diels–Alder reaction of aromatic aldehydes catalyzed by titanium tetrachloride: computational and experimental results","container-title":"Tetrahedron","page":"735-741","volume":"70","issue":"3","source":"ScienceDirect","abstract":"Computational calculations of the hetero-Diels–Alder (HDA) reactions of benzaldehyde with 2,3-dimethyl-1,3-butadiene (DMB) catalyzed by BF3, EtAlCl2 or TiCl4 at the density functional theory (DFT) (B3LYP/6-31G(d,p)) level reveal that the reactions involve activation energy barriers of 14.59, 14.34, and 17.44 kcal mol−1, respectively. In the first two cases, reaction occurs through a concerted mechanism, whereas in the presence of TiCl4, stepwise mechanism involving zwitterionic intermediate is followed. The reaction with isoprene proceeds with complete regioselectivity leading to the expected regioisomer having O/Me in 1:4 positions. The computational results have been verified experimentally when aromatic aldehydes react with 1,3-dienes in the presence of a catalyst to give 3,6-dihydro-2H-pyran derivatives in high yields.","DOI":"10.1016/j.tet.2013.11.077","ISSN":"0040-4020","shortTitle":"Hetero-Diels–Alder reaction of aromatic aldehydes catalyzed by titanium tetrachloride","journalAbbreviation":"Tetrahedron","author":[{"family":"Sogani","given":"Nidhi"},{"family":"Sinha","given":"Pragya"},{"family":"Bansal","given":"Raj K."}],"issued":{"date-parts":[["2014",1,21]]}}}],"schema":"https://github.com/citation-style-language/schema/raw/master/csl-citation.json"} </w:instrText>
      </w:r>
      <w:r w:rsidRPr="00E47369">
        <w:rPr>
          <w:rFonts w:cstheme="minorHAnsi"/>
        </w:rPr>
        <w:fldChar w:fldCharType="separate"/>
      </w:r>
      <w:r w:rsidR="00E028D6" w:rsidRPr="00E028D6">
        <w:rPr>
          <w:rFonts w:ascii="Times New Roman" w:hAnsi="Times New Roman"/>
          <w:vertAlign w:val="superscript"/>
        </w:rPr>
        <w:t>124</w:t>
      </w:r>
      <w:r w:rsidRPr="00E47369">
        <w:rPr>
          <w:rFonts w:cstheme="minorHAnsi"/>
        </w:rPr>
        <w:fldChar w:fldCharType="end"/>
      </w:r>
      <w:r w:rsidRPr="00E47369">
        <w:rPr>
          <w:rFonts w:cstheme="minorHAnsi"/>
        </w:rPr>
        <w:t xml:space="preserve"> We established earlier the efficacy of benzyl alcohol as a reducing agent in the DODH reaction.</w:t>
      </w:r>
      <w:r w:rsidRPr="00E47369">
        <w:rPr>
          <w:rFonts w:cstheme="minorHAnsi"/>
        </w:rPr>
        <w:fldChar w:fldCharType="begin"/>
      </w:r>
      <w:r w:rsidRPr="00E47369">
        <w:rPr>
          <w:rFonts w:cstheme="minorHAnsi"/>
        </w:rPr>
        <w:instrText xml:space="preserve"> ADDIN ZOTERO_ITEM CSL_CITATION {"citationID":"3luf56s0f","properties":{"formattedCitation":"{\\rtf \\super 46\\nosupersub{}}","plainCitation":"46"},"citationItems":[{"id":435,"uris":["http://zotero.org/users/1624234/items/VS4SE8DS"],"uri":["http://zotero.org/users/1624234/items/VS4SE8DS"],"itemData":{"id":435,"type":"article-journal","title":"Catalytic Deoxydehydration of Glycols with Alcohol Reductants","container-title":"ChemSusChem","page":"597-599","volume":"6","issue":"4","source":"CrossRef","DOI":"10.1002/cssc.201200781","ISSN":"18645631","author":[{"family":"Boucher-Jacobs","given":"Camille"},{"family":"Nicholas","given":"Kenneth M."}],"issued":{"date-parts":[["2013",4]]}}}],"schema":"https://github.com/citation-style-language/schema/raw/master/csl-citation.json"} </w:instrText>
      </w:r>
      <w:r w:rsidRPr="00E47369">
        <w:rPr>
          <w:rFonts w:cstheme="minorHAnsi"/>
        </w:rPr>
        <w:fldChar w:fldCharType="separate"/>
      </w:r>
      <w:r w:rsidRPr="00E47369">
        <w:rPr>
          <w:rFonts w:cstheme="minorHAnsi"/>
          <w:vertAlign w:val="superscript"/>
        </w:rPr>
        <w:t>46</w:t>
      </w:r>
      <w:r w:rsidRPr="00E47369">
        <w:rPr>
          <w:rFonts w:cstheme="minorHAnsi"/>
        </w:rPr>
        <w:fldChar w:fldCharType="end"/>
      </w:r>
      <w:r w:rsidRPr="00E47369">
        <w:rPr>
          <w:rFonts w:cstheme="minorHAnsi"/>
        </w:rPr>
        <w:t xml:space="preserve"> Although erythritol was not part of this study, we decided to study the HDA reaction between butadiene and benzaldehyde</w:t>
      </w:r>
      <w:r w:rsidRPr="00E47369">
        <w:rPr>
          <w:rFonts w:cstheme="minorHAnsi"/>
          <w:color w:val="000000" w:themeColor="text1"/>
        </w:rPr>
        <w:t xml:space="preserve">. Since Montmorillonite K-10 was the reported catalyst for </w:t>
      </w:r>
      <w:r w:rsidRPr="00E47369">
        <w:rPr>
          <w:rFonts w:cstheme="minorHAnsi"/>
        </w:rPr>
        <w:t xml:space="preserve">the HDA addition, we started by testing it along some other acid </w:t>
      </w:r>
      <w:r w:rsidR="00017981">
        <w:rPr>
          <w:rFonts w:cstheme="minorHAnsi"/>
        </w:rPr>
        <w:t>additives</w:t>
      </w:r>
      <w:r w:rsidRPr="00E47369">
        <w:rPr>
          <w:rFonts w:cstheme="minorHAnsi"/>
        </w:rPr>
        <w:t xml:space="preserve"> (p-TsOH, HCOOH) on the cycloaddition of butadiene with benzaldehyde. In these reactions the only observed cycloaddition p</w:t>
      </w:r>
      <w:r w:rsidR="00017981">
        <w:rPr>
          <w:rFonts w:cstheme="minorHAnsi"/>
        </w:rPr>
        <w:t>roducts were the Diels Alder of</w:t>
      </w:r>
      <w:r w:rsidRPr="00E47369">
        <w:rPr>
          <w:rFonts w:cstheme="minorHAnsi"/>
        </w:rPr>
        <w:t xml:space="preserve"> butadiene</w:t>
      </w:r>
      <w:r w:rsidR="00017981">
        <w:rPr>
          <w:rFonts w:cstheme="minorHAnsi"/>
        </w:rPr>
        <w:t xml:space="preserve"> with another of butadiene</w:t>
      </w:r>
      <w:r w:rsidRPr="00E47369">
        <w:rPr>
          <w:rFonts w:cstheme="minorHAnsi"/>
        </w:rPr>
        <w:t>. Despite this unexpected failure of the acid catalyzed HDA, we continued the study of this cycloaddition without catalyst, with Lewis acid catalysts and even DODH catalysts. Out of these catalyzed attempts only MeReO</w:t>
      </w:r>
      <w:r w:rsidRPr="00E47369">
        <w:rPr>
          <w:rFonts w:cstheme="minorHAnsi"/>
          <w:vertAlign w:val="subscript"/>
        </w:rPr>
        <w:t>3</w:t>
      </w:r>
      <w:r w:rsidRPr="00E47369">
        <w:rPr>
          <w:rFonts w:cstheme="minorHAnsi"/>
        </w:rPr>
        <w:t xml:space="preserve"> and Sc(OTf)</w:t>
      </w:r>
      <w:r w:rsidRPr="00E47369">
        <w:rPr>
          <w:rFonts w:cstheme="minorHAnsi"/>
          <w:vertAlign w:val="subscript"/>
        </w:rPr>
        <w:t>3</w:t>
      </w:r>
      <w:r w:rsidRPr="00E47369">
        <w:rPr>
          <w:rFonts w:cstheme="minorHAnsi"/>
        </w:rPr>
        <w:t xml:space="preserve"> appeared to produce traces of the cycloadduct (</w:t>
      </w:r>
      <w:r w:rsidR="00E450E7" w:rsidRPr="00E47369">
        <w:rPr>
          <w:rFonts w:cstheme="minorHAnsi"/>
          <w:b/>
        </w:rPr>
        <w:t>1</w:t>
      </w:r>
      <w:r w:rsidRPr="00E47369">
        <w:rPr>
          <w:rFonts w:cstheme="minorHAnsi"/>
        </w:rPr>
        <w:t xml:space="preserve">, </w:t>
      </w:r>
      <w:r w:rsidR="00E450E7" w:rsidRPr="00E47369">
        <w:rPr>
          <w:rFonts w:cstheme="minorHAnsi"/>
        </w:rPr>
        <w:fldChar w:fldCharType="begin"/>
      </w:r>
      <w:r w:rsidR="00E450E7" w:rsidRPr="00E47369">
        <w:rPr>
          <w:rFonts w:cstheme="minorHAnsi"/>
        </w:rPr>
        <w:instrText xml:space="preserve"> REF _Ref451797286 \h </w:instrText>
      </w:r>
      <w:r w:rsidR="00E47369">
        <w:rPr>
          <w:rFonts w:cstheme="minorHAnsi"/>
        </w:rPr>
        <w:instrText xml:space="preserve"> \* MERGEFORMAT </w:instrText>
      </w:r>
      <w:r w:rsidR="00E450E7" w:rsidRPr="00E47369">
        <w:rPr>
          <w:rFonts w:cstheme="minorHAnsi"/>
        </w:rPr>
      </w:r>
      <w:r w:rsidR="00E450E7" w:rsidRPr="00E47369">
        <w:rPr>
          <w:rFonts w:cstheme="minorHAnsi"/>
        </w:rPr>
        <w:fldChar w:fldCharType="separate"/>
      </w:r>
      <w:r w:rsidR="000A0E3D" w:rsidRPr="000A0E3D">
        <w:rPr>
          <w:rFonts w:cstheme="minorHAnsi"/>
        </w:rPr>
        <w:t xml:space="preserve">Figure III. </w:t>
      </w:r>
      <w:r w:rsidR="000A0E3D" w:rsidRPr="000A0E3D">
        <w:rPr>
          <w:rFonts w:cstheme="minorHAnsi"/>
          <w:noProof/>
        </w:rPr>
        <w:t>1.9</w:t>
      </w:r>
      <w:r w:rsidR="00E450E7" w:rsidRPr="00E47369">
        <w:rPr>
          <w:rFonts w:cstheme="minorHAnsi"/>
        </w:rPr>
        <w:fldChar w:fldCharType="end"/>
      </w:r>
      <w:r w:rsidR="00536AE9" w:rsidRPr="00E47369">
        <w:rPr>
          <w:rFonts w:cstheme="minorHAnsi"/>
          <w:color w:val="000000" w:themeColor="text1"/>
        </w:rPr>
        <w:t>).</w:t>
      </w:r>
    </w:p>
    <w:p w14:paraId="3F1A6762" w14:textId="77777777" w:rsidR="00536AE9" w:rsidRPr="00E47369" w:rsidRDefault="00536AE9" w:rsidP="002A66B7">
      <w:pPr>
        <w:ind w:firstLine="360"/>
        <w:jc w:val="both"/>
        <w:rPr>
          <w:rFonts w:cstheme="minorHAnsi"/>
          <w:color w:val="000000" w:themeColor="text1"/>
        </w:rPr>
      </w:pPr>
    </w:p>
    <w:p w14:paraId="72FD00F3" w14:textId="77777777" w:rsidR="00E450E7" w:rsidRPr="00E47369" w:rsidRDefault="00E450E7" w:rsidP="00E450E7">
      <w:pPr>
        <w:keepNext/>
        <w:jc w:val="center"/>
        <w:rPr>
          <w:rFonts w:cstheme="minorHAnsi"/>
        </w:rPr>
      </w:pPr>
      <w:r w:rsidRPr="00E47369">
        <w:rPr>
          <w:rFonts w:cstheme="minorHAnsi"/>
        </w:rPr>
        <w:object w:dxaOrig="4927" w:dyaOrig="2042" w14:anchorId="2E78FB00">
          <v:shape id="_x0000_i1084" type="#_x0000_t75" style="width:211.25pt;height:87.05pt" o:ole="">
            <v:imagedata r:id="rId162" o:title=""/>
          </v:shape>
          <o:OLEObject Type="Embed" ProgID="ChemDraw.Document.6.0" ShapeID="_x0000_i1084" DrawAspect="Content" ObjectID="_1532784938" r:id="rId163"/>
        </w:object>
      </w:r>
    </w:p>
    <w:p w14:paraId="6F1A6F1F" w14:textId="77777777" w:rsidR="002A66B7" w:rsidRPr="00323B06" w:rsidRDefault="00E450E7" w:rsidP="00323B06">
      <w:pPr>
        <w:pStyle w:val="Caption"/>
      </w:pPr>
      <w:bookmarkStart w:id="209" w:name="_Ref451797286"/>
      <w:bookmarkStart w:id="210" w:name="_Toc457670711"/>
      <w:r w:rsidRPr="00323B06">
        <w:t xml:space="preserve">Figure III. </w:t>
      </w:r>
      <w:r w:rsidR="00443010">
        <w:fldChar w:fldCharType="begin"/>
      </w:r>
      <w:r w:rsidR="00443010">
        <w:instrText xml:space="preserve"> STYLEREF 2 \s </w:instrText>
      </w:r>
      <w:r w:rsidR="00443010">
        <w:fldChar w:fldCharType="separate"/>
      </w:r>
      <w:r w:rsidR="000A0E3D">
        <w:rPr>
          <w:noProof/>
        </w:rPr>
        <w:t>1</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9</w:t>
      </w:r>
      <w:r w:rsidR="00443010">
        <w:rPr>
          <w:noProof/>
        </w:rPr>
        <w:fldChar w:fldCharType="end"/>
      </w:r>
      <w:bookmarkEnd w:id="209"/>
      <w:r w:rsidRPr="00323B06">
        <w:t xml:space="preserve"> </w:t>
      </w:r>
      <w:r w:rsidR="000B3CA9" w:rsidRPr="00323B06">
        <w:t>H</w:t>
      </w:r>
      <w:r w:rsidR="0016299B">
        <w:t>etero-Diel Alder</w:t>
      </w:r>
      <w:r w:rsidR="000B3CA9" w:rsidRPr="00323B06">
        <w:t xml:space="preserve"> reaction of butadiene and benzaldehyde</w:t>
      </w:r>
      <w:bookmarkEnd w:id="210"/>
    </w:p>
    <w:p w14:paraId="6425FA69" w14:textId="77777777" w:rsidR="000B3CA9" w:rsidRPr="00E47369" w:rsidRDefault="000B3CA9" w:rsidP="000B3CA9">
      <w:pPr>
        <w:rPr>
          <w:rFonts w:cstheme="minorHAnsi"/>
        </w:rPr>
      </w:pPr>
    </w:p>
    <w:p w14:paraId="20047B9E" w14:textId="77777777" w:rsidR="002A66B7" w:rsidRPr="00E47369" w:rsidRDefault="00017981" w:rsidP="002A66B7">
      <w:pPr>
        <w:ind w:firstLine="360"/>
        <w:jc w:val="both"/>
        <w:rPr>
          <w:rFonts w:cstheme="minorHAnsi"/>
        </w:rPr>
      </w:pPr>
      <w:r>
        <w:rPr>
          <w:rFonts w:cstheme="minorHAnsi"/>
        </w:rPr>
        <w:t>O</w:t>
      </w:r>
      <w:r w:rsidR="002A66B7" w:rsidRPr="00E47369">
        <w:rPr>
          <w:rFonts w:cstheme="minorHAnsi"/>
        </w:rPr>
        <w:t>nly the Sc(OTf)</w:t>
      </w:r>
      <w:r w:rsidR="002A66B7" w:rsidRPr="00E47369">
        <w:rPr>
          <w:rFonts w:cstheme="minorHAnsi"/>
          <w:vertAlign w:val="subscript"/>
        </w:rPr>
        <w:t>3</w:t>
      </w:r>
      <w:r w:rsidR="002A66B7" w:rsidRPr="00E47369">
        <w:rPr>
          <w:rFonts w:cstheme="minorHAnsi"/>
        </w:rPr>
        <w:t xml:space="preserve"> catalyzed reaction</w:t>
      </w:r>
      <w:r>
        <w:rPr>
          <w:rFonts w:cstheme="minorHAnsi"/>
        </w:rPr>
        <w:t xml:space="preserve"> mixture</w:t>
      </w:r>
      <w:r w:rsidR="002A66B7" w:rsidRPr="00E47369">
        <w:rPr>
          <w:rFonts w:cstheme="minorHAnsi"/>
        </w:rPr>
        <w:t xml:space="preserve"> showed signals that matched up with the reported NMR</w:t>
      </w:r>
      <w:r>
        <w:rPr>
          <w:rFonts w:cstheme="minorHAnsi"/>
        </w:rPr>
        <w:t xml:space="preserve"> spectrum</w:t>
      </w:r>
      <w:r w:rsidR="002A66B7" w:rsidRPr="00E47369">
        <w:rPr>
          <w:rFonts w:cstheme="minorHAnsi"/>
        </w:rPr>
        <w:t xml:space="preserve"> of the expected adduct. </w:t>
      </w:r>
      <w:r>
        <w:rPr>
          <w:rFonts w:cstheme="minorHAnsi"/>
        </w:rPr>
        <w:t>T</w:t>
      </w:r>
      <w:r w:rsidR="002A66B7" w:rsidRPr="00E47369">
        <w:rPr>
          <w:rFonts w:cstheme="minorHAnsi"/>
        </w:rPr>
        <w:t xml:space="preserve">he GCMS of the reaction mixture gave a very complicated chromatogram and no matching mass for the product </w:t>
      </w:r>
      <w:r w:rsidR="000B3CA9" w:rsidRPr="00E47369">
        <w:rPr>
          <w:rFonts w:cstheme="minorHAnsi"/>
          <w:b/>
        </w:rPr>
        <w:t>1</w:t>
      </w:r>
      <w:r w:rsidR="002A66B7" w:rsidRPr="00E47369">
        <w:rPr>
          <w:rFonts w:cstheme="minorHAnsi"/>
        </w:rPr>
        <w:t xml:space="preserve"> (</w:t>
      </w:r>
      <w:r w:rsidR="000B3CA9" w:rsidRPr="00E47369">
        <w:rPr>
          <w:rFonts w:cstheme="minorHAnsi"/>
        </w:rPr>
        <w:fldChar w:fldCharType="begin"/>
      </w:r>
      <w:r w:rsidR="000B3CA9" w:rsidRPr="00E47369">
        <w:rPr>
          <w:rFonts w:cstheme="minorHAnsi"/>
        </w:rPr>
        <w:instrText xml:space="preserve"> REF _Ref451797187 \h </w:instrText>
      </w:r>
      <w:r w:rsidR="00E47369">
        <w:rPr>
          <w:rFonts w:cstheme="minorHAnsi"/>
        </w:rPr>
        <w:instrText xml:space="preserve"> \* MERGEFORMAT </w:instrText>
      </w:r>
      <w:r w:rsidR="000B3CA9" w:rsidRPr="00E47369">
        <w:rPr>
          <w:rFonts w:cstheme="minorHAnsi"/>
        </w:rPr>
      </w:r>
      <w:r w:rsidR="000B3CA9" w:rsidRPr="00E47369">
        <w:rPr>
          <w:rFonts w:cstheme="minorHAnsi"/>
        </w:rPr>
        <w:fldChar w:fldCharType="separate"/>
      </w:r>
      <w:r w:rsidR="000A0E3D" w:rsidRPr="000A0E3D">
        <w:rPr>
          <w:rFonts w:cstheme="minorHAnsi"/>
        </w:rPr>
        <w:t xml:space="preserve">Figure III. </w:t>
      </w:r>
      <w:r w:rsidR="000A0E3D" w:rsidRPr="000A0E3D">
        <w:rPr>
          <w:rFonts w:cstheme="minorHAnsi"/>
          <w:noProof/>
        </w:rPr>
        <w:t>1.8</w:t>
      </w:r>
      <w:r w:rsidR="000B3CA9" w:rsidRPr="00E47369">
        <w:rPr>
          <w:rFonts w:cstheme="minorHAnsi"/>
        </w:rPr>
        <w:fldChar w:fldCharType="end"/>
      </w:r>
      <w:r w:rsidR="002A66B7" w:rsidRPr="00E47369">
        <w:rPr>
          <w:rFonts w:cstheme="minorHAnsi"/>
        </w:rPr>
        <w:t>).</w:t>
      </w:r>
      <w:r w:rsidR="00824C2A">
        <w:rPr>
          <w:rFonts w:cstheme="minorHAnsi"/>
        </w:rPr>
        <w:t xml:space="preserve"> The </w:t>
      </w:r>
      <w:r w:rsidR="00824C2A" w:rsidRPr="00E47369">
        <w:rPr>
          <w:rFonts w:cstheme="minorHAnsi"/>
        </w:rPr>
        <w:t>Sc(OTf)</w:t>
      </w:r>
      <w:r w:rsidR="00824C2A" w:rsidRPr="00E47369">
        <w:rPr>
          <w:rFonts w:cstheme="minorHAnsi"/>
          <w:vertAlign w:val="subscript"/>
        </w:rPr>
        <w:t>3</w:t>
      </w:r>
      <w:r w:rsidR="0075601B">
        <w:rPr>
          <w:rFonts w:cstheme="minorHAnsi"/>
        </w:rPr>
        <w:t xml:space="preserve"> catalyzed H-DA would need more experiment but we did not think that the cycloaddition take</w:t>
      </w:r>
      <w:r w:rsidR="006358B0">
        <w:rPr>
          <w:rFonts w:cstheme="minorHAnsi"/>
        </w:rPr>
        <w:t>s</w:t>
      </w:r>
      <w:r w:rsidR="0075601B">
        <w:rPr>
          <w:rFonts w:cstheme="minorHAnsi"/>
        </w:rPr>
        <w:t xml:space="preserve"> place under the tested reaction conditions.</w:t>
      </w:r>
    </w:p>
    <w:p w14:paraId="67071E55" w14:textId="77777777" w:rsidR="00B72949" w:rsidRPr="00E47369" w:rsidRDefault="00B72949" w:rsidP="002A66B7">
      <w:pPr>
        <w:ind w:firstLine="360"/>
        <w:jc w:val="both"/>
        <w:rPr>
          <w:rFonts w:cstheme="minorHAnsi"/>
          <w:color w:val="000000" w:themeColor="text1"/>
        </w:rPr>
      </w:pPr>
    </w:p>
    <w:p w14:paraId="17239D17" w14:textId="77777777" w:rsidR="002A66B7" w:rsidRPr="00E47369" w:rsidRDefault="002A66B7" w:rsidP="000351A7">
      <w:pPr>
        <w:pStyle w:val="Heading3"/>
      </w:pPr>
      <w:bookmarkStart w:id="211" w:name="_Toc458938301"/>
      <w:r w:rsidRPr="00E47369">
        <w:t>Conclusions</w:t>
      </w:r>
      <w:bookmarkEnd w:id="211"/>
    </w:p>
    <w:p w14:paraId="4C4E38A5" w14:textId="394D55A1" w:rsidR="002A66B7" w:rsidRPr="00E47369" w:rsidRDefault="002A66B7" w:rsidP="002A66B7">
      <w:pPr>
        <w:ind w:firstLine="360"/>
        <w:jc w:val="both"/>
        <w:rPr>
          <w:rFonts w:cstheme="minorHAnsi"/>
          <w:color w:val="000000" w:themeColor="text1"/>
        </w:rPr>
      </w:pPr>
      <w:r w:rsidRPr="00E47369">
        <w:rPr>
          <w:rFonts w:cstheme="minorHAnsi"/>
          <w:color w:val="000000" w:themeColor="text1"/>
        </w:rPr>
        <w:t xml:space="preserve">This </w:t>
      </w:r>
      <w:r w:rsidRPr="00E47369">
        <w:rPr>
          <w:rFonts w:cstheme="minorHAnsi"/>
        </w:rPr>
        <w:t xml:space="preserve">study of the </w:t>
      </w:r>
      <w:r w:rsidR="006358B0">
        <w:rPr>
          <w:rFonts w:cstheme="minorHAnsi"/>
        </w:rPr>
        <w:t>re</w:t>
      </w:r>
      <w:r w:rsidRPr="00E47369">
        <w:rPr>
          <w:rFonts w:cstheme="minorHAnsi"/>
        </w:rPr>
        <w:t>activity of α-hydroxy carbonyl as reducing age</w:t>
      </w:r>
      <w:r w:rsidRPr="00E47369">
        <w:rPr>
          <w:rFonts w:cstheme="minorHAnsi"/>
          <w:color w:val="000000" w:themeColor="text1"/>
        </w:rPr>
        <w:t xml:space="preserve">nts in the DODH reaction of simple </w:t>
      </w:r>
      <w:r w:rsidRPr="00E47369">
        <w:rPr>
          <w:rFonts w:cstheme="minorHAnsi"/>
        </w:rPr>
        <w:t xml:space="preserve">diols gave only low to moderate yields of olefins. The </w:t>
      </w:r>
      <w:r w:rsidR="0060590D">
        <w:rPr>
          <w:rFonts w:cstheme="minorHAnsi"/>
        </w:rPr>
        <w:t>absence</w:t>
      </w:r>
      <w:r w:rsidRPr="00E47369">
        <w:rPr>
          <w:rFonts w:cstheme="minorHAnsi"/>
        </w:rPr>
        <w:t xml:space="preserve"> </w:t>
      </w:r>
      <w:r w:rsidR="006358B0">
        <w:rPr>
          <w:rFonts w:cstheme="minorHAnsi"/>
        </w:rPr>
        <w:t xml:space="preserve">of evidence </w:t>
      </w:r>
      <w:r w:rsidRPr="00E47369">
        <w:rPr>
          <w:rFonts w:cstheme="minorHAnsi"/>
        </w:rPr>
        <w:t xml:space="preserve">for the oxidized alcohols </w:t>
      </w:r>
      <w:r w:rsidR="006358B0">
        <w:rPr>
          <w:rFonts w:cstheme="minorHAnsi"/>
        </w:rPr>
        <w:t>may be the result of</w:t>
      </w:r>
      <w:r w:rsidRPr="00E47369">
        <w:rPr>
          <w:rFonts w:cstheme="minorHAnsi"/>
        </w:rPr>
        <w:t xml:space="preserve"> their potential low stability under the reaction condition. The study of dicarbonyls as dienophiles in H-DA reaction with butadiene under DODH reaction conditions sho</w:t>
      </w:r>
      <w:r w:rsidRPr="00E47369">
        <w:rPr>
          <w:rFonts w:cstheme="minorHAnsi"/>
          <w:color w:val="000000" w:themeColor="text1"/>
        </w:rPr>
        <w:t xml:space="preserve">wed formation of the </w:t>
      </w:r>
      <w:r w:rsidR="006358B0">
        <w:rPr>
          <w:rFonts w:cstheme="minorHAnsi"/>
          <w:color w:val="000000" w:themeColor="text1"/>
        </w:rPr>
        <w:t xml:space="preserve">tandem </w:t>
      </w:r>
      <w:r w:rsidRPr="00E47369">
        <w:rPr>
          <w:rFonts w:cstheme="minorHAnsi"/>
          <w:color w:val="000000" w:themeColor="text1"/>
        </w:rPr>
        <w:t xml:space="preserve">product in few cases. </w:t>
      </w:r>
      <w:r w:rsidRPr="00E47369">
        <w:rPr>
          <w:rFonts w:cstheme="minorHAnsi"/>
        </w:rPr>
        <w:t>Moreover, the system looks to produce pretty poor yields under the DODH reaction conditions. Attempts to establish benzaldehyde as a dienophile in the HDA step failed as none of the reaction conditions tested gave cycloadducts in a significant quantity. Because of the limited DODH reducing agent activity of these alcohols, the low stability of the dicarbonyl species un</w:t>
      </w:r>
      <w:r w:rsidRPr="00E47369">
        <w:rPr>
          <w:rFonts w:cstheme="minorHAnsi"/>
          <w:color w:val="000000" w:themeColor="text1"/>
        </w:rPr>
        <w:t xml:space="preserve">der the reaction </w:t>
      </w:r>
      <w:r w:rsidRPr="00E47369">
        <w:rPr>
          <w:rFonts w:cstheme="minorHAnsi"/>
        </w:rPr>
        <w:t xml:space="preserve">condition, the low yield of the desired HDA, as well as the inactivity of benzaldehyde as dienophile under the reaction conditions, this DODH-HDA tandem </w:t>
      </w:r>
      <w:r w:rsidRPr="00E47369">
        <w:rPr>
          <w:rFonts w:cstheme="minorHAnsi"/>
          <w:color w:val="000000" w:themeColor="text1"/>
        </w:rPr>
        <w:t>system was not studied further.</w:t>
      </w:r>
    </w:p>
    <w:p w14:paraId="6FE0021B" w14:textId="77777777" w:rsidR="00B72949" w:rsidRPr="00E47369" w:rsidRDefault="00B72949" w:rsidP="002A66B7">
      <w:pPr>
        <w:ind w:firstLine="360"/>
        <w:jc w:val="both"/>
        <w:rPr>
          <w:rFonts w:cstheme="minorHAnsi"/>
          <w:color w:val="000000" w:themeColor="text1"/>
        </w:rPr>
      </w:pPr>
    </w:p>
    <w:p w14:paraId="7FBDC2C9" w14:textId="77777777" w:rsidR="002A66B7" w:rsidRPr="00E47369" w:rsidRDefault="002A66B7" w:rsidP="000351A7">
      <w:pPr>
        <w:pStyle w:val="Heading3"/>
      </w:pPr>
      <w:bookmarkStart w:id="212" w:name="_Toc458938302"/>
      <w:r w:rsidRPr="00E47369">
        <w:t>Experimental</w:t>
      </w:r>
      <w:bookmarkEnd w:id="212"/>
      <w:r w:rsidRPr="00E47369">
        <w:t xml:space="preserve"> </w:t>
      </w:r>
    </w:p>
    <w:p w14:paraId="2DE69853" w14:textId="77777777" w:rsidR="002A66B7" w:rsidRPr="00E47369" w:rsidRDefault="002A66B7" w:rsidP="00C36752">
      <w:pPr>
        <w:pStyle w:val="Heading41"/>
        <w:numPr>
          <w:ilvl w:val="0"/>
          <w:numId w:val="14"/>
        </w:numPr>
        <w:ind w:left="2340"/>
        <w:rPr>
          <w:rFonts w:cstheme="minorHAnsi"/>
        </w:rPr>
      </w:pPr>
      <w:r w:rsidRPr="00E47369">
        <w:rPr>
          <w:rFonts w:cstheme="minorHAnsi"/>
        </w:rPr>
        <w:t xml:space="preserve">Reagents and instrumentation </w:t>
      </w:r>
    </w:p>
    <w:p w14:paraId="623ED8CF" w14:textId="4AC879CE" w:rsidR="002A66B7" w:rsidRPr="00C70710" w:rsidRDefault="002A66B7" w:rsidP="00C70710">
      <w:pPr>
        <w:ind w:firstLine="360"/>
        <w:jc w:val="both"/>
        <w:rPr>
          <w:rFonts w:cstheme="minorHAnsi"/>
        </w:rPr>
      </w:pPr>
      <w:r w:rsidRPr="00E47369">
        <w:rPr>
          <w:rFonts w:cstheme="minorHAnsi"/>
        </w:rPr>
        <w:t>The reaction solvents and rhenium catalysts, ammonium perrhenate and methyltrioxorhenium, were used as received from the suppliers (Sigma Aldrich and Alfa Aesar). The catalysts were stored in a desiccator and regularly placed under vacuum to insure their dryness. The diols- diethyl tartrate, octane diol, glycerol monostearate, batyl alcohol, and erythritol; the alcohols- lactic acid (2-hydroxypropanoic acid), ethyl glycolate (ethyl 2-hydroxyacetate), ethyl lactate (ethyl 2-hydroxypropanoate), ethy</w:t>
      </w:r>
      <w:r w:rsidRPr="00E47369">
        <w:rPr>
          <w:rFonts w:cstheme="minorHAnsi"/>
          <w:color w:val="000000" w:themeColor="text1"/>
        </w:rPr>
        <w:t xml:space="preserve">l glycolate (methyl 2-hydroxyacetate) and hydroxyacetone (1-hydroxypropan-2-one); the </w:t>
      </w:r>
      <w:r w:rsidRPr="00E47369">
        <w:rPr>
          <w:rFonts w:cstheme="minorHAnsi"/>
        </w:rPr>
        <w:t xml:space="preserve">α-dicarbonyl, </w:t>
      </w:r>
      <w:r w:rsidRPr="00E47369">
        <w:rPr>
          <w:rFonts w:cstheme="minorHAnsi"/>
          <w:color w:val="000000" w:themeColor="text1"/>
        </w:rPr>
        <w:t xml:space="preserve">ethyl 2-oxopropanoate (ethyl pyruvate), ethyl 2-oxoacetate (ethyl glyoxalate) and benzaldehyde were used as received from Sigma Aldrich, Alfa Aesar and Acros Organic. All of these reagents </w:t>
      </w:r>
      <w:r w:rsidRPr="00E47369">
        <w:rPr>
          <w:rFonts w:cstheme="minorHAnsi"/>
        </w:rPr>
        <w:t xml:space="preserve">were flushed </w:t>
      </w:r>
      <w:r w:rsidRPr="00E47369">
        <w:rPr>
          <w:rFonts w:cstheme="minorHAnsi"/>
          <w:color w:val="000000" w:themeColor="text1"/>
        </w:rPr>
        <w:t>with nitrogen for storage (on the shelf or in the</w:t>
      </w:r>
      <w:r w:rsidRPr="00E47369">
        <w:rPr>
          <w:rFonts w:cstheme="minorHAnsi"/>
          <w:color w:val="FF0000"/>
        </w:rPr>
        <w:t xml:space="preserve"> </w:t>
      </w:r>
      <w:r w:rsidRPr="00E47369">
        <w:rPr>
          <w:rFonts w:cstheme="minorHAnsi"/>
        </w:rPr>
        <w:t>refrigerator at 4</w:t>
      </w:r>
      <w:r w:rsidRPr="00E47369">
        <w:rPr>
          <w:rFonts w:cstheme="minorHAnsi"/>
          <w:vertAlign w:val="superscript"/>
        </w:rPr>
        <w:t>o</w:t>
      </w:r>
      <w:r w:rsidRPr="00E47369">
        <w:rPr>
          <w:rFonts w:cstheme="minorHAnsi"/>
        </w:rPr>
        <w:t xml:space="preserve">C as suggested </w:t>
      </w:r>
      <w:r w:rsidRPr="00E47369">
        <w:rPr>
          <w:rFonts w:cstheme="minorHAnsi"/>
          <w:color w:val="000000" w:themeColor="text1"/>
        </w:rPr>
        <w:t xml:space="preserve">by suppliers). Butadiene and isoprene were used as received and stored in the </w:t>
      </w:r>
      <w:r w:rsidRPr="00E47369">
        <w:rPr>
          <w:rFonts w:cstheme="minorHAnsi"/>
        </w:rPr>
        <w:t>refrigerator</w:t>
      </w:r>
      <w:r w:rsidRPr="00E47369">
        <w:rPr>
          <w:rFonts w:cstheme="minorHAnsi"/>
          <w:color w:val="FF0000"/>
        </w:rPr>
        <w:t xml:space="preserve"> </w:t>
      </w:r>
      <w:r w:rsidRPr="00E47369">
        <w:rPr>
          <w:rFonts w:cstheme="minorHAnsi"/>
        </w:rPr>
        <w:t>at 4</w:t>
      </w:r>
      <w:r w:rsidRPr="00E47369">
        <w:rPr>
          <w:rFonts w:cstheme="minorHAnsi"/>
          <w:vertAlign w:val="superscript"/>
        </w:rPr>
        <w:t>o</w:t>
      </w:r>
      <w:r w:rsidRPr="00E47369">
        <w:rPr>
          <w:rFonts w:cstheme="minorHAnsi"/>
        </w:rPr>
        <w:t>C</w:t>
      </w:r>
      <w:r w:rsidRPr="00E47369">
        <w:rPr>
          <w:rFonts w:cstheme="minorHAnsi"/>
          <w:color w:val="000000" w:themeColor="text1"/>
        </w:rPr>
        <w:t xml:space="preserve">. The Lewis </w:t>
      </w:r>
      <w:r w:rsidRPr="00E47369">
        <w:rPr>
          <w:rFonts w:cstheme="minorHAnsi"/>
        </w:rPr>
        <w:t>acid and acid catalysts- aluminum chloride, zinc chloride, scandium</w:t>
      </w:r>
      <w:r w:rsidRPr="00E47369">
        <w:rPr>
          <w:rFonts w:cstheme="minorHAnsi"/>
          <w:color w:val="000000" w:themeColor="text1"/>
        </w:rPr>
        <w:t xml:space="preserve"> triflate, para-toluene sulfonic acid and acetic acid- were used directly as received from the suppliers (Sigma Aldrich and Alfa Aesar). </w:t>
      </w:r>
      <w:r w:rsidRPr="00E47369">
        <w:rPr>
          <w:rFonts w:cstheme="minorHAnsi"/>
        </w:rPr>
        <w:t>Aluminum chloride and zinc chloride were stored in the glove box to keep them dry. The clay catalyst, Montmorillonite K-10, was purchased from Sigma Aldrich and activated under vacuum at 100</w:t>
      </w:r>
      <w:r w:rsidRPr="00E47369">
        <w:rPr>
          <w:rFonts w:cstheme="minorHAnsi"/>
          <w:vertAlign w:val="superscript"/>
        </w:rPr>
        <w:t>o</w:t>
      </w:r>
      <w:r w:rsidR="00C70710">
        <w:rPr>
          <w:rFonts w:cstheme="minorHAnsi"/>
        </w:rPr>
        <w:t xml:space="preserve">C for 24h. </w:t>
      </w:r>
      <w:r w:rsidRPr="00E47369">
        <w:rPr>
          <w:rFonts w:cstheme="minorHAnsi"/>
          <w:color w:val="000000" w:themeColor="text1"/>
          <w:vertAlign w:val="superscript"/>
        </w:rPr>
        <w:t>1</w:t>
      </w:r>
      <w:r w:rsidRPr="00E47369">
        <w:rPr>
          <w:rFonts w:cstheme="minorHAnsi"/>
          <w:color w:val="000000" w:themeColor="text1"/>
        </w:rPr>
        <w:t xml:space="preserve">H </w:t>
      </w:r>
      <w:r w:rsidRPr="00E47369">
        <w:rPr>
          <w:rFonts w:cstheme="minorHAnsi"/>
        </w:rPr>
        <w:t xml:space="preserve">NMR spectra were collected on either a Varian Mercury VX-300 MHz or a Varian Mercury VX-400. The NMR spectra </w:t>
      </w:r>
      <w:r w:rsidRPr="00E47369">
        <w:rPr>
          <w:rFonts w:cstheme="minorHAnsi"/>
          <w:color w:val="000000" w:themeColor="text1"/>
        </w:rPr>
        <w:t>were processed using SpinWorks.</w:t>
      </w:r>
      <w:r w:rsidRPr="00E47369">
        <w:rPr>
          <w:rFonts w:cstheme="minorHAnsi"/>
          <w:color w:val="000000" w:themeColor="text1"/>
        </w:rPr>
        <w:fldChar w:fldCharType="begin"/>
      </w:r>
      <w:r w:rsidRPr="00E47369">
        <w:rPr>
          <w:rFonts w:cstheme="minorHAnsi"/>
          <w:color w:val="000000" w:themeColor="text1"/>
        </w:rPr>
        <w:instrText xml:space="preserve"> ADDIN ZOTERO_ITEM CSL_CITATION {"citationID":"a8igougu9","properties":{"formattedCitation":"{\\rtf \\super 102\\nosupersub{}}","plainCitation":"102"},"citationItems":[{"id":1498,"uris":["http://zotero.org/users/1624234/items/2R52QEZC"],"uri":["http://zotero.org/users/1624234/items/2R52QEZC"],"itemData":{"id":1498,"type":"book","title":"SpinWorks 4","publisher":"University of Manitoba : Winnipeg Canada","version":"4.1.0.0","author":[{"family":"Marat","given":"K."}]}}],"schema":"https://github.com/citation-style-language/schema/raw/master/csl-citation.json"} </w:instrText>
      </w:r>
      <w:r w:rsidRPr="00E47369">
        <w:rPr>
          <w:rFonts w:cstheme="minorHAnsi"/>
          <w:color w:val="000000" w:themeColor="text1"/>
        </w:rPr>
        <w:fldChar w:fldCharType="separate"/>
      </w:r>
      <w:r w:rsidRPr="00E47369">
        <w:rPr>
          <w:rFonts w:cstheme="minorHAnsi"/>
          <w:vertAlign w:val="superscript"/>
        </w:rPr>
        <w:t>102</w:t>
      </w:r>
      <w:r w:rsidRPr="00E47369">
        <w:rPr>
          <w:rFonts w:cstheme="minorHAnsi"/>
          <w:color w:val="000000" w:themeColor="text1"/>
        </w:rPr>
        <w:fldChar w:fldCharType="end"/>
      </w:r>
    </w:p>
    <w:p w14:paraId="2010692D" w14:textId="77777777" w:rsidR="00B72949" w:rsidRPr="00E47369" w:rsidRDefault="00B72949" w:rsidP="002A66B7">
      <w:pPr>
        <w:ind w:firstLine="360"/>
        <w:jc w:val="both"/>
        <w:rPr>
          <w:rFonts w:cstheme="minorHAnsi"/>
          <w:color w:val="000000" w:themeColor="text1"/>
        </w:rPr>
      </w:pPr>
    </w:p>
    <w:p w14:paraId="309FA403" w14:textId="4EB12AAA" w:rsidR="002A66B7" w:rsidRPr="00E47369" w:rsidRDefault="002A66B7" w:rsidP="00F17F93">
      <w:pPr>
        <w:pStyle w:val="Heading41"/>
        <w:rPr>
          <w:rFonts w:cstheme="minorHAnsi"/>
        </w:rPr>
      </w:pPr>
      <w:r w:rsidRPr="00E47369">
        <w:rPr>
          <w:rFonts w:cstheme="minorHAnsi"/>
        </w:rPr>
        <w:t>Typical</w:t>
      </w:r>
      <w:r w:rsidR="00D717AF">
        <w:rPr>
          <w:rFonts w:cstheme="minorHAnsi"/>
        </w:rPr>
        <w:t xml:space="preserve"> r</w:t>
      </w:r>
      <w:r w:rsidRPr="00E47369">
        <w:rPr>
          <w:rFonts w:cstheme="minorHAnsi"/>
        </w:rPr>
        <w:t xml:space="preserve">eaction </w:t>
      </w:r>
      <w:r w:rsidR="00D717AF">
        <w:rPr>
          <w:rFonts w:cstheme="minorHAnsi"/>
        </w:rPr>
        <w:t>c</w:t>
      </w:r>
      <w:r w:rsidRPr="00E47369">
        <w:rPr>
          <w:rFonts w:cstheme="minorHAnsi"/>
        </w:rPr>
        <w:t>onditions</w:t>
      </w:r>
    </w:p>
    <w:p w14:paraId="7763D78F" w14:textId="77777777" w:rsidR="002A66B7" w:rsidRPr="00E47369" w:rsidRDefault="002A66B7" w:rsidP="00C36752">
      <w:pPr>
        <w:pStyle w:val="Heading41"/>
        <w:numPr>
          <w:ilvl w:val="0"/>
          <w:numId w:val="13"/>
        </w:numPr>
        <w:rPr>
          <w:rFonts w:cstheme="minorHAnsi"/>
        </w:rPr>
      </w:pPr>
      <w:r w:rsidRPr="00E47369">
        <w:rPr>
          <w:rFonts w:cstheme="minorHAnsi"/>
        </w:rPr>
        <w:t>DODH reactions</w:t>
      </w:r>
    </w:p>
    <w:p w14:paraId="4C518C4C" w14:textId="2A5D0236" w:rsidR="002A66B7" w:rsidRPr="00E47369" w:rsidRDefault="002A66B7" w:rsidP="002A66B7">
      <w:pPr>
        <w:ind w:firstLine="360"/>
        <w:jc w:val="both"/>
        <w:rPr>
          <w:rFonts w:cstheme="minorHAnsi"/>
          <w:color w:val="000000" w:themeColor="text1"/>
        </w:rPr>
      </w:pPr>
      <w:r w:rsidRPr="00E47369">
        <w:rPr>
          <w:rFonts w:cstheme="minorHAnsi"/>
        </w:rPr>
        <w:t>All the reactions were carried in 10 or 15mL sealed pressure tubes (AceGlass or ChemGlass) equipped with a magnetic spin vane. The scale varied from 1 to 0.5 mmol. The reagents- diol, reducing agent (1.1</w:t>
      </w:r>
      <w:r w:rsidR="005A37AB">
        <w:rPr>
          <w:rFonts w:cstheme="minorHAnsi"/>
        </w:rPr>
        <w:t xml:space="preserve"> </w:t>
      </w:r>
      <w:r w:rsidRPr="00E47369">
        <w:rPr>
          <w:rFonts w:cstheme="minorHAnsi"/>
        </w:rPr>
        <w:t>equiv</w:t>
      </w:r>
      <w:r w:rsidR="005A37AB">
        <w:rPr>
          <w:rFonts w:cstheme="minorHAnsi"/>
        </w:rPr>
        <w:t>.</w:t>
      </w:r>
      <w:r w:rsidRPr="00E47369">
        <w:rPr>
          <w:rFonts w:cstheme="minorHAnsi"/>
        </w:rPr>
        <w:t>) and catalyst (10</w:t>
      </w:r>
      <w:r w:rsidR="001F6AEC">
        <w:rPr>
          <w:rFonts w:cstheme="minorHAnsi"/>
        </w:rPr>
        <w:t xml:space="preserve"> </w:t>
      </w:r>
      <w:r w:rsidRPr="00E47369">
        <w:rPr>
          <w:rFonts w:cstheme="minorHAnsi"/>
        </w:rPr>
        <w:t xml:space="preserve">mol%), were mixed in 1 to 5 mL of solvent. Nitrogen was bubbled into the solution for 60 seconds before it was carefully screw-capped and </w:t>
      </w:r>
      <w:r w:rsidRPr="00E47369">
        <w:rPr>
          <w:rFonts w:cstheme="minorHAnsi"/>
          <w:color w:val="000000" w:themeColor="text1"/>
        </w:rPr>
        <w:t>placed in a pre-heated oil bath at 150</w:t>
      </w:r>
      <w:r w:rsidRPr="00E47369">
        <w:rPr>
          <w:rFonts w:cstheme="minorHAnsi"/>
          <w:color w:val="000000" w:themeColor="text1"/>
          <w:vertAlign w:val="superscript"/>
        </w:rPr>
        <w:t>o</w:t>
      </w:r>
      <w:r w:rsidRPr="00E47369">
        <w:rPr>
          <w:rFonts w:cstheme="minorHAnsi"/>
          <w:color w:val="000000" w:themeColor="text1"/>
        </w:rPr>
        <w:t>C for 24h.</w:t>
      </w:r>
    </w:p>
    <w:p w14:paraId="6F80297B" w14:textId="77777777" w:rsidR="002A66B7" w:rsidRPr="00E47369" w:rsidRDefault="002A66B7" w:rsidP="00C36752">
      <w:pPr>
        <w:pStyle w:val="Heading41"/>
        <w:numPr>
          <w:ilvl w:val="0"/>
          <w:numId w:val="13"/>
        </w:numPr>
        <w:rPr>
          <w:rFonts w:cstheme="minorHAnsi"/>
          <w:color w:val="000000" w:themeColor="text1"/>
        </w:rPr>
      </w:pPr>
      <w:r w:rsidRPr="00E47369">
        <w:rPr>
          <w:rFonts w:cstheme="minorHAnsi"/>
          <w:color w:val="000000" w:themeColor="text1"/>
        </w:rPr>
        <w:t>Hetero Diels-</w:t>
      </w:r>
      <w:r w:rsidRPr="00E47369">
        <w:rPr>
          <w:rFonts w:cstheme="minorHAnsi"/>
        </w:rPr>
        <w:t>Alder reactions</w:t>
      </w:r>
    </w:p>
    <w:p w14:paraId="22C446C7" w14:textId="77777777" w:rsidR="002A66B7" w:rsidRPr="00E47369" w:rsidRDefault="002A66B7" w:rsidP="002A66B7">
      <w:pPr>
        <w:ind w:firstLine="360"/>
        <w:jc w:val="both"/>
        <w:rPr>
          <w:rFonts w:cstheme="minorHAnsi"/>
          <w:color w:val="000000" w:themeColor="text1"/>
        </w:rPr>
      </w:pPr>
      <w:r w:rsidRPr="00E47369">
        <w:rPr>
          <w:rFonts w:cstheme="minorHAnsi"/>
        </w:rPr>
        <w:t>The same reactor tubes were used for the Hetero Diels-Alder reactions. The re</w:t>
      </w:r>
      <w:r w:rsidR="0075601B">
        <w:rPr>
          <w:rFonts w:cstheme="minorHAnsi"/>
        </w:rPr>
        <w:t>a</w:t>
      </w:r>
      <w:r w:rsidRPr="00E47369">
        <w:rPr>
          <w:rFonts w:cstheme="minorHAnsi"/>
        </w:rPr>
        <w:t>gents were loaded into the reactor tube under a nitrogen flow. Butadiene was measured by volume with a gas tight syringe and added to the reactor tube cooled in a -78</w:t>
      </w:r>
      <w:r w:rsidRPr="00E47369">
        <w:rPr>
          <w:rFonts w:cstheme="minorHAnsi"/>
          <w:vertAlign w:val="superscript"/>
        </w:rPr>
        <w:t>o</w:t>
      </w:r>
      <w:r w:rsidRPr="00E47369">
        <w:rPr>
          <w:rFonts w:cstheme="minorHAnsi"/>
        </w:rPr>
        <w:t xml:space="preserve">C bath to condense it as a liquid. A check of the quantity delivered was performed by weighing the reactor tube </w:t>
      </w:r>
      <w:r w:rsidRPr="00E47369">
        <w:rPr>
          <w:rFonts w:cstheme="minorHAnsi"/>
          <w:color w:val="000000" w:themeColor="text1"/>
        </w:rPr>
        <w:t>before and after the addition of the diene.</w:t>
      </w:r>
    </w:p>
    <w:p w14:paraId="5EDBF3C4" w14:textId="77777777" w:rsidR="00DF5A6F" w:rsidRPr="00E47369" w:rsidRDefault="00DF5A6F" w:rsidP="002A66B7">
      <w:pPr>
        <w:ind w:firstLine="360"/>
        <w:jc w:val="both"/>
        <w:rPr>
          <w:rFonts w:cstheme="minorHAnsi"/>
          <w:color w:val="000000" w:themeColor="text1"/>
        </w:rPr>
      </w:pPr>
    </w:p>
    <w:p w14:paraId="37239E3D" w14:textId="77777777" w:rsidR="002A66B7" w:rsidRPr="00E47369" w:rsidRDefault="002A66B7" w:rsidP="00F17F93">
      <w:pPr>
        <w:pStyle w:val="Heading41"/>
        <w:rPr>
          <w:rFonts w:cstheme="minorHAnsi"/>
        </w:rPr>
      </w:pPr>
      <w:r w:rsidRPr="00E47369">
        <w:rPr>
          <w:rFonts w:cstheme="minorHAnsi"/>
        </w:rPr>
        <w:t>Analysis and Quantification</w:t>
      </w:r>
    </w:p>
    <w:p w14:paraId="6C7A638C" w14:textId="77777777" w:rsidR="002A66B7" w:rsidRDefault="002A66B7" w:rsidP="002A66B7">
      <w:pPr>
        <w:ind w:firstLine="264"/>
        <w:jc w:val="both"/>
        <w:rPr>
          <w:rFonts w:cstheme="minorHAnsi"/>
        </w:rPr>
      </w:pPr>
      <w:r w:rsidRPr="00E47369">
        <w:rPr>
          <w:rFonts w:cstheme="minorHAnsi"/>
        </w:rPr>
        <w:t>After the reaction the tube was cooled to room temperature. An aliquot of the reaction mixture (100-300 µL) was dissolved in 0.5 mL of CDCl</w:t>
      </w:r>
      <w:r w:rsidRPr="00E47369">
        <w:rPr>
          <w:rFonts w:cstheme="minorHAnsi"/>
          <w:vertAlign w:val="subscript"/>
        </w:rPr>
        <w:t>3</w:t>
      </w:r>
      <w:r w:rsidRPr="00E47369">
        <w:rPr>
          <w:rFonts w:cstheme="minorHAnsi"/>
        </w:rPr>
        <w:t xml:space="preserve"> and transferred to an NMR tube. In the case of the DODH reaction mixtures 5 µL of an internal standard (DMF or DMSO) was added to the NMR sample for quantification. In the case of Hetero Diels-Alder reaction mixtures when the NMR spectrum was too complicated, a mild vacuum (10 mm Hg) was applied for a few hours to remove the unreacted dienes.</w:t>
      </w:r>
    </w:p>
    <w:p w14:paraId="28D58C5A" w14:textId="77777777" w:rsidR="00537311" w:rsidRDefault="00537311" w:rsidP="002A66B7">
      <w:pPr>
        <w:ind w:firstLine="264"/>
        <w:jc w:val="both"/>
        <w:rPr>
          <w:rFonts w:cstheme="minorHAnsi"/>
        </w:rPr>
      </w:pPr>
    </w:p>
    <w:p w14:paraId="53022B30" w14:textId="77777777" w:rsidR="00537311" w:rsidRDefault="00537311" w:rsidP="002A66B7">
      <w:pPr>
        <w:ind w:firstLine="264"/>
        <w:jc w:val="both"/>
        <w:rPr>
          <w:rFonts w:cstheme="minorHAnsi"/>
        </w:rPr>
      </w:pPr>
    </w:p>
    <w:p w14:paraId="153FB405" w14:textId="77777777" w:rsidR="00537311" w:rsidRPr="00E47369" w:rsidRDefault="00537311" w:rsidP="002A66B7">
      <w:pPr>
        <w:ind w:firstLine="264"/>
        <w:jc w:val="both"/>
        <w:rPr>
          <w:rFonts w:cstheme="minorHAnsi"/>
        </w:rPr>
      </w:pPr>
    </w:p>
    <w:p w14:paraId="2E49E673" w14:textId="77777777" w:rsidR="0003658C" w:rsidRPr="00E47369" w:rsidRDefault="0003658C" w:rsidP="005C4B18">
      <w:pPr>
        <w:jc w:val="center"/>
        <w:rPr>
          <w:rFonts w:cstheme="minorHAnsi"/>
          <w:color w:val="000000" w:themeColor="text1"/>
        </w:rPr>
      </w:pPr>
      <w:r w:rsidRPr="00E47369">
        <w:rPr>
          <w:rFonts w:cstheme="minorHAnsi"/>
          <w:noProof/>
          <w:color w:val="000000" w:themeColor="text1"/>
          <w:lang w:bidi="ar-SA"/>
        </w:rPr>
        <w:drawing>
          <wp:inline distT="0" distB="0" distL="0" distR="0" wp14:anchorId="7241EAB7" wp14:editId="4C2108CB">
            <wp:extent cx="4114800" cy="2893803"/>
            <wp:effectExtent l="0" t="0" r="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4114800" cy="2893803"/>
                    </a:xfrm>
                    <a:prstGeom prst="rect">
                      <a:avLst/>
                    </a:prstGeom>
                    <a:noFill/>
                  </pic:spPr>
                </pic:pic>
              </a:graphicData>
            </a:graphic>
          </wp:inline>
        </w:drawing>
      </w:r>
    </w:p>
    <w:p w14:paraId="641A9587" w14:textId="77777777" w:rsidR="0003658C" w:rsidRPr="00E47369" w:rsidRDefault="0003658C" w:rsidP="0003658C">
      <w:pPr>
        <w:ind w:firstLine="264"/>
        <w:jc w:val="both"/>
        <w:rPr>
          <w:rFonts w:cstheme="minorHAnsi"/>
          <w:i/>
          <w:color w:val="000000" w:themeColor="text1"/>
        </w:rPr>
      </w:pPr>
      <w:r w:rsidRPr="00E47369">
        <w:rPr>
          <w:rFonts w:cstheme="minorHAnsi"/>
          <w:i/>
          <w:color w:val="000000" w:themeColor="text1"/>
        </w:rPr>
        <w:t>Entry III.1.1.1</w:t>
      </w:r>
    </w:p>
    <w:p w14:paraId="6AE74E62" w14:textId="77777777" w:rsidR="005402A1" w:rsidRPr="00E47369" w:rsidRDefault="005402A1" w:rsidP="0003658C">
      <w:pPr>
        <w:ind w:firstLine="264"/>
        <w:jc w:val="both"/>
        <w:rPr>
          <w:rFonts w:cstheme="minorHAnsi"/>
          <w:color w:val="000000" w:themeColor="text1"/>
        </w:rPr>
      </w:pPr>
    </w:p>
    <w:p w14:paraId="46B6E67C" w14:textId="77777777" w:rsidR="002A66B7" w:rsidRPr="00E47369" w:rsidRDefault="00300B2B" w:rsidP="005C4B18">
      <w:pPr>
        <w:jc w:val="center"/>
        <w:rPr>
          <w:rFonts w:cstheme="minorHAnsi"/>
          <w:color w:val="000000" w:themeColor="text1"/>
        </w:rPr>
      </w:pPr>
      <w:r w:rsidRPr="00E47369">
        <w:rPr>
          <w:rFonts w:cstheme="minorHAnsi"/>
          <w:noProof/>
          <w:color w:val="000000" w:themeColor="text1"/>
          <w:lang w:bidi="ar-SA"/>
        </w:rPr>
        <w:drawing>
          <wp:inline distT="0" distB="0" distL="0" distR="0" wp14:anchorId="6D0AF0A2" wp14:editId="6C0E92F2">
            <wp:extent cx="4114800" cy="2983852"/>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4114800" cy="2983852"/>
                    </a:xfrm>
                    <a:prstGeom prst="rect">
                      <a:avLst/>
                    </a:prstGeom>
                    <a:noFill/>
                  </pic:spPr>
                </pic:pic>
              </a:graphicData>
            </a:graphic>
          </wp:inline>
        </w:drawing>
      </w:r>
    </w:p>
    <w:p w14:paraId="71B4F7A3" w14:textId="77777777" w:rsidR="00300B2B" w:rsidRPr="00E47369" w:rsidRDefault="00300B2B" w:rsidP="002A66B7">
      <w:pPr>
        <w:ind w:firstLine="264"/>
        <w:jc w:val="both"/>
        <w:rPr>
          <w:rFonts w:cstheme="minorHAnsi"/>
          <w:i/>
          <w:color w:val="000000" w:themeColor="text1"/>
        </w:rPr>
      </w:pPr>
      <w:r w:rsidRPr="00E47369">
        <w:rPr>
          <w:rFonts w:cstheme="minorHAnsi"/>
          <w:i/>
          <w:color w:val="000000" w:themeColor="text1"/>
        </w:rPr>
        <w:t>Entry III.1.1.3</w:t>
      </w:r>
    </w:p>
    <w:p w14:paraId="468D2B30" w14:textId="77777777" w:rsidR="0003658C" w:rsidRPr="00E47369" w:rsidRDefault="0003658C" w:rsidP="005C4B18">
      <w:pPr>
        <w:jc w:val="center"/>
        <w:rPr>
          <w:rFonts w:cstheme="minorHAnsi"/>
          <w:color w:val="000000" w:themeColor="text1"/>
        </w:rPr>
      </w:pPr>
      <w:r w:rsidRPr="00E47369">
        <w:rPr>
          <w:rFonts w:cstheme="minorHAnsi"/>
          <w:noProof/>
          <w:color w:val="000000" w:themeColor="text1"/>
          <w:lang w:bidi="ar-SA"/>
        </w:rPr>
        <w:drawing>
          <wp:inline distT="0" distB="0" distL="0" distR="0" wp14:anchorId="3F99D50A" wp14:editId="4AA14B60">
            <wp:extent cx="4114800" cy="2590304"/>
            <wp:effectExtent l="0" t="0" r="0"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4114800" cy="2590304"/>
                    </a:xfrm>
                    <a:prstGeom prst="rect">
                      <a:avLst/>
                    </a:prstGeom>
                    <a:noFill/>
                  </pic:spPr>
                </pic:pic>
              </a:graphicData>
            </a:graphic>
          </wp:inline>
        </w:drawing>
      </w:r>
    </w:p>
    <w:p w14:paraId="30BEBDC2" w14:textId="77777777" w:rsidR="0003658C" w:rsidRPr="00E47369" w:rsidRDefault="0003658C" w:rsidP="005C4B18">
      <w:pPr>
        <w:jc w:val="both"/>
        <w:rPr>
          <w:rFonts w:cstheme="minorHAnsi"/>
          <w:color w:val="000000" w:themeColor="text1"/>
        </w:rPr>
      </w:pPr>
      <w:r w:rsidRPr="00E47369">
        <w:rPr>
          <w:rFonts w:cstheme="minorHAnsi"/>
          <w:noProof/>
          <w:color w:val="000000" w:themeColor="text1"/>
          <w:lang w:bidi="ar-SA"/>
        </w:rPr>
        <w:drawing>
          <wp:inline distT="0" distB="0" distL="0" distR="0" wp14:anchorId="7D1EAAEE" wp14:editId="1C90555D">
            <wp:extent cx="1762826" cy="2641600"/>
            <wp:effectExtent l="0" t="0" r="889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779443" cy="2666500"/>
                    </a:xfrm>
                    <a:prstGeom prst="rect">
                      <a:avLst/>
                    </a:prstGeom>
                    <a:noFill/>
                  </pic:spPr>
                </pic:pic>
              </a:graphicData>
            </a:graphic>
          </wp:inline>
        </w:drawing>
      </w:r>
    </w:p>
    <w:p w14:paraId="208295D8" w14:textId="77777777" w:rsidR="005402A1" w:rsidRPr="00E47369" w:rsidRDefault="005402A1" w:rsidP="005C4B18">
      <w:pPr>
        <w:jc w:val="center"/>
        <w:rPr>
          <w:rFonts w:cstheme="minorHAnsi"/>
          <w:color w:val="000000" w:themeColor="text1"/>
        </w:rPr>
      </w:pPr>
      <w:r w:rsidRPr="00E47369">
        <w:rPr>
          <w:rFonts w:cstheme="minorHAnsi"/>
          <w:noProof/>
          <w:color w:val="000000" w:themeColor="text1"/>
          <w:lang w:bidi="ar-SA"/>
        </w:rPr>
        <w:drawing>
          <wp:inline distT="0" distB="0" distL="0" distR="0" wp14:anchorId="68278FA6" wp14:editId="50BEBC5A">
            <wp:extent cx="4370832" cy="2766999"/>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4370832" cy="2766999"/>
                    </a:xfrm>
                    <a:prstGeom prst="rect">
                      <a:avLst/>
                    </a:prstGeom>
                    <a:noFill/>
                  </pic:spPr>
                </pic:pic>
              </a:graphicData>
            </a:graphic>
          </wp:inline>
        </w:drawing>
      </w:r>
    </w:p>
    <w:p w14:paraId="4CBB3531" w14:textId="77777777" w:rsidR="005402A1" w:rsidRPr="00E47369" w:rsidRDefault="005402A1" w:rsidP="005C4B18">
      <w:pPr>
        <w:jc w:val="center"/>
        <w:rPr>
          <w:rFonts w:cstheme="minorHAnsi"/>
          <w:color w:val="000000" w:themeColor="text1"/>
          <w:highlight w:val="yellow"/>
        </w:rPr>
      </w:pPr>
      <w:r w:rsidRPr="00E47369">
        <w:rPr>
          <w:rFonts w:cstheme="minorHAnsi"/>
          <w:noProof/>
          <w:color w:val="000000" w:themeColor="text1"/>
          <w:lang w:bidi="ar-SA"/>
        </w:rPr>
        <w:drawing>
          <wp:inline distT="0" distB="0" distL="0" distR="0" wp14:anchorId="404CBBDC" wp14:editId="5ACFC7BA">
            <wp:extent cx="4732164" cy="3470031"/>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4738637" cy="3474778"/>
                    </a:xfrm>
                    <a:prstGeom prst="rect">
                      <a:avLst/>
                    </a:prstGeom>
                    <a:noFill/>
                  </pic:spPr>
                </pic:pic>
              </a:graphicData>
            </a:graphic>
          </wp:inline>
        </w:drawing>
      </w:r>
    </w:p>
    <w:p w14:paraId="44F47BB5" w14:textId="77777777" w:rsidR="002F41AE" w:rsidRPr="00E47369" w:rsidRDefault="002A66B7">
      <w:pPr>
        <w:spacing w:line="240" w:lineRule="auto"/>
        <w:rPr>
          <w:rFonts w:cstheme="minorHAnsi"/>
          <w:color w:val="000000" w:themeColor="text1"/>
        </w:rPr>
      </w:pPr>
      <w:r w:rsidRPr="00E47369">
        <w:rPr>
          <w:rFonts w:cstheme="minorHAnsi"/>
          <w:color w:val="000000" w:themeColor="text1"/>
        </w:rPr>
        <w:br w:type="page"/>
      </w:r>
    </w:p>
    <w:p w14:paraId="723A9F99" w14:textId="77777777" w:rsidR="003B24F5" w:rsidRPr="00E47369" w:rsidRDefault="003B24F5" w:rsidP="00BA0582">
      <w:pPr>
        <w:pStyle w:val="Heading2"/>
      </w:pPr>
      <w:bookmarkStart w:id="213" w:name="_Toc458938303"/>
      <w:r w:rsidRPr="00E47369">
        <w:t xml:space="preserve">DODH / Metathesis Tandem </w:t>
      </w:r>
      <w:r w:rsidR="00317102">
        <w:t>R</w:t>
      </w:r>
      <w:r w:rsidRPr="00E47369">
        <w:t>eaction</w:t>
      </w:r>
      <w:bookmarkEnd w:id="213"/>
      <w:r w:rsidRPr="00E47369">
        <w:t xml:space="preserve"> </w:t>
      </w:r>
    </w:p>
    <w:p w14:paraId="4E09B069" w14:textId="77777777" w:rsidR="002F41AE" w:rsidRPr="00E47369" w:rsidRDefault="00B86564" w:rsidP="000351A7">
      <w:pPr>
        <w:pStyle w:val="Heading3"/>
        <w:numPr>
          <w:ilvl w:val="0"/>
          <w:numId w:val="16"/>
        </w:numPr>
      </w:pPr>
      <w:bookmarkStart w:id="214" w:name="_Toc458938304"/>
      <w:r w:rsidRPr="00E47369">
        <w:t>Introduction and Background</w:t>
      </w:r>
      <w:bookmarkEnd w:id="214"/>
    </w:p>
    <w:p w14:paraId="64C1817C" w14:textId="77777777" w:rsidR="00B86564" w:rsidRPr="00E47369" w:rsidRDefault="00B86564" w:rsidP="00C36752">
      <w:pPr>
        <w:pStyle w:val="Heading41"/>
        <w:numPr>
          <w:ilvl w:val="0"/>
          <w:numId w:val="17"/>
        </w:numPr>
        <w:rPr>
          <w:rFonts w:cstheme="minorHAnsi"/>
        </w:rPr>
      </w:pPr>
      <w:r w:rsidRPr="00E47369">
        <w:rPr>
          <w:rFonts w:cstheme="minorHAnsi"/>
        </w:rPr>
        <w:t>The metathesis reaction</w:t>
      </w:r>
    </w:p>
    <w:p w14:paraId="6E916DFA" w14:textId="77777777" w:rsidR="00B86564" w:rsidRDefault="00B86564" w:rsidP="004D1A6D">
      <w:pPr>
        <w:ind w:firstLine="360"/>
        <w:jc w:val="both"/>
        <w:rPr>
          <w:rFonts w:cstheme="minorHAnsi"/>
        </w:rPr>
      </w:pPr>
      <w:r w:rsidRPr="00E47369">
        <w:rPr>
          <w:rFonts w:cstheme="minorHAnsi"/>
        </w:rPr>
        <w:t>The olefin metathesis is a reaction which involves the exchange of the alkene vinylic carbons (and substituents) (</w:t>
      </w:r>
      <w:r w:rsidR="000C77C0" w:rsidRPr="00E47369">
        <w:rPr>
          <w:rFonts w:cstheme="minorHAnsi"/>
        </w:rPr>
        <w:fldChar w:fldCharType="begin"/>
      </w:r>
      <w:r w:rsidR="000C77C0" w:rsidRPr="00E47369">
        <w:rPr>
          <w:rFonts w:cstheme="minorHAnsi"/>
        </w:rPr>
        <w:instrText xml:space="preserve"> REF _Ref453576459 \h </w:instrText>
      </w:r>
      <w:r w:rsidR="00E47369">
        <w:rPr>
          <w:rFonts w:cstheme="minorHAnsi"/>
        </w:rPr>
        <w:instrText xml:space="preserve"> \* MERGEFORMAT </w:instrText>
      </w:r>
      <w:r w:rsidR="000C77C0" w:rsidRPr="00E47369">
        <w:rPr>
          <w:rFonts w:cstheme="minorHAnsi"/>
        </w:rPr>
      </w:r>
      <w:r w:rsidR="000C77C0" w:rsidRPr="00E47369">
        <w:rPr>
          <w:rFonts w:cstheme="minorHAnsi"/>
        </w:rPr>
        <w:fldChar w:fldCharType="separate"/>
      </w:r>
      <w:r w:rsidR="000A0E3D" w:rsidRPr="000A0E3D">
        <w:rPr>
          <w:rFonts w:cstheme="minorHAnsi"/>
        </w:rPr>
        <w:t xml:space="preserve">Figure III. </w:t>
      </w:r>
      <w:r w:rsidR="000A0E3D" w:rsidRPr="000A0E3D">
        <w:rPr>
          <w:rFonts w:cstheme="minorHAnsi"/>
          <w:noProof/>
        </w:rPr>
        <w:t>2.1</w:t>
      </w:r>
      <w:r w:rsidR="000C77C0" w:rsidRPr="00E47369">
        <w:rPr>
          <w:rFonts w:cstheme="minorHAnsi"/>
        </w:rPr>
        <w:fldChar w:fldCharType="end"/>
      </w:r>
      <w:r w:rsidRPr="00E47369">
        <w:rPr>
          <w:rFonts w:cstheme="minorHAnsi"/>
        </w:rPr>
        <w:t>). This transformation was developed and studied most prominently by Y. Chauvin, R. Grubbs and R. Schrock, who received the Nobel Prize for their contributions. Several catalysts have been reported for the metathesis reaction.</w:t>
      </w:r>
      <w:r w:rsidRPr="00E47369">
        <w:rPr>
          <w:rFonts w:cstheme="minorHAnsi"/>
        </w:rPr>
        <w:fldChar w:fldCharType="begin"/>
      </w:r>
      <w:r w:rsidR="00E028D6">
        <w:rPr>
          <w:rFonts w:cstheme="minorHAnsi"/>
        </w:rPr>
        <w:instrText xml:space="preserve"> ADDIN ZOTERO_ITEM CSL_CITATION {"citationID":"24enf7jekp","properties":{"formattedCitation":"{\\rtf \\super 125\\nosupersub{}}","plainCitation":"125"},"citationItems":[{"id":1691,"uris":["http://zotero.org/users/1624234/items/GM4R3M2C"],"uri":["http://zotero.org/users/1624234/items/GM4R3M2C"],"itemData":{"id":1691,"type":"article-journal","title":"The remarkable metal-catalysed olefin metathesis reaction","container-title":"Nature","page":"243-251","volume":"450","issue":"7167","source":"www.nature.com","abstract":"Catalytic olefin metathesis—through which pairs of C = C bonds are reorganized—transforms simple molecules to those that are complex and precious. This class of reactions has noticeably enriched chemical synthesis, which is the art of preparing scarce molecules with highly desirable properties (for example, medicinal agents or polymeric materials). Research in the past two decades has yielded structurally well-defined catalysts for olefin metathesis that are used to synthesize an array of molecules with unprecedented efficiency. Nonetheless, the full potential of olefin metathesis will be realized only when additional catalysts are discovered that are truly practical and afford exceptional selectivity for a significantly broader range of reactions.","DOI":"10.1038/nature06351","ISSN":"0028-0836","journalAbbreviation":"Nature","language":"en","author":[{"family":"Hoveyda","given":"Amir H."},{"family":"Zhugralin","given":"Adil R."}],"issued":{"date-parts":[["2007",11,8]]}}}],"schema":"https://github.com/citation-style-language/schema/raw/master/csl-citation.json"} </w:instrText>
      </w:r>
      <w:r w:rsidRPr="00E47369">
        <w:rPr>
          <w:rFonts w:cstheme="minorHAnsi"/>
        </w:rPr>
        <w:fldChar w:fldCharType="separate"/>
      </w:r>
      <w:r w:rsidR="00E028D6" w:rsidRPr="00E028D6">
        <w:rPr>
          <w:rFonts w:ascii="Times New Roman" w:hAnsi="Times New Roman"/>
          <w:vertAlign w:val="superscript"/>
        </w:rPr>
        <w:t>125</w:t>
      </w:r>
      <w:r w:rsidRPr="00E47369">
        <w:rPr>
          <w:rFonts w:cstheme="minorHAnsi"/>
        </w:rPr>
        <w:fldChar w:fldCharType="end"/>
      </w:r>
      <w:r w:rsidRPr="00E47369">
        <w:rPr>
          <w:rFonts w:cstheme="minorHAnsi"/>
        </w:rPr>
        <w:t xml:space="preserve"> These were classified in approximately four generations: from heterogeneous with high valent transition metal halide and titanocene-based catalyst to Schrock tungsten, molybdenum and rhenium arylimido complexes and Grubbs ruthenium with phosphine ligands. This reaction has a lot of potential and applications; ring closing and opening, polymerization, ethenolysis. Olefin metathesis reaction</w:t>
      </w:r>
      <w:r w:rsidR="0075601B">
        <w:rPr>
          <w:rFonts w:cstheme="minorHAnsi"/>
        </w:rPr>
        <w:t>s</w:t>
      </w:r>
      <w:r w:rsidRPr="00E47369">
        <w:rPr>
          <w:rFonts w:cstheme="minorHAnsi"/>
        </w:rPr>
        <w:t xml:space="preserve"> usually require high oxidation state metal catalyst</w:t>
      </w:r>
      <w:r w:rsidR="0075601B">
        <w:rPr>
          <w:rFonts w:cstheme="minorHAnsi"/>
        </w:rPr>
        <w:t>s</w:t>
      </w:r>
      <w:r w:rsidRPr="00E47369">
        <w:rPr>
          <w:rFonts w:cstheme="minorHAnsi"/>
        </w:rPr>
        <w:t xml:space="preserve"> </w:t>
      </w:r>
      <w:r w:rsidR="0075601B">
        <w:rPr>
          <w:rFonts w:cstheme="minorHAnsi"/>
        </w:rPr>
        <w:t>with</w:t>
      </w:r>
      <w:r w:rsidRPr="00E47369">
        <w:rPr>
          <w:rFonts w:cstheme="minorHAnsi"/>
        </w:rPr>
        <w:t xml:space="preserve"> carbene ligands. </w:t>
      </w:r>
    </w:p>
    <w:p w14:paraId="532E6B8E" w14:textId="77777777" w:rsidR="001539C6" w:rsidRPr="00E47369" w:rsidRDefault="001539C6" w:rsidP="004D1A6D">
      <w:pPr>
        <w:ind w:firstLine="360"/>
        <w:jc w:val="both"/>
        <w:rPr>
          <w:rFonts w:cstheme="minorHAnsi"/>
        </w:rPr>
      </w:pPr>
    </w:p>
    <w:p w14:paraId="7772ED6E" w14:textId="4023B912" w:rsidR="000C77C0" w:rsidRPr="00E47369" w:rsidRDefault="001539C6" w:rsidP="001539C6">
      <w:pPr>
        <w:jc w:val="center"/>
        <w:rPr>
          <w:rFonts w:cstheme="minorHAnsi"/>
        </w:rPr>
      </w:pPr>
      <w:r w:rsidRPr="001539C6">
        <w:rPr>
          <w:rFonts w:cstheme="minorHAnsi"/>
        </w:rPr>
        <w:object w:dxaOrig="3761" w:dyaOrig="816" w14:anchorId="262A960E">
          <v:shape id="_x0000_i1528" type="#_x0000_t75" style="width:206.5pt;height:45.1pt" o:ole="">
            <v:imagedata r:id="rId170" o:title=""/>
          </v:shape>
          <o:OLEObject Type="Embed" ProgID="ChemDraw.Document.6.0" ShapeID="_x0000_i1528" DrawAspect="Content" ObjectID="_1532784939" r:id="rId171"/>
        </w:object>
      </w:r>
    </w:p>
    <w:p w14:paraId="0F0B7B2B" w14:textId="77777777" w:rsidR="00B86564" w:rsidRPr="00420FD6" w:rsidRDefault="000C77C0" w:rsidP="00420FD6">
      <w:pPr>
        <w:pStyle w:val="Caption"/>
      </w:pPr>
      <w:bookmarkStart w:id="215" w:name="_Ref453576459"/>
      <w:bookmarkStart w:id="216" w:name="_Toc457670712"/>
      <w:r w:rsidRPr="00420FD6">
        <w:t xml:space="preserve">Figure III. </w:t>
      </w:r>
      <w:r w:rsidR="00443010">
        <w:fldChar w:fldCharType="begin"/>
      </w:r>
      <w:r w:rsidR="00443010">
        <w:instrText xml:space="preserve"> STYLEREF 2 \s </w:instrText>
      </w:r>
      <w:r w:rsidR="00443010">
        <w:fldChar w:fldCharType="separate"/>
      </w:r>
      <w:r w:rsidR="000A0E3D">
        <w:rPr>
          <w:noProof/>
        </w:rPr>
        <w:t>2</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1</w:t>
      </w:r>
      <w:r w:rsidR="00443010">
        <w:rPr>
          <w:noProof/>
        </w:rPr>
        <w:fldChar w:fldCharType="end"/>
      </w:r>
      <w:bookmarkEnd w:id="215"/>
      <w:r w:rsidRPr="00420FD6">
        <w:t xml:space="preserve"> </w:t>
      </w:r>
      <w:r w:rsidR="00B86564" w:rsidRPr="00420FD6">
        <w:t>General metathesis equation</w:t>
      </w:r>
      <w:bookmarkEnd w:id="216"/>
    </w:p>
    <w:p w14:paraId="4680CACE" w14:textId="77777777" w:rsidR="00003D5D" w:rsidRPr="00E47369" w:rsidRDefault="00003D5D" w:rsidP="00003D5D">
      <w:pPr>
        <w:rPr>
          <w:rFonts w:cstheme="minorHAnsi"/>
        </w:rPr>
      </w:pPr>
    </w:p>
    <w:p w14:paraId="55F124CA" w14:textId="77777777" w:rsidR="00B86564" w:rsidRDefault="00B86564" w:rsidP="004D1A6D">
      <w:pPr>
        <w:ind w:firstLine="360"/>
        <w:jc w:val="both"/>
        <w:rPr>
          <w:rFonts w:cstheme="minorHAnsi"/>
        </w:rPr>
      </w:pPr>
      <w:r w:rsidRPr="00E47369">
        <w:rPr>
          <w:rFonts w:cstheme="minorHAnsi"/>
        </w:rPr>
        <w:t>Chauvin and Herisson proposed a mechanism for the alkene metathesis in 1971.</w:t>
      </w:r>
      <w:r w:rsidRPr="00E47369">
        <w:rPr>
          <w:rFonts w:cstheme="minorHAnsi"/>
        </w:rPr>
        <w:fldChar w:fldCharType="begin"/>
      </w:r>
      <w:r w:rsidR="00E028D6">
        <w:rPr>
          <w:rFonts w:cstheme="minorHAnsi"/>
        </w:rPr>
        <w:instrText xml:space="preserve"> ADDIN ZOTERO_ITEM CSL_CITATION {"citationID":"27m8mqk0av","properties":{"formattedCitation":"{\\rtf \\super 126\\nosupersub{}}","plainCitation":"126"},"citationItems":[{"id":1710,"uris":["http://zotero.org/users/1624234/items/IBF99W88"],"uri":["http://zotero.org/users/1624234/items/IBF99W88"],"itemData":{"id":1710,"type":"article-journal","title":"Catalyse de transformation des oléfines par les complexes du tungstène. II. Télomérisation des oléfines cycliques en présence d'oléfines acycliques","container-title":"Die Makromolekulare Chemie","page":"161-176","volume":"141","issue":"1","source":"Wiley Online Library","abstract":"La co-réaction des oléfines cycliques avec les oléfines acycliques en présence des systèmes WOCl4/Al(C2H5)2Cl et WOCl4/Sn(C4H9)4 conduit à une télomérisation de l'oléfine cyclique; aux extrémités des molécules de télomère sont fixés deux groupements, identiques ou différents, issus de l'oléfine acyclique par une réaction non consécutive. Ont été plus particulièrement étudiés: le cyclopentène et le cyclooctène d'une part, le pentène-2, le pentène-1, le butène-2 et le propylène d'autre part. Le cyclooctadiène-1.5 et le cyclododécatriène-1.5.9 réagissent avec le pentène-2, par réaction non consécutive, en tant que reste CHCH2CH2CH. La répartition des télomères obéit à une loi statistique. On propose un schéma réactionnel en accord avec les faits observés dans la réaction de disproportion des oléfines acycliques, la polymérisation des oléfines cycliques et la télomérisation des oléfines cycliques par les oléfines acycliques.","DOI":"10.1002/macp.1971.021410112","ISSN":"0025-116X","journalAbbreviation":"Makromol. Chem.","language":"en","author":[{"family":"Jean-Louis Hérisson","given":"Par"},{"family":"Chauvin","given":"Yves"}],"issued":{"date-parts":[["1971",2,9]]}}}],"schema":"https://github.com/citation-style-language/schema/raw/master/csl-citation.json"} </w:instrText>
      </w:r>
      <w:r w:rsidRPr="00E47369">
        <w:rPr>
          <w:rFonts w:cstheme="minorHAnsi"/>
        </w:rPr>
        <w:fldChar w:fldCharType="separate"/>
      </w:r>
      <w:r w:rsidR="00E028D6" w:rsidRPr="00E028D6">
        <w:rPr>
          <w:rFonts w:ascii="Times New Roman" w:hAnsi="Times New Roman"/>
          <w:vertAlign w:val="superscript"/>
        </w:rPr>
        <w:t>126</w:t>
      </w:r>
      <w:r w:rsidRPr="00E47369">
        <w:rPr>
          <w:rFonts w:cstheme="minorHAnsi"/>
        </w:rPr>
        <w:fldChar w:fldCharType="end"/>
      </w:r>
      <w:r w:rsidRPr="00E47369">
        <w:rPr>
          <w:rFonts w:cstheme="minorHAnsi"/>
        </w:rPr>
        <w:t xml:space="preserve"> In this mechanism the alkene double bond and the transition metal catalyst undergo a [2+2] cycloaddition to form a </w:t>
      </w:r>
      <w:r w:rsidR="0075601B">
        <w:rPr>
          <w:rFonts w:cstheme="minorHAnsi"/>
        </w:rPr>
        <w:t>four membered ring</w:t>
      </w:r>
      <w:r w:rsidRPr="00E47369">
        <w:rPr>
          <w:rFonts w:cstheme="minorHAnsi"/>
        </w:rPr>
        <w:t xml:space="preserve"> intermediate. This intermediate could then cyclorevert to its original alkylidene form or to a new metal alkylidene and alkene (</w:t>
      </w:r>
      <w:r w:rsidR="000C77C0" w:rsidRPr="00E47369">
        <w:rPr>
          <w:rFonts w:cstheme="minorHAnsi"/>
        </w:rPr>
        <w:fldChar w:fldCharType="begin"/>
      </w:r>
      <w:r w:rsidR="000C77C0" w:rsidRPr="00E47369">
        <w:rPr>
          <w:rFonts w:cstheme="minorHAnsi"/>
        </w:rPr>
        <w:instrText xml:space="preserve"> REF _Ref453576492 \h </w:instrText>
      </w:r>
      <w:r w:rsidR="00E47369">
        <w:rPr>
          <w:rFonts w:cstheme="minorHAnsi"/>
        </w:rPr>
        <w:instrText xml:space="preserve"> \* MERGEFORMAT </w:instrText>
      </w:r>
      <w:r w:rsidR="000C77C0" w:rsidRPr="00E47369">
        <w:rPr>
          <w:rFonts w:cstheme="minorHAnsi"/>
        </w:rPr>
      </w:r>
      <w:r w:rsidR="000C77C0" w:rsidRPr="00E47369">
        <w:rPr>
          <w:rFonts w:cstheme="minorHAnsi"/>
        </w:rPr>
        <w:fldChar w:fldCharType="separate"/>
      </w:r>
      <w:r w:rsidR="000A0E3D" w:rsidRPr="000A0E3D">
        <w:rPr>
          <w:rFonts w:cstheme="minorHAnsi"/>
        </w:rPr>
        <w:t xml:space="preserve">Figure III. </w:t>
      </w:r>
      <w:r w:rsidR="000A0E3D" w:rsidRPr="000A0E3D">
        <w:rPr>
          <w:rFonts w:cstheme="minorHAnsi"/>
          <w:noProof/>
        </w:rPr>
        <w:t>2.2</w:t>
      </w:r>
      <w:r w:rsidR="000C77C0" w:rsidRPr="00E47369">
        <w:rPr>
          <w:rFonts w:cstheme="minorHAnsi"/>
        </w:rPr>
        <w:fldChar w:fldCharType="end"/>
      </w:r>
      <w:r w:rsidRPr="00E47369">
        <w:rPr>
          <w:rFonts w:cstheme="minorHAnsi"/>
        </w:rPr>
        <w:t>). The metathesis reaction is used on industrial scale for the formation of high molecular weight alkenes in the petroleum industry. With the</w:t>
      </w:r>
      <w:r w:rsidR="009A1763">
        <w:rPr>
          <w:rFonts w:cstheme="minorHAnsi"/>
        </w:rPr>
        <w:t xml:space="preserve"> recent</w:t>
      </w:r>
      <w:r w:rsidRPr="00E47369">
        <w:rPr>
          <w:rFonts w:cstheme="minorHAnsi"/>
        </w:rPr>
        <w:t xml:space="preserve"> development of new metathesis catalyst which tolerate more functional group </w:t>
      </w:r>
      <w:r w:rsidR="006A4506">
        <w:rPr>
          <w:rFonts w:cstheme="minorHAnsi"/>
        </w:rPr>
        <w:t xml:space="preserve">the </w:t>
      </w:r>
      <w:r w:rsidR="009A1763">
        <w:rPr>
          <w:rFonts w:cstheme="minorHAnsi"/>
        </w:rPr>
        <w:t xml:space="preserve">metathesis </w:t>
      </w:r>
      <w:r w:rsidR="006A4506">
        <w:rPr>
          <w:rFonts w:cstheme="minorHAnsi"/>
        </w:rPr>
        <w:t>reaction can have</w:t>
      </w:r>
      <w:r w:rsidR="005056C1">
        <w:rPr>
          <w:rFonts w:cstheme="minorHAnsi"/>
        </w:rPr>
        <w:t xml:space="preserve"> </w:t>
      </w:r>
      <w:r w:rsidR="006A4506">
        <w:rPr>
          <w:rFonts w:cstheme="minorHAnsi"/>
        </w:rPr>
        <w:t>applications for</w:t>
      </w:r>
      <w:r w:rsidRPr="00E47369">
        <w:rPr>
          <w:rFonts w:cstheme="minorHAnsi"/>
        </w:rPr>
        <w:t xml:space="preserve"> drug and polymer synthesis.</w:t>
      </w:r>
    </w:p>
    <w:p w14:paraId="47E9E6A7" w14:textId="77777777" w:rsidR="00537311" w:rsidRDefault="00537311" w:rsidP="004D1A6D">
      <w:pPr>
        <w:ind w:firstLine="360"/>
        <w:jc w:val="both"/>
        <w:rPr>
          <w:rFonts w:cstheme="minorHAnsi"/>
        </w:rPr>
      </w:pPr>
    </w:p>
    <w:p w14:paraId="1F1D3F10" w14:textId="71695273" w:rsidR="000C77C0" w:rsidRPr="00E47369" w:rsidRDefault="001539C6" w:rsidP="001539C6">
      <w:pPr>
        <w:jc w:val="center"/>
        <w:rPr>
          <w:rFonts w:cstheme="minorHAnsi"/>
        </w:rPr>
      </w:pPr>
      <w:r w:rsidRPr="001539C6">
        <w:rPr>
          <w:rFonts w:cstheme="minorHAnsi"/>
        </w:rPr>
        <w:object w:dxaOrig="4639" w:dyaOrig="4812" w14:anchorId="35F1EBF6">
          <v:shape id="_x0000_i1533" type="#_x0000_t75" style="width:185.15pt;height:192.25pt" o:ole="">
            <v:imagedata r:id="rId172" o:title=""/>
          </v:shape>
          <o:OLEObject Type="Embed" ProgID="ChemDraw.Document.6.0" ShapeID="_x0000_i1533" DrawAspect="Content" ObjectID="_1532784940" r:id="rId173"/>
        </w:object>
      </w:r>
    </w:p>
    <w:p w14:paraId="40090EF2" w14:textId="77777777" w:rsidR="00B86564" w:rsidRPr="00420FD6" w:rsidRDefault="000C77C0" w:rsidP="00420FD6">
      <w:pPr>
        <w:pStyle w:val="Caption"/>
      </w:pPr>
      <w:bookmarkStart w:id="217" w:name="_Ref453576492"/>
      <w:bookmarkStart w:id="218" w:name="_Toc457670713"/>
      <w:r w:rsidRPr="00420FD6">
        <w:t xml:space="preserve">Figure III. </w:t>
      </w:r>
      <w:r w:rsidR="00443010">
        <w:fldChar w:fldCharType="begin"/>
      </w:r>
      <w:r w:rsidR="00443010">
        <w:instrText xml:space="preserve"> STYLEREF 2 \s </w:instrText>
      </w:r>
      <w:r w:rsidR="00443010">
        <w:fldChar w:fldCharType="separate"/>
      </w:r>
      <w:r w:rsidR="000A0E3D">
        <w:rPr>
          <w:noProof/>
        </w:rPr>
        <w:t>2</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2</w:t>
      </w:r>
      <w:r w:rsidR="00443010">
        <w:rPr>
          <w:noProof/>
        </w:rPr>
        <w:fldChar w:fldCharType="end"/>
      </w:r>
      <w:bookmarkEnd w:id="217"/>
      <w:r w:rsidRPr="00420FD6">
        <w:t xml:space="preserve"> </w:t>
      </w:r>
      <w:r w:rsidR="00B86564" w:rsidRPr="00420FD6">
        <w:t>Metathesis mechanistic cycle</w:t>
      </w:r>
      <w:bookmarkEnd w:id="218"/>
    </w:p>
    <w:p w14:paraId="368F345A" w14:textId="77777777" w:rsidR="00B86564" w:rsidRPr="00E47369" w:rsidRDefault="00B86564" w:rsidP="009726BC">
      <w:pPr>
        <w:rPr>
          <w:rFonts w:cstheme="minorHAnsi"/>
        </w:rPr>
      </w:pPr>
    </w:p>
    <w:p w14:paraId="2ED843C0" w14:textId="1195363E" w:rsidR="009726BC" w:rsidRPr="00E47369" w:rsidRDefault="009726BC" w:rsidP="00870A25">
      <w:pPr>
        <w:pStyle w:val="Heading41"/>
        <w:rPr>
          <w:rFonts w:cstheme="minorHAnsi"/>
        </w:rPr>
      </w:pPr>
      <w:r w:rsidRPr="00E47369">
        <w:rPr>
          <w:rFonts w:cstheme="minorHAnsi"/>
        </w:rPr>
        <w:t xml:space="preserve">DODH/Alkene Metathesis </w:t>
      </w:r>
      <w:r w:rsidR="00D717AF">
        <w:rPr>
          <w:rFonts w:cstheme="minorHAnsi"/>
        </w:rPr>
        <w:t>t</w:t>
      </w:r>
      <w:r w:rsidRPr="00E47369">
        <w:rPr>
          <w:rFonts w:cstheme="minorHAnsi"/>
        </w:rPr>
        <w:t>andem concept</w:t>
      </w:r>
    </w:p>
    <w:p w14:paraId="39ABFB89" w14:textId="77777777" w:rsidR="009726BC" w:rsidRPr="00E47369" w:rsidRDefault="009726BC" w:rsidP="004D1A6D">
      <w:pPr>
        <w:ind w:firstLine="360"/>
        <w:jc w:val="both"/>
        <w:rPr>
          <w:rFonts w:cstheme="minorHAnsi"/>
        </w:rPr>
      </w:pPr>
      <w:r w:rsidRPr="00E47369">
        <w:rPr>
          <w:rFonts w:cstheme="minorHAnsi"/>
        </w:rPr>
        <w:t>With the formation of alkenes via the DODH reaction we can see the high potential of an eventual tandem DODH/Olefin Metathesis (</w:t>
      </w:r>
      <w:r w:rsidRPr="00E47369">
        <w:rPr>
          <w:rFonts w:cstheme="minorHAnsi"/>
        </w:rPr>
        <w:fldChar w:fldCharType="begin"/>
      </w:r>
      <w:r w:rsidRPr="00E47369">
        <w:rPr>
          <w:rFonts w:cstheme="minorHAnsi"/>
        </w:rPr>
        <w:instrText xml:space="preserve"> REF _Ref453576611 \h </w:instrText>
      </w:r>
      <w:r w:rsidR="00E47369">
        <w:rPr>
          <w:rFonts w:cstheme="minorHAnsi"/>
        </w:rPr>
        <w:instrText xml:space="preserve"> \* MERGEFORMAT </w:instrText>
      </w:r>
      <w:r w:rsidRPr="00E47369">
        <w:rPr>
          <w:rFonts w:cstheme="minorHAnsi"/>
        </w:rPr>
      </w:r>
      <w:r w:rsidRPr="00E47369">
        <w:rPr>
          <w:rFonts w:cstheme="minorHAnsi"/>
        </w:rPr>
        <w:fldChar w:fldCharType="separate"/>
      </w:r>
      <w:r w:rsidR="000A0E3D" w:rsidRPr="000A0E3D">
        <w:rPr>
          <w:rFonts w:cstheme="minorHAnsi"/>
        </w:rPr>
        <w:t xml:space="preserve">Figure III. </w:t>
      </w:r>
      <w:r w:rsidR="000A0E3D" w:rsidRPr="000A0E3D">
        <w:rPr>
          <w:rFonts w:cstheme="minorHAnsi"/>
          <w:noProof/>
        </w:rPr>
        <w:t>2.3</w:t>
      </w:r>
      <w:r w:rsidRPr="00E47369">
        <w:rPr>
          <w:rFonts w:cstheme="minorHAnsi"/>
        </w:rPr>
        <w:fldChar w:fldCharType="end"/>
      </w:r>
      <w:r w:rsidRPr="00E47369">
        <w:rPr>
          <w:rFonts w:cstheme="minorHAnsi"/>
        </w:rPr>
        <w:t>). With a majority of product from the DODH reaction containing a terminal alkene this tandem system would allow the formation of high mass alkene</w:t>
      </w:r>
      <w:r w:rsidR="006A4506">
        <w:rPr>
          <w:rFonts w:cstheme="minorHAnsi"/>
        </w:rPr>
        <w:t>s</w:t>
      </w:r>
      <w:r w:rsidRPr="00E47369">
        <w:rPr>
          <w:rFonts w:cstheme="minorHAnsi"/>
        </w:rPr>
        <w:t xml:space="preserve"> from polyols. Such a process would allow a short chain polyol to form longer chain hydrocarbons which are highly desirable as fuels. It could serve also to create building block</w:t>
      </w:r>
      <w:r w:rsidR="006A4506">
        <w:rPr>
          <w:rFonts w:cstheme="minorHAnsi"/>
        </w:rPr>
        <w:t>s</w:t>
      </w:r>
      <w:r w:rsidRPr="00E47369">
        <w:rPr>
          <w:rFonts w:cstheme="minorHAnsi"/>
        </w:rPr>
        <w:t xml:space="preserve"> for synthesis of valuable chemical and drugs. We could also envision </w:t>
      </w:r>
      <w:r w:rsidR="006A4506">
        <w:rPr>
          <w:rFonts w:cstheme="minorHAnsi"/>
        </w:rPr>
        <w:t>using</w:t>
      </w:r>
      <w:r w:rsidRPr="00E47369">
        <w:rPr>
          <w:rFonts w:cstheme="minorHAnsi"/>
        </w:rPr>
        <w:t xml:space="preserve"> the process on polyols that provides dienes via DODH that could then polymerize or ring close in the alkene metathesis reaction.</w:t>
      </w:r>
    </w:p>
    <w:p w14:paraId="15DD87FF" w14:textId="77777777" w:rsidR="009726BC" w:rsidRPr="00E47369" w:rsidRDefault="009726BC" w:rsidP="00731927">
      <w:pPr>
        <w:keepNext/>
        <w:jc w:val="center"/>
        <w:rPr>
          <w:rFonts w:cstheme="minorHAnsi"/>
        </w:rPr>
      </w:pPr>
      <w:r w:rsidRPr="00E47369">
        <w:rPr>
          <w:rFonts w:cstheme="minorHAnsi"/>
        </w:rPr>
        <w:object w:dxaOrig="4099" w:dyaOrig="2402" w14:anchorId="22467A6B">
          <v:shape id="_x0000_i1087" type="#_x0000_t75" style="width:206.5pt;height:118.7pt" o:ole="">
            <v:imagedata r:id="rId174" o:title=""/>
          </v:shape>
          <o:OLEObject Type="Embed" ProgID="ChemDraw.Document.6.0" ShapeID="_x0000_i1087" DrawAspect="Content" ObjectID="_1532784941" r:id="rId175"/>
        </w:object>
      </w:r>
    </w:p>
    <w:p w14:paraId="6EB6F137" w14:textId="77777777" w:rsidR="009726BC" w:rsidRDefault="009726BC" w:rsidP="00420FD6">
      <w:pPr>
        <w:pStyle w:val="Caption"/>
      </w:pPr>
      <w:bookmarkStart w:id="219" w:name="_Ref453576611"/>
      <w:bookmarkStart w:id="220" w:name="_Toc457670714"/>
      <w:r w:rsidRPr="00420FD6">
        <w:t xml:space="preserve">Figure III. </w:t>
      </w:r>
      <w:r w:rsidR="00443010">
        <w:fldChar w:fldCharType="begin"/>
      </w:r>
      <w:r w:rsidR="00443010">
        <w:instrText xml:space="preserve"> STYLEREF 2 \s </w:instrText>
      </w:r>
      <w:r w:rsidR="00443010">
        <w:fldChar w:fldCharType="separate"/>
      </w:r>
      <w:r w:rsidR="000A0E3D">
        <w:rPr>
          <w:noProof/>
        </w:rPr>
        <w:t>2</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3</w:t>
      </w:r>
      <w:r w:rsidR="00443010">
        <w:rPr>
          <w:noProof/>
        </w:rPr>
        <w:fldChar w:fldCharType="end"/>
      </w:r>
      <w:bookmarkEnd w:id="219"/>
      <w:r w:rsidRPr="00420FD6">
        <w:t xml:space="preserve"> DODH/ Olefin Metathesis </w:t>
      </w:r>
      <w:r w:rsidR="00317102">
        <w:t>t</w:t>
      </w:r>
      <w:r w:rsidRPr="00420FD6">
        <w:t xml:space="preserve">andem </w:t>
      </w:r>
      <w:r w:rsidR="00317102">
        <w:t>c</w:t>
      </w:r>
      <w:r w:rsidRPr="00420FD6">
        <w:t>oncept</w:t>
      </w:r>
      <w:bookmarkEnd w:id="220"/>
    </w:p>
    <w:p w14:paraId="7B50B1EE" w14:textId="77777777" w:rsidR="00420FD6" w:rsidRPr="00420FD6" w:rsidRDefault="00420FD6" w:rsidP="00420FD6"/>
    <w:p w14:paraId="61C6E77A" w14:textId="77777777" w:rsidR="009726BC" w:rsidRPr="00E47369" w:rsidRDefault="009726BC" w:rsidP="004D1A6D">
      <w:pPr>
        <w:ind w:firstLine="360"/>
        <w:jc w:val="both"/>
        <w:rPr>
          <w:rFonts w:cstheme="minorHAnsi"/>
        </w:rPr>
      </w:pPr>
      <w:r w:rsidRPr="00E47369">
        <w:rPr>
          <w:rFonts w:cstheme="minorHAnsi"/>
        </w:rPr>
        <w:t>The great sensitivity of most metathesis catalysts towards hydroxylic compounds such as alcohols and water</w:t>
      </w:r>
      <w:r w:rsidRPr="00E47369">
        <w:rPr>
          <w:rFonts w:cstheme="minorHAnsi"/>
        </w:rPr>
        <w:fldChar w:fldCharType="begin"/>
      </w:r>
      <w:r w:rsidR="00E028D6">
        <w:rPr>
          <w:rFonts w:cstheme="minorHAnsi"/>
        </w:rPr>
        <w:instrText xml:space="preserve"> ADDIN ZOTERO_ITEM CSL_CITATION {"citationID":"e1jufffb4","properties":{"formattedCitation":"{\\rtf \\super 127\\nosupersub{}}","plainCitation":"127"},"citationItems":[{"id":1701,"uris":["http://zotero.org/users/1624234/items/4FJKC7HP"],"uri":["http://zotero.org/users/1624234/items/4FJKC7HP"],"itemData":{"id":1701,"type":"article-journal","title":"Highly Active Water-Soluble Olefin Metathesis Catalyst","container-title":"Journal of the American Chemical Society","page":"3508-3509","volume":"128","issue":"11","source":"ACS Publications","abstract":"A novel water-soluble ruthenium olefin metathesis catalyst supported by a poly(ethylene glycol) conjugated saturated 1,3-dimesityl-4,5-dihydroimidazol-2-ylidene ligand is reported. The catalyst displays improved activity in ring-opening metathesis polymerization, ring-closing metathesis, and cross-metathesis reactions in aqueous media.","DOI":"10.1021/ja058451c","ISSN":"0002-7863","journalAbbreviation":"J. Am. Chem. Soc.","author":[{"family":"Hong","given":"Soon Hyeok"},{"family":"Grubbs","given":"Robert H."}],"issued":{"date-parts":[["2006",3,1]]}}}],"schema":"https://github.com/citation-style-language/schema/raw/master/csl-citation.json"} </w:instrText>
      </w:r>
      <w:r w:rsidRPr="00E47369">
        <w:rPr>
          <w:rFonts w:cstheme="minorHAnsi"/>
        </w:rPr>
        <w:fldChar w:fldCharType="separate"/>
      </w:r>
      <w:r w:rsidR="00E028D6" w:rsidRPr="00E028D6">
        <w:rPr>
          <w:rFonts w:ascii="Times New Roman" w:hAnsi="Times New Roman"/>
          <w:vertAlign w:val="superscript"/>
        </w:rPr>
        <w:t>127</w:t>
      </w:r>
      <w:r w:rsidRPr="00E47369">
        <w:rPr>
          <w:rFonts w:cstheme="minorHAnsi"/>
        </w:rPr>
        <w:fldChar w:fldCharType="end"/>
      </w:r>
      <w:r w:rsidRPr="00E47369">
        <w:rPr>
          <w:rFonts w:cstheme="minorHAnsi"/>
        </w:rPr>
        <w:t xml:space="preserve"> makes a DODH-OM tandem reaction highly challenging. In this section we will describe how we chose a heterogeneous metathesis catalyst, CoOMoO</w:t>
      </w:r>
      <w:r w:rsidRPr="00E47369">
        <w:rPr>
          <w:rFonts w:cstheme="minorHAnsi"/>
          <w:vertAlign w:val="subscript"/>
        </w:rPr>
        <w:t>3</w:t>
      </w:r>
      <w:r w:rsidRPr="00E47369">
        <w:rPr>
          <w:rFonts w:cstheme="minorHAnsi"/>
        </w:rPr>
        <w:t>Al</w:t>
      </w:r>
      <w:r w:rsidRPr="00E47369">
        <w:rPr>
          <w:rFonts w:cstheme="minorHAnsi"/>
          <w:vertAlign w:val="subscript"/>
        </w:rPr>
        <w:t>2</w:t>
      </w:r>
      <w:r w:rsidRPr="00E47369">
        <w:rPr>
          <w:rFonts w:cstheme="minorHAnsi"/>
        </w:rPr>
        <w:t>O</w:t>
      </w:r>
      <w:r w:rsidRPr="00E47369">
        <w:rPr>
          <w:rFonts w:cstheme="minorHAnsi"/>
          <w:vertAlign w:val="subscript"/>
        </w:rPr>
        <w:t>3</w:t>
      </w:r>
      <w:r w:rsidRPr="00E47369">
        <w:rPr>
          <w:rFonts w:cstheme="minorHAnsi"/>
        </w:rPr>
        <w:t>, and tested its activity on simple alkenes in the presence of the various DODH reagents, catalyst and products. We found this metathesis catalyst to work on 1-hexene under the DODH reaction conditions, but the catalyst was deactivated by the presence of an alcohol and diol.</w:t>
      </w:r>
    </w:p>
    <w:p w14:paraId="26AB2271" w14:textId="77777777" w:rsidR="00003D5D" w:rsidRPr="00E47369" w:rsidRDefault="00003D5D" w:rsidP="00870A25">
      <w:pPr>
        <w:ind w:firstLine="720"/>
        <w:jc w:val="both"/>
        <w:rPr>
          <w:rFonts w:cstheme="minorHAnsi"/>
        </w:rPr>
      </w:pPr>
    </w:p>
    <w:p w14:paraId="0E550AD7" w14:textId="7878B644" w:rsidR="00870A25" w:rsidRPr="00E47369" w:rsidRDefault="00870A25" w:rsidP="000351A7">
      <w:pPr>
        <w:pStyle w:val="Heading3"/>
      </w:pPr>
      <w:bookmarkStart w:id="221" w:name="_Toc458938305"/>
      <w:r w:rsidRPr="00E47369">
        <w:t xml:space="preserve">Study of </w:t>
      </w:r>
      <w:r w:rsidR="00D717AF">
        <w:t>m</w:t>
      </w:r>
      <w:r w:rsidRPr="00E47369">
        <w:t>etathesis reaction under DODH reaction conditions using CoOMoO</w:t>
      </w:r>
      <w:r w:rsidRPr="00E47369">
        <w:rPr>
          <w:vertAlign w:val="subscript"/>
        </w:rPr>
        <w:t>3</w:t>
      </w:r>
      <w:r w:rsidRPr="00E47369">
        <w:t>Al</w:t>
      </w:r>
      <w:r w:rsidRPr="00E47369">
        <w:rPr>
          <w:vertAlign w:val="subscript"/>
        </w:rPr>
        <w:t>2</w:t>
      </w:r>
      <w:r w:rsidRPr="00E47369">
        <w:t>O</w:t>
      </w:r>
      <w:r w:rsidRPr="00E47369">
        <w:rPr>
          <w:vertAlign w:val="subscript"/>
        </w:rPr>
        <w:t>3</w:t>
      </w:r>
      <w:r w:rsidRPr="00E47369">
        <w:t xml:space="preserve"> as catalyst</w:t>
      </w:r>
      <w:bookmarkEnd w:id="221"/>
      <w:r w:rsidRPr="00E47369">
        <w:t xml:space="preserve"> </w:t>
      </w:r>
    </w:p>
    <w:p w14:paraId="6F8DA003" w14:textId="4EBB04C5" w:rsidR="00870A25" w:rsidRPr="00E47369" w:rsidRDefault="00870A25" w:rsidP="00C36752">
      <w:pPr>
        <w:pStyle w:val="Heading41"/>
        <w:numPr>
          <w:ilvl w:val="0"/>
          <w:numId w:val="18"/>
        </w:numPr>
        <w:rPr>
          <w:rFonts w:cstheme="minorHAnsi"/>
        </w:rPr>
      </w:pPr>
      <w:r w:rsidRPr="00E47369">
        <w:rPr>
          <w:rFonts w:cstheme="minorHAnsi"/>
        </w:rPr>
        <w:t xml:space="preserve">Study of the </w:t>
      </w:r>
      <w:r w:rsidR="00D717AF">
        <w:rPr>
          <w:rFonts w:cstheme="minorHAnsi"/>
        </w:rPr>
        <w:t>a</w:t>
      </w:r>
      <w:r w:rsidRPr="00E47369">
        <w:rPr>
          <w:rFonts w:cstheme="minorHAnsi"/>
        </w:rPr>
        <w:t xml:space="preserve">lkene </w:t>
      </w:r>
      <w:r w:rsidR="00D717AF">
        <w:rPr>
          <w:rFonts w:cstheme="minorHAnsi"/>
        </w:rPr>
        <w:t>m</w:t>
      </w:r>
      <w:r w:rsidRPr="00E47369">
        <w:rPr>
          <w:rFonts w:cstheme="minorHAnsi"/>
        </w:rPr>
        <w:t>etathesis step</w:t>
      </w:r>
    </w:p>
    <w:p w14:paraId="27407EFD" w14:textId="66DACB97" w:rsidR="00870A25" w:rsidRPr="00E47369" w:rsidRDefault="00870A25" w:rsidP="004D1A6D">
      <w:pPr>
        <w:ind w:firstLine="360"/>
        <w:jc w:val="both"/>
        <w:rPr>
          <w:rFonts w:cstheme="minorHAnsi"/>
        </w:rPr>
      </w:pPr>
      <w:r w:rsidRPr="00E47369">
        <w:rPr>
          <w:rFonts w:cstheme="minorHAnsi"/>
        </w:rPr>
        <w:t>From the large list of reported catalysts for the metathesis reaction we decided to study the heterogeneous CoOMoO</w:t>
      </w:r>
      <w:r w:rsidRPr="00E47369">
        <w:rPr>
          <w:rFonts w:cstheme="minorHAnsi"/>
          <w:vertAlign w:val="subscript"/>
        </w:rPr>
        <w:t>3</w:t>
      </w:r>
      <w:r w:rsidRPr="00E47369">
        <w:rPr>
          <w:rFonts w:cstheme="minorHAnsi"/>
        </w:rPr>
        <w:t>Al</w:t>
      </w:r>
      <w:r w:rsidRPr="00E47369">
        <w:rPr>
          <w:rFonts w:cstheme="minorHAnsi"/>
          <w:vertAlign w:val="subscript"/>
        </w:rPr>
        <w:t>2</w:t>
      </w:r>
      <w:r w:rsidRPr="00E47369">
        <w:rPr>
          <w:rFonts w:cstheme="minorHAnsi"/>
        </w:rPr>
        <w:t>O</w:t>
      </w:r>
      <w:r w:rsidRPr="00E47369">
        <w:rPr>
          <w:rFonts w:cstheme="minorHAnsi"/>
          <w:vertAlign w:val="subscript"/>
        </w:rPr>
        <w:t>3</w:t>
      </w:r>
      <w:r w:rsidRPr="00E47369">
        <w:rPr>
          <w:rFonts w:cstheme="minorHAnsi"/>
        </w:rPr>
        <w:t xml:space="preserve"> catalyst. Reported in 1966 by L. Turner on 1-butene this catalyst provided a distribution of isomer alkene products from C</w:t>
      </w:r>
      <w:r w:rsidRPr="00E47369">
        <w:rPr>
          <w:rFonts w:cstheme="minorHAnsi"/>
          <w:vertAlign w:val="subscript"/>
        </w:rPr>
        <w:t>2</w:t>
      </w:r>
      <w:r w:rsidRPr="00E47369">
        <w:rPr>
          <w:rFonts w:cstheme="minorHAnsi"/>
        </w:rPr>
        <w:t>H</w:t>
      </w:r>
      <w:r w:rsidRPr="00E47369">
        <w:rPr>
          <w:rFonts w:cstheme="minorHAnsi"/>
          <w:vertAlign w:val="subscript"/>
        </w:rPr>
        <w:t>4</w:t>
      </w:r>
      <w:r w:rsidRPr="00E47369">
        <w:rPr>
          <w:rFonts w:cstheme="minorHAnsi"/>
        </w:rPr>
        <w:t xml:space="preserve"> to C</w:t>
      </w:r>
      <w:r w:rsidRPr="00E47369">
        <w:rPr>
          <w:rFonts w:cstheme="minorHAnsi"/>
          <w:vertAlign w:val="subscript"/>
        </w:rPr>
        <w:t>6</w:t>
      </w:r>
      <w:r w:rsidRPr="00E47369">
        <w:rPr>
          <w:rFonts w:cstheme="minorHAnsi"/>
        </w:rPr>
        <w:t>H</w:t>
      </w:r>
      <w:r w:rsidRPr="00E47369">
        <w:rPr>
          <w:rFonts w:cstheme="minorHAnsi"/>
          <w:vertAlign w:val="subscript"/>
        </w:rPr>
        <w:t>12</w:t>
      </w:r>
      <w:r w:rsidRPr="00E47369">
        <w:rPr>
          <w:rFonts w:cstheme="minorHAnsi"/>
        </w:rPr>
        <w:t>.</w:t>
      </w:r>
      <w:r w:rsidRPr="00E47369">
        <w:rPr>
          <w:rFonts w:cstheme="minorHAnsi"/>
        </w:rPr>
        <w:fldChar w:fldCharType="begin"/>
      </w:r>
      <w:r w:rsidR="00E028D6">
        <w:rPr>
          <w:rFonts w:cstheme="minorHAnsi"/>
        </w:rPr>
        <w:instrText xml:space="preserve"> ADDIN ZOTERO_ITEM CSL_CITATION {"citationID":"1oh15s5bqk","properties":{"formattedCitation":"{\\rtf \\super 128\\nosupersub{}}","plainCitation":"128"},"citationItems":[{"id":1681,"uris":["http://zotero.org/users/1624234/items/JV7TCV2W"],"uri":["http://zotero.org/users/1624234/items/JV7TCV2W"],"itemData":{"id":1681,"type":"article-journal","title":"Olefin dismutation: Reactions of olefins on cobalt oxide-molybdenum oxide-alumina","container-title":"Journal of Catalysis","page":"269-276","volume":"7","issue":"3","source":"ScienceDirect","abstract":"A study of the conversion of n-butenes into olefins of lower and higher carbon number (“dismutation”) on catalysts containing cobalt, molybdenum, and aluminum oxides has shown that the product spectrum is markedly affected by doublebond isomerization which accompanies the dismutation, and that the reaction may be made highly selective for the production of either ethylene plus hexene-3, or propylene plus n-pentenes, by suitable choice of the reaction conditions or by poisoning the catalyst with controlled amounts of sodium ion.</w:instrText>
      </w:r>
      <w:r w:rsidR="00E028D6">
        <w:rPr>
          <w:rFonts w:ascii="Cambria Math" w:hAnsi="Cambria Math" w:cs="Cambria Math"/>
        </w:rPr>
        <w:instrText>∗∗</w:instrText>
      </w:r>
      <w:r w:rsidR="00E028D6">
        <w:rPr>
          <w:rFonts w:cstheme="minorHAnsi"/>
        </w:rPr>
        <w:instrText>British Patent applied for, 42700/64. The reaction has been shown to be reversible,</w:instrText>
      </w:r>
      <w:r w:rsidR="00E028D6">
        <w:rPr>
          <w:rFonts w:ascii="Times New Roman" w:hAnsi="Times New Roman"/>
        </w:rPr>
        <w:instrText>††</w:instrText>
      </w:r>
      <w:r w:rsidR="00E028D6">
        <w:rPr>
          <w:rFonts w:cstheme="minorHAnsi"/>
        </w:rPr>
        <w:instrText xml:space="preserve">British Patent applied for, 47053/64. e.g., ethylene and butene-2 react to give propylene with a selectivity of over 90%. The cleavage of internal olefins by ethylene to give 1-olefins of lower carbon number is a useful general reaction (“ethenolysis”). The results of this study of the dismutation of various olefins suggest that the reaction must proceed via a “quasi-cyclobutane” intermediate.","DOI":"10.1016/0021-9517(67)90105-4","ISSN":"0021-9517","shortTitle":"Olefin dismutation","journalAbbreviation":"Journal of Catalysis","author":[{"family":"Bradshaw","given":"C. P. C."},{"family":"Howman","given":"E. J."},{"family":"Turner","given":"L."}],"issued":{"date-parts":[["1967",3,1]]}}}],"schema":"https://github.com/citation-style-language/schema/raw/master/csl-citation.json"} </w:instrText>
      </w:r>
      <w:r w:rsidRPr="00E47369">
        <w:rPr>
          <w:rFonts w:cstheme="minorHAnsi"/>
        </w:rPr>
        <w:fldChar w:fldCharType="separate"/>
      </w:r>
      <w:r w:rsidR="00E028D6" w:rsidRPr="00E028D6">
        <w:rPr>
          <w:rFonts w:ascii="Times New Roman" w:hAnsi="Times New Roman"/>
          <w:vertAlign w:val="superscript"/>
        </w:rPr>
        <w:t>128</w:t>
      </w:r>
      <w:r w:rsidRPr="00E47369">
        <w:rPr>
          <w:rFonts w:cstheme="minorHAnsi"/>
        </w:rPr>
        <w:fldChar w:fldCharType="end"/>
      </w:r>
      <w:r w:rsidRPr="00E47369">
        <w:rPr>
          <w:rFonts w:cstheme="minorHAnsi"/>
        </w:rPr>
        <w:t xml:space="preserve"> The reported reactions conditions for this metathesis reaction </w:t>
      </w:r>
      <w:r w:rsidR="006A4506">
        <w:rPr>
          <w:rFonts w:cstheme="minorHAnsi"/>
        </w:rPr>
        <w:t>system are high temperature</w:t>
      </w:r>
      <w:r w:rsidRPr="00E47369">
        <w:rPr>
          <w:rFonts w:cstheme="minorHAnsi"/>
        </w:rPr>
        <w:t xml:space="preserve"> from 150</w:t>
      </w:r>
      <w:r w:rsidRPr="00E47369">
        <w:rPr>
          <w:rFonts w:cstheme="minorHAnsi"/>
          <w:vertAlign w:val="superscript"/>
        </w:rPr>
        <w:t>o</w:t>
      </w:r>
      <w:r w:rsidRPr="00E47369">
        <w:rPr>
          <w:rFonts w:cstheme="minorHAnsi"/>
        </w:rPr>
        <w:t>C up to 245</w:t>
      </w:r>
      <w:r w:rsidRPr="00E47369">
        <w:rPr>
          <w:rFonts w:cstheme="minorHAnsi"/>
          <w:vertAlign w:val="superscript"/>
        </w:rPr>
        <w:t>o</w:t>
      </w:r>
      <w:r w:rsidRPr="00E47369">
        <w:rPr>
          <w:rFonts w:cstheme="minorHAnsi"/>
        </w:rPr>
        <w:t xml:space="preserve">C. </w:t>
      </w:r>
      <w:r w:rsidR="006A4506">
        <w:rPr>
          <w:rFonts w:cstheme="minorHAnsi"/>
        </w:rPr>
        <w:t>The distribution of products</w:t>
      </w:r>
      <w:r w:rsidRPr="00E47369">
        <w:rPr>
          <w:rFonts w:cstheme="minorHAnsi"/>
        </w:rPr>
        <w:t xml:space="preserve"> </w:t>
      </w:r>
      <w:r w:rsidR="006A4506">
        <w:rPr>
          <w:rFonts w:cstheme="minorHAnsi"/>
        </w:rPr>
        <w:t>depends on</w:t>
      </w:r>
      <w:r w:rsidRPr="00E47369">
        <w:rPr>
          <w:rFonts w:cstheme="minorHAnsi"/>
        </w:rPr>
        <w:t xml:space="preserve"> the reaction temperature. </w:t>
      </w:r>
      <w:r w:rsidR="006A4506">
        <w:rPr>
          <w:rFonts w:cstheme="minorHAnsi"/>
        </w:rPr>
        <w:t xml:space="preserve">In order to have an </w:t>
      </w:r>
      <w:r w:rsidRPr="00E47369">
        <w:rPr>
          <w:rFonts w:cstheme="minorHAnsi"/>
        </w:rPr>
        <w:t xml:space="preserve">appropriate temperature for the DODH reaction and an optimum temperature for high carbon </w:t>
      </w:r>
      <w:r w:rsidR="006A4506">
        <w:rPr>
          <w:rFonts w:cstheme="minorHAnsi"/>
        </w:rPr>
        <w:t>contain</w:t>
      </w:r>
      <w:r w:rsidRPr="00E47369">
        <w:rPr>
          <w:rFonts w:cstheme="minorHAnsi"/>
        </w:rPr>
        <w:t xml:space="preserve"> </w:t>
      </w:r>
      <w:r w:rsidR="006A4506" w:rsidRPr="00E47369">
        <w:rPr>
          <w:rFonts w:cstheme="minorHAnsi"/>
        </w:rPr>
        <w:t xml:space="preserve">metathesis products </w:t>
      </w:r>
      <w:r w:rsidR="006A4506">
        <w:rPr>
          <w:rFonts w:cstheme="minorHAnsi"/>
        </w:rPr>
        <w:t>distribution</w:t>
      </w:r>
      <w:r w:rsidRPr="00E47369">
        <w:rPr>
          <w:rFonts w:cstheme="minorHAnsi"/>
        </w:rPr>
        <w:t xml:space="preserve"> </w:t>
      </w:r>
      <w:r w:rsidR="006A4506">
        <w:rPr>
          <w:rFonts w:cstheme="minorHAnsi"/>
        </w:rPr>
        <w:t>w</w:t>
      </w:r>
      <w:r w:rsidR="006A4506" w:rsidRPr="00E47369">
        <w:rPr>
          <w:rFonts w:cstheme="minorHAnsi"/>
        </w:rPr>
        <w:t>e decided to run our reactions at 170</w:t>
      </w:r>
      <w:r w:rsidR="006A4506" w:rsidRPr="00E47369">
        <w:rPr>
          <w:rFonts w:cstheme="minorHAnsi"/>
          <w:vertAlign w:val="superscript"/>
        </w:rPr>
        <w:t>o</w:t>
      </w:r>
      <w:r w:rsidR="006A4506" w:rsidRPr="00E47369">
        <w:rPr>
          <w:rFonts w:cstheme="minorHAnsi"/>
        </w:rPr>
        <w:t>C</w:t>
      </w:r>
      <w:r w:rsidRPr="00E47369">
        <w:rPr>
          <w:rFonts w:cstheme="minorHAnsi"/>
        </w:rPr>
        <w:t>. We choose this metathesis system due to its simplicity, commercial availability, its stability in the air and because we thought that as a heterogeneous catalyst it would hav</w:t>
      </w:r>
      <w:r w:rsidR="006A4506">
        <w:rPr>
          <w:rFonts w:cstheme="minorHAnsi"/>
        </w:rPr>
        <w:t>e less potential for deactivation</w:t>
      </w:r>
      <w:r w:rsidRPr="00E47369">
        <w:rPr>
          <w:rFonts w:cstheme="minorHAnsi"/>
        </w:rPr>
        <w:t xml:space="preserve"> with the soluble reagents and DODH catalyst. Also we planned to test it as a DODH catalyst since few molybdenum-oxo complexes have been reported for the DODH reaction.</w:t>
      </w:r>
      <w:r w:rsidRPr="00E47369">
        <w:rPr>
          <w:rFonts w:cstheme="minorHAnsi"/>
        </w:rPr>
        <w:fldChar w:fldCharType="begin"/>
      </w:r>
      <w:r w:rsidR="00E6777E" w:rsidRPr="00E47369">
        <w:rPr>
          <w:rFonts w:cstheme="minorHAnsi"/>
        </w:rPr>
        <w:instrText xml:space="preserve"> ADDIN ZOTERO_ITEM CSL_CITATION {"citationID":"1pllmkh8gd","properties":{"formattedCitation":"{\\rtf \\super 57,60\\nosupersub{}}","plainCitation":"57,60"},"citationItems":[{"id":1552,"uris":["http://zotero.org/users/1624234/items/ZSV4XVTR"],"uri":["http://zotero.org/users/1624234/items/ZSV4XVTR"],"itemData":{"id":1552,"type":"article-journal","title":"Molybdenum-Catalyzed Conversion of Diols and Biomass-Derived Polyols to Alkenes Using Isopropyl Alcohol as Reductant and Solvent","container-title":"ACS Catalysis","page":"3638-3647","volume":"5","issue":"6","source":"ACS Publications","abstract":"Chemical processes capable of reducing the high oxygen content of biomass-derived polyols are in demand in order to produce renewable substitutes for chemicals of fossil origin. Deoxydehydration (DODH) is an attractive reaction that in a single step transforms a vicinal diol into an alkene, but the reaction requires a homogeneous catalyst, a reductant, and a solvent, which are typically expensive, unsustainable, or inefficient. Herein, we present the use of molybdenum(VI)-based compounds, in particular the cheap and commercially available (NH4)6Mo7O24·4H2O, as catalysts for the DODH of vicinal diols in isopropyl alcohol (iPrOH), which serves as both the solvent and reductant. The reaction proceeds at 240?250 °C in a pressurized autoclave, and the alkene yield from simple aliphatic diols can be as high as 77%. The major byproducts are carbonyl compounds?formed by dehydration of the diol?and the alcohols formed by transfer hydrogenation of the carbonyl compounds; the total yield of reduced species (i.e., alkene and alcohols) can be as high as 92%. The DODH of glycerol yields allyl alcohol, which undergoes subsequent Mo-catalyzed deoxygenation to propylene driven by the oxidation of iPrOH; a major byproduct is the homocoupled product 1,5-hexadiene. Further insight in this Mo-catalyzed deoxygenation is gained by an investigation of model compounds: The allylic alcohol 1-hexen-3-ol is deoxygenated to hexene isomers in a yield of 65%, while benzyl alcohol is deoxygenated to toluene in a yield of 93%. The DODH of erythritol yields 39% 2,5-dihydrofuran, while the DODH of the proposed intermediate 1,4-anhydroerythritol yields 75%. The mechanism of the DODH of 1,4-anhydroerythritol was investigated by means of density functional theory (DFT), and the rate-determining step (24.1 kcal/mol) was found to be reduction of a molybdenum(VI) diolate to a molybdenum(IV) diolate.","DOI":"10.1021/acscatal.5b00427","journalAbbreviation":"ACS Catal.","author":[{"family":"Dethlefsen","given":"Johannes R."},{"family":"Lupp","given":"Daniel"},{"family":"Teshome","given":"Ayele"},{"family":"Nielsen","given":"Lasse B."},{"family":"Fristrup","given":"Peter"}],"issued":{"date-parts":[["2015",6,5]]}}},{"id":151,"uris":["http://zotero.org/users/1624234/items/9KPTDUW8"],"uri":["http://zotero.org/users/1624234/items/9KPTDUW8"],"itemData":{"id":151,"type":"article-journal","title":"Molybdenum-Catalyzed Deoxydehydration of Vicinal Diols","container-title":"ChemSusChem","page":"425-428","volume":"7","issue":"2","source":"Wiley Online Library","abstract":"The commercially available (NH4)6Mo7O24 and other molybdenum compounds are shown to be viable substitutes for the typically employed rhenium compounds in the catalytic deoxydehydration of aliphatic diols into the corresponding alkenes. The transformation, which represents a model system for the various hydroxyl groups found in biomass-derived carbohydrates, can be conducted in an inert solvent (dodecane), under solvent-free conditions, and in a solvent capable of dissolving biomass-derived polyols (1,5-pentanediol). The reaction is driven by the simultaneous oxidative deformylation of the diol resulting in an overall disproportionation of the substrate.","DOI":"10.1002/cssc.201300945","ISSN":"1864-564X","journalAbbreviation":"ChemSusChem","language":"en","author":[{"family":"Dethlefsen","given":"Johannes R."},{"family":"Lupp","given":"Daniel"},{"family":"Oh","given":"Byung-Chang"},{"family":"Fristrup","given":"Peter"}],"issued":{"date-parts":[["2014"]],"season":"février"}}}],"schema":"https://github.com/citation-style-language/schema/raw/master/csl-citation.json"} </w:instrText>
      </w:r>
      <w:r w:rsidRPr="00E47369">
        <w:rPr>
          <w:rFonts w:cstheme="minorHAnsi"/>
        </w:rPr>
        <w:fldChar w:fldCharType="separate"/>
      </w:r>
      <w:r w:rsidR="00E6777E" w:rsidRPr="00E47369">
        <w:rPr>
          <w:rFonts w:cstheme="minorHAnsi"/>
          <w:vertAlign w:val="superscript"/>
        </w:rPr>
        <w:t>57,60</w:t>
      </w:r>
      <w:r w:rsidRPr="00E47369">
        <w:rPr>
          <w:rFonts w:cstheme="minorHAnsi"/>
        </w:rPr>
        <w:fldChar w:fldCharType="end"/>
      </w:r>
      <w:r w:rsidRPr="00E47369">
        <w:rPr>
          <w:rFonts w:cstheme="minorHAnsi"/>
        </w:rPr>
        <w:t xml:space="preserve"> Finally this catalyst is very inexpensive compare</w:t>
      </w:r>
      <w:r w:rsidR="006A4506">
        <w:rPr>
          <w:rFonts w:cstheme="minorHAnsi"/>
        </w:rPr>
        <w:t>d</w:t>
      </w:r>
      <w:r w:rsidRPr="00E47369">
        <w:rPr>
          <w:rFonts w:cstheme="minorHAnsi"/>
        </w:rPr>
        <w:t xml:space="preserve"> the ruthenium Grubbs catalyst and does not involve any phosphine ligands. Phosphine</w:t>
      </w:r>
      <w:r w:rsidR="0073539D">
        <w:rPr>
          <w:rFonts w:cstheme="minorHAnsi"/>
        </w:rPr>
        <w:t>s</w:t>
      </w:r>
      <w:r w:rsidRPr="00E47369">
        <w:rPr>
          <w:rFonts w:cstheme="minorHAnsi"/>
        </w:rPr>
        <w:t xml:space="preserve"> are good reducing </w:t>
      </w:r>
      <w:r w:rsidR="00D438A8">
        <w:rPr>
          <w:rFonts w:cstheme="minorHAnsi"/>
        </w:rPr>
        <w:t>agent</w:t>
      </w:r>
      <w:r w:rsidR="0073539D">
        <w:rPr>
          <w:rFonts w:cstheme="minorHAnsi"/>
        </w:rPr>
        <w:t>s</w:t>
      </w:r>
      <w:r w:rsidR="00D438A8">
        <w:rPr>
          <w:rFonts w:cstheme="minorHAnsi"/>
        </w:rPr>
        <w:t xml:space="preserve"> for the DODH reaction</w:t>
      </w:r>
      <w:r w:rsidRPr="00E47369">
        <w:rPr>
          <w:rFonts w:cstheme="minorHAnsi"/>
        </w:rPr>
        <w:t xml:space="preserve">. </w:t>
      </w:r>
      <w:r w:rsidR="00D438A8">
        <w:rPr>
          <w:rFonts w:cstheme="minorHAnsi"/>
        </w:rPr>
        <w:t>Because p</w:t>
      </w:r>
      <w:r w:rsidRPr="00E47369">
        <w:rPr>
          <w:rFonts w:cstheme="minorHAnsi"/>
        </w:rPr>
        <w:t xml:space="preserve">hosphines are usually expensive and phosphine oxide is a toxic </w:t>
      </w:r>
      <w:r w:rsidR="00D438A8">
        <w:rPr>
          <w:rFonts w:cstheme="minorHAnsi"/>
        </w:rPr>
        <w:t>byproduct</w:t>
      </w:r>
      <w:r w:rsidRPr="00E47369">
        <w:rPr>
          <w:rFonts w:cstheme="minorHAnsi"/>
        </w:rPr>
        <w:t xml:space="preserve"> we try to stay away from phosphine as reducing agent. In the case of a metathesis catalyst with a phosphine ligand the DODH </w:t>
      </w:r>
      <w:r w:rsidR="00D438A8">
        <w:rPr>
          <w:rFonts w:cstheme="minorHAnsi"/>
        </w:rPr>
        <w:t xml:space="preserve">catalyst could </w:t>
      </w:r>
      <w:r w:rsidRPr="00E47369">
        <w:rPr>
          <w:rFonts w:cstheme="minorHAnsi"/>
        </w:rPr>
        <w:t>r</w:t>
      </w:r>
      <w:r w:rsidR="00D438A8">
        <w:rPr>
          <w:rFonts w:cstheme="minorHAnsi"/>
        </w:rPr>
        <w:t>e</w:t>
      </w:r>
      <w:r w:rsidRPr="00E47369">
        <w:rPr>
          <w:rFonts w:cstheme="minorHAnsi"/>
        </w:rPr>
        <w:t xml:space="preserve">act with this ligand deactivating the catalyst or making the need for added phosphine in the system to keep the catalyst active. </w:t>
      </w:r>
    </w:p>
    <w:p w14:paraId="705478F6" w14:textId="77777777" w:rsidR="00870A25" w:rsidRPr="00E47369" w:rsidRDefault="00870A25" w:rsidP="004D1A6D">
      <w:pPr>
        <w:ind w:firstLine="360"/>
        <w:jc w:val="both"/>
        <w:rPr>
          <w:rFonts w:cstheme="minorHAnsi"/>
        </w:rPr>
      </w:pPr>
      <w:r w:rsidRPr="00E47369">
        <w:rPr>
          <w:rFonts w:cstheme="minorHAnsi"/>
        </w:rPr>
        <w:t>After activating the catalyst in a tube furnace in Dr. Resasco’s CBME laboratory, we started this study by conducting the metathesis reactions on 1-hexene and styrene using 20 mol% in MoO</w:t>
      </w:r>
      <w:r w:rsidRPr="00E47369">
        <w:rPr>
          <w:rFonts w:cstheme="minorHAnsi"/>
          <w:vertAlign w:val="subscript"/>
        </w:rPr>
        <w:t>3</w:t>
      </w:r>
      <w:r w:rsidRPr="00E47369">
        <w:rPr>
          <w:rFonts w:cstheme="minorHAnsi"/>
        </w:rPr>
        <w:t xml:space="preserve"> of the catalyst (</w:t>
      </w:r>
      <w:r w:rsidR="00E6777E" w:rsidRPr="00E47369">
        <w:rPr>
          <w:rFonts w:cstheme="minorHAnsi"/>
        </w:rPr>
        <w:fldChar w:fldCharType="begin"/>
      </w:r>
      <w:r w:rsidR="00E6777E" w:rsidRPr="00E47369">
        <w:rPr>
          <w:rFonts w:cstheme="minorHAnsi"/>
        </w:rPr>
        <w:instrText xml:space="preserve"> REF _Ref453585213 \h </w:instrText>
      </w:r>
      <w:r w:rsidR="00E47369">
        <w:rPr>
          <w:rFonts w:cstheme="minorHAnsi"/>
        </w:rPr>
        <w:instrText xml:space="preserve"> \* MERGEFORMAT </w:instrText>
      </w:r>
      <w:r w:rsidR="00E6777E" w:rsidRPr="00E47369">
        <w:rPr>
          <w:rFonts w:cstheme="minorHAnsi"/>
        </w:rPr>
      </w:r>
      <w:r w:rsidR="00E6777E" w:rsidRPr="00E47369">
        <w:rPr>
          <w:rFonts w:cstheme="minorHAnsi"/>
        </w:rPr>
        <w:fldChar w:fldCharType="separate"/>
      </w:r>
      <w:r w:rsidR="000A0E3D" w:rsidRPr="000A0E3D">
        <w:rPr>
          <w:rFonts w:cstheme="minorHAnsi"/>
        </w:rPr>
        <w:t xml:space="preserve">Figure III. </w:t>
      </w:r>
      <w:r w:rsidR="000A0E3D" w:rsidRPr="000A0E3D">
        <w:rPr>
          <w:rFonts w:cstheme="minorHAnsi"/>
          <w:noProof/>
        </w:rPr>
        <w:t>2.4</w:t>
      </w:r>
      <w:r w:rsidR="00E6777E" w:rsidRPr="00E47369">
        <w:rPr>
          <w:rFonts w:cstheme="minorHAnsi"/>
        </w:rPr>
        <w:fldChar w:fldCharType="end"/>
      </w:r>
      <w:r w:rsidRPr="00E47369">
        <w:rPr>
          <w:rFonts w:cstheme="minorHAnsi"/>
        </w:rPr>
        <w:t xml:space="preserve">) at 170 </w:t>
      </w:r>
      <w:r w:rsidRPr="00E47369">
        <w:rPr>
          <w:rFonts w:cstheme="minorHAnsi"/>
          <w:vertAlign w:val="superscript"/>
        </w:rPr>
        <w:t>o</w:t>
      </w:r>
      <w:r w:rsidRPr="00E47369">
        <w:rPr>
          <w:rFonts w:cstheme="minorHAnsi"/>
        </w:rPr>
        <w:t>C. The GC and NMR analysis of these reactions showed some high molecular weight internal alkene product</w:t>
      </w:r>
      <w:r w:rsidR="00D438A8">
        <w:rPr>
          <w:rFonts w:cstheme="minorHAnsi"/>
        </w:rPr>
        <w:t>s</w:t>
      </w:r>
      <w:r w:rsidRPr="00E47369">
        <w:rPr>
          <w:rFonts w:cstheme="minorHAnsi"/>
        </w:rPr>
        <w:t xml:space="preserve"> showing h</w:t>
      </w:r>
      <w:r w:rsidR="00D438A8">
        <w:rPr>
          <w:rFonts w:cstheme="minorHAnsi"/>
        </w:rPr>
        <w:t>igh</w:t>
      </w:r>
      <w:r w:rsidRPr="00E47369">
        <w:rPr>
          <w:rFonts w:cstheme="minorHAnsi"/>
        </w:rPr>
        <w:t xml:space="preserve"> GC retention time</w:t>
      </w:r>
      <w:r w:rsidR="00D438A8">
        <w:rPr>
          <w:rFonts w:cstheme="minorHAnsi"/>
        </w:rPr>
        <w:t>s</w:t>
      </w:r>
      <w:r w:rsidRPr="00E47369">
        <w:rPr>
          <w:rFonts w:cstheme="minorHAnsi"/>
        </w:rPr>
        <w:t xml:space="preserve"> as major product along with internal alkene proton pattern around 6ppm </w:t>
      </w:r>
      <w:r w:rsidR="00D438A8">
        <w:rPr>
          <w:rFonts w:cstheme="minorHAnsi"/>
        </w:rPr>
        <w:t>in</w:t>
      </w:r>
      <w:r w:rsidRPr="00E47369">
        <w:rPr>
          <w:rFonts w:cstheme="minorHAnsi"/>
        </w:rPr>
        <w:t xml:space="preserve"> the NMR</w:t>
      </w:r>
      <w:r w:rsidR="00D438A8">
        <w:rPr>
          <w:rFonts w:cstheme="minorHAnsi"/>
        </w:rPr>
        <w:t xml:space="preserve"> spectrum</w:t>
      </w:r>
      <w:r w:rsidRPr="00E47369">
        <w:rPr>
          <w:rFonts w:cstheme="minorHAnsi"/>
        </w:rPr>
        <w:t xml:space="preserve">. In the case of 1-hexene we detected at least two major products, but could not determine the exact length of the carbon chain. In the case of styrene no isomerization of the starting material or product can occur and we could detect both the cis and trans metathesis product, stilbene. </w:t>
      </w:r>
    </w:p>
    <w:p w14:paraId="73B17963" w14:textId="77777777" w:rsidR="00E6777E" w:rsidRPr="00E47369" w:rsidRDefault="00870A25" w:rsidP="00E6777E">
      <w:pPr>
        <w:keepNext/>
        <w:jc w:val="center"/>
        <w:rPr>
          <w:rFonts w:cstheme="minorHAnsi"/>
        </w:rPr>
      </w:pPr>
      <w:r w:rsidRPr="00E47369">
        <w:rPr>
          <w:rFonts w:cstheme="minorHAnsi"/>
        </w:rPr>
        <w:object w:dxaOrig="4699" w:dyaOrig="967" w14:anchorId="04D31FF5">
          <v:shape id="_x0000_i1088" type="#_x0000_t75" style="width:236.55pt;height:46.7pt" o:ole="">
            <v:imagedata r:id="rId176" o:title=""/>
          </v:shape>
          <o:OLEObject Type="Embed" ProgID="ChemDraw.Document.6.0" ShapeID="_x0000_i1088" DrawAspect="Content" ObjectID="_1532784942" r:id="rId177"/>
        </w:object>
      </w:r>
    </w:p>
    <w:p w14:paraId="7A8ACD43" w14:textId="77777777" w:rsidR="00870A25" w:rsidRPr="00420FD6" w:rsidRDefault="00E6777E" w:rsidP="00420FD6">
      <w:pPr>
        <w:pStyle w:val="Caption"/>
      </w:pPr>
      <w:bookmarkStart w:id="222" w:name="_Ref453585213"/>
      <w:bookmarkStart w:id="223" w:name="_Toc457670715"/>
      <w:r w:rsidRPr="00420FD6">
        <w:t xml:space="preserve">Figure III. </w:t>
      </w:r>
      <w:r w:rsidR="00443010">
        <w:fldChar w:fldCharType="begin"/>
      </w:r>
      <w:r w:rsidR="00443010">
        <w:instrText xml:space="preserve"> STYLEREF 2 \s </w:instrText>
      </w:r>
      <w:r w:rsidR="00443010">
        <w:fldChar w:fldCharType="separate"/>
      </w:r>
      <w:r w:rsidR="000A0E3D">
        <w:rPr>
          <w:noProof/>
        </w:rPr>
        <w:t>2</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4</w:t>
      </w:r>
      <w:r w:rsidR="00443010">
        <w:rPr>
          <w:noProof/>
        </w:rPr>
        <w:fldChar w:fldCharType="end"/>
      </w:r>
      <w:bookmarkEnd w:id="222"/>
      <w:r w:rsidRPr="00420FD6">
        <w:t xml:space="preserve"> </w:t>
      </w:r>
      <w:r w:rsidR="00870A25" w:rsidRPr="00420FD6">
        <w:t>Study of the metathesis reaction</w:t>
      </w:r>
      <w:bookmarkEnd w:id="223"/>
    </w:p>
    <w:p w14:paraId="39F17EBF" w14:textId="77777777" w:rsidR="00A25FD4" w:rsidRPr="00E47369" w:rsidRDefault="00A25FD4" w:rsidP="00A25FD4">
      <w:pPr>
        <w:rPr>
          <w:rFonts w:cstheme="minorHAnsi"/>
        </w:rPr>
      </w:pPr>
    </w:p>
    <w:p w14:paraId="00984586" w14:textId="77777777" w:rsidR="00E6777E" w:rsidRPr="00E47369" w:rsidRDefault="00870A25" w:rsidP="001C4EB8">
      <w:pPr>
        <w:ind w:firstLine="360"/>
        <w:jc w:val="both"/>
        <w:rPr>
          <w:rFonts w:cstheme="minorHAnsi"/>
        </w:rPr>
      </w:pPr>
      <w:r w:rsidRPr="00E47369">
        <w:rPr>
          <w:rFonts w:cstheme="minorHAnsi"/>
        </w:rPr>
        <w:t>Having shown that the metathesis reaction works under the tested conditions, we then proceeded to add the reagents required for the DODH reaction. Since we were considering the use of benzyl alcohol</w:t>
      </w:r>
      <w:r w:rsidRPr="00E47369">
        <w:rPr>
          <w:rFonts w:cstheme="minorHAnsi"/>
        </w:rPr>
        <w:fldChar w:fldCharType="begin"/>
      </w:r>
      <w:r w:rsidR="00E6777E" w:rsidRPr="00E47369">
        <w:rPr>
          <w:rFonts w:cstheme="minorHAnsi"/>
        </w:rPr>
        <w:instrText xml:space="preserve"> ADDIN ZOTERO_ITEM CSL_CITATION {"citationID":"1cv1b9aipp","properties":{"formattedCitation":"{\\rtf \\super 46\\nosupersub{}}","plainCitation":"46"},"citationItems":[{"id":435,"uris":["http://zotero.org/users/1624234/items/VS4SE8DS"],"uri":["http://zotero.org/users/1624234/items/VS4SE8DS"],"itemData":{"id":435,"type":"article-journal","title":"Catalytic Deoxydehydration of Glycols with Alcohol Reductants","container-title":"ChemSusChem","page":"597-599","volume":"6","issue":"4","source":"CrossRef","DOI":"10.1002/cssc.201200781","ISSN":"18645631","author":[{"family":"Boucher-Jacobs","given":"Camille"},{"family":"Nicholas","given":"Kenneth M."}],"issued":{"date-parts":[["2013",4]]}}}],"schema":"https://github.com/citation-style-language/schema/raw/master/csl-citation.json"} </w:instrText>
      </w:r>
      <w:r w:rsidRPr="00E47369">
        <w:rPr>
          <w:rFonts w:cstheme="minorHAnsi"/>
        </w:rPr>
        <w:fldChar w:fldCharType="separate"/>
      </w:r>
      <w:r w:rsidR="00E6777E" w:rsidRPr="00E47369">
        <w:rPr>
          <w:rFonts w:cstheme="minorHAnsi"/>
          <w:vertAlign w:val="superscript"/>
        </w:rPr>
        <w:t>46</w:t>
      </w:r>
      <w:r w:rsidRPr="00E47369">
        <w:rPr>
          <w:rFonts w:cstheme="minorHAnsi"/>
        </w:rPr>
        <w:fldChar w:fldCharType="end"/>
      </w:r>
      <w:r w:rsidRPr="00E47369">
        <w:rPr>
          <w:rFonts w:cstheme="minorHAnsi"/>
        </w:rPr>
        <w:t xml:space="preserve"> as reductant for the DODH reaction of 1,2-hexanediol, we ran metathesis reactions as described in </w:t>
      </w:r>
      <w:r w:rsidR="00810326">
        <w:rPr>
          <w:rFonts w:cstheme="minorHAnsi"/>
        </w:rPr>
        <w:fldChar w:fldCharType="begin"/>
      </w:r>
      <w:r w:rsidR="00810326">
        <w:rPr>
          <w:rFonts w:cstheme="minorHAnsi"/>
        </w:rPr>
        <w:instrText xml:space="preserve"> REF _Ref453585213 \h </w:instrText>
      </w:r>
      <w:r w:rsidR="00810326">
        <w:rPr>
          <w:rFonts w:cstheme="minorHAnsi"/>
        </w:rPr>
      </w:r>
      <w:r w:rsidR="00810326">
        <w:rPr>
          <w:rFonts w:cstheme="minorHAnsi"/>
        </w:rPr>
        <w:fldChar w:fldCharType="separate"/>
      </w:r>
      <w:r w:rsidR="000A0E3D" w:rsidRPr="00420FD6">
        <w:t xml:space="preserve">Figure III. </w:t>
      </w:r>
      <w:r w:rsidR="000A0E3D">
        <w:rPr>
          <w:noProof/>
        </w:rPr>
        <w:t>2</w:t>
      </w:r>
      <w:r w:rsidR="000A0E3D">
        <w:t>.</w:t>
      </w:r>
      <w:r w:rsidR="000A0E3D">
        <w:rPr>
          <w:noProof/>
        </w:rPr>
        <w:t>4</w:t>
      </w:r>
      <w:r w:rsidR="00810326">
        <w:rPr>
          <w:rFonts w:cstheme="minorHAnsi"/>
        </w:rPr>
        <w:fldChar w:fldCharType="end"/>
      </w:r>
      <w:r w:rsidRPr="00E47369">
        <w:rPr>
          <w:rFonts w:cstheme="minorHAnsi"/>
        </w:rPr>
        <w:t xml:space="preserve"> with added 1,2-hexanediol, benzyl alcohol, benzaldehyde or water (</w:t>
      </w:r>
      <w:r w:rsidR="00E6777E" w:rsidRPr="00E47369">
        <w:rPr>
          <w:rFonts w:cstheme="minorHAnsi"/>
        </w:rPr>
        <w:fldChar w:fldCharType="begin"/>
      </w:r>
      <w:r w:rsidR="00E6777E" w:rsidRPr="00E47369">
        <w:rPr>
          <w:rFonts w:cstheme="minorHAnsi"/>
        </w:rPr>
        <w:instrText xml:space="preserve"> REF _Ref453585305 \h </w:instrText>
      </w:r>
      <w:r w:rsidR="00A25FD4" w:rsidRPr="00E47369">
        <w:rPr>
          <w:rFonts w:cstheme="minorHAnsi"/>
        </w:rPr>
        <w:instrText xml:space="preserve"> \* MERGEFORMAT </w:instrText>
      </w:r>
      <w:r w:rsidR="00E6777E" w:rsidRPr="00E47369">
        <w:rPr>
          <w:rFonts w:cstheme="minorHAnsi"/>
        </w:rPr>
      </w:r>
      <w:r w:rsidR="00E6777E" w:rsidRPr="00E47369">
        <w:rPr>
          <w:rFonts w:cstheme="minorHAnsi"/>
        </w:rPr>
        <w:fldChar w:fldCharType="separate"/>
      </w:r>
      <w:r w:rsidR="000A0E3D" w:rsidRPr="000A0E3D">
        <w:rPr>
          <w:rFonts w:cstheme="minorHAnsi"/>
        </w:rPr>
        <w:t>Figure III</w:t>
      </w:r>
      <w:r w:rsidR="000A0E3D" w:rsidRPr="000A0E3D">
        <w:rPr>
          <w:rFonts w:cstheme="minorHAnsi"/>
          <w:noProof/>
        </w:rPr>
        <w:t>.</w:t>
      </w:r>
      <w:r w:rsidR="000A0E3D" w:rsidRPr="00420FD6">
        <w:rPr>
          <w:noProof/>
        </w:rPr>
        <w:t xml:space="preserve"> </w:t>
      </w:r>
      <w:r w:rsidR="000A0E3D">
        <w:rPr>
          <w:noProof/>
        </w:rPr>
        <w:t>2.5</w:t>
      </w:r>
      <w:r w:rsidR="00E6777E" w:rsidRPr="00E47369">
        <w:rPr>
          <w:rFonts w:cstheme="minorHAnsi"/>
        </w:rPr>
        <w:fldChar w:fldCharType="end"/>
      </w:r>
      <w:r w:rsidRPr="00E47369">
        <w:rPr>
          <w:rFonts w:cstheme="minorHAnsi"/>
        </w:rPr>
        <w:t xml:space="preserve">). In each of these cases the metathesis </w:t>
      </w:r>
      <w:r w:rsidR="00D438A8">
        <w:rPr>
          <w:rFonts w:cstheme="minorHAnsi"/>
        </w:rPr>
        <w:t xml:space="preserve">reaction </w:t>
      </w:r>
      <w:r w:rsidRPr="00E47369">
        <w:rPr>
          <w:rFonts w:cstheme="minorHAnsi"/>
        </w:rPr>
        <w:t>did not take place showing the sensitivity of the catalyst toward hydroxylic compounds. For the specific case of water, a co-product of the DODH reaction, we found that the addition of powdered 4Å molecular sieves could limit the deactivation of the catalyst by water. In the case of reducing agent we can solve the incompatibility of benzyl alcohol with the catalyst by replacing it wi</w:t>
      </w:r>
      <w:r w:rsidR="00D438A8">
        <w:rPr>
          <w:rFonts w:cstheme="minorHAnsi"/>
        </w:rPr>
        <w:t>th any other one reported</w:t>
      </w:r>
      <w:r w:rsidRPr="00E47369">
        <w:rPr>
          <w:rFonts w:cstheme="minorHAnsi"/>
        </w:rPr>
        <w:t xml:space="preserve"> for the DODH reaction.</w:t>
      </w:r>
      <w:r w:rsidRPr="00E47369">
        <w:rPr>
          <w:rFonts w:cstheme="minorHAnsi"/>
        </w:rPr>
        <w:fldChar w:fldCharType="begin"/>
      </w:r>
      <w:r w:rsidR="00E6777E" w:rsidRPr="00E47369">
        <w:rPr>
          <w:rFonts w:cstheme="minorHAnsi"/>
        </w:rPr>
        <w:instrText xml:space="preserve"> ADDIN ZOTERO_ITEM CSL_CITATION {"citationID":"1t6cr27kk1","properties":{"formattedCitation":"{\\rtf \\super 15\\nosupersub{}}","plainCitation":"15"},"citationItems":[{"id":71,"uris":["http://zotero.org/users/1624234/items/5JCZJKF9"],"uri":["http://zotero.org/users/1624234/items/5JCZJKF9"],"itemData":{"id":71,"type":"chapter","title":"Deoxydehydration of Polyols","container-title":"Selective Catalysis for Renewable Feedstocks and Chemicals","collection-title":"Topics in Current Chemistry","collection-number":"353","publisher":"Springer International Publishing","page":"163-184","source":"link.springer.com","abstract":"The development of sustainable chemical processes for the conversion of highly oxygenated biomass feedstocks to chemical products requires efficient and selective processes for partial oxygen removal and refunctionalization. Here we review the development of the deoxydehydration (DODH) reaction, which converts vicinal diols (glycols) to olefins. Uncatalyzed deoxygenative eliminations were first established. The catalyzed DODH reactions have largely employed oxo-rhenium catalysts and a variety of reductants, including PR3, dihydrogen, sulfite, and alcohols. A variety of glycol and biomass-derived polyol substrates undergo the DODH reaction in moderate to good efficiency, regioselectively, and stereoselectively. Observations regarding selectivity, mechanistic probes, and computational studies support the general operation of a catalytic process involving three basic stages: glycol condensation to an M-glycolate, reduction of the oxo-metal, glycol condensation to produce a metal-glycolate, and alkene extrusion from the reduced metal-glycolate. Recent practical developments include the discovery of non-precious V- and Mo-oxo DODH catalysis.","URL":"http://link.springer.com/chapter/10.1007/128_2014_537","ISBN":"978-3-319-08653-8","language":"en","author":[{"family":"Boucher-Jacobs","given":"Camille"},{"family":"Nicholas","given":"Kenneth M."}],"editor":[{"family":"Nicholas","given":"Kenneth M."}],"issued":{"date-parts":[["2014",1,1]]},"accessed":{"date-parts":[["2014",10,31]]}}}],"schema":"https://github.com/citation-style-language/schema/raw/master/csl-citation.json"} </w:instrText>
      </w:r>
      <w:r w:rsidRPr="00E47369">
        <w:rPr>
          <w:rFonts w:cstheme="minorHAnsi"/>
        </w:rPr>
        <w:fldChar w:fldCharType="separate"/>
      </w:r>
      <w:r w:rsidR="00E6777E" w:rsidRPr="00E47369">
        <w:rPr>
          <w:rFonts w:cstheme="minorHAnsi"/>
          <w:vertAlign w:val="superscript"/>
        </w:rPr>
        <w:t>15</w:t>
      </w:r>
      <w:r w:rsidRPr="00E47369">
        <w:rPr>
          <w:rFonts w:cstheme="minorHAnsi"/>
        </w:rPr>
        <w:fldChar w:fldCharType="end"/>
      </w:r>
      <w:r w:rsidRPr="00E47369">
        <w:rPr>
          <w:rFonts w:cstheme="minorHAnsi"/>
        </w:rPr>
        <w:t xml:space="preserve"> We found the metathesis reaction to tolerate tetrahydronaphthalene and naphthalene. This hydrogen donor was previously found to be a good reducing agent for the DODH of aliphatic terminal diols (Chapter </w:t>
      </w:r>
      <w:r w:rsidR="003852D0">
        <w:rPr>
          <w:rFonts w:cstheme="minorHAnsi"/>
        </w:rPr>
        <w:t>II</w:t>
      </w:r>
      <w:r w:rsidRPr="00E47369">
        <w:rPr>
          <w:rFonts w:cstheme="minorHAnsi"/>
        </w:rPr>
        <w:t>).</w:t>
      </w:r>
      <w:r w:rsidRPr="00E47369">
        <w:rPr>
          <w:rFonts w:cstheme="minorHAnsi"/>
        </w:rPr>
        <w:fldChar w:fldCharType="begin"/>
      </w:r>
      <w:r w:rsidR="00E6777E" w:rsidRPr="00E47369">
        <w:rPr>
          <w:rFonts w:cstheme="minorHAnsi"/>
        </w:rPr>
        <w:instrText xml:space="preserve"> ADDIN ZOTERO_ITEM CSL_CITATION {"citationID":"1jhud2eahd","properties":{"formattedCitation":"{\\rtf \\super 52,83\\nosupersub{}}","plainCitation":"52,83"},"citationItems":[{"id":234,"uris":["http://zotero.org/users/1624234/items/FZ9PG7TS"],"uri":["http://zotero.org/users/1624234/items/FZ9PG7TS"],"itemData":{"id":234,"type":"article-journal","title":"Deoxydehydration of Glycols Catalyzed by Carbon-Supported Perrhenate","container-title":"ChemCatChem","page":"3567-3570","volume":"5","issue":"12","source":"Wiley Online Library","DOI":"10.1002/cctc.201300545","ISSN":"1867-3899","journalAbbreviation":"ChemCatChem","language":"en","author":[{"family":"Denning","given":"Alana L."},{"family":"Dang","given":"Huong"},{"family":"Liu","given":"Zhimin"},{"family":"Nicholas","given":"Kenneth M."},{"family":"Jentoft","given":"Friederike C."}],"issued":{"date-parts":[["2013"]]}}},{"id":1671,"uris":["http://zotero.org/users/1624234/items/BTSVQIK3"],"uri":["http://zotero.org/users/1624234/items/BTSVQIK3"],"itemData":{"id":1671,"type":"article-journal","title":"Oxo-Rhenium-Catalyzed Deoxydehydration of Polyols with Hydroaromatic Reductants","container-title":"Organometallics","page":"1985-1990","volume":"34","issue":"10","source":"ACS Publications","abstract":"Several dihydroaromatic compounds are shown to be effective reducing agents in the oxo-metal-catalyzed deoxydehydration of diols and polyols to produce olefins and the corresponding arenes. NH4ReO4 and MeReO3 are active catalysts for the reactions. The most effective of the hydroaromatic reductants is indoline, which is oxidized to indole. Yields for a variety of diols and polyols range from 35% to 99%. Two hydrogen donors, 1,3-cyclohexadiene and dihydroanthracene, engage in tandem DODH/cycloaddition reactions. Competition experiments show that indoline is more reactive than representative alcohols in H-transfer. Indoline is shown to reduce MeReO3 to MeReO2 via an isolable adduct, MeReO3(indoline) (4), which has been structurally characterized and is suggested to be an intermediate in the catalytic DODH process.","DOI":"10.1021/acs.organomet.5b00226","ISSN":"0276-7333","journalAbbreviation":"Organometallics","author":[{"family":"Boucher-Jacobs","given":"Camille"},{"family":"Nicholas","given":"Kenneth M."}],"issued":{"date-parts":[["2015",5,26]]}}}],"schema":"https://github.com/citation-style-language/schema/raw/master/csl-citation.json"} </w:instrText>
      </w:r>
      <w:r w:rsidRPr="00E47369">
        <w:rPr>
          <w:rFonts w:cstheme="minorHAnsi"/>
        </w:rPr>
        <w:fldChar w:fldCharType="separate"/>
      </w:r>
      <w:r w:rsidR="00E6777E" w:rsidRPr="00E47369">
        <w:rPr>
          <w:rFonts w:cstheme="minorHAnsi"/>
          <w:vertAlign w:val="superscript"/>
        </w:rPr>
        <w:t>52,83</w:t>
      </w:r>
      <w:r w:rsidRPr="00E47369">
        <w:rPr>
          <w:rFonts w:cstheme="minorHAnsi"/>
        </w:rPr>
        <w:fldChar w:fldCharType="end"/>
      </w:r>
      <w:r w:rsidRPr="00E47369">
        <w:rPr>
          <w:rFonts w:cstheme="minorHAnsi"/>
        </w:rPr>
        <w:t xml:space="preserve"> Also known as an efficient DODH reducing agent, sodium sulfite</w:t>
      </w:r>
      <w:r w:rsidRPr="00E47369">
        <w:rPr>
          <w:rFonts w:cstheme="minorHAnsi"/>
        </w:rPr>
        <w:fldChar w:fldCharType="begin"/>
      </w:r>
      <w:r w:rsidR="00E6777E" w:rsidRPr="00E47369">
        <w:rPr>
          <w:rFonts w:cstheme="minorHAnsi"/>
        </w:rPr>
        <w:instrText xml:space="preserve"> ADDIN ZOTERO_ITEM CSL_CITATION {"citationID":"2hep4ckhbn","properties":{"formattedCitation":"{\\rtf \\super 35\\nosupersub{}}","plainCitation":"35"},"citationItems":[{"id":360,"uris":["http://zotero.org/users/1624234/items/Q5NZBIZJ"],"uri":["http://zotero.org/users/1624234/items/Q5NZBIZJ"],"itemData":{"id":360,"type":"article-journal","title":"Sulfite-Driven, Oxorhenium-Catalyzed Deoxydehydration of Glycols","container-title":"Organometallics","page":"2810-2818","volume":"30","issue":"10","source":"CrossRef","DOI":"10.1021/om2001662","ISSN":"0276-7333, 1520-6041","author":[{"family":"Ahmad","given":"Irshad"},{"family":"Chapman","given":"Garry"},{"family":"Nicholas","given":"Kenneth M."}],"issued":{"date-parts":[["2011",5,23]]}}}],"schema":"https://github.com/citation-style-language/schema/raw/master/csl-citation.json"} </w:instrText>
      </w:r>
      <w:r w:rsidRPr="00E47369">
        <w:rPr>
          <w:rFonts w:cstheme="minorHAnsi"/>
        </w:rPr>
        <w:fldChar w:fldCharType="separate"/>
      </w:r>
      <w:r w:rsidR="00E6777E" w:rsidRPr="00E47369">
        <w:rPr>
          <w:rFonts w:cstheme="minorHAnsi"/>
          <w:vertAlign w:val="superscript"/>
        </w:rPr>
        <w:t>35</w:t>
      </w:r>
      <w:r w:rsidRPr="00E47369">
        <w:rPr>
          <w:rFonts w:cstheme="minorHAnsi"/>
        </w:rPr>
        <w:fldChar w:fldCharType="end"/>
      </w:r>
      <w:r w:rsidRPr="00E47369">
        <w:rPr>
          <w:rFonts w:cstheme="minorHAnsi"/>
        </w:rPr>
        <w:t xml:space="preserve"> and its oxidized product sodium sulfate were also found to be tolerated by the metathesis catalyst. In the case of sulfite as reducing agent 15</w:t>
      </w:r>
      <w:r w:rsidR="00D438A8">
        <w:rPr>
          <w:rFonts w:cstheme="minorHAnsi"/>
        </w:rPr>
        <w:t>-</w:t>
      </w:r>
      <w:r w:rsidRPr="00E47369">
        <w:rPr>
          <w:rFonts w:cstheme="minorHAnsi"/>
        </w:rPr>
        <w:t>crown</w:t>
      </w:r>
      <w:r w:rsidR="00D438A8">
        <w:rPr>
          <w:rFonts w:cstheme="minorHAnsi"/>
        </w:rPr>
        <w:t>-</w:t>
      </w:r>
      <w:r w:rsidRPr="00E47369">
        <w:rPr>
          <w:rFonts w:cstheme="minorHAnsi"/>
        </w:rPr>
        <w:t xml:space="preserve">5 ether can be added to help </w:t>
      </w:r>
      <w:r w:rsidR="00D438A8">
        <w:rPr>
          <w:rFonts w:cstheme="minorHAnsi"/>
        </w:rPr>
        <w:t>its</w:t>
      </w:r>
      <w:r w:rsidRPr="00E47369">
        <w:rPr>
          <w:rFonts w:cstheme="minorHAnsi"/>
        </w:rPr>
        <w:t xml:space="preserve"> solubility and reactivity </w:t>
      </w:r>
      <w:r w:rsidR="00D438A8">
        <w:rPr>
          <w:rFonts w:cstheme="minorHAnsi"/>
        </w:rPr>
        <w:t xml:space="preserve">as </w:t>
      </w:r>
      <w:r w:rsidRPr="00E47369">
        <w:rPr>
          <w:rFonts w:cstheme="minorHAnsi"/>
        </w:rPr>
        <w:t>reducing agent. In consequence we also tested the compatibility of the crown ether with the metathesis reaction and found it incompatible. The incompatibility of the metathesis catalyst with the starting dio</w:t>
      </w:r>
      <w:r w:rsidR="001C4EB8">
        <w:rPr>
          <w:rFonts w:cstheme="minorHAnsi"/>
        </w:rPr>
        <w:t xml:space="preserve">l is more difficult to bypass. </w:t>
      </w:r>
    </w:p>
    <w:tbl>
      <w:tblPr>
        <w:tblStyle w:val="TableGrid"/>
        <w:tblpPr w:leftFromText="180" w:rightFromText="180" w:vertAnchor="text" w:horzAnchor="page" w:tblpX="8022" w:tblpY="98"/>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48"/>
        <w:gridCol w:w="504"/>
        <w:gridCol w:w="146"/>
      </w:tblGrid>
      <w:tr w:rsidR="00E6777E" w:rsidRPr="00E47369" w14:paraId="34642461" w14:textId="77777777" w:rsidTr="001C4EB8">
        <w:trPr>
          <w:gridAfter w:val="1"/>
          <w:wAfter w:w="146" w:type="dxa"/>
          <w:trHeight w:val="626"/>
        </w:trPr>
        <w:tc>
          <w:tcPr>
            <w:tcW w:w="1152" w:type="dxa"/>
            <w:gridSpan w:val="2"/>
            <w:vAlign w:val="center"/>
          </w:tcPr>
          <w:p w14:paraId="6CAFDAE0" w14:textId="77777777" w:rsidR="00E6777E" w:rsidRPr="00E47369" w:rsidRDefault="00E6777E" w:rsidP="001C4EB8">
            <w:pPr>
              <w:spacing w:line="240" w:lineRule="auto"/>
              <w:jc w:val="center"/>
              <w:rPr>
                <w:rFonts w:cstheme="minorHAnsi"/>
                <w:b/>
                <w:sz w:val="18"/>
              </w:rPr>
            </w:pPr>
            <w:r w:rsidRPr="00E47369">
              <w:rPr>
                <w:rFonts w:cstheme="minorHAnsi"/>
                <w:b/>
                <w:sz w:val="18"/>
              </w:rPr>
              <w:t>Compatible</w:t>
            </w:r>
          </w:p>
          <w:p w14:paraId="316CC23B" w14:textId="77777777" w:rsidR="00E6777E" w:rsidRPr="00E47369" w:rsidRDefault="00E6777E" w:rsidP="001C4EB8">
            <w:pPr>
              <w:spacing w:line="240" w:lineRule="auto"/>
              <w:jc w:val="center"/>
              <w:rPr>
                <w:rFonts w:cstheme="minorHAnsi"/>
                <w:sz w:val="18"/>
              </w:rPr>
            </w:pPr>
            <w:r w:rsidRPr="00E47369">
              <w:rPr>
                <w:rFonts w:cstheme="minorHAnsi"/>
                <w:sz w:val="18"/>
              </w:rPr>
              <w:t>Yes</w:t>
            </w:r>
            <w:r w:rsidR="001C4EB8">
              <w:rPr>
                <w:rFonts w:cstheme="minorHAnsi"/>
                <w:sz w:val="18"/>
              </w:rPr>
              <w:t xml:space="preserve">   </w:t>
            </w:r>
            <w:r w:rsidRPr="00E47369">
              <w:rPr>
                <w:rFonts w:cstheme="minorHAnsi"/>
                <w:sz w:val="18"/>
              </w:rPr>
              <w:t xml:space="preserve">      No</w:t>
            </w:r>
          </w:p>
        </w:tc>
      </w:tr>
      <w:tr w:rsidR="00E6777E" w:rsidRPr="00E47369" w14:paraId="6135F150" w14:textId="77777777" w:rsidTr="001C4EB8">
        <w:trPr>
          <w:trHeight w:val="317"/>
        </w:trPr>
        <w:tc>
          <w:tcPr>
            <w:tcW w:w="648" w:type="dxa"/>
            <w:tcBorders>
              <w:top w:val="single" w:sz="12" w:space="0" w:color="auto"/>
              <w:bottom w:val="single" w:sz="2" w:space="0" w:color="A6A6A6" w:themeColor="background1" w:themeShade="A6"/>
              <w:right w:val="nil"/>
            </w:tcBorders>
            <w:vAlign w:val="center"/>
          </w:tcPr>
          <w:p w14:paraId="00D47A01" w14:textId="77777777" w:rsidR="00E6777E" w:rsidRPr="00E47369" w:rsidRDefault="00E6777E" w:rsidP="001C4EB8">
            <w:pPr>
              <w:jc w:val="center"/>
              <w:rPr>
                <w:rFonts w:cstheme="minorHAnsi"/>
                <w:b/>
                <w:sz w:val="18"/>
              </w:rPr>
            </w:pPr>
          </w:p>
        </w:tc>
        <w:tc>
          <w:tcPr>
            <w:tcW w:w="650" w:type="dxa"/>
            <w:gridSpan w:val="2"/>
            <w:tcBorders>
              <w:top w:val="single" w:sz="12" w:space="0" w:color="auto"/>
              <w:left w:val="nil"/>
              <w:bottom w:val="single" w:sz="2" w:space="0" w:color="A6A6A6" w:themeColor="background1" w:themeShade="A6"/>
            </w:tcBorders>
            <w:vAlign w:val="center"/>
          </w:tcPr>
          <w:p w14:paraId="725926E4" w14:textId="77777777" w:rsidR="00E6777E" w:rsidRPr="00E47369" w:rsidRDefault="00E6777E" w:rsidP="001C4EB8">
            <w:pPr>
              <w:jc w:val="center"/>
              <w:rPr>
                <w:rFonts w:cstheme="minorHAnsi"/>
                <w:b/>
                <w:sz w:val="18"/>
              </w:rPr>
            </w:pPr>
            <w:r w:rsidRPr="00E47369">
              <w:rPr>
                <w:rFonts w:cstheme="minorHAnsi"/>
                <w:b/>
                <w:sz w:val="18"/>
              </w:rPr>
              <w:t>X</w:t>
            </w:r>
          </w:p>
        </w:tc>
      </w:tr>
      <w:tr w:rsidR="00E6777E" w:rsidRPr="00E47369" w14:paraId="0B08C70A" w14:textId="77777777" w:rsidTr="001C4EB8">
        <w:trPr>
          <w:trHeight w:val="549"/>
        </w:trPr>
        <w:tc>
          <w:tcPr>
            <w:tcW w:w="648" w:type="dxa"/>
            <w:tcBorders>
              <w:top w:val="single" w:sz="2" w:space="0" w:color="A6A6A6" w:themeColor="background1" w:themeShade="A6"/>
              <w:bottom w:val="single" w:sz="2" w:space="0" w:color="A6A6A6" w:themeColor="background1" w:themeShade="A6"/>
              <w:right w:val="nil"/>
            </w:tcBorders>
            <w:vAlign w:val="center"/>
          </w:tcPr>
          <w:p w14:paraId="6D77726F" w14:textId="77777777" w:rsidR="00E6777E" w:rsidRPr="00E47369" w:rsidRDefault="00E6777E" w:rsidP="001C4EB8">
            <w:pPr>
              <w:jc w:val="center"/>
              <w:rPr>
                <w:rFonts w:cstheme="minorHAnsi"/>
                <w:b/>
                <w:sz w:val="18"/>
              </w:rPr>
            </w:pPr>
          </w:p>
        </w:tc>
        <w:tc>
          <w:tcPr>
            <w:tcW w:w="650" w:type="dxa"/>
            <w:gridSpan w:val="2"/>
            <w:tcBorders>
              <w:top w:val="single" w:sz="2" w:space="0" w:color="A6A6A6" w:themeColor="background1" w:themeShade="A6"/>
              <w:left w:val="nil"/>
              <w:bottom w:val="single" w:sz="2" w:space="0" w:color="A6A6A6" w:themeColor="background1" w:themeShade="A6"/>
            </w:tcBorders>
            <w:vAlign w:val="center"/>
          </w:tcPr>
          <w:p w14:paraId="1A6E0D81" w14:textId="77777777" w:rsidR="00E6777E" w:rsidRPr="00E47369" w:rsidRDefault="00E6777E" w:rsidP="001C4EB8">
            <w:pPr>
              <w:jc w:val="center"/>
              <w:rPr>
                <w:rFonts w:cstheme="minorHAnsi"/>
                <w:b/>
                <w:sz w:val="18"/>
              </w:rPr>
            </w:pPr>
            <w:r w:rsidRPr="00E47369">
              <w:rPr>
                <w:rFonts w:cstheme="minorHAnsi"/>
                <w:b/>
                <w:sz w:val="18"/>
              </w:rPr>
              <w:t>X</w:t>
            </w:r>
          </w:p>
        </w:tc>
      </w:tr>
      <w:tr w:rsidR="00E6777E" w:rsidRPr="00E47369" w14:paraId="4DC1C9C9" w14:textId="77777777" w:rsidTr="001C4EB8">
        <w:trPr>
          <w:trHeight w:val="891"/>
        </w:trPr>
        <w:tc>
          <w:tcPr>
            <w:tcW w:w="648" w:type="dxa"/>
            <w:tcBorders>
              <w:top w:val="single" w:sz="2" w:space="0" w:color="A6A6A6" w:themeColor="background1" w:themeShade="A6"/>
              <w:bottom w:val="single" w:sz="2" w:space="0" w:color="A6A6A6" w:themeColor="background1" w:themeShade="A6"/>
              <w:right w:val="nil"/>
            </w:tcBorders>
            <w:vAlign w:val="center"/>
          </w:tcPr>
          <w:p w14:paraId="6AC86E72" w14:textId="77777777" w:rsidR="00E6777E" w:rsidRPr="00E47369" w:rsidRDefault="00E6777E" w:rsidP="001C4EB8">
            <w:pPr>
              <w:jc w:val="center"/>
              <w:rPr>
                <w:rFonts w:cstheme="minorHAnsi"/>
                <w:b/>
                <w:sz w:val="18"/>
              </w:rPr>
            </w:pPr>
            <w:r w:rsidRPr="00E47369">
              <w:rPr>
                <w:rFonts w:cstheme="minorHAnsi"/>
                <w:b/>
                <w:sz w:val="18"/>
              </w:rPr>
              <w:t>X</w:t>
            </w:r>
          </w:p>
        </w:tc>
        <w:tc>
          <w:tcPr>
            <w:tcW w:w="650" w:type="dxa"/>
            <w:gridSpan w:val="2"/>
            <w:tcBorders>
              <w:top w:val="single" w:sz="2" w:space="0" w:color="A6A6A6" w:themeColor="background1" w:themeShade="A6"/>
              <w:left w:val="nil"/>
              <w:bottom w:val="single" w:sz="2" w:space="0" w:color="A6A6A6" w:themeColor="background1" w:themeShade="A6"/>
            </w:tcBorders>
            <w:vAlign w:val="center"/>
          </w:tcPr>
          <w:p w14:paraId="264204E0" w14:textId="77777777" w:rsidR="00E6777E" w:rsidRPr="00E47369" w:rsidRDefault="00E6777E" w:rsidP="001C4EB8">
            <w:pPr>
              <w:jc w:val="center"/>
              <w:rPr>
                <w:rFonts w:cstheme="minorHAnsi"/>
                <w:b/>
                <w:sz w:val="18"/>
              </w:rPr>
            </w:pPr>
          </w:p>
        </w:tc>
      </w:tr>
      <w:tr w:rsidR="00E6777E" w:rsidRPr="00E47369" w14:paraId="306CF5AF" w14:textId="77777777" w:rsidTr="001C4EB8">
        <w:trPr>
          <w:trHeight w:val="720"/>
        </w:trPr>
        <w:tc>
          <w:tcPr>
            <w:tcW w:w="648" w:type="dxa"/>
            <w:tcBorders>
              <w:top w:val="single" w:sz="2" w:space="0" w:color="A6A6A6" w:themeColor="background1" w:themeShade="A6"/>
              <w:bottom w:val="single" w:sz="2" w:space="0" w:color="A6A6A6" w:themeColor="background1" w:themeShade="A6"/>
              <w:right w:val="nil"/>
            </w:tcBorders>
            <w:vAlign w:val="center"/>
          </w:tcPr>
          <w:p w14:paraId="1E66F7A4" w14:textId="77777777" w:rsidR="00E6777E" w:rsidRPr="00E47369" w:rsidRDefault="00E6777E" w:rsidP="001C4EB8">
            <w:pPr>
              <w:jc w:val="center"/>
              <w:rPr>
                <w:rFonts w:cstheme="minorHAnsi"/>
                <w:b/>
                <w:sz w:val="18"/>
              </w:rPr>
            </w:pPr>
            <w:r w:rsidRPr="00E47369">
              <w:rPr>
                <w:rFonts w:cstheme="minorHAnsi"/>
                <w:b/>
                <w:sz w:val="18"/>
              </w:rPr>
              <w:t>X</w:t>
            </w:r>
          </w:p>
        </w:tc>
        <w:tc>
          <w:tcPr>
            <w:tcW w:w="650" w:type="dxa"/>
            <w:gridSpan w:val="2"/>
            <w:tcBorders>
              <w:top w:val="single" w:sz="2" w:space="0" w:color="A6A6A6" w:themeColor="background1" w:themeShade="A6"/>
              <w:left w:val="nil"/>
              <w:bottom w:val="single" w:sz="2" w:space="0" w:color="A6A6A6" w:themeColor="background1" w:themeShade="A6"/>
            </w:tcBorders>
            <w:vAlign w:val="center"/>
          </w:tcPr>
          <w:p w14:paraId="6F371D53" w14:textId="77777777" w:rsidR="00E6777E" w:rsidRPr="00E47369" w:rsidRDefault="00E6777E" w:rsidP="001C4EB8">
            <w:pPr>
              <w:jc w:val="center"/>
              <w:rPr>
                <w:rFonts w:cstheme="minorHAnsi"/>
                <w:b/>
                <w:sz w:val="18"/>
              </w:rPr>
            </w:pPr>
          </w:p>
        </w:tc>
      </w:tr>
      <w:tr w:rsidR="00E6777E" w:rsidRPr="00E47369" w14:paraId="700FAC38" w14:textId="77777777" w:rsidTr="001C4EB8">
        <w:trPr>
          <w:trHeight w:val="891"/>
        </w:trPr>
        <w:tc>
          <w:tcPr>
            <w:tcW w:w="648" w:type="dxa"/>
            <w:tcBorders>
              <w:top w:val="single" w:sz="2" w:space="0" w:color="A6A6A6" w:themeColor="background1" w:themeShade="A6"/>
              <w:bottom w:val="single" w:sz="2" w:space="0" w:color="A6A6A6" w:themeColor="background1" w:themeShade="A6"/>
              <w:right w:val="nil"/>
            </w:tcBorders>
            <w:vAlign w:val="center"/>
          </w:tcPr>
          <w:p w14:paraId="5F1A1037" w14:textId="77777777" w:rsidR="00E6777E" w:rsidRPr="00E47369" w:rsidRDefault="00E6777E" w:rsidP="001C4EB8">
            <w:pPr>
              <w:jc w:val="center"/>
              <w:rPr>
                <w:rFonts w:cstheme="minorHAnsi"/>
                <w:b/>
                <w:sz w:val="18"/>
              </w:rPr>
            </w:pPr>
          </w:p>
        </w:tc>
        <w:tc>
          <w:tcPr>
            <w:tcW w:w="650" w:type="dxa"/>
            <w:gridSpan w:val="2"/>
            <w:tcBorders>
              <w:top w:val="single" w:sz="2" w:space="0" w:color="A6A6A6" w:themeColor="background1" w:themeShade="A6"/>
              <w:left w:val="nil"/>
              <w:bottom w:val="single" w:sz="2" w:space="0" w:color="A6A6A6" w:themeColor="background1" w:themeShade="A6"/>
            </w:tcBorders>
            <w:vAlign w:val="center"/>
          </w:tcPr>
          <w:p w14:paraId="05ECFF6D" w14:textId="77777777" w:rsidR="00E6777E" w:rsidRPr="00E47369" w:rsidRDefault="00E6777E" w:rsidP="001C4EB8">
            <w:pPr>
              <w:jc w:val="center"/>
              <w:rPr>
                <w:rFonts w:cstheme="minorHAnsi"/>
                <w:b/>
                <w:sz w:val="18"/>
              </w:rPr>
            </w:pPr>
            <w:r w:rsidRPr="00E47369">
              <w:rPr>
                <w:rFonts w:cstheme="minorHAnsi"/>
                <w:b/>
                <w:sz w:val="18"/>
              </w:rPr>
              <w:t>X</w:t>
            </w:r>
          </w:p>
        </w:tc>
      </w:tr>
      <w:tr w:rsidR="00E6777E" w:rsidRPr="00E47369" w14:paraId="032C1061" w14:textId="77777777" w:rsidTr="001C4EB8">
        <w:trPr>
          <w:trHeight w:val="810"/>
        </w:trPr>
        <w:tc>
          <w:tcPr>
            <w:tcW w:w="648" w:type="dxa"/>
            <w:tcBorders>
              <w:top w:val="single" w:sz="2" w:space="0" w:color="A6A6A6" w:themeColor="background1" w:themeShade="A6"/>
              <w:bottom w:val="single" w:sz="2" w:space="0" w:color="A6A6A6" w:themeColor="background1" w:themeShade="A6"/>
              <w:right w:val="nil"/>
            </w:tcBorders>
            <w:vAlign w:val="center"/>
          </w:tcPr>
          <w:p w14:paraId="244EE651" w14:textId="77777777" w:rsidR="00E6777E" w:rsidRPr="00E47369" w:rsidRDefault="00E6777E" w:rsidP="001C4EB8">
            <w:pPr>
              <w:jc w:val="center"/>
              <w:rPr>
                <w:rFonts w:cstheme="minorHAnsi"/>
                <w:b/>
                <w:sz w:val="18"/>
              </w:rPr>
            </w:pPr>
          </w:p>
        </w:tc>
        <w:tc>
          <w:tcPr>
            <w:tcW w:w="650" w:type="dxa"/>
            <w:gridSpan w:val="2"/>
            <w:tcBorders>
              <w:top w:val="single" w:sz="2" w:space="0" w:color="A6A6A6" w:themeColor="background1" w:themeShade="A6"/>
              <w:left w:val="nil"/>
              <w:bottom w:val="single" w:sz="2" w:space="0" w:color="A6A6A6" w:themeColor="background1" w:themeShade="A6"/>
            </w:tcBorders>
            <w:vAlign w:val="center"/>
          </w:tcPr>
          <w:p w14:paraId="01E68294" w14:textId="77777777" w:rsidR="00E6777E" w:rsidRPr="00E47369" w:rsidRDefault="00E6777E" w:rsidP="001C4EB8">
            <w:pPr>
              <w:jc w:val="center"/>
              <w:rPr>
                <w:rFonts w:cstheme="minorHAnsi"/>
                <w:b/>
                <w:sz w:val="18"/>
              </w:rPr>
            </w:pPr>
            <w:r w:rsidRPr="00E47369">
              <w:rPr>
                <w:rFonts w:cstheme="minorHAnsi"/>
                <w:b/>
                <w:sz w:val="18"/>
              </w:rPr>
              <w:t>X</w:t>
            </w:r>
          </w:p>
        </w:tc>
      </w:tr>
      <w:tr w:rsidR="00E6777E" w:rsidRPr="00E47369" w14:paraId="5CA510B3" w14:textId="77777777" w:rsidTr="001C4EB8">
        <w:trPr>
          <w:trHeight w:val="691"/>
        </w:trPr>
        <w:tc>
          <w:tcPr>
            <w:tcW w:w="648" w:type="dxa"/>
            <w:tcBorders>
              <w:top w:val="single" w:sz="2" w:space="0" w:color="A6A6A6" w:themeColor="background1" w:themeShade="A6"/>
              <w:bottom w:val="single" w:sz="2" w:space="0" w:color="A6A6A6" w:themeColor="background1" w:themeShade="A6"/>
              <w:right w:val="nil"/>
            </w:tcBorders>
            <w:vAlign w:val="center"/>
          </w:tcPr>
          <w:p w14:paraId="4C7D1DF3" w14:textId="77777777" w:rsidR="00E6777E" w:rsidRPr="00E47369" w:rsidRDefault="00E6777E" w:rsidP="001C4EB8">
            <w:pPr>
              <w:jc w:val="center"/>
              <w:rPr>
                <w:rFonts w:cstheme="minorHAnsi"/>
                <w:b/>
                <w:sz w:val="18"/>
              </w:rPr>
            </w:pPr>
            <w:r w:rsidRPr="00E47369">
              <w:rPr>
                <w:rFonts w:cstheme="minorHAnsi"/>
                <w:b/>
                <w:sz w:val="18"/>
              </w:rPr>
              <w:t>X</w:t>
            </w:r>
          </w:p>
        </w:tc>
        <w:tc>
          <w:tcPr>
            <w:tcW w:w="650" w:type="dxa"/>
            <w:gridSpan w:val="2"/>
            <w:tcBorders>
              <w:top w:val="single" w:sz="2" w:space="0" w:color="A6A6A6" w:themeColor="background1" w:themeShade="A6"/>
              <w:left w:val="nil"/>
              <w:bottom w:val="single" w:sz="2" w:space="0" w:color="A6A6A6" w:themeColor="background1" w:themeShade="A6"/>
            </w:tcBorders>
            <w:vAlign w:val="center"/>
          </w:tcPr>
          <w:p w14:paraId="76F2D367" w14:textId="77777777" w:rsidR="00E6777E" w:rsidRPr="00E47369" w:rsidRDefault="00E6777E" w:rsidP="001C4EB8">
            <w:pPr>
              <w:jc w:val="center"/>
              <w:rPr>
                <w:rFonts w:cstheme="minorHAnsi"/>
                <w:b/>
                <w:sz w:val="18"/>
              </w:rPr>
            </w:pPr>
          </w:p>
        </w:tc>
      </w:tr>
      <w:tr w:rsidR="00E6777E" w:rsidRPr="00E47369" w14:paraId="339324B0" w14:textId="77777777" w:rsidTr="001C4EB8">
        <w:trPr>
          <w:trHeight w:val="691"/>
        </w:trPr>
        <w:tc>
          <w:tcPr>
            <w:tcW w:w="648" w:type="dxa"/>
            <w:tcBorders>
              <w:top w:val="single" w:sz="2" w:space="0" w:color="A6A6A6" w:themeColor="background1" w:themeShade="A6"/>
              <w:right w:val="nil"/>
            </w:tcBorders>
            <w:vAlign w:val="center"/>
          </w:tcPr>
          <w:p w14:paraId="437E8DA7" w14:textId="77777777" w:rsidR="00E6777E" w:rsidRPr="00E47369" w:rsidRDefault="00E6777E" w:rsidP="001C4EB8">
            <w:pPr>
              <w:jc w:val="center"/>
              <w:rPr>
                <w:rFonts w:cstheme="minorHAnsi"/>
                <w:b/>
                <w:sz w:val="18"/>
              </w:rPr>
            </w:pPr>
          </w:p>
        </w:tc>
        <w:tc>
          <w:tcPr>
            <w:tcW w:w="650" w:type="dxa"/>
            <w:gridSpan w:val="2"/>
            <w:tcBorders>
              <w:top w:val="single" w:sz="2" w:space="0" w:color="A6A6A6" w:themeColor="background1" w:themeShade="A6"/>
              <w:left w:val="nil"/>
              <w:bottom w:val="nil"/>
            </w:tcBorders>
            <w:vAlign w:val="center"/>
          </w:tcPr>
          <w:p w14:paraId="690D0559" w14:textId="77777777" w:rsidR="00E6777E" w:rsidRPr="00E47369" w:rsidRDefault="00E6777E" w:rsidP="001C4EB8">
            <w:pPr>
              <w:jc w:val="center"/>
              <w:rPr>
                <w:rFonts w:cstheme="minorHAnsi"/>
                <w:b/>
                <w:sz w:val="18"/>
              </w:rPr>
            </w:pPr>
            <w:r w:rsidRPr="00E47369">
              <w:rPr>
                <w:rFonts w:cstheme="minorHAnsi"/>
                <w:b/>
                <w:sz w:val="18"/>
              </w:rPr>
              <w:t>X</w:t>
            </w:r>
          </w:p>
        </w:tc>
      </w:tr>
    </w:tbl>
    <w:p w14:paraId="2EF3495B" w14:textId="77777777" w:rsidR="00E6777E" w:rsidRDefault="001539C6" w:rsidP="00E6777E">
      <w:pPr>
        <w:keepNext/>
        <w:jc w:val="center"/>
        <w:rPr>
          <w:rFonts w:cstheme="minorHAnsi"/>
        </w:rPr>
      </w:pPr>
      <w:r w:rsidRPr="00E47369">
        <w:rPr>
          <w:rFonts w:cstheme="minorHAnsi"/>
        </w:rPr>
        <w:object w:dxaOrig="5320" w:dyaOrig="7247" w14:anchorId="327DBF9D">
          <v:shape id="_x0000_i1540" type="#_x0000_t75" style="width:242.1pt;height:332.3pt" o:ole="">
            <v:imagedata r:id="rId178" o:title=""/>
          </v:shape>
          <o:OLEObject Type="Embed" ProgID="ChemDraw.Document.6.0" ShapeID="_x0000_i1540" DrawAspect="Content" ObjectID="_1532784943" r:id="rId179"/>
        </w:object>
      </w:r>
    </w:p>
    <w:p w14:paraId="46520498" w14:textId="77777777" w:rsidR="00D438A8" w:rsidRPr="00E47369" w:rsidRDefault="00D438A8" w:rsidP="00D438A8">
      <w:pPr>
        <w:keepNext/>
        <w:rPr>
          <w:rFonts w:cstheme="minorHAnsi"/>
        </w:rPr>
      </w:pPr>
    </w:p>
    <w:p w14:paraId="53872192" w14:textId="77777777" w:rsidR="00870A25" w:rsidRPr="00420FD6" w:rsidRDefault="00E6777E" w:rsidP="00420FD6">
      <w:pPr>
        <w:pStyle w:val="Caption"/>
      </w:pPr>
      <w:bookmarkStart w:id="224" w:name="_Ref453585305"/>
      <w:bookmarkStart w:id="225" w:name="_Toc457670716"/>
      <w:r w:rsidRPr="00420FD6">
        <w:t xml:space="preserve">Figure III. </w:t>
      </w:r>
      <w:r w:rsidR="00443010">
        <w:fldChar w:fldCharType="begin"/>
      </w:r>
      <w:r w:rsidR="00443010">
        <w:instrText xml:space="preserve"> STYLEREF 2 \s </w:instrText>
      </w:r>
      <w:r w:rsidR="00443010">
        <w:fldChar w:fldCharType="separate"/>
      </w:r>
      <w:r w:rsidR="000A0E3D">
        <w:rPr>
          <w:noProof/>
        </w:rPr>
        <w:t>2</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5</w:t>
      </w:r>
      <w:r w:rsidR="00443010">
        <w:rPr>
          <w:noProof/>
        </w:rPr>
        <w:fldChar w:fldCharType="end"/>
      </w:r>
      <w:bookmarkEnd w:id="224"/>
      <w:r w:rsidRPr="00420FD6">
        <w:t xml:space="preserve"> </w:t>
      </w:r>
      <w:r w:rsidR="00870A25" w:rsidRPr="00420FD6">
        <w:t>Tests of compatibility of the metathesis with DODH reagents</w:t>
      </w:r>
      <w:bookmarkEnd w:id="225"/>
    </w:p>
    <w:p w14:paraId="021FBC87" w14:textId="77777777" w:rsidR="00E6777E" w:rsidRPr="00E47369" w:rsidRDefault="00E6777E" w:rsidP="00E6777E">
      <w:pPr>
        <w:rPr>
          <w:rFonts w:cstheme="minorHAnsi"/>
        </w:rPr>
      </w:pPr>
    </w:p>
    <w:p w14:paraId="16903C65" w14:textId="77777777" w:rsidR="00870A25" w:rsidRPr="00E47369" w:rsidRDefault="00870A25" w:rsidP="00870A25">
      <w:pPr>
        <w:pStyle w:val="Heading41"/>
        <w:rPr>
          <w:rFonts w:cstheme="minorHAnsi"/>
        </w:rPr>
      </w:pPr>
      <w:r w:rsidRPr="00E47369">
        <w:rPr>
          <w:rFonts w:cstheme="minorHAnsi"/>
        </w:rPr>
        <w:t>Study of CoOMoO</w:t>
      </w:r>
      <w:r w:rsidRPr="00E47369">
        <w:rPr>
          <w:rFonts w:cstheme="minorHAnsi"/>
          <w:vertAlign w:val="subscript"/>
        </w:rPr>
        <w:t>3</w:t>
      </w:r>
      <w:r w:rsidRPr="00E47369">
        <w:rPr>
          <w:rFonts w:cstheme="minorHAnsi"/>
        </w:rPr>
        <w:t>Al</w:t>
      </w:r>
      <w:r w:rsidRPr="00E47369">
        <w:rPr>
          <w:rFonts w:cstheme="minorHAnsi"/>
          <w:vertAlign w:val="subscript"/>
        </w:rPr>
        <w:t>2</w:t>
      </w:r>
      <w:r w:rsidRPr="00E47369">
        <w:rPr>
          <w:rFonts w:cstheme="minorHAnsi"/>
        </w:rPr>
        <w:t>O</w:t>
      </w:r>
      <w:r w:rsidRPr="00E47369">
        <w:rPr>
          <w:rFonts w:cstheme="minorHAnsi"/>
          <w:vertAlign w:val="subscript"/>
        </w:rPr>
        <w:t>3</w:t>
      </w:r>
      <w:r w:rsidRPr="00E47369">
        <w:rPr>
          <w:rFonts w:cstheme="minorHAnsi"/>
        </w:rPr>
        <w:t xml:space="preserve"> as DODH catalyst</w:t>
      </w:r>
    </w:p>
    <w:p w14:paraId="3669AEC2" w14:textId="77777777" w:rsidR="00870A25" w:rsidRPr="00E47369" w:rsidRDefault="00870A25" w:rsidP="004D1A6D">
      <w:pPr>
        <w:ind w:firstLine="360"/>
        <w:jc w:val="both"/>
        <w:rPr>
          <w:rFonts w:cstheme="minorHAnsi"/>
        </w:rPr>
      </w:pPr>
      <w:r w:rsidRPr="00E47369">
        <w:rPr>
          <w:rFonts w:cstheme="minorHAnsi"/>
        </w:rPr>
        <w:t>We decided to test the activity of the molybdenum-cobalt material as a DODH catalyst. Using sodium sulfite as reducing agent with 1,2-hexanediol we detected a 15% yield of 1-hexene (170</w:t>
      </w:r>
      <w:r w:rsidRPr="00E47369">
        <w:rPr>
          <w:rFonts w:cstheme="minorHAnsi"/>
          <w:vertAlign w:val="superscript"/>
        </w:rPr>
        <w:t>o</w:t>
      </w:r>
      <w:r w:rsidRPr="00E47369">
        <w:rPr>
          <w:rFonts w:cstheme="minorHAnsi"/>
        </w:rPr>
        <w:t>C, 24h, in benzene 0.2M), but no metathesis products by NMR</w:t>
      </w:r>
      <w:r w:rsidR="00E6777E" w:rsidRPr="00E47369">
        <w:rPr>
          <w:rFonts w:cstheme="minorHAnsi"/>
        </w:rPr>
        <w:t xml:space="preserve"> (</w:t>
      </w:r>
      <w:r w:rsidR="00E6777E" w:rsidRPr="00E47369">
        <w:rPr>
          <w:rFonts w:cstheme="minorHAnsi"/>
        </w:rPr>
        <w:fldChar w:fldCharType="begin"/>
      </w:r>
      <w:r w:rsidR="00E6777E" w:rsidRPr="00E47369">
        <w:rPr>
          <w:rFonts w:cstheme="minorHAnsi"/>
        </w:rPr>
        <w:instrText xml:space="preserve"> REF _Ref453585499 \h </w:instrText>
      </w:r>
      <w:r w:rsidR="00E47369">
        <w:rPr>
          <w:rFonts w:cstheme="minorHAnsi"/>
        </w:rPr>
        <w:instrText xml:space="preserve"> \* MERGEFORMAT </w:instrText>
      </w:r>
      <w:r w:rsidR="00E6777E" w:rsidRPr="00E47369">
        <w:rPr>
          <w:rFonts w:cstheme="minorHAnsi"/>
        </w:rPr>
      </w:r>
      <w:r w:rsidR="00E6777E" w:rsidRPr="00E47369">
        <w:rPr>
          <w:rFonts w:cstheme="minorHAnsi"/>
        </w:rPr>
        <w:fldChar w:fldCharType="separate"/>
      </w:r>
      <w:r w:rsidR="000A0E3D" w:rsidRPr="000A0E3D">
        <w:rPr>
          <w:rFonts w:cstheme="minorHAnsi"/>
        </w:rPr>
        <w:t xml:space="preserve">Figure III. </w:t>
      </w:r>
      <w:r w:rsidR="000A0E3D" w:rsidRPr="000A0E3D">
        <w:rPr>
          <w:rFonts w:cstheme="minorHAnsi"/>
          <w:noProof/>
        </w:rPr>
        <w:t>2.6</w:t>
      </w:r>
      <w:r w:rsidR="00E6777E" w:rsidRPr="00E47369">
        <w:rPr>
          <w:rFonts w:cstheme="minorHAnsi"/>
        </w:rPr>
        <w:fldChar w:fldCharType="end"/>
      </w:r>
      <w:r w:rsidR="00E6777E" w:rsidRPr="00E47369">
        <w:rPr>
          <w:rFonts w:cstheme="minorHAnsi"/>
        </w:rPr>
        <w:t>)</w:t>
      </w:r>
      <w:r w:rsidRPr="00E47369">
        <w:rPr>
          <w:rFonts w:cstheme="minorHAnsi"/>
        </w:rPr>
        <w:t>. This yield is lower than the catalyst loading so it is hard to determine if the catalyst is deactivated or just not able to able to make a full cycle. The low solubility of the reducing agent combined with the heterogeneous catalyst probably makes for very slow reaction. We doubled the catalyst loading (40 mol% in MoO</w:t>
      </w:r>
      <w:r w:rsidRPr="00E47369">
        <w:rPr>
          <w:rFonts w:cstheme="minorHAnsi"/>
          <w:vertAlign w:val="subscript"/>
        </w:rPr>
        <w:t>3</w:t>
      </w:r>
      <w:r w:rsidRPr="00E47369">
        <w:rPr>
          <w:rFonts w:cstheme="minorHAnsi"/>
        </w:rPr>
        <w:t xml:space="preserve">), but we did not detect any alkene products in this case. Thus, under DODH conditions the Co-Mo material was not active for olefin metathesis and had very limited activity as a DODH catalyst. The incompatibility of this metathesis catalyst and 1,2-hexanediol found in the first part of this study might </w:t>
      </w:r>
      <w:r w:rsidR="00D438A8">
        <w:rPr>
          <w:rFonts w:cstheme="minorHAnsi"/>
        </w:rPr>
        <w:t>support</w:t>
      </w:r>
      <w:r w:rsidRPr="00E47369">
        <w:rPr>
          <w:rFonts w:cstheme="minorHAnsi"/>
        </w:rPr>
        <w:t xml:space="preserve"> the low activity of this catalyst for the DODH reaction. We can consider the potential coordination of 1,2-hexanediol to the catalyst. This coordination can be irreversible making the catalyst unavailable to react or the coordinated sp</w:t>
      </w:r>
      <w:r w:rsidR="00D438A8">
        <w:rPr>
          <w:rFonts w:cstheme="minorHAnsi"/>
        </w:rPr>
        <w:t>e</w:t>
      </w:r>
      <w:r w:rsidRPr="00E47369">
        <w:rPr>
          <w:rFonts w:cstheme="minorHAnsi"/>
        </w:rPr>
        <w:t>c</w:t>
      </w:r>
      <w:r w:rsidR="00D438A8">
        <w:rPr>
          <w:rFonts w:cstheme="minorHAnsi"/>
        </w:rPr>
        <w:t>i</w:t>
      </w:r>
      <w:r w:rsidRPr="00E47369">
        <w:rPr>
          <w:rFonts w:cstheme="minorHAnsi"/>
        </w:rPr>
        <w:t xml:space="preserve">e could further react and form an inactive </w:t>
      </w:r>
      <w:r w:rsidR="00D438A8">
        <w:rPr>
          <w:rFonts w:cstheme="minorHAnsi"/>
        </w:rPr>
        <w:t>complex</w:t>
      </w:r>
      <w:r w:rsidRPr="00E47369">
        <w:rPr>
          <w:rFonts w:cstheme="minorHAnsi"/>
        </w:rPr>
        <w:t>.</w:t>
      </w:r>
    </w:p>
    <w:p w14:paraId="0F621E93" w14:textId="77777777" w:rsidR="00003D5D" w:rsidRPr="00E47369" w:rsidRDefault="00003D5D" w:rsidP="00870A25">
      <w:pPr>
        <w:ind w:firstLine="720"/>
        <w:jc w:val="both"/>
        <w:rPr>
          <w:rFonts w:cstheme="minorHAnsi"/>
        </w:rPr>
      </w:pPr>
    </w:p>
    <w:p w14:paraId="423B9590" w14:textId="77777777" w:rsidR="00E6777E" w:rsidRPr="00E47369" w:rsidRDefault="00870A25" w:rsidP="00E6777E">
      <w:pPr>
        <w:keepNext/>
        <w:jc w:val="center"/>
        <w:rPr>
          <w:rFonts w:cstheme="minorHAnsi"/>
        </w:rPr>
      </w:pPr>
      <w:r w:rsidRPr="00E47369">
        <w:rPr>
          <w:rFonts w:cstheme="minorHAnsi"/>
        </w:rPr>
        <w:object w:dxaOrig="5407" w:dyaOrig="921" w14:anchorId="1D2CBA10">
          <v:shape id="_x0000_i1090" type="#_x0000_t75" style="width:273.75pt;height:46.7pt" o:ole="">
            <v:imagedata r:id="rId180" o:title=""/>
          </v:shape>
          <o:OLEObject Type="Embed" ProgID="ChemDraw.Document.6.0" ShapeID="_x0000_i1090" DrawAspect="Content" ObjectID="_1532784944" r:id="rId181"/>
        </w:object>
      </w:r>
    </w:p>
    <w:p w14:paraId="02E59CF1" w14:textId="77777777" w:rsidR="00870A25" w:rsidRPr="00420FD6" w:rsidRDefault="00E6777E" w:rsidP="00420FD6">
      <w:pPr>
        <w:pStyle w:val="Caption"/>
      </w:pPr>
      <w:bookmarkStart w:id="226" w:name="_Ref453585499"/>
      <w:bookmarkStart w:id="227" w:name="_Toc457670717"/>
      <w:r w:rsidRPr="00420FD6">
        <w:t xml:space="preserve">Figure III. </w:t>
      </w:r>
      <w:r w:rsidR="00443010">
        <w:fldChar w:fldCharType="begin"/>
      </w:r>
      <w:r w:rsidR="00443010">
        <w:instrText xml:space="preserve"> STYLEREF 2 \s </w:instrText>
      </w:r>
      <w:r w:rsidR="00443010">
        <w:fldChar w:fldCharType="separate"/>
      </w:r>
      <w:r w:rsidR="000A0E3D">
        <w:rPr>
          <w:noProof/>
        </w:rPr>
        <w:t>2</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6</w:t>
      </w:r>
      <w:r w:rsidR="00443010">
        <w:rPr>
          <w:noProof/>
        </w:rPr>
        <w:fldChar w:fldCharType="end"/>
      </w:r>
      <w:bookmarkEnd w:id="226"/>
      <w:r w:rsidRPr="00420FD6">
        <w:t xml:space="preserve"> </w:t>
      </w:r>
      <w:r w:rsidR="00870A25" w:rsidRPr="00420FD6">
        <w:t>CoOMoO</w:t>
      </w:r>
      <w:r w:rsidR="00870A25" w:rsidRPr="00420FD6">
        <w:rPr>
          <w:vertAlign w:val="subscript"/>
        </w:rPr>
        <w:t>3</w:t>
      </w:r>
      <w:r w:rsidR="00870A25" w:rsidRPr="00420FD6">
        <w:t>Al</w:t>
      </w:r>
      <w:r w:rsidR="00870A25" w:rsidRPr="00420FD6">
        <w:rPr>
          <w:vertAlign w:val="subscript"/>
        </w:rPr>
        <w:t>2</w:t>
      </w:r>
      <w:r w:rsidR="00870A25" w:rsidRPr="00420FD6">
        <w:t>O</w:t>
      </w:r>
      <w:r w:rsidR="00870A25" w:rsidRPr="00420FD6">
        <w:rPr>
          <w:vertAlign w:val="subscript"/>
        </w:rPr>
        <w:t>3</w:t>
      </w:r>
      <w:r w:rsidR="00870A25" w:rsidRPr="00420FD6">
        <w:t xml:space="preserve"> as DODH catalyst</w:t>
      </w:r>
      <w:bookmarkEnd w:id="227"/>
    </w:p>
    <w:p w14:paraId="3DC2850B" w14:textId="77777777" w:rsidR="00E6777E" w:rsidRDefault="00E6777E" w:rsidP="00E6777E">
      <w:pPr>
        <w:rPr>
          <w:rFonts w:cstheme="minorHAnsi"/>
        </w:rPr>
      </w:pPr>
    </w:p>
    <w:p w14:paraId="6A76D961" w14:textId="0F178227" w:rsidR="003852D0" w:rsidRDefault="003852D0" w:rsidP="000351A7">
      <w:pPr>
        <w:pStyle w:val="Heading3"/>
      </w:pPr>
      <w:bookmarkStart w:id="228" w:name="_Toc458938306"/>
      <w:r>
        <w:t xml:space="preserve">Deoxygenation/Metathesis </w:t>
      </w:r>
      <w:r w:rsidR="00814941">
        <w:t>t</w:t>
      </w:r>
      <w:r>
        <w:t>andem reaction of styrene oxide</w:t>
      </w:r>
      <w:bookmarkEnd w:id="228"/>
    </w:p>
    <w:p w14:paraId="6C7E3BAC" w14:textId="77777777" w:rsidR="003852D0" w:rsidRDefault="005E6FEE" w:rsidP="005E6FEE">
      <w:pPr>
        <w:ind w:firstLine="360"/>
        <w:jc w:val="both"/>
      </w:pPr>
      <w:r>
        <w:t>With all of our findings on the compatibility of the DODH reagents and the metathesis catalyst we decided to attempt a tandem reaction starting from an epoxide. In fact we though the epoxide would not deactivate the metathesis catalyst as it has not any exchangeable proton from the alcohol function. The other advantage of starting from an epoxide is the potential for not making an equivalent of water over the deoxygenation step. The deoxygenatio</w:t>
      </w:r>
      <w:r w:rsidR="00864CD7">
        <w:t xml:space="preserve">n (DO) of epoxide to alkene is run under </w:t>
      </w:r>
      <w:r>
        <w:t>similar reaction condition</w:t>
      </w:r>
      <w:r w:rsidR="00864CD7">
        <w:t>s than</w:t>
      </w:r>
      <w:r>
        <w:t xml:space="preserve"> the DODH reaction. We ran this reaction as describe</w:t>
      </w:r>
      <w:r w:rsidR="00864CD7">
        <w:t>d</w:t>
      </w:r>
      <w:r>
        <w:t xml:space="preserve"> Figure III.2.7 on styrene oxide with 10 mol% of rhenium catalyst and 20 mol% (in molybdenum oxide) of the metathesis catalyst and sodium sulfite as reducing agent.</w:t>
      </w:r>
      <w:r w:rsidR="001E1D5D">
        <w:t xml:space="preserve"> The result of this experiment was probed by NMR, GC and GCMS.</w:t>
      </w:r>
      <w:r w:rsidR="002F54BE">
        <w:t xml:space="preserve"> After 24h the conversion was complete, 100%, we detected by </w:t>
      </w:r>
      <w:r w:rsidR="002F54BE" w:rsidRPr="002F54BE">
        <w:rPr>
          <w:vertAlign w:val="superscript"/>
        </w:rPr>
        <w:t>1</w:t>
      </w:r>
      <w:r w:rsidR="002F54BE">
        <w:t xml:space="preserve">H NMR a mix of aldehyde, alkenes and potentially acetals. After a preparative TLC we </w:t>
      </w:r>
      <w:r w:rsidR="00864CD7">
        <w:t xml:space="preserve">had more </w:t>
      </w:r>
      <w:r w:rsidR="002F54BE">
        <w:t xml:space="preserve">confidence on the formation of stilbene and we confirmed this result by GCMS. Overall the reaction made several side products </w:t>
      </w:r>
      <w:r w:rsidR="00CE08E3">
        <w:t xml:space="preserve">with only around 10% in tandem product </w:t>
      </w:r>
      <w:r w:rsidR="002F54BE">
        <w:t xml:space="preserve">but it proved the concept of a DODH/Metathesis tandem system. </w:t>
      </w:r>
      <w:r w:rsidR="00CE08E3">
        <w:t>We believe that part of the side reaction came from interaction of</w:t>
      </w:r>
      <w:r w:rsidR="00864CD7">
        <w:t xml:space="preserve"> the solvent with the reaction.</w:t>
      </w:r>
      <w:r w:rsidR="00CE08E3">
        <w:t xml:space="preserve"> </w:t>
      </w:r>
      <w:r w:rsidR="00864CD7">
        <w:t>O</w:t>
      </w:r>
      <w:r w:rsidR="00CE08E3">
        <w:t>ther solvent</w:t>
      </w:r>
      <w:r w:rsidR="00864CD7">
        <w:t>s</w:t>
      </w:r>
      <w:r w:rsidR="00CE08E3">
        <w:t xml:space="preserve"> should be tested to improve this result. </w:t>
      </w:r>
    </w:p>
    <w:p w14:paraId="73426F67" w14:textId="77777777" w:rsidR="00537311" w:rsidRPr="003852D0" w:rsidRDefault="00537311" w:rsidP="005E6FEE">
      <w:pPr>
        <w:ind w:firstLine="360"/>
        <w:jc w:val="both"/>
      </w:pPr>
    </w:p>
    <w:p w14:paraId="41C422BB" w14:textId="77777777" w:rsidR="003852D0" w:rsidRDefault="002F54BE" w:rsidP="003852D0">
      <w:pPr>
        <w:keepNext/>
        <w:jc w:val="center"/>
      </w:pPr>
      <w:r w:rsidRPr="00E47369">
        <w:rPr>
          <w:rFonts w:cstheme="minorHAnsi"/>
        </w:rPr>
        <w:object w:dxaOrig="5311" w:dyaOrig="1204" w14:anchorId="57EAAAFD">
          <v:shape id="_x0000_i1091" type="#_x0000_t75" style="width:267.45pt;height:60.15pt" o:ole="">
            <v:imagedata r:id="rId182" o:title=""/>
          </v:shape>
          <o:OLEObject Type="Embed" ProgID="ChemDraw.Document.6.0" ShapeID="_x0000_i1091" DrawAspect="Content" ObjectID="_1532784945" r:id="rId183"/>
        </w:object>
      </w:r>
    </w:p>
    <w:p w14:paraId="1C75337B" w14:textId="77777777" w:rsidR="004D1A6D" w:rsidRPr="00420FD6" w:rsidRDefault="003852D0" w:rsidP="00420FD6">
      <w:pPr>
        <w:pStyle w:val="Caption"/>
      </w:pPr>
      <w:bookmarkStart w:id="229" w:name="_Toc457670718"/>
      <w:r w:rsidRPr="00420FD6">
        <w:t xml:space="preserve">Figure III. </w:t>
      </w:r>
      <w:r w:rsidR="00443010">
        <w:fldChar w:fldCharType="begin"/>
      </w:r>
      <w:r w:rsidR="00443010">
        <w:instrText xml:space="preserve"> STYLEREF 2 \s </w:instrText>
      </w:r>
      <w:r w:rsidR="00443010">
        <w:fldChar w:fldCharType="separate"/>
      </w:r>
      <w:r w:rsidR="000A0E3D">
        <w:rPr>
          <w:noProof/>
        </w:rPr>
        <w:t>2</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7</w:t>
      </w:r>
      <w:r w:rsidR="00443010">
        <w:rPr>
          <w:noProof/>
        </w:rPr>
        <w:fldChar w:fldCharType="end"/>
      </w:r>
      <w:r w:rsidRPr="00420FD6">
        <w:t xml:space="preserve"> D</w:t>
      </w:r>
      <w:r w:rsidR="0016299B">
        <w:t>eoxygenation</w:t>
      </w:r>
      <w:r w:rsidRPr="00420FD6">
        <w:t xml:space="preserve">/Metathesis </w:t>
      </w:r>
      <w:r w:rsidR="00317102">
        <w:t>t</w:t>
      </w:r>
      <w:r w:rsidRPr="00420FD6">
        <w:t>andem reaction</w:t>
      </w:r>
      <w:bookmarkEnd w:id="229"/>
    </w:p>
    <w:p w14:paraId="5744BD77" w14:textId="77777777" w:rsidR="004D1A6D" w:rsidRPr="00E47369" w:rsidRDefault="004D1A6D" w:rsidP="00E6777E">
      <w:pPr>
        <w:rPr>
          <w:rFonts w:cstheme="minorHAnsi"/>
        </w:rPr>
      </w:pPr>
    </w:p>
    <w:p w14:paraId="03255886" w14:textId="77777777" w:rsidR="00870A25" w:rsidRPr="00E47369" w:rsidRDefault="00870A25" w:rsidP="000351A7">
      <w:pPr>
        <w:pStyle w:val="Heading3"/>
      </w:pPr>
      <w:bookmarkStart w:id="230" w:name="_Toc458938307"/>
      <w:r w:rsidRPr="00E47369">
        <w:t>Conclusion</w:t>
      </w:r>
      <w:bookmarkEnd w:id="230"/>
    </w:p>
    <w:p w14:paraId="4AC1BB6F" w14:textId="39A631E9" w:rsidR="009C2786" w:rsidRDefault="00870A25" w:rsidP="004D1A6D">
      <w:pPr>
        <w:ind w:firstLine="360"/>
        <w:jc w:val="both"/>
        <w:rPr>
          <w:rFonts w:cstheme="minorHAnsi"/>
        </w:rPr>
      </w:pPr>
      <w:r w:rsidRPr="00E47369">
        <w:rPr>
          <w:rFonts w:cstheme="minorHAnsi"/>
        </w:rPr>
        <w:t>Our study of the reagent tolerance on the selected metathesis catalyst demonstrated the low potential for this tandem system to work. In fact even if we could manage to find a reducing agent (and its oxidized product) to be tolerated in the metathesis reaction, the incompatibility of the diol with the molybdenum tri-oxo complex is a major limitation to any combined tandem system. We found the metathesis catalyst to have some activity as DODH catalyst but with lower yield than the catalyst loading. The low solubility of the reducing agent employed in combination with the heterogeneous catalyst could be one explanation to the low yield also the test of a potential crown ether additive demonstrated the deactivation of the metathesis catalyst. Since the product of the DODH reaction that would apply to a tandem s</w:t>
      </w:r>
      <w:r w:rsidR="00864CD7">
        <w:rPr>
          <w:rFonts w:cstheme="minorHAnsi"/>
        </w:rPr>
        <w:t>ystem, styrene, hexane, etc.,</w:t>
      </w:r>
      <w:r w:rsidRPr="00E47369">
        <w:rPr>
          <w:rFonts w:cstheme="minorHAnsi"/>
        </w:rPr>
        <w:t xml:space="preserve"> are volatile</w:t>
      </w:r>
      <w:r w:rsidR="00864CD7">
        <w:rPr>
          <w:rFonts w:cstheme="minorHAnsi"/>
        </w:rPr>
        <w:t>s</w:t>
      </w:r>
      <w:r w:rsidRPr="00E47369">
        <w:rPr>
          <w:rFonts w:cstheme="minorHAnsi"/>
        </w:rPr>
        <w:t xml:space="preserve"> one could design a reactor with two zones allowing the volatile material to reach the metathesis catalyst after removing the water. Also gas such as hydrogen or carbon monoxide could be consider</w:t>
      </w:r>
      <w:r w:rsidR="00DB7AE2">
        <w:rPr>
          <w:rFonts w:cstheme="minorHAnsi"/>
        </w:rPr>
        <w:t>ed</w:t>
      </w:r>
      <w:r w:rsidRPr="00E47369">
        <w:rPr>
          <w:rFonts w:cstheme="minorHAnsi"/>
        </w:rPr>
        <w:t xml:space="preserve"> as reducing agents in the DODH reaction.</w:t>
      </w:r>
      <w:r w:rsidR="00CE08E3">
        <w:rPr>
          <w:rFonts w:cstheme="minorHAnsi"/>
        </w:rPr>
        <w:t xml:space="preserve"> </w:t>
      </w:r>
    </w:p>
    <w:p w14:paraId="0540785B" w14:textId="77777777" w:rsidR="00CE08E3" w:rsidRPr="00E47369" w:rsidRDefault="00864CD7" w:rsidP="009C2786">
      <w:pPr>
        <w:ind w:firstLine="360"/>
        <w:jc w:val="both"/>
        <w:rPr>
          <w:rFonts w:cstheme="minorHAnsi"/>
        </w:rPr>
      </w:pPr>
      <w:r>
        <w:rPr>
          <w:rFonts w:cstheme="minorHAnsi"/>
        </w:rPr>
        <w:t>Starting with an epoxide w</w:t>
      </w:r>
      <w:r w:rsidR="00CE08E3" w:rsidRPr="009C2786">
        <w:rPr>
          <w:rFonts w:cstheme="minorHAnsi"/>
        </w:rPr>
        <w:t xml:space="preserve">e </w:t>
      </w:r>
      <w:r>
        <w:rPr>
          <w:rFonts w:cstheme="minorHAnsi"/>
        </w:rPr>
        <w:t>obtained</w:t>
      </w:r>
      <w:r w:rsidR="00CE08E3" w:rsidRPr="009C2786">
        <w:rPr>
          <w:rFonts w:cstheme="minorHAnsi"/>
        </w:rPr>
        <w:t xml:space="preserve"> </w:t>
      </w:r>
      <w:r w:rsidR="009C2786" w:rsidRPr="009C2786">
        <w:rPr>
          <w:rFonts w:cstheme="minorHAnsi"/>
        </w:rPr>
        <w:t>DO/</w:t>
      </w:r>
      <w:r w:rsidR="009C2786">
        <w:rPr>
          <w:rFonts w:cstheme="minorHAnsi"/>
        </w:rPr>
        <w:t>M</w:t>
      </w:r>
      <w:r>
        <w:rPr>
          <w:rFonts w:cstheme="minorHAnsi"/>
        </w:rPr>
        <w:t>etathesis tandem reaction</w:t>
      </w:r>
      <w:r w:rsidR="009C2786" w:rsidRPr="009C2786">
        <w:rPr>
          <w:rFonts w:cstheme="minorHAnsi"/>
        </w:rPr>
        <w:t xml:space="preserve">. </w:t>
      </w:r>
      <w:r w:rsidR="00CE08E3" w:rsidRPr="009C2786">
        <w:t xml:space="preserve">Once the reaction would be optimized a larger </w:t>
      </w:r>
      <w:r>
        <w:t>range</w:t>
      </w:r>
      <w:r w:rsidR="00CE08E3" w:rsidRPr="009C2786">
        <w:t xml:space="preserve"> </w:t>
      </w:r>
      <w:r>
        <w:t xml:space="preserve">of epoxide could be </w:t>
      </w:r>
      <w:r w:rsidR="006358B0">
        <w:t>tested</w:t>
      </w:r>
      <w:r>
        <w:t>,</w:t>
      </w:r>
      <w:r w:rsidR="00CE08E3" w:rsidRPr="009C2786">
        <w:t xml:space="preserve"> 1,2-hexene oxide for example. These</w:t>
      </w:r>
      <w:r w:rsidR="009C2786">
        <w:t xml:space="preserve"> results</w:t>
      </w:r>
      <w:r w:rsidR="00CE08E3" w:rsidRPr="009C2786">
        <w:t xml:space="preserve"> would then help the general unde</w:t>
      </w:r>
      <w:r>
        <w:t>rstanding of the tandem reaction</w:t>
      </w:r>
      <w:r w:rsidR="00CE08E3" w:rsidRPr="009C2786">
        <w:t>.</w:t>
      </w:r>
    </w:p>
    <w:p w14:paraId="1555FC2D" w14:textId="77777777" w:rsidR="00870A25" w:rsidRPr="00E47369" w:rsidRDefault="00870A25" w:rsidP="00864CD7">
      <w:pPr>
        <w:ind w:firstLine="360"/>
        <w:jc w:val="both"/>
        <w:rPr>
          <w:rFonts w:cstheme="minorHAnsi"/>
        </w:rPr>
      </w:pPr>
      <w:r w:rsidRPr="00E47369">
        <w:rPr>
          <w:rFonts w:cstheme="minorHAnsi"/>
        </w:rPr>
        <w:t>Several metathesis catalysts have been reported over the years since this reaction was discovered. The alumina-supported MeReO</w:t>
      </w:r>
      <w:r w:rsidRPr="00725A3B">
        <w:rPr>
          <w:rFonts w:cstheme="minorHAnsi"/>
          <w:vertAlign w:val="subscript"/>
        </w:rPr>
        <w:t>3</w:t>
      </w:r>
      <w:r w:rsidRPr="00E47369">
        <w:rPr>
          <w:rFonts w:cstheme="minorHAnsi"/>
        </w:rPr>
        <w:t xml:space="preserve"> could be a good catalyst to test on both DODH and metathesis as it could avoid the use of two different catalysts for the tandem reaction.</w:t>
      </w:r>
      <w:r w:rsidRPr="00E47369">
        <w:rPr>
          <w:rFonts w:cstheme="minorHAnsi"/>
        </w:rPr>
        <w:fldChar w:fldCharType="begin"/>
      </w:r>
      <w:r w:rsidR="00E028D6">
        <w:rPr>
          <w:rFonts w:cstheme="minorHAnsi"/>
        </w:rPr>
        <w:instrText xml:space="preserve"> ADDIN ZOTERO_ITEM CSL_CITATION {"citationID":"2jc489fao1","properties":{"formattedCitation":"{\\rtf \\super 129\\nosupersub{}}","plainCitation":"129"},"citationItems":[{"id":1714,"uris":["http://zotero.org/users/1624234/items/TGK836ME"],"uri":["http://zotero.org/users/1624234/items/TGK836ME"],"itemData":{"id":1714,"type":"article-journal","title":"Tuning the Selectivity of Alumina-Supported (CH3)ReO3 by Modifying the Surface Properties of the Support","container-title":"Angewandte Chemie International Edition","page":"2117-2120","volume":"47","issue":"11","source":"Wiley Online Library","DOI":"10.1002/anie.200704876","ISSN":"1521-3773","journalAbbreviation":"Angew. Chem. Int. Ed.","language":"en","author":[{"family":"Salameh","given":"Alain"},{"family":"Baudouin","given":"Anne"},{"family":"Basset","given":"Jean-Marie"},{"family":"Copéret","given":"Christophe"}],"issued":{"date-parts":[["2008",2,28]]}}}],"schema":"https://github.com/citation-style-language/schema/raw/master/csl-citation.json"} </w:instrText>
      </w:r>
      <w:r w:rsidRPr="00E47369">
        <w:rPr>
          <w:rFonts w:cstheme="minorHAnsi"/>
        </w:rPr>
        <w:fldChar w:fldCharType="separate"/>
      </w:r>
      <w:r w:rsidR="00E028D6" w:rsidRPr="00E028D6">
        <w:rPr>
          <w:rFonts w:ascii="Times New Roman" w:hAnsi="Times New Roman"/>
          <w:vertAlign w:val="superscript"/>
        </w:rPr>
        <w:t>129</w:t>
      </w:r>
      <w:r w:rsidRPr="00E47369">
        <w:rPr>
          <w:rFonts w:cstheme="minorHAnsi"/>
        </w:rPr>
        <w:fldChar w:fldCharType="end"/>
      </w:r>
      <w:r w:rsidRPr="00E47369">
        <w:rPr>
          <w:rFonts w:cstheme="minorHAnsi"/>
        </w:rPr>
        <w:t xml:space="preserve"> This tandem system could also be studied further by testing some of the recently reported metathesis catalysts which are getting more and more robust and stable in the presence of water and air such as RuCl</w:t>
      </w:r>
      <w:r w:rsidRPr="00E47369">
        <w:rPr>
          <w:rFonts w:cstheme="minorHAnsi"/>
          <w:vertAlign w:val="subscript"/>
        </w:rPr>
        <w:t>2</w:t>
      </w:r>
      <w:r w:rsidRPr="00E47369">
        <w:rPr>
          <w:rFonts w:cstheme="minorHAnsi"/>
        </w:rPr>
        <w:t>PR’</w:t>
      </w:r>
      <w:r w:rsidRPr="00E47369">
        <w:rPr>
          <w:rFonts w:cstheme="minorHAnsi"/>
          <w:vertAlign w:val="subscript"/>
        </w:rPr>
        <w:t>3</w:t>
      </w:r>
      <w:r w:rsidRPr="00E47369">
        <w:rPr>
          <w:rFonts w:cstheme="minorHAnsi"/>
        </w:rPr>
        <w:t>(=R).</w:t>
      </w:r>
      <w:r w:rsidRPr="00E47369">
        <w:rPr>
          <w:rFonts w:cstheme="minorHAnsi"/>
        </w:rPr>
        <w:fldChar w:fldCharType="begin"/>
      </w:r>
      <w:r w:rsidR="00E028D6">
        <w:rPr>
          <w:rFonts w:cstheme="minorHAnsi"/>
        </w:rPr>
        <w:instrText xml:space="preserve"> ADDIN ZOTERO_ITEM CSL_CITATION {"citationID":"1vc4atiul","properties":{"formattedCitation":"{\\rtf \\super 130\\nosupersub{}}","plainCitation":"130"},"citationItems":[{"id":1713,"uris":["http://zotero.org/users/1624234/items/8DJNZSKB"],"uri":["http://zotero.org/users/1624234/items/8DJNZSKB"],"itemData":{"id":1713,"type":"article-journal","title":"Olefin metathesis in aqueous media","container-title":"Green Chemistry","page":"2317","volume":"15","issue":"9","source":"CrossRef","DOI":"10.1039/c3gc41042k","ISSN":"1463-9262, 1463-9270","language":"en","author":[{"family":"Tomasek","given":"Jasmine"},{"family":"Schatz","given":"Jürgen"}],"issued":{"date-parts":[["2013"]]}}}],"schema":"https://github.com/citation-style-language/schema/raw/master/csl-citation.json"} </w:instrText>
      </w:r>
      <w:r w:rsidRPr="00E47369">
        <w:rPr>
          <w:rFonts w:cstheme="minorHAnsi"/>
        </w:rPr>
        <w:fldChar w:fldCharType="separate"/>
      </w:r>
      <w:r w:rsidR="00E028D6" w:rsidRPr="00E028D6">
        <w:rPr>
          <w:rFonts w:ascii="Times New Roman" w:hAnsi="Times New Roman"/>
          <w:vertAlign w:val="superscript"/>
        </w:rPr>
        <w:t>130</w:t>
      </w:r>
      <w:r w:rsidRPr="00E47369">
        <w:rPr>
          <w:rFonts w:cstheme="minorHAnsi"/>
        </w:rPr>
        <w:fldChar w:fldCharType="end"/>
      </w:r>
      <w:r w:rsidRPr="00E47369">
        <w:rPr>
          <w:rFonts w:cstheme="minorHAnsi"/>
        </w:rPr>
        <w:t xml:space="preserve"> The high cost of these catalysts would probably not make this system economic for industrial scales.</w:t>
      </w:r>
    </w:p>
    <w:p w14:paraId="1EB7F7E8" w14:textId="77777777" w:rsidR="00870A25" w:rsidRPr="00E47369" w:rsidRDefault="00870A25" w:rsidP="00870A25">
      <w:pPr>
        <w:ind w:firstLine="720"/>
        <w:jc w:val="both"/>
        <w:rPr>
          <w:rFonts w:cstheme="minorHAnsi"/>
        </w:rPr>
      </w:pPr>
    </w:p>
    <w:p w14:paraId="12AE438B" w14:textId="77777777" w:rsidR="00870A25" w:rsidRPr="00E47369" w:rsidRDefault="00870A25" w:rsidP="000351A7">
      <w:pPr>
        <w:pStyle w:val="Heading3"/>
      </w:pPr>
      <w:bookmarkStart w:id="231" w:name="_Toc458938308"/>
      <w:r w:rsidRPr="00E47369">
        <w:t>Experimental</w:t>
      </w:r>
      <w:bookmarkEnd w:id="231"/>
    </w:p>
    <w:p w14:paraId="4261F12E" w14:textId="77777777" w:rsidR="00870A25" w:rsidRPr="00E47369" w:rsidRDefault="00870A25" w:rsidP="00C36752">
      <w:pPr>
        <w:pStyle w:val="Heading41"/>
        <w:numPr>
          <w:ilvl w:val="0"/>
          <w:numId w:val="19"/>
        </w:numPr>
        <w:ind w:left="2340"/>
        <w:rPr>
          <w:rFonts w:cstheme="minorHAnsi"/>
        </w:rPr>
      </w:pPr>
      <w:r w:rsidRPr="00E47369">
        <w:rPr>
          <w:rFonts w:cstheme="minorHAnsi"/>
        </w:rPr>
        <w:t xml:space="preserve">General information: reagents and instruments. </w:t>
      </w:r>
    </w:p>
    <w:p w14:paraId="1BE7F6D0" w14:textId="56B8C158" w:rsidR="00870A25" w:rsidRPr="00E47369" w:rsidRDefault="00870A25" w:rsidP="00537311">
      <w:pPr>
        <w:ind w:firstLine="360"/>
        <w:jc w:val="both"/>
        <w:rPr>
          <w:rFonts w:cstheme="minorHAnsi"/>
        </w:rPr>
      </w:pPr>
      <w:r w:rsidRPr="00E47369">
        <w:rPr>
          <w:rFonts w:cstheme="minorHAnsi"/>
        </w:rPr>
        <w:t xml:space="preserve">All reactants and catalysts were obtained commercially and used without further purification. All solvents were ACS grade and were used directly (unless otherwise described in the procedures). </w:t>
      </w:r>
      <w:r w:rsidRPr="00E47369">
        <w:rPr>
          <w:rFonts w:cstheme="minorHAnsi"/>
          <w:vertAlign w:val="superscript"/>
        </w:rPr>
        <w:t>1</w:t>
      </w:r>
      <w:r w:rsidRPr="00E47369">
        <w:rPr>
          <w:rFonts w:cstheme="minorHAnsi"/>
        </w:rPr>
        <w:t>H NMR spectra were collected on Varian VX300 MHz or VNMRS 400 MHz instruments. The NMR data were processed using SpinWorks</w:t>
      </w:r>
      <w:r w:rsidRPr="00E47369">
        <w:rPr>
          <w:rFonts w:cstheme="minorHAnsi"/>
        </w:rPr>
        <w:fldChar w:fldCharType="begin"/>
      </w:r>
      <w:r w:rsidR="00E6777E" w:rsidRPr="00E47369">
        <w:rPr>
          <w:rFonts w:cstheme="minorHAnsi"/>
        </w:rPr>
        <w:instrText xml:space="preserve"> ADDIN ZOTERO_ITEM CSL_CITATION {"citationID":"uxuVvCsr","properties":{"formattedCitation":"{\\rtf \\super 102\\nosupersub{}}","plainCitation":"102"},"citationItems":[{"id":1498,"uris":["http://zotero.org/users/1624234/items/2R52QEZC"],"uri":["http://zotero.org/users/1624234/items/2R52QEZC"],"itemData":{"id":1498,"type":"book","title":"SpinWorks 4","publisher":"University of Manitoba : Winnipeg Canada","version":"4.1.0.0","author":[{"family":"Marat","given":"K."}]}}],"schema":"https://github.com/citation-style-language/schema/raw/master/csl-citation.json"} </w:instrText>
      </w:r>
      <w:r w:rsidRPr="00E47369">
        <w:rPr>
          <w:rFonts w:cstheme="minorHAnsi"/>
        </w:rPr>
        <w:fldChar w:fldCharType="separate"/>
      </w:r>
      <w:r w:rsidR="00E6777E" w:rsidRPr="00E47369">
        <w:rPr>
          <w:rFonts w:cstheme="minorHAnsi"/>
          <w:vertAlign w:val="superscript"/>
        </w:rPr>
        <w:t>102</w:t>
      </w:r>
      <w:r w:rsidRPr="00E47369">
        <w:rPr>
          <w:rFonts w:cstheme="minorHAnsi"/>
        </w:rPr>
        <w:fldChar w:fldCharType="end"/>
      </w:r>
      <w:r w:rsidRPr="00E47369">
        <w:rPr>
          <w:rFonts w:cstheme="minorHAnsi"/>
        </w:rPr>
        <w:t xml:space="preserve"> and ACD</w:t>
      </w:r>
      <w:r w:rsidRPr="00E47369">
        <w:rPr>
          <w:rFonts w:cstheme="minorHAnsi"/>
        </w:rPr>
        <w:fldChar w:fldCharType="begin"/>
      </w:r>
      <w:r w:rsidR="00E6777E" w:rsidRPr="00E47369">
        <w:rPr>
          <w:rFonts w:cstheme="minorHAnsi"/>
        </w:rPr>
        <w:instrText xml:space="preserve"> ADDIN ZOTERO_ITEM CSL_CITATION {"citationID":"B5NxANS5","properties":{"formattedCitation":"{\\rtf \\super 103\\nosupersub{}}","plainCitation":"103"},"citationItems":[{"id":1512,"uris":["http://zotero.org/users/1624234/items/VJU6SH7K"],"uri":["http://zotero.org/users/1624234/items/VJU6SH7K"],"itemData":{"id":1512,"type":"book","title":"ACD/Structure Elucidator","publisher":"Advanced Chemistry Development, Inc.","version":"12.01","URL":"www.acdlabs.com","issued":{"date-parts":[["2014"]]}}}],"schema":"https://github.com/citation-style-language/schema/raw/master/csl-citation.json"} </w:instrText>
      </w:r>
      <w:r w:rsidRPr="00E47369">
        <w:rPr>
          <w:rFonts w:cstheme="minorHAnsi"/>
        </w:rPr>
        <w:fldChar w:fldCharType="separate"/>
      </w:r>
      <w:r w:rsidR="00E6777E" w:rsidRPr="00E47369">
        <w:rPr>
          <w:rFonts w:cstheme="minorHAnsi"/>
          <w:vertAlign w:val="superscript"/>
        </w:rPr>
        <w:t>103</w:t>
      </w:r>
      <w:r w:rsidRPr="00E47369">
        <w:rPr>
          <w:rFonts w:cstheme="minorHAnsi"/>
        </w:rPr>
        <w:fldChar w:fldCharType="end"/>
      </w:r>
      <w:r w:rsidRPr="00E47369">
        <w:rPr>
          <w:rFonts w:cstheme="minorHAnsi"/>
        </w:rPr>
        <w:t xml:space="preserve"> software. Gas chromatograms were collected on a Shimadzu GC-2014 equipped with an AOC 20i+s auto sampler, both with 3% SE-54 packed column, FID and thermal program 40</w:t>
      </w:r>
      <w:r w:rsidRPr="00E47369">
        <w:rPr>
          <w:rFonts w:cstheme="minorHAnsi"/>
          <w:vertAlign w:val="superscript"/>
        </w:rPr>
        <w:t>o</w:t>
      </w:r>
      <w:r w:rsidRPr="00E47369">
        <w:rPr>
          <w:rFonts w:cstheme="minorHAnsi"/>
        </w:rPr>
        <w:t>C for 5 min; 20 deg/min to 250</w:t>
      </w:r>
      <w:r w:rsidRPr="00E47369">
        <w:rPr>
          <w:rFonts w:cstheme="minorHAnsi"/>
          <w:vertAlign w:val="superscript"/>
        </w:rPr>
        <w:t>o</w:t>
      </w:r>
      <w:r w:rsidRPr="00E47369">
        <w:rPr>
          <w:rFonts w:cstheme="minorHAnsi"/>
        </w:rPr>
        <w:t>C; then 7 min at 250°C.</w:t>
      </w:r>
    </w:p>
    <w:p w14:paraId="2CF43FBD" w14:textId="77777777" w:rsidR="00870A25" w:rsidRPr="00E47369" w:rsidRDefault="00870A25" w:rsidP="00870A25">
      <w:pPr>
        <w:pStyle w:val="Heading41"/>
        <w:rPr>
          <w:rFonts w:cstheme="minorHAnsi"/>
        </w:rPr>
      </w:pPr>
      <w:r w:rsidRPr="00E47369">
        <w:rPr>
          <w:rFonts w:cstheme="minorHAnsi"/>
        </w:rPr>
        <w:t>Activation of the catalyst</w:t>
      </w:r>
    </w:p>
    <w:p w14:paraId="313DF5A6" w14:textId="16F8E516" w:rsidR="00870A25" w:rsidRPr="00E47369" w:rsidRDefault="00870A25" w:rsidP="00870A25">
      <w:pPr>
        <w:ind w:firstLine="360"/>
        <w:jc w:val="both"/>
        <w:rPr>
          <w:rFonts w:cstheme="minorHAnsi"/>
        </w:rPr>
      </w:pPr>
      <w:r w:rsidRPr="00E47369">
        <w:rPr>
          <w:rFonts w:cstheme="minorHAnsi"/>
        </w:rPr>
        <w:t>We followed the reported procedure for the activation of the catalyst</w:t>
      </w:r>
      <w:r w:rsidRPr="00E47369">
        <w:rPr>
          <w:rFonts w:cstheme="minorHAnsi"/>
        </w:rPr>
        <w:fldChar w:fldCharType="begin"/>
      </w:r>
      <w:r w:rsidR="00E028D6">
        <w:rPr>
          <w:rFonts w:cstheme="minorHAnsi"/>
        </w:rPr>
        <w:instrText xml:space="preserve"> ADDIN ZOTERO_ITEM CSL_CITATION {"citationID":"20l4mfs702","properties":{"formattedCitation":"{\\rtf \\super 128\\nosupersub{}}","plainCitation":"128"},"citationItems":[{"id":1681,"uris":["http://zotero.org/users/1624234/items/JV7TCV2W"],"uri":["http://zotero.org/users/1624234/items/JV7TCV2W"],"itemData":{"id":1681,"type":"article-journal","title":"Olefin dismutation: Reactions of olefins on cobalt oxide-molybdenum oxide-alumina","container-title":"Journal of Catalysis","page":"269-276","volume":"7","issue":"3","source":"ScienceDirect","abstract":"A study of the conversion of n-butenes into olefins of lower and higher carbon number (“dismutation”) on catalysts containing cobalt, molybdenum, and aluminum oxides has shown that the product spectrum is markedly affected by doublebond isomerization which accompanies the dismutation, and that the reaction may be made highly selective for the production of either ethylene plus hexene-3, or propylene plus n-pentenes, by suitable choice of the reaction conditions or by poisoning the catalyst with controlled amounts of sodium ion.</w:instrText>
      </w:r>
      <w:r w:rsidR="00E028D6">
        <w:rPr>
          <w:rFonts w:ascii="Cambria Math" w:hAnsi="Cambria Math" w:cs="Cambria Math"/>
        </w:rPr>
        <w:instrText>∗∗</w:instrText>
      </w:r>
      <w:r w:rsidR="00E028D6">
        <w:rPr>
          <w:rFonts w:cstheme="minorHAnsi"/>
        </w:rPr>
        <w:instrText>British Patent applied for, 42700/64. The reaction has been shown to be reversible,</w:instrText>
      </w:r>
      <w:r w:rsidR="00E028D6">
        <w:rPr>
          <w:rFonts w:ascii="Times New Roman" w:hAnsi="Times New Roman"/>
        </w:rPr>
        <w:instrText>††</w:instrText>
      </w:r>
      <w:r w:rsidR="00E028D6">
        <w:rPr>
          <w:rFonts w:cstheme="minorHAnsi"/>
        </w:rPr>
        <w:instrText xml:space="preserve">British Patent applied for, 47053/64. e.g., ethylene and butene-2 react to give propylene with a selectivity of over 90%. The cleavage of internal olefins by ethylene to give 1-olefins of lower carbon number is a useful general reaction (“ethenolysis”). The results of this study of the dismutation of various olefins suggest that the reaction must proceed via a “quasi-cyclobutane” intermediate.","DOI":"10.1016/0021-9517(67)90105-4","ISSN":"0021-9517","shortTitle":"Olefin dismutation","journalAbbreviation":"Journal of Catalysis","author":[{"family":"Bradshaw","given":"C. P. C."},{"family":"Howman","given":"E. J."},{"family":"Turner","given":"L."}],"issued":{"date-parts":[["1967",3,1]]}}}],"schema":"https://github.com/citation-style-language/schema/raw/master/csl-citation.json"} </w:instrText>
      </w:r>
      <w:r w:rsidRPr="00E47369">
        <w:rPr>
          <w:rFonts w:cstheme="minorHAnsi"/>
        </w:rPr>
        <w:fldChar w:fldCharType="separate"/>
      </w:r>
      <w:r w:rsidR="00E028D6" w:rsidRPr="00E028D6">
        <w:rPr>
          <w:rFonts w:ascii="Times New Roman" w:hAnsi="Times New Roman"/>
          <w:vertAlign w:val="superscript"/>
        </w:rPr>
        <w:t>128</w:t>
      </w:r>
      <w:r w:rsidRPr="00E47369">
        <w:rPr>
          <w:rFonts w:cstheme="minorHAnsi"/>
        </w:rPr>
        <w:fldChar w:fldCharType="end"/>
      </w:r>
      <w:r w:rsidRPr="00E47369">
        <w:rPr>
          <w:rFonts w:cstheme="minorHAnsi"/>
        </w:rPr>
        <w:t>: 2</w:t>
      </w:r>
      <w:r w:rsidR="005A37AB">
        <w:rPr>
          <w:rFonts w:cstheme="minorHAnsi"/>
        </w:rPr>
        <w:t>.0</w:t>
      </w:r>
      <w:r w:rsidRPr="00E47369">
        <w:rPr>
          <w:rFonts w:cstheme="minorHAnsi"/>
        </w:rPr>
        <w:t xml:space="preserve"> g of the CoOMoO</w:t>
      </w:r>
      <w:r w:rsidRPr="00E47369">
        <w:rPr>
          <w:rFonts w:cstheme="minorHAnsi"/>
          <w:vertAlign w:val="subscript"/>
        </w:rPr>
        <w:t>3</w:t>
      </w:r>
      <w:r w:rsidRPr="00E47369">
        <w:rPr>
          <w:rFonts w:cstheme="minorHAnsi"/>
        </w:rPr>
        <w:t>Al</w:t>
      </w:r>
      <w:r w:rsidRPr="00E47369">
        <w:rPr>
          <w:rFonts w:cstheme="minorHAnsi"/>
          <w:vertAlign w:val="subscript"/>
        </w:rPr>
        <w:t>2</w:t>
      </w:r>
      <w:r w:rsidRPr="00E47369">
        <w:rPr>
          <w:rFonts w:cstheme="minorHAnsi"/>
        </w:rPr>
        <w:t>Cl</w:t>
      </w:r>
      <w:r w:rsidRPr="00E47369">
        <w:rPr>
          <w:rFonts w:cstheme="minorHAnsi"/>
          <w:vertAlign w:val="subscript"/>
        </w:rPr>
        <w:t>3</w:t>
      </w:r>
      <w:r w:rsidRPr="00E47369">
        <w:rPr>
          <w:rFonts w:cstheme="minorHAnsi"/>
        </w:rPr>
        <w:t xml:space="preserve"> catalyst were placed in a silica tube between two balls of quartz wool. The tube was placed in a horizontal tube furnace. The furnace was set at 550</w:t>
      </w:r>
      <w:r w:rsidRPr="00E47369">
        <w:rPr>
          <w:rFonts w:cstheme="minorHAnsi"/>
          <w:vertAlign w:val="superscript"/>
        </w:rPr>
        <w:t>o</w:t>
      </w:r>
      <w:r w:rsidRPr="00E47369">
        <w:rPr>
          <w:rFonts w:cstheme="minorHAnsi"/>
        </w:rPr>
        <w:t>C. A stream of dry air was passed through the tube for 1 hour followed by 1.5 hours with a steam of dry nitrogen. The tube was then allowed to cool to room temperature under dry nitrogen. The activated catalyst was then crushed into powder and stored in a glove box. As needed a portion of the catalyst was weighed in the glove box and transferred to the reactor vessel. In the activation process the catalyst changed from a light blue color to a darker deep blue color.</w:t>
      </w:r>
    </w:p>
    <w:p w14:paraId="3105BFCA" w14:textId="77777777" w:rsidR="00870A25" w:rsidRPr="00E47369" w:rsidRDefault="00870A25" w:rsidP="00870A25">
      <w:pPr>
        <w:ind w:firstLine="360"/>
        <w:jc w:val="both"/>
        <w:rPr>
          <w:rFonts w:cstheme="minorHAnsi"/>
        </w:rPr>
      </w:pPr>
      <w:r w:rsidRPr="00E47369">
        <w:rPr>
          <w:rFonts w:cstheme="minorHAnsi"/>
        </w:rPr>
        <w:t>We are grateful to Dr. D. Resasco (CBME) for letting us use the furnace in his laboratory and his postdoctoral fellow Dr. Wang for helping us with the activation process.</w:t>
      </w:r>
    </w:p>
    <w:p w14:paraId="449B8418" w14:textId="77777777" w:rsidR="00870A25" w:rsidRPr="00E47369" w:rsidRDefault="00870A25" w:rsidP="00870A25">
      <w:pPr>
        <w:jc w:val="both"/>
        <w:rPr>
          <w:rFonts w:cstheme="minorHAnsi"/>
        </w:rPr>
      </w:pPr>
    </w:p>
    <w:p w14:paraId="1D277326" w14:textId="77777777" w:rsidR="00870A25" w:rsidRPr="00E47369" w:rsidRDefault="00870A25" w:rsidP="00870A25">
      <w:pPr>
        <w:pStyle w:val="Heading41"/>
        <w:rPr>
          <w:rFonts w:cstheme="minorHAnsi"/>
        </w:rPr>
      </w:pPr>
      <w:r w:rsidRPr="00E47369">
        <w:rPr>
          <w:rFonts w:cstheme="minorHAnsi"/>
        </w:rPr>
        <w:t xml:space="preserve">Representative procedure for metathesis reactions. </w:t>
      </w:r>
    </w:p>
    <w:p w14:paraId="0D7937E6" w14:textId="765A17B2" w:rsidR="00870A25" w:rsidRPr="00E47369" w:rsidRDefault="005A37AB" w:rsidP="00870A25">
      <w:pPr>
        <w:ind w:firstLine="360"/>
        <w:jc w:val="both"/>
        <w:rPr>
          <w:rFonts w:cstheme="minorHAnsi"/>
        </w:rPr>
      </w:pPr>
      <w:r>
        <w:rPr>
          <w:rFonts w:cstheme="minorHAnsi"/>
        </w:rPr>
        <w:t>1-Hexene (1.00 mmol, 0.12</w:t>
      </w:r>
      <w:r w:rsidR="00870A25" w:rsidRPr="00E47369">
        <w:rPr>
          <w:rFonts w:cstheme="minorHAnsi"/>
        </w:rPr>
        <w:t xml:space="preserve"> mL), CoOMoO</w:t>
      </w:r>
      <w:r w:rsidR="00870A25" w:rsidRPr="00E47369">
        <w:rPr>
          <w:rFonts w:cstheme="minorHAnsi"/>
          <w:vertAlign w:val="subscript"/>
        </w:rPr>
        <w:t>3</w:t>
      </w:r>
      <w:r w:rsidR="00870A25" w:rsidRPr="00E47369">
        <w:rPr>
          <w:rFonts w:cstheme="minorHAnsi"/>
        </w:rPr>
        <w:t>Al</w:t>
      </w:r>
      <w:r w:rsidR="00870A25" w:rsidRPr="00E47369">
        <w:rPr>
          <w:rFonts w:cstheme="minorHAnsi"/>
          <w:vertAlign w:val="subscript"/>
        </w:rPr>
        <w:t>2</w:t>
      </w:r>
      <w:r w:rsidR="00870A25" w:rsidRPr="00E47369">
        <w:rPr>
          <w:rFonts w:cstheme="minorHAnsi"/>
        </w:rPr>
        <w:t>Cl</w:t>
      </w:r>
      <w:r w:rsidR="00870A25" w:rsidRPr="00E47369">
        <w:rPr>
          <w:rFonts w:cstheme="minorHAnsi"/>
          <w:vertAlign w:val="subscript"/>
        </w:rPr>
        <w:t>3</w:t>
      </w:r>
      <w:r w:rsidR="00870A25" w:rsidRPr="00E47369">
        <w:rPr>
          <w:rFonts w:cstheme="minorHAnsi"/>
        </w:rPr>
        <w:t xml:space="preserve"> (0.20 mmol in MoO</w:t>
      </w:r>
      <w:r w:rsidR="00870A25" w:rsidRPr="00E47369">
        <w:rPr>
          <w:rFonts w:cstheme="minorHAnsi"/>
          <w:vertAlign w:val="subscript"/>
        </w:rPr>
        <w:t>3</w:t>
      </w:r>
      <w:r w:rsidR="00870A25" w:rsidRPr="00E47369">
        <w:rPr>
          <w:rFonts w:cstheme="minorHAnsi"/>
        </w:rPr>
        <w:t>, 100 mg), additives (1.10 mmol), and benzene (2.5 mL) were added to a thick-walled Ace glass reactor tube. A N</w:t>
      </w:r>
      <w:r w:rsidR="00870A25" w:rsidRPr="00E47369">
        <w:rPr>
          <w:rFonts w:cstheme="minorHAnsi"/>
          <w:vertAlign w:val="subscript"/>
        </w:rPr>
        <w:t>2</w:t>
      </w:r>
      <w:r w:rsidR="00870A25" w:rsidRPr="00E47369">
        <w:rPr>
          <w:rFonts w:cstheme="minorHAnsi"/>
        </w:rPr>
        <w:t xml:space="preserve"> flow was bubbled into the mixture for at least 60 sec before the Teflon seal was closed. The reactor was placed in an oil bath at 150</w:t>
      </w:r>
      <w:r w:rsidR="00870A25" w:rsidRPr="00E47369">
        <w:rPr>
          <w:rFonts w:cstheme="minorHAnsi"/>
          <w:vertAlign w:val="superscript"/>
        </w:rPr>
        <w:t>o</w:t>
      </w:r>
      <w:r w:rsidR="00870A25" w:rsidRPr="00E47369">
        <w:rPr>
          <w:rFonts w:cstheme="minorHAnsi"/>
        </w:rPr>
        <w:t>C for 24 h while stirring magnetically. After cooling to room temperature, a 100 µL aliquot of the reaction mixture was removed and added to CDCl</w:t>
      </w:r>
      <w:r w:rsidR="00870A25" w:rsidRPr="00E47369">
        <w:rPr>
          <w:rFonts w:cstheme="minorHAnsi"/>
          <w:vertAlign w:val="subscript"/>
        </w:rPr>
        <w:t>3</w:t>
      </w:r>
      <w:r w:rsidR="001F6AEC">
        <w:rPr>
          <w:rFonts w:cstheme="minorHAnsi"/>
        </w:rPr>
        <w:t xml:space="preserve"> (0.5</w:t>
      </w:r>
      <w:r w:rsidR="00870A25" w:rsidRPr="00E47369">
        <w:rPr>
          <w:rFonts w:cstheme="minorHAnsi"/>
        </w:rPr>
        <w:t xml:space="preserve"> mL) and 2.0 µL DMSO as internal standard for NMR analysis. A 0.5 mL aliquot was collected for GC analysis. All olefinic products from the metathesis reactions have been previously reported and were identified by comparison of their NMR and GC spectra with authentic samples or published data.</w:t>
      </w:r>
    </w:p>
    <w:p w14:paraId="7E6223C7" w14:textId="77777777" w:rsidR="00870A25" w:rsidRPr="00E47369" w:rsidRDefault="00870A25" w:rsidP="00870A25">
      <w:pPr>
        <w:jc w:val="center"/>
        <w:rPr>
          <w:rFonts w:cstheme="minorHAnsi"/>
        </w:rPr>
      </w:pPr>
    </w:p>
    <w:p w14:paraId="16039676" w14:textId="77777777" w:rsidR="00870A25" w:rsidRPr="00E47369" w:rsidRDefault="00870A25" w:rsidP="00870A25">
      <w:pPr>
        <w:jc w:val="center"/>
        <w:rPr>
          <w:rFonts w:cstheme="minorHAnsi"/>
          <w:b/>
        </w:rPr>
      </w:pPr>
      <w:r w:rsidRPr="00E47369">
        <w:rPr>
          <w:rFonts w:cstheme="minorHAnsi"/>
          <w:b/>
        </w:rPr>
        <w:t xml:space="preserve">Gas chromatogram                                                   </w:t>
      </w:r>
      <w:r w:rsidRPr="00E47369">
        <w:rPr>
          <w:rFonts w:cstheme="minorHAnsi"/>
          <w:b/>
          <w:vertAlign w:val="superscript"/>
        </w:rPr>
        <w:t>1</w:t>
      </w:r>
      <w:r w:rsidRPr="00E47369">
        <w:rPr>
          <w:rFonts w:cstheme="minorHAnsi"/>
          <w:b/>
        </w:rPr>
        <w:t>H NMR Spectrum</w:t>
      </w:r>
    </w:p>
    <w:p w14:paraId="22AFE870" w14:textId="77777777" w:rsidR="00870A25" w:rsidRPr="00E47369" w:rsidRDefault="00443010" w:rsidP="00870A25">
      <w:pPr>
        <w:jc w:val="center"/>
        <w:rPr>
          <w:rFonts w:cstheme="minorHAnsi"/>
        </w:rPr>
      </w:pPr>
      <w:r>
        <w:rPr>
          <w:rFonts w:cstheme="minorHAnsi"/>
          <w:noProof/>
        </w:rPr>
        <w:object w:dxaOrig="0" w:dyaOrig="0" w14:anchorId="60AE8812">
          <v:shape id="_x0000_s1086" type="#_x0000_t75" style="position:absolute;left:0;text-align:left;margin-left:113.75pt;margin-top:2pt;width:205.1pt;height:15.4pt;z-index:251657728" filled="t" fillcolor="white [3212]" stroked="t" strokecolor="black [3213]">
            <v:imagedata r:id="rId184" o:title=""/>
          </v:shape>
          <o:OLEObject Type="Embed" ProgID="ChemDraw.Document.6.0" ShapeID="_x0000_s1086" DrawAspect="Content" ObjectID="_1532785056" r:id="rId185"/>
        </w:object>
      </w:r>
      <w:r w:rsidR="00870A25" w:rsidRPr="00E47369">
        <w:rPr>
          <w:rFonts w:cstheme="minorHAnsi"/>
          <w:noProof/>
          <w:lang w:bidi="ar-SA"/>
        </w:rPr>
        <w:drawing>
          <wp:inline distT="0" distB="0" distL="0" distR="0" wp14:anchorId="22A7046A" wp14:editId="7C61233B">
            <wp:extent cx="2560320" cy="153154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2560320" cy="1531541"/>
                    </a:xfrm>
                    <a:prstGeom prst="rect">
                      <a:avLst/>
                    </a:prstGeom>
                  </pic:spPr>
                </pic:pic>
              </a:graphicData>
            </a:graphic>
          </wp:inline>
        </w:drawing>
      </w:r>
      <w:r w:rsidR="00870A25" w:rsidRPr="00E47369">
        <w:rPr>
          <w:rFonts w:cstheme="minorHAnsi"/>
          <w:noProof/>
          <w:lang w:bidi="ar-SA"/>
        </w:rPr>
        <w:drawing>
          <wp:inline distT="0" distB="0" distL="0" distR="0" wp14:anchorId="35918EA3" wp14:editId="2C19D4F7">
            <wp:extent cx="2560320" cy="150990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rotWithShape="1">
                    <a:blip r:embed="rId187" cstate="print">
                      <a:extLst>
                        <a:ext uri="{28A0092B-C50C-407E-A947-70E740481C1C}">
                          <a14:useLocalDpi xmlns:a14="http://schemas.microsoft.com/office/drawing/2010/main" val="0"/>
                        </a:ext>
                      </a:extLst>
                    </a:blip>
                    <a:srcRect t="11133" b="12076"/>
                    <a:stretch/>
                  </pic:blipFill>
                  <pic:spPr bwMode="auto">
                    <a:xfrm>
                      <a:off x="0" y="0"/>
                      <a:ext cx="2560320" cy="1509909"/>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5174D3AC" w14:textId="77777777" w:rsidR="00870A25" w:rsidRPr="00E47369" w:rsidRDefault="00443010" w:rsidP="00870A25">
      <w:pPr>
        <w:jc w:val="center"/>
        <w:rPr>
          <w:rFonts w:cstheme="minorHAnsi"/>
        </w:rPr>
      </w:pPr>
      <w:r>
        <w:rPr>
          <w:rFonts w:cstheme="minorHAnsi"/>
          <w:noProof/>
        </w:rPr>
        <w:object w:dxaOrig="0" w:dyaOrig="0" w14:anchorId="760BC1B9">
          <v:shape id="_x0000_s1087" type="#_x0000_t75" style="position:absolute;left:0;text-align:left;margin-left:109.7pt;margin-top:1pt;width:205.1pt;height:27.4pt;z-index:251658752" filled="t" fillcolor="white [3212]" stroked="t" strokecolor="black [3213]">
            <v:imagedata r:id="rId188" o:title=""/>
          </v:shape>
          <o:OLEObject Type="Embed" ProgID="ChemDraw.Document.6.0" ShapeID="_x0000_s1087" DrawAspect="Content" ObjectID="_1532785057" r:id="rId189"/>
        </w:object>
      </w:r>
      <w:r w:rsidR="00870A25" w:rsidRPr="00E47369">
        <w:rPr>
          <w:rFonts w:cstheme="minorHAnsi"/>
          <w:noProof/>
          <w:lang w:bidi="ar-SA"/>
        </w:rPr>
        <w:drawing>
          <wp:inline distT="0" distB="0" distL="0" distR="0" wp14:anchorId="3C13C6AD" wp14:editId="5DB9A70C">
            <wp:extent cx="2560320" cy="1518412"/>
            <wp:effectExtent l="0" t="0" r="0" b="571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2560320" cy="1518412"/>
                    </a:xfrm>
                    <a:prstGeom prst="rect">
                      <a:avLst/>
                    </a:prstGeom>
                  </pic:spPr>
                </pic:pic>
              </a:graphicData>
            </a:graphic>
          </wp:inline>
        </w:drawing>
      </w:r>
      <w:r w:rsidR="00870A25" w:rsidRPr="00E47369">
        <w:rPr>
          <w:rFonts w:cstheme="minorHAnsi"/>
          <w:noProof/>
          <w:lang w:bidi="ar-SA"/>
        </w:rPr>
        <w:drawing>
          <wp:inline distT="0" distB="0" distL="0" distR="0" wp14:anchorId="364A6D26" wp14:editId="604A12F6">
            <wp:extent cx="2560320" cy="1488189"/>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rotWithShape="1">
                    <a:blip r:embed="rId191" cstate="print">
                      <a:extLst>
                        <a:ext uri="{28A0092B-C50C-407E-A947-70E740481C1C}">
                          <a14:useLocalDpi xmlns:a14="http://schemas.microsoft.com/office/drawing/2010/main" val="0"/>
                        </a:ext>
                      </a:extLst>
                    </a:blip>
                    <a:srcRect t="11959" b="12402"/>
                    <a:stretch/>
                  </pic:blipFill>
                  <pic:spPr bwMode="auto">
                    <a:xfrm>
                      <a:off x="0" y="0"/>
                      <a:ext cx="2560320" cy="1488189"/>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09E9562A" w14:textId="77777777" w:rsidR="00870A25" w:rsidRPr="00E47369" w:rsidRDefault="00443010" w:rsidP="00870A25">
      <w:pPr>
        <w:jc w:val="center"/>
        <w:rPr>
          <w:rFonts w:cstheme="minorHAnsi"/>
        </w:rPr>
      </w:pPr>
      <w:r>
        <w:rPr>
          <w:rFonts w:cstheme="minorHAnsi"/>
          <w:noProof/>
        </w:rPr>
        <w:object w:dxaOrig="0" w:dyaOrig="0" w14:anchorId="14C63E23">
          <v:shape id="_x0000_s1088" type="#_x0000_t75" style="position:absolute;left:0;text-align:left;margin-left:119.35pt;margin-top:2.85pt;width:205.5pt;height:51.5pt;z-index:251659776" filled="t" fillcolor="white [3212]" stroked="t" strokecolor="black [3213]">
            <v:imagedata r:id="rId192" o:title=""/>
          </v:shape>
          <o:OLEObject Type="Embed" ProgID="ChemDraw.Document.6.0" ShapeID="_x0000_s1088" DrawAspect="Content" ObjectID="_1532785058" r:id="rId193"/>
        </w:object>
      </w:r>
      <w:r w:rsidR="00870A25" w:rsidRPr="00E47369">
        <w:rPr>
          <w:rFonts w:cstheme="minorHAnsi"/>
          <w:noProof/>
          <w:lang w:bidi="ar-SA"/>
        </w:rPr>
        <w:drawing>
          <wp:inline distT="0" distB="0" distL="0" distR="0" wp14:anchorId="144A853B" wp14:editId="09E5EAF9">
            <wp:extent cx="2560320" cy="1538109"/>
            <wp:effectExtent l="0" t="0" r="0" b="50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2560320" cy="1538109"/>
                    </a:xfrm>
                    <a:prstGeom prst="rect">
                      <a:avLst/>
                    </a:prstGeom>
                  </pic:spPr>
                </pic:pic>
              </a:graphicData>
            </a:graphic>
          </wp:inline>
        </w:drawing>
      </w:r>
      <w:r w:rsidR="00870A25" w:rsidRPr="00E47369">
        <w:rPr>
          <w:rFonts w:cstheme="minorHAnsi"/>
          <w:noProof/>
          <w:lang w:bidi="ar-SA"/>
        </w:rPr>
        <w:drawing>
          <wp:inline distT="0" distB="0" distL="0" distR="0" wp14:anchorId="54741152" wp14:editId="03C95FD8">
            <wp:extent cx="2560320" cy="1496399"/>
            <wp:effectExtent l="0" t="0" r="0"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rotWithShape="1">
                    <a:blip r:embed="rId195" cstate="print">
                      <a:extLst>
                        <a:ext uri="{28A0092B-C50C-407E-A947-70E740481C1C}">
                          <a14:useLocalDpi xmlns:a14="http://schemas.microsoft.com/office/drawing/2010/main" val="0"/>
                        </a:ext>
                      </a:extLst>
                    </a:blip>
                    <a:srcRect t="10986" b="12959"/>
                    <a:stretch/>
                  </pic:blipFill>
                  <pic:spPr bwMode="auto">
                    <a:xfrm>
                      <a:off x="0" y="0"/>
                      <a:ext cx="2560320" cy="1496399"/>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579B3337" w14:textId="77777777" w:rsidR="00870A25" w:rsidRPr="00E47369" w:rsidRDefault="00443010" w:rsidP="00870A25">
      <w:pPr>
        <w:jc w:val="center"/>
        <w:rPr>
          <w:rFonts w:cstheme="minorHAnsi"/>
        </w:rPr>
      </w:pPr>
      <w:r>
        <w:rPr>
          <w:rFonts w:cstheme="minorHAnsi"/>
          <w:noProof/>
        </w:rPr>
        <w:object w:dxaOrig="0" w:dyaOrig="0" w14:anchorId="5F6E87E8">
          <v:shape id="_x0000_s1089" type="#_x0000_t75" style="position:absolute;left:0;text-align:left;margin-left:131.3pt;margin-top:.8pt;width:205.3pt;height:49.65pt;z-index:251660800" filled="t" fillcolor="white [3212]" stroked="t" strokecolor="black [3213]">
            <v:imagedata r:id="rId196" o:title=""/>
          </v:shape>
          <o:OLEObject Type="Embed" ProgID="ChemDraw.Document.6.0" ShapeID="_x0000_s1089" DrawAspect="Content" ObjectID="_1532785059" r:id="rId197"/>
        </w:object>
      </w:r>
      <w:r w:rsidR="00870A25" w:rsidRPr="00E47369">
        <w:rPr>
          <w:rFonts w:cstheme="minorHAnsi"/>
          <w:noProof/>
          <w:lang w:bidi="ar-SA"/>
        </w:rPr>
        <w:drawing>
          <wp:inline distT="0" distB="0" distL="0" distR="0" wp14:anchorId="2E60B017" wp14:editId="4E502FE8">
            <wp:extent cx="2560320" cy="1521147"/>
            <wp:effectExtent l="0" t="0" r="0" b="317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2560320" cy="1521147"/>
                    </a:xfrm>
                    <a:prstGeom prst="rect">
                      <a:avLst/>
                    </a:prstGeom>
                  </pic:spPr>
                </pic:pic>
              </a:graphicData>
            </a:graphic>
          </wp:inline>
        </w:drawing>
      </w:r>
      <w:r w:rsidR="00870A25" w:rsidRPr="00E47369">
        <w:rPr>
          <w:rFonts w:cstheme="minorHAnsi"/>
          <w:noProof/>
          <w:lang w:bidi="ar-SA"/>
        </w:rPr>
        <w:drawing>
          <wp:inline distT="0" distB="0" distL="0" distR="0" wp14:anchorId="754AB10B" wp14:editId="4D76E410">
            <wp:extent cx="2560320" cy="1482720"/>
            <wp:effectExtent l="0" t="0" r="0" b="381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rotWithShape="1">
                    <a:blip r:embed="rId199" cstate="print">
                      <a:extLst>
                        <a:ext uri="{28A0092B-C50C-407E-A947-70E740481C1C}">
                          <a14:useLocalDpi xmlns:a14="http://schemas.microsoft.com/office/drawing/2010/main" val="0"/>
                        </a:ext>
                      </a:extLst>
                    </a:blip>
                    <a:srcRect t="12345" b="12482"/>
                    <a:stretch/>
                  </pic:blipFill>
                  <pic:spPr bwMode="auto">
                    <a:xfrm>
                      <a:off x="0" y="0"/>
                      <a:ext cx="2560320" cy="1482720"/>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7808BA64" w14:textId="77777777" w:rsidR="00870A25" w:rsidRPr="00E47369" w:rsidRDefault="00443010" w:rsidP="00870A25">
      <w:pPr>
        <w:jc w:val="center"/>
        <w:rPr>
          <w:rFonts w:cstheme="minorHAnsi"/>
        </w:rPr>
      </w:pPr>
      <w:r>
        <w:rPr>
          <w:rFonts w:cstheme="minorHAnsi"/>
          <w:noProof/>
        </w:rPr>
        <w:object w:dxaOrig="0" w:dyaOrig="0" w14:anchorId="65181765">
          <v:shape id="_x0000_s1090" type="#_x0000_t75" style="position:absolute;left:0;text-align:left;margin-left:131.3pt;margin-top:1.4pt;width:205.3pt;height:49.65pt;z-index:251661824" filled="t" fillcolor="white [3212]" stroked="t" strokecolor="black [3213]">
            <v:imagedata r:id="rId200" o:title=""/>
          </v:shape>
          <o:OLEObject Type="Embed" ProgID="ChemDraw.Document.6.0" ShapeID="_x0000_s1090" DrawAspect="Content" ObjectID="_1532785060" r:id="rId201"/>
        </w:object>
      </w:r>
      <w:r w:rsidR="00870A25" w:rsidRPr="00E47369">
        <w:rPr>
          <w:rFonts w:cstheme="minorHAnsi"/>
          <w:noProof/>
          <w:lang w:bidi="ar-SA"/>
        </w:rPr>
        <w:drawing>
          <wp:inline distT="0" distB="0" distL="0" distR="0" wp14:anchorId="684678DF" wp14:editId="7297F486">
            <wp:extent cx="2560320" cy="1531542"/>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2560320" cy="1531542"/>
                    </a:xfrm>
                    <a:prstGeom prst="rect">
                      <a:avLst/>
                    </a:prstGeom>
                  </pic:spPr>
                </pic:pic>
              </a:graphicData>
            </a:graphic>
          </wp:inline>
        </w:drawing>
      </w:r>
      <w:r w:rsidR="00870A25" w:rsidRPr="00E47369">
        <w:rPr>
          <w:rFonts w:cstheme="minorHAnsi"/>
          <w:noProof/>
          <w:lang w:bidi="ar-SA"/>
        </w:rPr>
        <w:drawing>
          <wp:inline distT="0" distB="0" distL="0" distR="0" wp14:anchorId="4A8CC000" wp14:editId="14AE9BA4">
            <wp:extent cx="2560320" cy="1491841"/>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rotWithShape="1">
                    <a:blip r:embed="rId203" cstate="print">
                      <a:extLst>
                        <a:ext uri="{28A0092B-C50C-407E-A947-70E740481C1C}">
                          <a14:useLocalDpi xmlns:a14="http://schemas.microsoft.com/office/drawing/2010/main" val="0"/>
                        </a:ext>
                      </a:extLst>
                    </a:blip>
                    <a:srcRect t="10875" b="13301"/>
                    <a:stretch/>
                  </pic:blipFill>
                  <pic:spPr bwMode="auto">
                    <a:xfrm>
                      <a:off x="0" y="0"/>
                      <a:ext cx="2560320" cy="1491841"/>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01E38060" w14:textId="77777777" w:rsidR="00870A25" w:rsidRPr="00E47369" w:rsidRDefault="00443010" w:rsidP="00870A25">
      <w:pPr>
        <w:jc w:val="center"/>
        <w:rPr>
          <w:rFonts w:cstheme="minorHAnsi"/>
        </w:rPr>
      </w:pPr>
      <w:r>
        <w:rPr>
          <w:rFonts w:cstheme="minorHAnsi"/>
          <w:noProof/>
        </w:rPr>
        <w:object w:dxaOrig="0" w:dyaOrig="0" w14:anchorId="09959BAD">
          <v:shape id="_x0000_s1091" type="#_x0000_t75" style="position:absolute;left:0;text-align:left;margin-left:109.6pt;margin-top:5.95pt;width:205.3pt;height:50.4pt;z-index:251662848" filled="t" fillcolor="white [3212]" stroked="t" strokecolor="black [3213]">
            <v:imagedata r:id="rId204" o:title=""/>
          </v:shape>
          <o:OLEObject Type="Embed" ProgID="ChemDraw.Document.6.0" ShapeID="_x0000_s1091" DrawAspect="Content" ObjectID="_1532785061" r:id="rId205"/>
        </w:object>
      </w:r>
      <w:r w:rsidR="00870A25" w:rsidRPr="00E47369">
        <w:rPr>
          <w:rFonts w:cstheme="minorHAnsi"/>
          <w:noProof/>
          <w:lang w:bidi="ar-SA"/>
        </w:rPr>
        <w:drawing>
          <wp:inline distT="0" distB="0" distL="0" distR="0" wp14:anchorId="4B81FF0F" wp14:editId="5522B9AA">
            <wp:extent cx="2560320" cy="1547133"/>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2560320" cy="1547133"/>
                    </a:xfrm>
                    <a:prstGeom prst="rect">
                      <a:avLst/>
                    </a:prstGeom>
                  </pic:spPr>
                </pic:pic>
              </a:graphicData>
            </a:graphic>
          </wp:inline>
        </w:drawing>
      </w:r>
      <w:r w:rsidR="00870A25" w:rsidRPr="00E47369">
        <w:rPr>
          <w:rFonts w:cstheme="minorHAnsi"/>
          <w:noProof/>
          <w:lang w:bidi="ar-SA"/>
        </w:rPr>
        <w:drawing>
          <wp:inline distT="0" distB="0" distL="0" distR="0" wp14:anchorId="30399915" wp14:editId="2CB28ACE">
            <wp:extent cx="2560320" cy="1522402"/>
            <wp:effectExtent l="0" t="0" r="0" b="19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rotWithShape="1">
                    <a:blip r:embed="rId207" cstate="print">
                      <a:extLst>
                        <a:ext uri="{28A0092B-C50C-407E-A947-70E740481C1C}">
                          <a14:useLocalDpi xmlns:a14="http://schemas.microsoft.com/office/drawing/2010/main" val="0"/>
                        </a:ext>
                      </a:extLst>
                    </a:blip>
                    <a:srcRect t="10027" b="12595"/>
                    <a:stretch/>
                  </pic:blipFill>
                  <pic:spPr bwMode="auto">
                    <a:xfrm>
                      <a:off x="0" y="0"/>
                      <a:ext cx="2560320" cy="1522402"/>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0FC081AC" w14:textId="77777777" w:rsidR="00870A25" w:rsidRPr="00E47369" w:rsidRDefault="00443010" w:rsidP="00870A25">
      <w:pPr>
        <w:jc w:val="center"/>
        <w:rPr>
          <w:rFonts w:cstheme="minorHAnsi"/>
        </w:rPr>
      </w:pPr>
      <w:r>
        <w:rPr>
          <w:rFonts w:cstheme="minorHAnsi"/>
          <w:noProof/>
        </w:rPr>
        <w:object w:dxaOrig="0" w:dyaOrig="0" w14:anchorId="5883C1F3">
          <v:shape id="_x0000_s1092" type="#_x0000_t75" style="position:absolute;left:0;text-align:left;margin-left:131.3pt;margin-top:3.7pt;width:205.3pt;height:50.45pt;z-index:251663872" filled="t" fillcolor="white [3212]" stroked="t" strokecolor="black [3213]">
            <v:imagedata r:id="rId208" o:title=""/>
          </v:shape>
          <o:OLEObject Type="Embed" ProgID="ChemDraw.Document.6.0" ShapeID="_x0000_s1092" DrawAspect="Content" ObjectID="_1532785062" r:id="rId209"/>
        </w:object>
      </w:r>
      <w:r w:rsidR="00870A25" w:rsidRPr="00E47369">
        <w:rPr>
          <w:rFonts w:cstheme="minorHAnsi"/>
          <w:noProof/>
          <w:lang w:bidi="ar-SA"/>
        </w:rPr>
        <w:drawing>
          <wp:inline distT="0" distB="0" distL="0" distR="0" wp14:anchorId="51B45B32" wp14:editId="0F1B77CA">
            <wp:extent cx="2560320" cy="1541937"/>
            <wp:effectExtent l="0" t="0" r="0" b="127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2560320" cy="1541937"/>
                    </a:xfrm>
                    <a:prstGeom prst="rect">
                      <a:avLst/>
                    </a:prstGeom>
                  </pic:spPr>
                </pic:pic>
              </a:graphicData>
            </a:graphic>
          </wp:inline>
        </w:drawing>
      </w:r>
      <w:r w:rsidR="00870A25" w:rsidRPr="00E47369">
        <w:rPr>
          <w:rFonts w:cstheme="minorHAnsi"/>
          <w:noProof/>
          <w:lang w:bidi="ar-SA"/>
        </w:rPr>
        <w:drawing>
          <wp:inline distT="0" distB="0" distL="0" distR="0" wp14:anchorId="2BCF4611" wp14:editId="49BFD12B">
            <wp:extent cx="2560320" cy="1511288"/>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rotWithShape="1">
                    <a:blip r:embed="rId211" cstate="print">
                      <a:extLst>
                        <a:ext uri="{28A0092B-C50C-407E-A947-70E740481C1C}">
                          <a14:useLocalDpi xmlns:a14="http://schemas.microsoft.com/office/drawing/2010/main" val="0"/>
                        </a:ext>
                      </a:extLst>
                    </a:blip>
                    <a:srcRect t="10451" b="12737"/>
                    <a:stretch/>
                  </pic:blipFill>
                  <pic:spPr bwMode="auto">
                    <a:xfrm>
                      <a:off x="0" y="0"/>
                      <a:ext cx="2560320" cy="1511288"/>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673B7010" w14:textId="77777777" w:rsidR="00870A25" w:rsidRPr="00E47369" w:rsidRDefault="00443010" w:rsidP="00870A25">
      <w:pPr>
        <w:jc w:val="center"/>
        <w:rPr>
          <w:rFonts w:cstheme="minorHAnsi"/>
        </w:rPr>
      </w:pPr>
      <w:r>
        <w:rPr>
          <w:rFonts w:cstheme="minorHAnsi"/>
          <w:noProof/>
        </w:rPr>
        <w:object w:dxaOrig="0" w:dyaOrig="0" w14:anchorId="5EC8340A">
          <v:shape id="_x0000_s1093" type="#_x0000_t75" style="position:absolute;left:0;text-align:left;margin-left:131.3pt;margin-top:1.2pt;width:205.45pt;height:38.2pt;z-index:251664896" filled="t" fillcolor="white [3212]" stroked="t" strokecolor="black [3213]">
            <v:imagedata r:id="rId212" o:title=""/>
          </v:shape>
          <o:OLEObject Type="Embed" ProgID="ChemDraw.Document.6.0" ShapeID="_x0000_s1093" DrawAspect="Content" ObjectID="_1532785063" r:id="rId213"/>
        </w:object>
      </w:r>
      <w:r w:rsidR="00870A25" w:rsidRPr="00E47369">
        <w:rPr>
          <w:rFonts w:cstheme="minorHAnsi"/>
          <w:noProof/>
          <w:lang w:bidi="ar-SA"/>
        </w:rPr>
        <w:drawing>
          <wp:inline distT="0" distB="0" distL="0" distR="0" wp14:anchorId="4181402B" wp14:editId="168797FA">
            <wp:extent cx="2560320" cy="1518412"/>
            <wp:effectExtent l="0" t="0" r="0"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2560320" cy="1518412"/>
                    </a:xfrm>
                    <a:prstGeom prst="rect">
                      <a:avLst/>
                    </a:prstGeom>
                  </pic:spPr>
                </pic:pic>
              </a:graphicData>
            </a:graphic>
          </wp:inline>
        </w:drawing>
      </w:r>
      <w:r w:rsidR="00870A25" w:rsidRPr="00E47369">
        <w:rPr>
          <w:rFonts w:cstheme="minorHAnsi"/>
          <w:noProof/>
          <w:lang w:bidi="ar-SA"/>
        </w:rPr>
        <w:drawing>
          <wp:inline distT="0" distB="0" distL="0" distR="0" wp14:anchorId="6ADE09F0" wp14:editId="63303E43">
            <wp:extent cx="2560320" cy="1483504"/>
            <wp:effectExtent l="0" t="0" r="0" b="254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rotWithShape="1">
                    <a:blip r:embed="rId215" cstate="print">
                      <a:extLst>
                        <a:ext uri="{28A0092B-C50C-407E-A947-70E740481C1C}">
                          <a14:useLocalDpi xmlns:a14="http://schemas.microsoft.com/office/drawing/2010/main" val="0"/>
                        </a:ext>
                      </a:extLst>
                    </a:blip>
                    <a:srcRect t="11722" b="12879"/>
                    <a:stretch/>
                  </pic:blipFill>
                  <pic:spPr bwMode="auto">
                    <a:xfrm>
                      <a:off x="0" y="0"/>
                      <a:ext cx="2560320" cy="1483504"/>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6E46F8B7" w14:textId="77777777" w:rsidR="00870A25" w:rsidRPr="00E47369" w:rsidRDefault="00443010" w:rsidP="00870A25">
      <w:pPr>
        <w:jc w:val="center"/>
        <w:rPr>
          <w:rFonts w:cstheme="minorHAnsi"/>
        </w:rPr>
      </w:pPr>
      <w:r>
        <w:rPr>
          <w:rFonts w:cstheme="minorHAnsi"/>
          <w:noProof/>
        </w:rPr>
        <w:object w:dxaOrig="0" w:dyaOrig="0" w14:anchorId="4CD176C4">
          <v:shape id="_x0000_s1094" type="#_x0000_t75" style="position:absolute;left:0;text-align:left;margin-left:141.8pt;margin-top:6.35pt;width:177.25pt;height:16.15pt;z-index:251665920" filled="t" fillcolor="white [3212]" stroked="t" strokecolor="black [3213]">
            <v:imagedata r:id="rId216" o:title=""/>
          </v:shape>
          <o:OLEObject Type="Embed" ProgID="ChemDraw.Document.6.0" ShapeID="_x0000_s1094" DrawAspect="Content" ObjectID="_1532785064" r:id="rId217"/>
        </w:object>
      </w:r>
      <w:r w:rsidR="00870A25" w:rsidRPr="00E47369">
        <w:rPr>
          <w:rFonts w:cstheme="minorHAnsi"/>
          <w:noProof/>
          <w:lang w:bidi="ar-SA"/>
        </w:rPr>
        <w:drawing>
          <wp:inline distT="0" distB="0" distL="0" distR="0" wp14:anchorId="1AC622A9" wp14:editId="3E2C5E9F">
            <wp:extent cx="2560320" cy="1534003"/>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2560320" cy="1534003"/>
                    </a:xfrm>
                    <a:prstGeom prst="rect">
                      <a:avLst/>
                    </a:prstGeom>
                  </pic:spPr>
                </pic:pic>
              </a:graphicData>
            </a:graphic>
          </wp:inline>
        </w:drawing>
      </w:r>
      <w:r w:rsidR="00870A25" w:rsidRPr="00E47369">
        <w:rPr>
          <w:rFonts w:cstheme="minorHAnsi"/>
          <w:noProof/>
          <w:lang w:bidi="ar-SA"/>
        </w:rPr>
        <w:drawing>
          <wp:inline distT="0" distB="0" distL="0" distR="0" wp14:anchorId="4736E090" wp14:editId="1F51D63F">
            <wp:extent cx="2560320" cy="1494619"/>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rotWithShape="1">
                    <a:blip r:embed="rId219" cstate="print">
                      <a:extLst>
                        <a:ext uri="{28A0092B-C50C-407E-A947-70E740481C1C}">
                          <a14:useLocalDpi xmlns:a14="http://schemas.microsoft.com/office/drawing/2010/main" val="0"/>
                        </a:ext>
                      </a:extLst>
                    </a:blip>
                    <a:srcRect t="11016" b="13020"/>
                    <a:stretch/>
                  </pic:blipFill>
                  <pic:spPr bwMode="auto">
                    <a:xfrm>
                      <a:off x="0" y="0"/>
                      <a:ext cx="2560320" cy="1494619"/>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33C07BB1" w14:textId="77777777" w:rsidR="00870A25" w:rsidRPr="00E47369" w:rsidRDefault="00870A25" w:rsidP="00870A25">
      <w:pPr>
        <w:jc w:val="center"/>
        <w:rPr>
          <w:rFonts w:cstheme="minorHAnsi"/>
        </w:rPr>
      </w:pPr>
    </w:p>
    <w:p w14:paraId="7A560ED6" w14:textId="77777777" w:rsidR="00870A25" w:rsidRPr="00E47369" w:rsidRDefault="00870A25" w:rsidP="00725A3B">
      <w:pPr>
        <w:pStyle w:val="Heading41"/>
      </w:pPr>
      <w:r w:rsidRPr="00E47369">
        <w:t>Representative procedure for DODH reactions using CoOMoO</w:t>
      </w:r>
      <w:r w:rsidRPr="00E47369">
        <w:rPr>
          <w:vertAlign w:val="subscript"/>
        </w:rPr>
        <w:t>3</w:t>
      </w:r>
      <w:r w:rsidRPr="00E47369">
        <w:t>Al</w:t>
      </w:r>
      <w:r w:rsidRPr="00E47369">
        <w:rPr>
          <w:vertAlign w:val="subscript"/>
        </w:rPr>
        <w:t>2</w:t>
      </w:r>
      <w:r w:rsidRPr="00E47369">
        <w:t>Cl</w:t>
      </w:r>
      <w:r w:rsidRPr="00E47369">
        <w:rPr>
          <w:vertAlign w:val="subscript"/>
        </w:rPr>
        <w:t xml:space="preserve">3 </w:t>
      </w:r>
      <w:r w:rsidRPr="00E47369">
        <w:t xml:space="preserve">as catalyst. </w:t>
      </w:r>
    </w:p>
    <w:p w14:paraId="52842A44" w14:textId="2D578EEC" w:rsidR="00870A25" w:rsidRPr="00E47369" w:rsidRDefault="00870A25" w:rsidP="00870A25">
      <w:pPr>
        <w:jc w:val="both"/>
        <w:rPr>
          <w:rFonts w:cstheme="minorHAnsi"/>
        </w:rPr>
      </w:pPr>
      <w:r w:rsidRPr="00E47369">
        <w:rPr>
          <w:rFonts w:cstheme="minorHAnsi"/>
        </w:rPr>
        <w:tab/>
      </w:r>
      <w:r w:rsidR="005A37AB">
        <w:rPr>
          <w:rFonts w:cstheme="minorHAnsi"/>
        </w:rPr>
        <w:t>1,2-Hexanediol (1.00 mmol, 0.12</w:t>
      </w:r>
      <w:r w:rsidRPr="00E47369">
        <w:rPr>
          <w:rFonts w:cstheme="minorHAnsi"/>
        </w:rPr>
        <w:t xml:space="preserve"> mL), CoOMoO</w:t>
      </w:r>
      <w:r w:rsidRPr="00E47369">
        <w:rPr>
          <w:rFonts w:cstheme="minorHAnsi"/>
          <w:vertAlign w:val="subscript"/>
        </w:rPr>
        <w:t>3</w:t>
      </w:r>
      <w:r w:rsidRPr="00E47369">
        <w:rPr>
          <w:rFonts w:cstheme="minorHAnsi"/>
        </w:rPr>
        <w:t>Al</w:t>
      </w:r>
      <w:r w:rsidRPr="00E47369">
        <w:rPr>
          <w:rFonts w:cstheme="minorHAnsi"/>
          <w:vertAlign w:val="subscript"/>
        </w:rPr>
        <w:t>2</w:t>
      </w:r>
      <w:r w:rsidRPr="00E47369">
        <w:rPr>
          <w:rFonts w:cstheme="minorHAnsi"/>
        </w:rPr>
        <w:t>Cl</w:t>
      </w:r>
      <w:r w:rsidRPr="00E47369">
        <w:rPr>
          <w:rFonts w:cstheme="minorHAnsi"/>
          <w:vertAlign w:val="subscript"/>
        </w:rPr>
        <w:t>3</w:t>
      </w:r>
      <w:r w:rsidRPr="00E47369">
        <w:rPr>
          <w:rFonts w:cstheme="minorHAnsi"/>
        </w:rPr>
        <w:t xml:space="preserve"> (0.20 mmol in MoO</w:t>
      </w:r>
      <w:r w:rsidRPr="00E47369">
        <w:rPr>
          <w:rFonts w:cstheme="minorHAnsi"/>
          <w:vertAlign w:val="subscript"/>
        </w:rPr>
        <w:t>3</w:t>
      </w:r>
      <w:r w:rsidRPr="00E47369">
        <w:rPr>
          <w:rFonts w:cstheme="minorHAnsi"/>
        </w:rPr>
        <w:t>, 100 mg), sodium sulfite (1.00 mmol, 126 mg) molecular sieves powder 4Å (100 mg), and benzene (2.5 mL) were added to a thick-walled Ace glass reactor tube. A N</w:t>
      </w:r>
      <w:r w:rsidRPr="00E47369">
        <w:rPr>
          <w:rFonts w:cstheme="minorHAnsi"/>
          <w:vertAlign w:val="subscript"/>
        </w:rPr>
        <w:t>2</w:t>
      </w:r>
      <w:r w:rsidRPr="00E47369">
        <w:rPr>
          <w:rFonts w:cstheme="minorHAnsi"/>
        </w:rPr>
        <w:t xml:space="preserve"> flow was bubbled into the mixture for at least 60 sec before the Teflon seal was closed. The reactor was placed in an oil bath at 150</w:t>
      </w:r>
      <w:r w:rsidRPr="00E47369">
        <w:rPr>
          <w:rFonts w:cstheme="minorHAnsi"/>
          <w:vertAlign w:val="superscript"/>
        </w:rPr>
        <w:t>o</w:t>
      </w:r>
      <w:r w:rsidRPr="00E47369">
        <w:rPr>
          <w:rFonts w:cstheme="minorHAnsi"/>
        </w:rPr>
        <w:t>C for 24 h while stirring magnetically. After cooling to room temperature, a 100 µL aliquot of the reaction mixture was removed and added to CDCl</w:t>
      </w:r>
      <w:r w:rsidRPr="00E47369">
        <w:rPr>
          <w:rFonts w:cstheme="minorHAnsi"/>
          <w:vertAlign w:val="subscript"/>
        </w:rPr>
        <w:t>3</w:t>
      </w:r>
      <w:r w:rsidRPr="00E47369">
        <w:rPr>
          <w:rFonts w:cstheme="minorHAnsi"/>
        </w:rPr>
        <w:t xml:space="preserve"> (0.500 mL) and 2.0 µL DMSO as internal standard for NMR analysis. A 0.5 mL aliquot was collected for GC analysis. All olefinic products from the metathesis reactions have been previously reported and were identified by comparison of their NMR and GC spectra with authentic samples or published data. </w:t>
      </w:r>
    </w:p>
    <w:p w14:paraId="1330263D" w14:textId="08DE41C9" w:rsidR="00725A3B" w:rsidRDefault="00443010" w:rsidP="00537311">
      <w:pPr>
        <w:jc w:val="center"/>
        <w:rPr>
          <w:rFonts w:cstheme="minorHAnsi"/>
          <w:color w:val="000000" w:themeColor="text1"/>
        </w:rPr>
      </w:pPr>
      <w:r>
        <w:rPr>
          <w:rFonts w:cstheme="minorHAnsi"/>
          <w:noProof/>
        </w:rPr>
        <w:object w:dxaOrig="0" w:dyaOrig="0" w14:anchorId="2194F1E0">
          <v:shape id="_x0000_s1095" type="#_x0000_t75" style="position:absolute;left:0;text-align:left;margin-left:101.3pt;margin-top:6.55pt;width:221.85pt;height:38.2pt;z-index:251666944" filled="t" fillcolor="white [3212]" stroked="t" strokecolor="black [3213]">
            <v:imagedata r:id="rId220" o:title=""/>
          </v:shape>
          <o:OLEObject Type="Embed" ProgID="ChemDraw.Document.6.0" ShapeID="_x0000_s1095" DrawAspect="Content" ObjectID="_1532785065" r:id="rId221"/>
        </w:object>
      </w:r>
      <w:r w:rsidR="00870A25" w:rsidRPr="00E47369">
        <w:rPr>
          <w:rFonts w:cstheme="minorHAnsi"/>
          <w:noProof/>
          <w:lang w:bidi="ar-SA"/>
        </w:rPr>
        <w:drawing>
          <wp:inline distT="0" distB="0" distL="0" distR="0" wp14:anchorId="6A0FE0AF" wp14:editId="7E2B9042">
            <wp:extent cx="2560320" cy="1535370"/>
            <wp:effectExtent l="0" t="0" r="0" b="825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2560320" cy="1535370"/>
                    </a:xfrm>
                    <a:prstGeom prst="rect">
                      <a:avLst/>
                    </a:prstGeom>
                  </pic:spPr>
                </pic:pic>
              </a:graphicData>
            </a:graphic>
          </wp:inline>
        </w:drawing>
      </w:r>
      <w:r w:rsidR="00870A25" w:rsidRPr="00E47369">
        <w:rPr>
          <w:rFonts w:cstheme="minorHAnsi"/>
          <w:noProof/>
          <w:lang w:bidi="ar-SA"/>
        </w:rPr>
        <w:drawing>
          <wp:inline distT="0" distB="0" distL="0" distR="0" wp14:anchorId="684A2963" wp14:editId="0022AD16">
            <wp:extent cx="2560320" cy="1466830"/>
            <wp:effectExtent l="0" t="0" r="0" b="63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rotWithShape="1">
                    <a:blip r:embed="rId223" cstate="print">
                      <a:extLst>
                        <a:ext uri="{28A0092B-C50C-407E-A947-70E740481C1C}">
                          <a14:useLocalDpi xmlns:a14="http://schemas.microsoft.com/office/drawing/2010/main" val="0"/>
                        </a:ext>
                      </a:extLst>
                    </a:blip>
                    <a:srcRect t="12570" b="12878"/>
                    <a:stretch/>
                  </pic:blipFill>
                  <pic:spPr bwMode="auto">
                    <a:xfrm>
                      <a:off x="0" y="0"/>
                      <a:ext cx="2560320" cy="1466830"/>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39379D65" w14:textId="77777777" w:rsidR="00725A3B" w:rsidRPr="00725A3B" w:rsidRDefault="00725A3B" w:rsidP="00725A3B">
      <w:pPr>
        <w:pStyle w:val="Heading41"/>
      </w:pPr>
      <w:r>
        <w:rPr>
          <w:rStyle w:val="heading4Char0"/>
          <w:i/>
        </w:rPr>
        <w:t>P</w:t>
      </w:r>
      <w:r w:rsidRPr="00725A3B">
        <w:rPr>
          <w:rStyle w:val="heading4Char0"/>
          <w:i/>
        </w:rPr>
        <w:t>rocedure for DO</w:t>
      </w:r>
      <w:r>
        <w:rPr>
          <w:rStyle w:val="heading4Char0"/>
          <w:i/>
        </w:rPr>
        <w:t>/Metathesis reaction</w:t>
      </w:r>
      <w:r w:rsidRPr="00725A3B">
        <w:rPr>
          <w:rStyle w:val="heading4Char0"/>
          <w:i/>
        </w:rPr>
        <w:t xml:space="preserve"> using </w:t>
      </w:r>
      <w:r>
        <w:rPr>
          <w:rStyle w:val="heading4Char0"/>
          <w:i/>
        </w:rPr>
        <w:t>of 1-hexene oxide</w:t>
      </w:r>
      <w:r w:rsidRPr="00725A3B">
        <w:t xml:space="preserve"> </w:t>
      </w:r>
    </w:p>
    <w:p w14:paraId="259DFE1D" w14:textId="14735637" w:rsidR="00725A3B" w:rsidRPr="00E47369" w:rsidRDefault="005A37AB" w:rsidP="00725A3B">
      <w:pPr>
        <w:ind w:firstLine="360"/>
        <w:jc w:val="both"/>
        <w:rPr>
          <w:rFonts w:cstheme="minorHAnsi"/>
        </w:rPr>
      </w:pPr>
      <w:r>
        <w:rPr>
          <w:rFonts w:cstheme="minorHAnsi"/>
        </w:rPr>
        <w:t>1-Hexene oxide (1.00 mmol, 0.12</w:t>
      </w:r>
      <w:r w:rsidR="00725A3B" w:rsidRPr="00E47369">
        <w:rPr>
          <w:rFonts w:cstheme="minorHAnsi"/>
        </w:rPr>
        <w:t xml:space="preserve"> mL), </w:t>
      </w:r>
      <w:r w:rsidR="00725A3B">
        <w:rPr>
          <w:rFonts w:cstheme="minorHAnsi"/>
        </w:rPr>
        <w:t>MeReO</w:t>
      </w:r>
      <w:r w:rsidR="00725A3B" w:rsidRPr="00725A3B">
        <w:rPr>
          <w:rFonts w:cstheme="minorHAnsi"/>
          <w:vertAlign w:val="subscript"/>
        </w:rPr>
        <w:t>3</w:t>
      </w:r>
      <w:r w:rsidR="00725A3B">
        <w:rPr>
          <w:rFonts w:cstheme="minorHAnsi"/>
        </w:rPr>
        <w:t xml:space="preserve"> (0.10 mol%), </w:t>
      </w:r>
      <w:r w:rsidR="00725A3B" w:rsidRPr="00E47369">
        <w:rPr>
          <w:rFonts w:cstheme="minorHAnsi"/>
        </w:rPr>
        <w:t>CoOMoO</w:t>
      </w:r>
      <w:r w:rsidR="00725A3B" w:rsidRPr="00E47369">
        <w:rPr>
          <w:rFonts w:cstheme="minorHAnsi"/>
          <w:vertAlign w:val="subscript"/>
        </w:rPr>
        <w:t>3</w:t>
      </w:r>
      <w:r w:rsidR="00725A3B" w:rsidRPr="00E47369">
        <w:rPr>
          <w:rFonts w:cstheme="minorHAnsi"/>
        </w:rPr>
        <w:t>Al</w:t>
      </w:r>
      <w:r w:rsidR="00725A3B" w:rsidRPr="00E47369">
        <w:rPr>
          <w:rFonts w:cstheme="minorHAnsi"/>
          <w:vertAlign w:val="subscript"/>
        </w:rPr>
        <w:t>2</w:t>
      </w:r>
      <w:r w:rsidR="00725A3B" w:rsidRPr="00E47369">
        <w:rPr>
          <w:rFonts w:cstheme="minorHAnsi"/>
        </w:rPr>
        <w:t>Cl</w:t>
      </w:r>
      <w:r w:rsidR="00725A3B" w:rsidRPr="00E47369">
        <w:rPr>
          <w:rFonts w:cstheme="minorHAnsi"/>
          <w:vertAlign w:val="subscript"/>
        </w:rPr>
        <w:t>3</w:t>
      </w:r>
      <w:r w:rsidR="00725A3B" w:rsidRPr="00E47369">
        <w:rPr>
          <w:rFonts w:cstheme="minorHAnsi"/>
        </w:rPr>
        <w:t xml:space="preserve"> (0.20 mmol in MoO</w:t>
      </w:r>
      <w:r w:rsidR="00725A3B" w:rsidRPr="00E47369">
        <w:rPr>
          <w:rFonts w:cstheme="minorHAnsi"/>
          <w:vertAlign w:val="subscript"/>
        </w:rPr>
        <w:t>3</w:t>
      </w:r>
      <w:r w:rsidR="00725A3B" w:rsidRPr="00E47369">
        <w:rPr>
          <w:rFonts w:cstheme="minorHAnsi"/>
        </w:rPr>
        <w:t>, 100 mg), sodium sulfite (1.00 mmol, 126 mg) molecular si</w:t>
      </w:r>
      <w:r w:rsidR="002B6FC2">
        <w:rPr>
          <w:rFonts w:cstheme="minorHAnsi"/>
        </w:rPr>
        <w:t>eves powder 4Å (100 mg), and tolu</w:t>
      </w:r>
      <w:r w:rsidR="00725A3B" w:rsidRPr="00E47369">
        <w:rPr>
          <w:rFonts w:cstheme="minorHAnsi"/>
        </w:rPr>
        <w:t>ene (2.5 mL) were added to a thick-walled Ace glass reactor tube. A N</w:t>
      </w:r>
      <w:r w:rsidR="00725A3B" w:rsidRPr="00E47369">
        <w:rPr>
          <w:rFonts w:cstheme="minorHAnsi"/>
          <w:vertAlign w:val="subscript"/>
        </w:rPr>
        <w:t>2</w:t>
      </w:r>
      <w:r w:rsidR="00725A3B" w:rsidRPr="00E47369">
        <w:rPr>
          <w:rFonts w:cstheme="minorHAnsi"/>
        </w:rPr>
        <w:t xml:space="preserve"> flow was bubbled into the mixture for at least 60 sec before the Teflon seal was closed. The reactor was placed in an oil bath at 150</w:t>
      </w:r>
      <w:r w:rsidR="00725A3B" w:rsidRPr="00E47369">
        <w:rPr>
          <w:rFonts w:cstheme="minorHAnsi"/>
          <w:vertAlign w:val="superscript"/>
        </w:rPr>
        <w:t>o</w:t>
      </w:r>
      <w:r w:rsidR="00725A3B" w:rsidRPr="00E47369">
        <w:rPr>
          <w:rFonts w:cstheme="minorHAnsi"/>
        </w:rPr>
        <w:t xml:space="preserve">C for 24 h while stirring magnetically. After cooling to room temperature, </w:t>
      </w:r>
      <w:r w:rsidR="002B6FC2">
        <w:rPr>
          <w:rFonts w:cstheme="minorHAnsi"/>
        </w:rPr>
        <w:t>1mL of the reaction was run thru a plug of celite. A</w:t>
      </w:r>
      <w:r w:rsidR="00725A3B" w:rsidRPr="00E47369">
        <w:rPr>
          <w:rFonts w:cstheme="minorHAnsi"/>
        </w:rPr>
        <w:t xml:space="preserve"> 100 µL aliquot of the </w:t>
      </w:r>
      <w:r w:rsidR="002B6FC2">
        <w:rPr>
          <w:rFonts w:cstheme="minorHAnsi"/>
        </w:rPr>
        <w:t xml:space="preserve">filtered </w:t>
      </w:r>
      <w:r w:rsidR="00725A3B" w:rsidRPr="00E47369">
        <w:rPr>
          <w:rFonts w:cstheme="minorHAnsi"/>
        </w:rPr>
        <w:t>reaction mixture was added to CDCl</w:t>
      </w:r>
      <w:r w:rsidR="00725A3B" w:rsidRPr="00E47369">
        <w:rPr>
          <w:rFonts w:cstheme="minorHAnsi"/>
          <w:vertAlign w:val="subscript"/>
        </w:rPr>
        <w:t>3</w:t>
      </w:r>
      <w:r>
        <w:rPr>
          <w:rFonts w:cstheme="minorHAnsi"/>
        </w:rPr>
        <w:t xml:space="preserve"> (0.50</w:t>
      </w:r>
      <w:r w:rsidR="00725A3B" w:rsidRPr="00E47369">
        <w:rPr>
          <w:rFonts w:cstheme="minorHAnsi"/>
        </w:rPr>
        <w:t xml:space="preserve"> mL) for NMR analysis. A 0.5 mL aliquot was collected for GC </w:t>
      </w:r>
      <w:r w:rsidR="002B6FC2">
        <w:rPr>
          <w:rFonts w:cstheme="minorHAnsi"/>
        </w:rPr>
        <w:t xml:space="preserve">and GCMS </w:t>
      </w:r>
      <w:r w:rsidR="00725A3B" w:rsidRPr="00E47369">
        <w:rPr>
          <w:rFonts w:cstheme="minorHAnsi"/>
        </w:rPr>
        <w:t xml:space="preserve">analysis. </w:t>
      </w:r>
      <w:r w:rsidR="005D67AE" w:rsidRPr="00E47369">
        <w:rPr>
          <w:rFonts w:cstheme="minorHAnsi"/>
        </w:rPr>
        <w:t>GC-MS-EI analyses were performed on a Thermo-Finnigan instrument using a Stabil-wax capillary column.</w:t>
      </w:r>
    </w:p>
    <w:p w14:paraId="392A70E2" w14:textId="77777777" w:rsidR="009C2786" w:rsidRDefault="002B6FC2" w:rsidP="00870A25">
      <w:pPr>
        <w:rPr>
          <w:rFonts w:cstheme="minorHAnsi"/>
          <w:color w:val="000000" w:themeColor="text1"/>
        </w:rPr>
      </w:pPr>
      <w:r w:rsidRPr="002B6FC2">
        <w:rPr>
          <w:rFonts w:cstheme="minorHAnsi"/>
          <w:color w:val="000000" w:themeColor="text1"/>
          <w:vertAlign w:val="superscript"/>
        </w:rPr>
        <w:t>1</w:t>
      </w:r>
      <w:r>
        <w:rPr>
          <w:rFonts w:cstheme="minorHAnsi"/>
          <w:color w:val="000000" w:themeColor="text1"/>
        </w:rPr>
        <w:t>H NMR</w:t>
      </w:r>
      <w:r>
        <w:rPr>
          <w:rFonts w:cstheme="minorHAnsi"/>
          <w:color w:val="000000" w:themeColor="text1"/>
        </w:rPr>
        <w:tab/>
      </w:r>
      <w:r w:rsidRPr="002B6FC2">
        <w:rPr>
          <w:rFonts w:cstheme="minorHAnsi"/>
          <w:noProof/>
          <w:color w:val="000000" w:themeColor="text1"/>
          <w:lang w:bidi="ar-SA"/>
        </w:rPr>
        <w:drawing>
          <wp:inline distT="0" distB="0" distL="0" distR="0" wp14:anchorId="4D56CA9B" wp14:editId="529B8C4D">
            <wp:extent cx="4114800" cy="2499662"/>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2"/>
                    <pic:cNvPicPr>
                      <a:picLocks noChangeAspect="1" noChangeArrowheads="1"/>
                    </pic:cNvPicPr>
                  </pic:nvPicPr>
                  <pic:blipFill rotWithShape="1">
                    <a:blip r:embed="rId224" cstate="print">
                      <a:extLst>
                        <a:ext uri="{28A0092B-C50C-407E-A947-70E740481C1C}">
                          <a14:useLocalDpi xmlns:a14="http://schemas.microsoft.com/office/drawing/2010/main" val="0"/>
                        </a:ext>
                      </a:extLst>
                    </a:blip>
                    <a:srcRect t="8029" b="12921"/>
                    <a:stretch/>
                  </pic:blipFill>
                  <pic:spPr bwMode="auto">
                    <a:xfrm>
                      <a:off x="0" y="0"/>
                      <a:ext cx="4114800" cy="2499662"/>
                    </a:xfrm>
                    <a:prstGeom prst="rect">
                      <a:avLst/>
                    </a:prstGeom>
                    <a:noFill/>
                    <a:ln>
                      <a:noFill/>
                    </a:ln>
                    <a:extLst>
                      <a:ext uri="{53640926-AAD7-44D8-BBD7-CCE9431645EC}">
                        <a14:shadowObscured xmlns:a14="http://schemas.microsoft.com/office/drawing/2010/main"/>
                      </a:ext>
                    </a:extLst>
                  </pic:spPr>
                </pic:pic>
              </a:graphicData>
            </a:graphic>
          </wp:inline>
        </w:drawing>
      </w:r>
    </w:p>
    <w:p w14:paraId="2C39597B" w14:textId="77777777" w:rsidR="002B6FC2" w:rsidRDefault="002B6FC2" w:rsidP="00870A25">
      <w:pPr>
        <w:rPr>
          <w:rFonts w:cstheme="minorHAnsi"/>
          <w:color w:val="000000" w:themeColor="text1"/>
        </w:rPr>
      </w:pPr>
      <w:r w:rsidRPr="00420FD6">
        <w:rPr>
          <w:rFonts w:cstheme="minorHAnsi"/>
          <w:color w:val="000000" w:themeColor="text1"/>
        </w:rPr>
        <w:t>GCMS</w:t>
      </w:r>
      <w:r>
        <w:rPr>
          <w:rFonts w:cstheme="minorHAnsi"/>
          <w:color w:val="000000" w:themeColor="text1"/>
        </w:rPr>
        <w:tab/>
      </w:r>
      <w:r>
        <w:rPr>
          <w:rFonts w:cstheme="minorHAnsi"/>
          <w:color w:val="000000" w:themeColor="text1"/>
        </w:rPr>
        <w:tab/>
      </w:r>
      <w:r w:rsidR="00420FD6">
        <w:rPr>
          <w:noProof/>
          <w:lang w:bidi="ar-SA"/>
        </w:rPr>
        <w:drawing>
          <wp:inline distT="0" distB="0" distL="0" distR="0" wp14:anchorId="557AA3B5" wp14:editId="73CD86D0">
            <wp:extent cx="4114800" cy="24589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4114800" cy="2458902"/>
                    </a:xfrm>
                    <a:prstGeom prst="rect">
                      <a:avLst/>
                    </a:prstGeom>
                  </pic:spPr>
                </pic:pic>
              </a:graphicData>
            </a:graphic>
          </wp:inline>
        </w:drawing>
      </w:r>
    </w:p>
    <w:p w14:paraId="2F2A932F" w14:textId="77777777" w:rsidR="00420FD6" w:rsidRDefault="00443010" w:rsidP="00870A25">
      <w:pPr>
        <w:rPr>
          <w:rFonts w:cstheme="minorHAnsi"/>
          <w:color w:val="000000" w:themeColor="text1"/>
        </w:rPr>
      </w:pPr>
      <w:r>
        <w:rPr>
          <w:noProof/>
        </w:rPr>
        <w:object w:dxaOrig="0" w:dyaOrig="0" w14:anchorId="2AE71869">
          <v:shape id="_x0000_s1408" type="#_x0000_t75" style="position:absolute;margin-left:34.8pt;margin-top:10.15pt;width:122.4pt;height:73.9pt;z-index:251696640;mso-position-horizontal-relative:text;mso-position-vertical-relative:text">
            <v:imagedata r:id="rId226" o:title=""/>
          </v:shape>
          <o:OLEObject Type="Embed" ProgID="ChemDraw.Document.6.0" ShapeID="_x0000_s1408" DrawAspect="Content" ObjectID="_1532785066" r:id="rId227"/>
        </w:object>
      </w:r>
      <w:r w:rsidR="00420FD6">
        <w:rPr>
          <w:noProof/>
          <w:lang w:bidi="ar-SA"/>
        </w:rPr>
        <w:drawing>
          <wp:inline distT="0" distB="0" distL="0" distR="0" wp14:anchorId="7EA04956" wp14:editId="2A8F9E01">
            <wp:extent cx="5303520" cy="1341486"/>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5303520" cy="1341486"/>
                    </a:xfrm>
                    <a:prstGeom prst="rect">
                      <a:avLst/>
                    </a:prstGeom>
                  </pic:spPr>
                </pic:pic>
              </a:graphicData>
            </a:graphic>
          </wp:inline>
        </w:drawing>
      </w:r>
      <w:r w:rsidR="00420FD6" w:rsidRPr="00420FD6">
        <w:t xml:space="preserve"> </w:t>
      </w:r>
    </w:p>
    <w:p w14:paraId="0F5D4134" w14:textId="77777777" w:rsidR="002B6FC2" w:rsidRDefault="002B6FC2" w:rsidP="00870A25">
      <w:pPr>
        <w:rPr>
          <w:rFonts w:cstheme="minorHAnsi"/>
          <w:color w:val="000000" w:themeColor="text1"/>
        </w:rPr>
      </w:pPr>
    </w:p>
    <w:p w14:paraId="079B142D" w14:textId="77777777" w:rsidR="002F41AE" w:rsidRPr="00E47369" w:rsidRDefault="002F41AE" w:rsidP="00870A25">
      <w:pPr>
        <w:rPr>
          <w:rFonts w:cstheme="minorHAnsi"/>
          <w:color w:val="000000" w:themeColor="text1"/>
        </w:rPr>
      </w:pPr>
      <w:r w:rsidRPr="00E47369">
        <w:rPr>
          <w:rFonts w:cstheme="minorHAnsi"/>
          <w:color w:val="000000" w:themeColor="text1"/>
        </w:rPr>
        <w:br w:type="page"/>
      </w:r>
    </w:p>
    <w:p w14:paraId="6361C33C" w14:textId="77777777" w:rsidR="00A25FD4" w:rsidRPr="00E47369" w:rsidRDefault="00A25FD4" w:rsidP="00BA0582">
      <w:pPr>
        <w:pStyle w:val="Heading2"/>
      </w:pPr>
      <w:bookmarkStart w:id="232" w:name="_Ref455843210"/>
      <w:bookmarkStart w:id="233" w:name="_Toc458938309"/>
      <w:r w:rsidRPr="00E47369">
        <w:t xml:space="preserve">DODH / Allylation </w:t>
      </w:r>
      <w:r w:rsidR="00317102">
        <w:t>t</w:t>
      </w:r>
      <w:r w:rsidRPr="00E47369">
        <w:t xml:space="preserve">andem </w:t>
      </w:r>
      <w:r w:rsidR="00317102">
        <w:t>r</w:t>
      </w:r>
      <w:r w:rsidRPr="00E47369">
        <w:t>eaction</w:t>
      </w:r>
      <w:bookmarkEnd w:id="232"/>
      <w:bookmarkEnd w:id="233"/>
    </w:p>
    <w:p w14:paraId="388BBA2D" w14:textId="77777777" w:rsidR="00A25FD4" w:rsidRPr="00E47369" w:rsidRDefault="00A25FD4" w:rsidP="000351A7">
      <w:pPr>
        <w:pStyle w:val="Heading3"/>
        <w:numPr>
          <w:ilvl w:val="0"/>
          <w:numId w:val="24"/>
        </w:numPr>
      </w:pPr>
      <w:bookmarkStart w:id="234" w:name="_Toc458938310"/>
      <w:r w:rsidRPr="00E47369">
        <w:t>Introduction</w:t>
      </w:r>
      <w:bookmarkEnd w:id="234"/>
    </w:p>
    <w:p w14:paraId="637220F8" w14:textId="77777777" w:rsidR="00A25FD4" w:rsidRPr="00E47369" w:rsidRDefault="00A25FD4" w:rsidP="00C36752">
      <w:pPr>
        <w:pStyle w:val="Heading41"/>
        <w:numPr>
          <w:ilvl w:val="0"/>
          <w:numId w:val="25"/>
        </w:numPr>
        <w:ind w:left="2340"/>
        <w:rPr>
          <w:rFonts w:cstheme="minorHAnsi"/>
        </w:rPr>
      </w:pPr>
      <w:r w:rsidRPr="00E47369">
        <w:rPr>
          <w:rFonts w:cstheme="minorHAnsi"/>
        </w:rPr>
        <w:t>Allylation background</w:t>
      </w:r>
    </w:p>
    <w:p w14:paraId="2C67B505" w14:textId="4F84FAD3" w:rsidR="00A25FD4" w:rsidRDefault="00A25FD4" w:rsidP="00A25FD4">
      <w:pPr>
        <w:ind w:firstLine="360"/>
        <w:jc w:val="both"/>
        <w:rPr>
          <w:rFonts w:cstheme="minorHAnsi"/>
        </w:rPr>
      </w:pPr>
      <w:r w:rsidRPr="00E47369">
        <w:rPr>
          <w:rFonts w:cstheme="minorHAnsi"/>
        </w:rPr>
        <w:t>The allylation reaction is the formal addition of an allylic moiety to a carbonyl group (</w:t>
      </w:r>
      <w:r w:rsidRPr="00E47369">
        <w:rPr>
          <w:rFonts w:cstheme="minorHAnsi"/>
        </w:rPr>
        <w:fldChar w:fldCharType="begin"/>
      </w:r>
      <w:r w:rsidRPr="00E47369">
        <w:rPr>
          <w:rFonts w:cstheme="minorHAnsi"/>
        </w:rPr>
        <w:instrText xml:space="preserve"> REF _Ref454182883 \h </w:instrText>
      </w:r>
      <w:r w:rsidR="00E47369">
        <w:rPr>
          <w:rFonts w:cstheme="minorHAnsi"/>
        </w:rPr>
        <w:instrText xml:space="preserve"> \* MERGEFORMAT </w:instrText>
      </w:r>
      <w:r w:rsidRPr="00E47369">
        <w:rPr>
          <w:rFonts w:cstheme="minorHAnsi"/>
        </w:rPr>
      </w:r>
      <w:r w:rsidRPr="00E47369">
        <w:rPr>
          <w:rFonts w:cstheme="minorHAnsi"/>
        </w:rPr>
        <w:fldChar w:fldCharType="separate"/>
      </w:r>
      <w:r w:rsidR="000A0E3D" w:rsidRPr="000A0E3D">
        <w:rPr>
          <w:rFonts w:cstheme="minorHAnsi"/>
        </w:rPr>
        <w:t xml:space="preserve">Figure III. </w:t>
      </w:r>
      <w:r w:rsidR="000A0E3D" w:rsidRPr="000A0E3D">
        <w:rPr>
          <w:rFonts w:cstheme="minorHAnsi"/>
          <w:noProof/>
        </w:rPr>
        <w:t>3.1</w:t>
      </w:r>
      <w:r w:rsidRPr="00E47369">
        <w:rPr>
          <w:rFonts w:cstheme="minorHAnsi"/>
        </w:rPr>
        <w:fldChar w:fldCharType="end"/>
      </w:r>
      <w:r w:rsidRPr="00E47369">
        <w:rPr>
          <w:rFonts w:cstheme="minorHAnsi"/>
        </w:rPr>
        <w:t xml:space="preserve">). The product of this transformation is a homo-allylic alcohol that can used as </w:t>
      </w:r>
      <w:r w:rsidR="00973C73">
        <w:rPr>
          <w:rFonts w:cstheme="minorHAnsi"/>
        </w:rPr>
        <w:t xml:space="preserve">a </w:t>
      </w:r>
      <w:r w:rsidR="001455A2">
        <w:rPr>
          <w:rFonts w:cstheme="minorHAnsi"/>
        </w:rPr>
        <w:t xml:space="preserve">bifunctional </w:t>
      </w:r>
      <w:r w:rsidRPr="00E47369">
        <w:rPr>
          <w:rFonts w:cstheme="minorHAnsi"/>
        </w:rPr>
        <w:t xml:space="preserve">building block in synthesis. The traditional approach to the synthesis of homo-allylic alcohols is to form </w:t>
      </w:r>
      <w:r w:rsidR="00973C73">
        <w:rPr>
          <w:rFonts w:cstheme="minorHAnsi"/>
        </w:rPr>
        <w:t>first an allylic organometallic</w:t>
      </w:r>
      <w:r w:rsidRPr="00E47369">
        <w:rPr>
          <w:rFonts w:cstheme="minorHAnsi"/>
        </w:rPr>
        <w:t xml:space="preserve"> reagent which is then added to the carbonyl compound. The high reactivity of the allylic organometallic reagent to moisture and air makes </w:t>
      </w:r>
      <w:r w:rsidR="00973C73">
        <w:rPr>
          <w:rFonts w:cstheme="minorHAnsi"/>
        </w:rPr>
        <w:t xml:space="preserve">it </w:t>
      </w:r>
      <w:r w:rsidRPr="00E47369">
        <w:rPr>
          <w:rFonts w:cstheme="minorHAnsi"/>
        </w:rPr>
        <w:t xml:space="preserve">impractical to scale up. Alternatives to the stoichiometric formation of allylic organometallic reagents were developed in the late 80’s. Masuyama and co-workers reported first an allylation reaction using </w:t>
      </w:r>
      <w:r w:rsidR="00973C73">
        <w:rPr>
          <w:rFonts w:cstheme="minorHAnsi"/>
        </w:rPr>
        <w:t xml:space="preserve">stoichiometric </w:t>
      </w:r>
      <w:r w:rsidRPr="00E47369">
        <w:rPr>
          <w:rFonts w:cstheme="minorHAnsi"/>
        </w:rPr>
        <w:t>tin chloride (SnCl</w:t>
      </w:r>
      <w:r w:rsidRPr="00E47369">
        <w:rPr>
          <w:rFonts w:cstheme="minorHAnsi"/>
          <w:vertAlign w:val="subscript"/>
        </w:rPr>
        <w:t>2</w:t>
      </w:r>
      <w:r w:rsidRPr="00E47369">
        <w:rPr>
          <w:rFonts w:cstheme="minorHAnsi"/>
        </w:rPr>
        <w:t xml:space="preserve">) and </w:t>
      </w:r>
      <w:r w:rsidR="00973C73">
        <w:rPr>
          <w:rFonts w:cstheme="minorHAnsi"/>
        </w:rPr>
        <w:t xml:space="preserve">catalytic </w:t>
      </w:r>
      <w:r w:rsidRPr="00E47369">
        <w:rPr>
          <w:rFonts w:cstheme="minorHAnsi"/>
        </w:rPr>
        <w:t>palladium (II).</w:t>
      </w:r>
      <w:r w:rsidRPr="00E47369">
        <w:rPr>
          <w:rFonts w:cstheme="minorHAnsi"/>
        </w:rPr>
        <w:fldChar w:fldCharType="begin"/>
      </w:r>
      <w:r w:rsidR="00E028D6">
        <w:rPr>
          <w:rFonts w:cstheme="minorHAnsi"/>
        </w:rPr>
        <w:instrText xml:space="preserve"> ADDIN ZOTERO_ITEM CSL_CITATION {"citationID":"1r8nd0cjur","properties":{"formattedCitation":"{\\rtf \\super 131\\nosupersub{}}","plainCitation":"131"},"citationItems":[{"id":1704,"uris":["http://zotero.org/users/1624234/items/WGB5VC6B"],"uri":["http://zotero.org/users/1624234/items/WGB5VC6B"],"itemData":{"id":1704,"type":"article-journal","title":"Palladium-catalyzed carbonyl allylation by allylic alcohols with stannous chloride","container-title":"Journal of the American Chemical Society","page":"2577-2586","volume":"114","issue":"7","source":"ACS Publications","DOI":"10.1021/ja00033a034","ISSN":"0002-7863","journalAbbreviation":"J. Am. Chem. Soc.","author":[{"family":"Takahara","given":"Jun P."},{"family":"Masuyama","given":"Yoshiro"},{"family":"Kurusu","given":"Yasuhiko"}],"issued":{"date-parts":[["1992",3,1]]}}}],"schema":"https://github.com/citation-style-language/schema/raw/master/csl-citation.json"} </w:instrText>
      </w:r>
      <w:r w:rsidRPr="00E47369">
        <w:rPr>
          <w:rFonts w:cstheme="minorHAnsi"/>
        </w:rPr>
        <w:fldChar w:fldCharType="separate"/>
      </w:r>
      <w:r w:rsidR="00E028D6" w:rsidRPr="00E028D6">
        <w:rPr>
          <w:rFonts w:ascii="Times New Roman" w:hAnsi="Times New Roman"/>
          <w:vertAlign w:val="superscript"/>
        </w:rPr>
        <w:t>131</w:t>
      </w:r>
      <w:r w:rsidRPr="00E47369">
        <w:rPr>
          <w:rFonts w:cstheme="minorHAnsi"/>
        </w:rPr>
        <w:fldChar w:fldCharType="end"/>
      </w:r>
      <w:r w:rsidRPr="00E47369">
        <w:rPr>
          <w:rFonts w:cstheme="minorHAnsi"/>
        </w:rPr>
        <w:t xml:space="preserve"> The mechanism of this reaction is likely to involve a η</w:t>
      </w:r>
      <w:r w:rsidRPr="00E47369">
        <w:rPr>
          <w:rFonts w:cstheme="minorHAnsi"/>
          <w:vertAlign w:val="superscript"/>
        </w:rPr>
        <w:t>3</w:t>
      </w:r>
      <w:r w:rsidRPr="00E47369">
        <w:rPr>
          <w:rFonts w:cstheme="minorHAnsi"/>
        </w:rPr>
        <w:t xml:space="preserve">-allyl-Pd complex which is reduced by tin (II) chloride to form an allyltin intermediate allowing the allyl unit to add to the aldehyde and form product. </w:t>
      </w:r>
    </w:p>
    <w:p w14:paraId="62AD6441" w14:textId="77777777" w:rsidR="00537311" w:rsidRPr="00E47369" w:rsidRDefault="00537311" w:rsidP="00A25FD4">
      <w:pPr>
        <w:ind w:firstLine="360"/>
        <w:jc w:val="both"/>
        <w:rPr>
          <w:rFonts w:cstheme="minorHAnsi"/>
        </w:rPr>
      </w:pPr>
    </w:p>
    <w:p w14:paraId="21983C03" w14:textId="77777777" w:rsidR="00A25FD4" w:rsidRPr="00E47369" w:rsidRDefault="00A25FD4" w:rsidP="00A25FD4">
      <w:pPr>
        <w:keepNext/>
        <w:jc w:val="center"/>
        <w:rPr>
          <w:rFonts w:cstheme="minorHAnsi"/>
        </w:rPr>
      </w:pPr>
      <w:r w:rsidRPr="00E47369">
        <w:rPr>
          <w:rFonts w:cstheme="minorHAnsi"/>
        </w:rPr>
        <w:object w:dxaOrig="4921" w:dyaOrig="675" w14:anchorId="013B2E84">
          <v:shape id="_x0000_i1103" type="#_x0000_t75" style="width:221.55pt;height:30.85pt" o:ole="">
            <v:imagedata r:id="rId229" o:title=""/>
          </v:shape>
          <o:OLEObject Type="Embed" ProgID="ChemDraw.Document.6.0" ShapeID="_x0000_i1103" DrawAspect="Content" ObjectID="_1532784946" r:id="rId230"/>
        </w:object>
      </w:r>
    </w:p>
    <w:p w14:paraId="68430598" w14:textId="77777777" w:rsidR="00A25FD4" w:rsidRPr="008A0BB7" w:rsidRDefault="00A25FD4" w:rsidP="008A0BB7">
      <w:pPr>
        <w:pStyle w:val="Caption"/>
      </w:pPr>
      <w:bookmarkStart w:id="235" w:name="_Ref454182883"/>
      <w:bookmarkStart w:id="236" w:name="_Toc457670719"/>
      <w:r w:rsidRPr="008A0BB7">
        <w:t xml:space="preserve">Figure III. </w:t>
      </w:r>
      <w:r w:rsidR="00443010">
        <w:fldChar w:fldCharType="begin"/>
      </w:r>
      <w:r w:rsidR="00443010">
        <w:instrText xml:space="preserve"> STYLEREF 2 \s </w:instrText>
      </w:r>
      <w:r w:rsidR="00443010">
        <w:fldChar w:fldCharType="separate"/>
      </w:r>
      <w:r w:rsidR="000A0E3D">
        <w:rPr>
          <w:noProof/>
        </w:rPr>
        <w:t>3</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1</w:t>
      </w:r>
      <w:r w:rsidR="00443010">
        <w:rPr>
          <w:noProof/>
        </w:rPr>
        <w:fldChar w:fldCharType="end"/>
      </w:r>
      <w:bookmarkEnd w:id="235"/>
      <w:r w:rsidRPr="008A0BB7">
        <w:t xml:space="preserve"> General allylation reaction equation</w:t>
      </w:r>
      <w:bookmarkEnd w:id="236"/>
    </w:p>
    <w:p w14:paraId="6E3A957F" w14:textId="77777777" w:rsidR="00A25FD4" w:rsidRPr="00E47369" w:rsidRDefault="00A25FD4" w:rsidP="00A25FD4">
      <w:pPr>
        <w:rPr>
          <w:rFonts w:cstheme="minorHAnsi"/>
        </w:rPr>
      </w:pPr>
    </w:p>
    <w:p w14:paraId="58861DF3" w14:textId="77777777" w:rsidR="00A25FD4" w:rsidRPr="00E47369" w:rsidRDefault="00A25FD4" w:rsidP="00A25FD4">
      <w:pPr>
        <w:ind w:firstLine="360"/>
        <w:jc w:val="both"/>
        <w:rPr>
          <w:rFonts w:cstheme="minorHAnsi"/>
        </w:rPr>
      </w:pPr>
      <w:r w:rsidRPr="00E47369">
        <w:rPr>
          <w:rFonts w:cstheme="minorHAnsi"/>
        </w:rPr>
        <w:t xml:space="preserve">More recently in 2011, Dr. Krische at the University of Texas Austin, reported an alcohol mediated carbonyl </w:t>
      </w:r>
      <w:r w:rsidR="00DF5A6F" w:rsidRPr="00E47369">
        <w:rPr>
          <w:rFonts w:cstheme="minorHAnsi"/>
        </w:rPr>
        <w:t>allylation</w:t>
      </w:r>
      <w:r w:rsidRPr="00E47369">
        <w:rPr>
          <w:rFonts w:cstheme="minorHAnsi"/>
        </w:rPr>
        <w:t xml:space="preserve"> system catalyzed by an iridium complex (</w:t>
      </w:r>
      <w:r w:rsidRPr="00E47369">
        <w:rPr>
          <w:rFonts w:cstheme="minorHAnsi"/>
        </w:rPr>
        <w:fldChar w:fldCharType="begin"/>
      </w:r>
      <w:r w:rsidRPr="00E47369">
        <w:rPr>
          <w:rFonts w:cstheme="minorHAnsi"/>
        </w:rPr>
        <w:instrText xml:space="preserve"> REF _Ref454183093 \h </w:instrText>
      </w:r>
      <w:r w:rsidR="00E47369">
        <w:rPr>
          <w:rFonts w:cstheme="minorHAnsi"/>
        </w:rPr>
        <w:instrText xml:space="preserve"> \* MERGEFORMAT </w:instrText>
      </w:r>
      <w:r w:rsidRPr="00E47369">
        <w:rPr>
          <w:rFonts w:cstheme="minorHAnsi"/>
        </w:rPr>
      </w:r>
      <w:r w:rsidRPr="00E47369">
        <w:rPr>
          <w:rFonts w:cstheme="minorHAnsi"/>
        </w:rPr>
        <w:fldChar w:fldCharType="separate"/>
      </w:r>
      <w:r w:rsidR="000A0E3D" w:rsidRPr="000A0E3D">
        <w:rPr>
          <w:rFonts w:cstheme="minorHAnsi"/>
        </w:rPr>
        <w:t xml:space="preserve">Figure III. </w:t>
      </w:r>
      <w:r w:rsidR="000A0E3D" w:rsidRPr="000A0E3D">
        <w:rPr>
          <w:rFonts w:cstheme="minorHAnsi"/>
          <w:noProof/>
        </w:rPr>
        <w:t>3.2</w:t>
      </w:r>
      <w:r w:rsidRPr="00E47369">
        <w:rPr>
          <w:rFonts w:cstheme="minorHAnsi"/>
        </w:rPr>
        <w:fldChar w:fldCharType="end"/>
      </w:r>
      <w:r w:rsidRPr="00E47369">
        <w:rPr>
          <w:rFonts w:cstheme="minorHAnsi"/>
        </w:rPr>
        <w:t>).</w:t>
      </w:r>
      <w:r w:rsidRPr="00E47369">
        <w:rPr>
          <w:rFonts w:cstheme="minorHAnsi"/>
        </w:rPr>
        <w:fldChar w:fldCharType="begin"/>
      </w:r>
      <w:r w:rsidR="00E028D6">
        <w:rPr>
          <w:rFonts w:cstheme="minorHAnsi"/>
        </w:rPr>
        <w:instrText xml:space="preserve"> ADDIN ZOTERO_ITEM CSL_CITATION {"citationID":"18c4qmof0f","properties":{"formattedCitation":"{\\rtf \\super 132\\uc0\\u8211{}134\\nosupersub{}}","plainCitation":"132–134"},"citationItems":[{"id":264,"uris":["http://zotero.org/users/1624234/items/I79S6UJE"],"uri":["http://zotero.org/users/1624234/items/I79S6UJE"],"itemData":{"id":264,"type":"article-journal","title":"Enhanced anti-Diastereo- and Enantioselectivity in Alcohol-Mediated Carbonyl Crotylation Using an Isolable Single Component Iridium Catalyst","container-title":"The Journal of Organic Chemistry","page":"2350-2354","volume":"76","issue":"7","source":"ACS Publications","abstract":"The cyclometalated iridium complex (S)-I derived from [Ir(cod)Cl]2, 4-cyano-3-nitrobenzoic acid, allyl acetate, and (S)-SEGPHOS is conveniently isolated by precipitation or through conventional silica gel flash chromatography. This single-component precatalyst allows alcohol mediated carbonyl crotylations to be performed at significantly lower temperature, resulting in enhanced levels of anti-diastereo- and enantioselectivity. Most significantly, the chromatographically isolated precatalyst (S)-I enables carbonyl crotylations that are not possible under previously reported conditions involving in situ generation of (S)-I.","DOI":"10.1021/jo200068q","ISSN":"0022-3263","journalAbbreviation":"J. Org. Chem.","author":[{"family":"Gao","given":"Xin"},{"family":"Townsend","given":"Ian A."},{"family":"Krische","given":"Michael J."}],"issued":{"date-parts":[["2011"]]}}},{"id":437,"uris":["http://zotero.org/users/1624234/items/VZTX53MV"],"uri":["http://zotero.org/users/1624234/items/VZTX53MV"],"itemData":{"id":437,"type":"article-journal","title":"Direct Generation of Acyclic Polypropionate Stereopolyads via Double Diastereo- and Enantioselective Iridium-Catalyzed Crotylation of 1,3-Diols: Beyond Stepwise Carbonyl Addition in Polyketide Construction","container-title":"Journal of the American Chemical Society","page":"12795-12800","volume":"133","issue":"32","source":"ACS Publications","abstract":"Under the conditions of transfer hydrogenation employing the cyclometalated iridium catalyst (R)-I derived from [Ir(cod)Cl]2, allyl acetate, 4-cyano-3-nitrobenzoic acid, and the chiral phosphine ligand (R)-SEGPHOS, α-methylallyl acetate engages 1,3-propanediol (1a) and 2-methyl-1,3-propanediol (1b) in double carbonyl crotylation from the alcohol oxidation level to deliver the C2-symmetric and pseudo-C2-symmetric stereopolyads 2a and 3a, respectively, with exceptional control of anti-diastereoselectivity and enantioselectivity. Notably, the polypropionate stereopentad 3a is formed predominantly as 1 of 16 possible stereoisomers. Desymmetrization of 3a is readily achieved upon iodoetherification to form pyran 4. The direct generation of 3a enables a dramatically simplified approach to previously prepared polypropionate substructures, as demonstrated by the synthesis of C19?C27 of rifamycin S (eight steps, originally prepared in 26 steps) and C19?C25 of scytophycin C (eight steps, originally prepared in 15 steps). The present transfer hydrogenation protocol represents an alternative to chiral auxiliaries, chiral reagents, and premetalated nucleophiles in polyketide construction.","DOI":"10.1021/ja204570w","ISSN":"0002-7863","shortTitle":"Direct Generation of Acyclic Polypropionate Stereopolyads via Double Diastereo- and Enantioselective Iridium-Catalyzed Crotylation of 1,3-Diols","journalAbbreviation":"J. Am. Chem. Soc.","author":[{"family":"Gao","given":"Xin"},{"family":"Han","given":"Hoon"},{"family":"Krische","given":"Michael J."}],"issued":{"date-parts":[["2011"]]}}},{"id":349,"uris":["http://zotero.org/users/1624234/items/PM8VRNWQ"],"uri":["http://zotero.org/users/1624234/items/PM8VRNWQ"],"itemData":{"id":349,"type":"article-journal","title":"anti-Diastereo- and Enantioselective Carbonyl Crotylation from the Alcohol or Aldehyde Oxidation Level Employing a Cyclometallated Iridium Catalyst: α-Methyl Allyl Acetate as a Surrogate to Preformed Crotylmetal Reagents","container-title":"Journal of the American Chemical Society","page":"2514-2520","volume":"131","issue":"7","source":"ACS Publications","abstract":"Under the conditions of transfer hydrogenation employing an ortho-cyclometallated iridium catalyst generated in situ from [Ir(cod)Cl]2, 4-cyano-3-nitrobenzoic acid and the chiral phosphine ligand (S)-SEGPHOS, α-methyl allyl acetate couples to alcohols 1a?1j with complete levels of branched regioselectivity to furnish products of carbonyl crotylation 3a?3j, which are formed with good levels of anti-diastereoselectivity and exceptional levels of enantioselectivity. An identical set of optically enriched carbonyl crotylation products 3a?3j is accessible from the corresponding aldehydes 2a?2j under the same conditions, but employing isopropanol as the terminal reductant. Experiments aimed at probing the origins of stereoselection establish a matched mode of ionization for the (R)-acetate and the iridium catalyst modified by (S)-SEGPHOS, as well as reversible ionization of the allylic acetate with rapid π-facial interconversion of the resulting π-crotyl intermediate in advance of C?C bond formation. Additionally, rapid alcohol?aldehyde redox equilibration in advance of carbonyl addition is demonstrated. Thus, anti-diastereo- and enantioselective carbonyl crotylation from the alcohol or aldehyde oxidation level is achieved in the absence of any stoichiometric metallic reagents or stoichiometric metallic byproducts.","DOI":"10.1021/ja808857w","ISSN":"0002-7863","shortTitle":"anti-Diastereo- and Enantioselective Carbonyl Crotylation from the Alcohol or Aldehyde Oxidation Level Employing a Cyclometallated Iridium Catalyst","journalAbbreviation":"J. Am. Chem. Soc.","author":[{"family":"Kim","given":"In Su"},{"family":"Han","given":"Soo Bong"},{"family":"Krische","given":"Michael J."}],"issued":{"date-parts":[["2009"]]}}}],"schema":"https://github.com/citation-style-language/schema/raw/master/csl-citation.json"} </w:instrText>
      </w:r>
      <w:r w:rsidRPr="00E47369">
        <w:rPr>
          <w:rFonts w:cstheme="minorHAnsi"/>
        </w:rPr>
        <w:fldChar w:fldCharType="separate"/>
      </w:r>
      <w:r w:rsidR="00E028D6" w:rsidRPr="00E028D6">
        <w:rPr>
          <w:rFonts w:ascii="Times New Roman" w:hAnsi="Times New Roman"/>
          <w:vertAlign w:val="superscript"/>
        </w:rPr>
        <w:t>132–134</w:t>
      </w:r>
      <w:r w:rsidRPr="00E47369">
        <w:rPr>
          <w:rFonts w:cstheme="minorHAnsi"/>
        </w:rPr>
        <w:fldChar w:fldCharType="end"/>
      </w:r>
      <w:r w:rsidRPr="00E47369">
        <w:rPr>
          <w:rFonts w:cstheme="minorHAnsi"/>
        </w:rPr>
        <w:t xml:space="preserve"> In this reaction an allyl acetate and a primary alcohol (or an aldehyde) undergo C-C coupling. The mechanism of this reaction is likely to </w:t>
      </w:r>
      <w:r w:rsidR="00973C73">
        <w:rPr>
          <w:rFonts w:cstheme="minorHAnsi"/>
        </w:rPr>
        <w:t xml:space="preserve">involve a nucleophilic </w:t>
      </w:r>
      <w:r w:rsidRPr="00E47369">
        <w:rPr>
          <w:rFonts w:cstheme="minorHAnsi"/>
        </w:rPr>
        <w:t>allyl-iridium complex.</w:t>
      </w:r>
    </w:p>
    <w:p w14:paraId="2C37D403" w14:textId="77777777" w:rsidR="00A25FD4" w:rsidRPr="00E47369" w:rsidRDefault="00A25FD4" w:rsidP="00A25FD4">
      <w:pPr>
        <w:keepNext/>
        <w:jc w:val="center"/>
        <w:rPr>
          <w:rFonts w:cstheme="minorHAnsi"/>
        </w:rPr>
      </w:pPr>
      <w:r w:rsidRPr="00E47369">
        <w:rPr>
          <w:rFonts w:cstheme="minorHAnsi"/>
        </w:rPr>
        <w:object w:dxaOrig="5721" w:dyaOrig="2102" w14:anchorId="567434F3">
          <v:shape id="_x0000_i1104" type="#_x0000_t75" style="width:3in;height:77.55pt" o:ole="">
            <v:imagedata r:id="rId231" o:title=""/>
          </v:shape>
          <o:OLEObject Type="Embed" ProgID="ChemDraw.Document.6.0" ShapeID="_x0000_i1104" DrawAspect="Content" ObjectID="_1532784947" r:id="rId232"/>
        </w:object>
      </w:r>
    </w:p>
    <w:p w14:paraId="74CD3DAB" w14:textId="77777777" w:rsidR="00A25FD4" w:rsidRPr="008A0BB7" w:rsidRDefault="00A25FD4" w:rsidP="008A0BB7">
      <w:pPr>
        <w:pStyle w:val="Caption"/>
      </w:pPr>
      <w:bookmarkStart w:id="237" w:name="_Ref454183093"/>
      <w:bookmarkStart w:id="238" w:name="_Toc457670720"/>
      <w:r w:rsidRPr="008A0BB7">
        <w:t xml:space="preserve">Figure III. </w:t>
      </w:r>
      <w:r w:rsidR="00443010">
        <w:fldChar w:fldCharType="begin"/>
      </w:r>
      <w:r w:rsidR="00443010">
        <w:instrText xml:space="preserve"> STYLEREF 2 \s </w:instrText>
      </w:r>
      <w:r w:rsidR="00443010">
        <w:fldChar w:fldCharType="separate"/>
      </w:r>
      <w:r w:rsidR="000A0E3D">
        <w:rPr>
          <w:noProof/>
        </w:rPr>
        <w:t>3</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2</w:t>
      </w:r>
      <w:r w:rsidR="00443010">
        <w:rPr>
          <w:noProof/>
        </w:rPr>
        <w:fldChar w:fldCharType="end"/>
      </w:r>
      <w:bookmarkEnd w:id="237"/>
      <w:r w:rsidRPr="008A0BB7">
        <w:t xml:space="preserve"> General </w:t>
      </w:r>
      <w:r w:rsidR="00317102">
        <w:t>c</w:t>
      </w:r>
      <w:r w:rsidRPr="008A0BB7">
        <w:t xml:space="preserve">arbonyl </w:t>
      </w:r>
      <w:r w:rsidR="00317102">
        <w:t>a</w:t>
      </w:r>
      <w:r w:rsidRPr="008A0BB7">
        <w:t>llylation</w:t>
      </w:r>
      <w:bookmarkEnd w:id="238"/>
    </w:p>
    <w:p w14:paraId="00C3CD60" w14:textId="77777777" w:rsidR="00A25FD4" w:rsidRPr="00E47369" w:rsidRDefault="00A25FD4" w:rsidP="00A25FD4">
      <w:pPr>
        <w:jc w:val="center"/>
        <w:rPr>
          <w:rFonts w:cstheme="minorHAnsi"/>
          <w:b/>
        </w:rPr>
      </w:pPr>
    </w:p>
    <w:p w14:paraId="72AA7FEA" w14:textId="77777777" w:rsidR="00A25FD4" w:rsidRPr="00E47369" w:rsidRDefault="00A25FD4" w:rsidP="00A25FD4">
      <w:pPr>
        <w:pStyle w:val="Heading41"/>
        <w:rPr>
          <w:rFonts w:cstheme="minorHAnsi"/>
        </w:rPr>
      </w:pPr>
      <w:r w:rsidRPr="00E47369">
        <w:rPr>
          <w:rFonts w:cstheme="minorHAnsi"/>
        </w:rPr>
        <w:t>Tandem DODH/Allylation concept</w:t>
      </w:r>
    </w:p>
    <w:p w14:paraId="11FA1C03" w14:textId="77777777" w:rsidR="00A25FD4" w:rsidRDefault="00A25FD4" w:rsidP="00A25FD4">
      <w:pPr>
        <w:ind w:firstLine="360"/>
        <w:jc w:val="both"/>
        <w:rPr>
          <w:rFonts w:cstheme="minorHAnsi"/>
        </w:rPr>
      </w:pPr>
      <w:r w:rsidRPr="00E47369">
        <w:rPr>
          <w:rFonts w:cstheme="minorHAnsi"/>
        </w:rPr>
        <w:t>The general concept of this tandem DODH/Allylation reaction is to form the allylic alcohol or ester in the DODH reaction (</w:t>
      </w:r>
      <w:r w:rsidRPr="00E47369">
        <w:rPr>
          <w:rFonts w:cstheme="minorHAnsi"/>
        </w:rPr>
        <w:fldChar w:fldCharType="begin"/>
      </w:r>
      <w:r w:rsidRPr="00E47369">
        <w:rPr>
          <w:rFonts w:cstheme="minorHAnsi"/>
        </w:rPr>
        <w:instrText xml:space="preserve"> REF _Ref454183132 \h </w:instrText>
      </w:r>
      <w:r w:rsidR="00E47369">
        <w:rPr>
          <w:rFonts w:cstheme="minorHAnsi"/>
        </w:rPr>
        <w:instrText xml:space="preserve"> \* MERGEFORMAT </w:instrText>
      </w:r>
      <w:r w:rsidRPr="00E47369">
        <w:rPr>
          <w:rFonts w:cstheme="minorHAnsi"/>
        </w:rPr>
      </w:r>
      <w:r w:rsidRPr="00E47369">
        <w:rPr>
          <w:rFonts w:cstheme="minorHAnsi"/>
        </w:rPr>
        <w:fldChar w:fldCharType="separate"/>
      </w:r>
      <w:r w:rsidR="000A0E3D" w:rsidRPr="000A0E3D">
        <w:rPr>
          <w:rFonts w:cstheme="minorHAnsi"/>
        </w:rPr>
        <w:t xml:space="preserve">Figure III. </w:t>
      </w:r>
      <w:r w:rsidR="000A0E3D" w:rsidRPr="000A0E3D">
        <w:rPr>
          <w:rFonts w:cstheme="minorHAnsi"/>
          <w:noProof/>
        </w:rPr>
        <w:t>3.3</w:t>
      </w:r>
      <w:r w:rsidRPr="00E47369">
        <w:rPr>
          <w:rFonts w:cstheme="minorHAnsi"/>
        </w:rPr>
        <w:fldChar w:fldCharType="end"/>
      </w:r>
      <w:r w:rsidRPr="00E47369">
        <w:rPr>
          <w:rFonts w:cstheme="minorHAnsi"/>
        </w:rPr>
        <w:t xml:space="preserve">). By using benzyl alcohol as reducing agent </w:t>
      </w:r>
      <w:r w:rsidR="00973C73">
        <w:rPr>
          <w:rFonts w:cstheme="minorHAnsi"/>
        </w:rPr>
        <w:t xml:space="preserve">simultaneously </w:t>
      </w:r>
      <w:r w:rsidRPr="00E47369">
        <w:rPr>
          <w:rFonts w:cstheme="minorHAnsi"/>
        </w:rPr>
        <w:t xml:space="preserve">we will form the carbonyl compound on which the allylic-metal unit can be added making for an atom economical reaction. The final homo-allylic alcohol product will be of much higher value than the glycerol or glycerol derivative and could be further used as a building block for complex product synthesis. </w:t>
      </w:r>
    </w:p>
    <w:p w14:paraId="30EBEDED" w14:textId="77777777" w:rsidR="00537311" w:rsidRPr="00E47369" w:rsidRDefault="00537311" w:rsidP="00A25FD4">
      <w:pPr>
        <w:ind w:firstLine="360"/>
        <w:jc w:val="both"/>
        <w:rPr>
          <w:rFonts w:cstheme="minorHAnsi"/>
        </w:rPr>
      </w:pPr>
    </w:p>
    <w:p w14:paraId="4311629A" w14:textId="77777777" w:rsidR="00A25FD4" w:rsidRPr="00E47369" w:rsidRDefault="00A25FD4" w:rsidP="00A25FD4">
      <w:pPr>
        <w:keepNext/>
        <w:jc w:val="center"/>
        <w:rPr>
          <w:rFonts w:cstheme="minorHAnsi"/>
        </w:rPr>
      </w:pPr>
      <w:r w:rsidRPr="00E47369">
        <w:rPr>
          <w:rFonts w:cstheme="minorHAnsi"/>
        </w:rPr>
        <w:object w:dxaOrig="6847" w:dyaOrig="2493" w14:anchorId="4320348E">
          <v:shape id="_x0000_i1105" type="#_x0000_t75" style="width:272.2pt;height:98.1pt" o:ole="">
            <v:imagedata r:id="rId233" o:title=""/>
          </v:shape>
          <o:OLEObject Type="Embed" ProgID="ChemDraw.Document.6.0" ShapeID="_x0000_i1105" DrawAspect="Content" ObjectID="_1532784948" r:id="rId234"/>
        </w:object>
      </w:r>
    </w:p>
    <w:p w14:paraId="0D007AAD" w14:textId="77777777" w:rsidR="00A25FD4" w:rsidRPr="008A0BB7" w:rsidRDefault="00A25FD4" w:rsidP="008A0BB7">
      <w:pPr>
        <w:pStyle w:val="Caption"/>
      </w:pPr>
      <w:bookmarkStart w:id="239" w:name="_Ref454183132"/>
      <w:bookmarkStart w:id="240" w:name="_Toc457670721"/>
      <w:r w:rsidRPr="008A0BB7">
        <w:t xml:space="preserve">Figure III. </w:t>
      </w:r>
      <w:r w:rsidR="00443010">
        <w:fldChar w:fldCharType="begin"/>
      </w:r>
      <w:r w:rsidR="00443010">
        <w:instrText xml:space="preserve"> STYLEREF 2 \s </w:instrText>
      </w:r>
      <w:r w:rsidR="00443010">
        <w:fldChar w:fldCharType="separate"/>
      </w:r>
      <w:r w:rsidR="000A0E3D">
        <w:rPr>
          <w:noProof/>
        </w:rPr>
        <w:t>3</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3</w:t>
      </w:r>
      <w:r w:rsidR="00443010">
        <w:rPr>
          <w:noProof/>
        </w:rPr>
        <w:fldChar w:fldCharType="end"/>
      </w:r>
      <w:bookmarkEnd w:id="239"/>
      <w:r w:rsidRPr="008A0BB7">
        <w:t xml:space="preserve"> DODH/Carbonyl-Allylation (CA) </w:t>
      </w:r>
      <w:r w:rsidR="00317102">
        <w:t>tandem c</w:t>
      </w:r>
      <w:r w:rsidRPr="008A0BB7">
        <w:t>oncept</w:t>
      </w:r>
      <w:bookmarkEnd w:id="240"/>
    </w:p>
    <w:p w14:paraId="666EF252" w14:textId="77777777" w:rsidR="00A25FD4" w:rsidRPr="00E47369" w:rsidRDefault="00A25FD4" w:rsidP="00A25FD4">
      <w:pPr>
        <w:jc w:val="center"/>
        <w:rPr>
          <w:rFonts w:cstheme="minorHAnsi"/>
          <w:b/>
        </w:rPr>
      </w:pPr>
    </w:p>
    <w:p w14:paraId="49532BD3" w14:textId="77777777" w:rsidR="00A25FD4" w:rsidRPr="00E47369" w:rsidRDefault="00A25FD4" w:rsidP="00A25FD4">
      <w:pPr>
        <w:pStyle w:val="Heading41"/>
        <w:rPr>
          <w:rFonts w:cstheme="minorHAnsi"/>
        </w:rPr>
      </w:pPr>
      <w:r w:rsidRPr="00E47369">
        <w:rPr>
          <w:rFonts w:cstheme="minorHAnsi"/>
        </w:rPr>
        <w:t>DODH/Carbonyl Allylation with Krische system</w:t>
      </w:r>
    </w:p>
    <w:p w14:paraId="16C5170B" w14:textId="77777777" w:rsidR="00A25FD4" w:rsidRDefault="00A25FD4" w:rsidP="00A25FD4">
      <w:pPr>
        <w:ind w:firstLine="360"/>
        <w:jc w:val="both"/>
        <w:rPr>
          <w:rFonts w:cstheme="minorHAnsi"/>
        </w:rPr>
      </w:pPr>
      <w:r w:rsidRPr="00E47369">
        <w:rPr>
          <w:rFonts w:cstheme="minorHAnsi"/>
        </w:rPr>
        <w:t>At the time of Krische’s report, our group had discovered the efficacy of benzyl alcohol as a reducing agent for the DODH reaction. In the list of diols we studied an ester derivative of glycerol, glycerol monostearate, which was converted in high yield to an allyl ester along with benzaldehyde.</w:t>
      </w:r>
      <w:r w:rsidRPr="00E47369">
        <w:rPr>
          <w:rFonts w:cstheme="minorHAnsi"/>
        </w:rPr>
        <w:fldChar w:fldCharType="begin"/>
      </w:r>
      <w:r w:rsidRPr="00E47369">
        <w:rPr>
          <w:rFonts w:cstheme="minorHAnsi"/>
        </w:rPr>
        <w:instrText xml:space="preserve"> ADDIN ZOTERO_ITEM CSL_CITATION {"citationID":"77pn59im4","properties":{"formattedCitation":"{\\rtf \\super 46\\nosupersub{}}","plainCitation":"46"},"citationItems":[{"id":435,"uris":["http://zotero.org/users/1624234/items/VS4SE8DS"],"uri":["http://zotero.org/users/1624234/items/VS4SE8DS"],"itemData":{"id":435,"type":"article-journal","title":"Catalytic Deoxydehydration of Glycols with Alcohol Reductants","container-title":"ChemSusChem","page":"597-599","volume":"6","issue":"4","source":"CrossRef","DOI":"10.1002/cssc.201200781","ISSN":"18645631","author":[{"family":"Boucher-Jacobs","given":"Camille"},{"family":"Nicholas","given":"Kenneth M."}],"issued":{"date-parts":[["2013",4]]}}}],"schema":"https://github.com/citation-style-language/schema/raw/master/csl-citation.json"} </w:instrText>
      </w:r>
      <w:r w:rsidRPr="00E47369">
        <w:rPr>
          <w:rFonts w:cstheme="minorHAnsi"/>
        </w:rPr>
        <w:fldChar w:fldCharType="separate"/>
      </w:r>
      <w:r w:rsidRPr="00E47369">
        <w:rPr>
          <w:rFonts w:cstheme="minorHAnsi"/>
          <w:vertAlign w:val="superscript"/>
        </w:rPr>
        <w:t>46</w:t>
      </w:r>
      <w:r w:rsidRPr="00E47369">
        <w:rPr>
          <w:rFonts w:cstheme="minorHAnsi"/>
        </w:rPr>
        <w:fldChar w:fldCharType="end"/>
      </w:r>
      <w:r w:rsidRPr="00E47369">
        <w:rPr>
          <w:rFonts w:cstheme="minorHAnsi"/>
        </w:rPr>
        <w:t xml:space="preserve"> The similarity of our products from the DODH reaction with the reagents of Krische's system </w:t>
      </w:r>
      <w:r w:rsidR="00973C73">
        <w:rPr>
          <w:rFonts w:cstheme="minorHAnsi"/>
        </w:rPr>
        <w:t>make</w:t>
      </w:r>
      <w:r w:rsidRPr="00E47369">
        <w:rPr>
          <w:rFonts w:cstheme="minorHAnsi"/>
        </w:rPr>
        <w:t xml:space="preserve"> for a </w:t>
      </w:r>
      <w:r w:rsidR="00973C73">
        <w:rPr>
          <w:rFonts w:cstheme="minorHAnsi"/>
        </w:rPr>
        <w:t xml:space="preserve">favorable </w:t>
      </w:r>
      <w:r w:rsidRPr="00E47369">
        <w:rPr>
          <w:rFonts w:cstheme="minorHAnsi"/>
        </w:rPr>
        <w:t>tandem system of the two reactions.</w:t>
      </w:r>
    </w:p>
    <w:p w14:paraId="66136E8B" w14:textId="77777777" w:rsidR="00537311" w:rsidRPr="00E47369" w:rsidRDefault="00537311" w:rsidP="00A25FD4">
      <w:pPr>
        <w:ind w:firstLine="360"/>
        <w:jc w:val="both"/>
        <w:rPr>
          <w:rFonts w:cstheme="minorHAnsi"/>
        </w:rPr>
      </w:pPr>
    </w:p>
    <w:p w14:paraId="2211CF39" w14:textId="77777777" w:rsidR="00661D64" w:rsidRPr="00E47369" w:rsidRDefault="00A25FD4" w:rsidP="00661D64">
      <w:pPr>
        <w:keepNext/>
        <w:jc w:val="center"/>
        <w:rPr>
          <w:rFonts w:cstheme="minorHAnsi"/>
        </w:rPr>
      </w:pPr>
      <w:r w:rsidRPr="00E47369">
        <w:rPr>
          <w:rFonts w:cstheme="minorHAnsi"/>
        </w:rPr>
        <w:object w:dxaOrig="9576" w:dyaOrig="2738" w14:anchorId="458D0E91">
          <v:shape id="_x0000_i1106" type="#_x0000_t75" style="width:344.95pt;height:98.1pt" o:ole="">
            <v:imagedata r:id="rId235" o:title=""/>
          </v:shape>
          <o:OLEObject Type="Embed" ProgID="ChemDraw.Document.6.0" ShapeID="_x0000_i1106" DrawAspect="Content" ObjectID="_1532784949" r:id="rId236"/>
        </w:object>
      </w:r>
    </w:p>
    <w:p w14:paraId="20478976" w14:textId="77777777" w:rsidR="00A25FD4" w:rsidRPr="008A0BB7" w:rsidRDefault="00661D64" w:rsidP="008A0BB7">
      <w:pPr>
        <w:pStyle w:val="Caption"/>
      </w:pPr>
      <w:bookmarkStart w:id="241" w:name="_Toc457670722"/>
      <w:r w:rsidRPr="008A0BB7">
        <w:t xml:space="preserve">Figure III. </w:t>
      </w:r>
      <w:r w:rsidR="00443010">
        <w:fldChar w:fldCharType="begin"/>
      </w:r>
      <w:r w:rsidR="00443010">
        <w:instrText xml:space="preserve"> STYLEREF 2 \s </w:instrText>
      </w:r>
      <w:r w:rsidR="00443010">
        <w:fldChar w:fldCharType="separate"/>
      </w:r>
      <w:r w:rsidR="000A0E3D">
        <w:rPr>
          <w:noProof/>
        </w:rPr>
        <w:t>3</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4</w:t>
      </w:r>
      <w:r w:rsidR="00443010">
        <w:rPr>
          <w:noProof/>
        </w:rPr>
        <w:fldChar w:fldCharType="end"/>
      </w:r>
      <w:r w:rsidRPr="008A0BB7">
        <w:t xml:space="preserve"> </w:t>
      </w:r>
      <w:r w:rsidR="00A25FD4" w:rsidRPr="008A0BB7">
        <w:t>DODH/Krische Allylation</w:t>
      </w:r>
      <w:bookmarkEnd w:id="241"/>
    </w:p>
    <w:p w14:paraId="73713FD7" w14:textId="77777777" w:rsidR="00A25FD4" w:rsidRPr="00E47369" w:rsidRDefault="00A25FD4" w:rsidP="00A25FD4">
      <w:pPr>
        <w:jc w:val="center"/>
        <w:rPr>
          <w:rFonts w:cstheme="minorHAnsi"/>
          <w:b/>
        </w:rPr>
      </w:pPr>
    </w:p>
    <w:p w14:paraId="5AAB225A" w14:textId="039CBD72" w:rsidR="00A25FD4" w:rsidRPr="00E47369" w:rsidRDefault="00A25FD4" w:rsidP="00A25FD4">
      <w:pPr>
        <w:ind w:firstLine="360"/>
        <w:jc w:val="both"/>
        <w:rPr>
          <w:rFonts w:cstheme="minorHAnsi"/>
        </w:rPr>
      </w:pPr>
      <w:r w:rsidRPr="00E47369">
        <w:rPr>
          <w:rFonts w:cstheme="minorHAnsi"/>
        </w:rPr>
        <w:t xml:space="preserve">The general idea for this tandem reaction is to start with the DODH of </w:t>
      </w:r>
      <w:r w:rsidR="00E7560F">
        <w:rPr>
          <w:rFonts w:cstheme="minorHAnsi"/>
        </w:rPr>
        <w:t xml:space="preserve">a </w:t>
      </w:r>
      <w:r w:rsidRPr="00E47369">
        <w:rPr>
          <w:rFonts w:cstheme="minorHAnsi"/>
        </w:rPr>
        <w:t>glycerol ester, e.g. glyceryl monostearate (</w:t>
      </w:r>
      <w:r w:rsidRPr="00E47369">
        <w:rPr>
          <w:rFonts w:cstheme="minorHAnsi"/>
          <w:b/>
        </w:rPr>
        <w:t>1</w:t>
      </w:r>
      <w:r w:rsidRPr="00E47369">
        <w:rPr>
          <w:rFonts w:cstheme="minorHAnsi"/>
        </w:rPr>
        <w:t xml:space="preserve">, </w:t>
      </w:r>
      <w:r w:rsidRPr="00E47369">
        <w:rPr>
          <w:rFonts w:cstheme="minorHAnsi"/>
        </w:rPr>
        <w:fldChar w:fldCharType="begin"/>
      </w:r>
      <w:r w:rsidRPr="00E47369">
        <w:rPr>
          <w:rFonts w:cstheme="minorHAnsi"/>
        </w:rPr>
        <w:instrText xml:space="preserve"> REF _Ref454183132 \h </w:instrText>
      </w:r>
      <w:r w:rsidR="00E47369">
        <w:rPr>
          <w:rFonts w:cstheme="minorHAnsi"/>
        </w:rPr>
        <w:instrText xml:space="preserve"> \* MERGEFORMAT </w:instrText>
      </w:r>
      <w:r w:rsidRPr="00E47369">
        <w:rPr>
          <w:rFonts w:cstheme="minorHAnsi"/>
        </w:rPr>
      </w:r>
      <w:r w:rsidRPr="00E47369">
        <w:rPr>
          <w:rFonts w:cstheme="minorHAnsi"/>
        </w:rPr>
        <w:fldChar w:fldCharType="separate"/>
      </w:r>
      <w:r w:rsidR="000A0E3D" w:rsidRPr="000A0E3D">
        <w:rPr>
          <w:rFonts w:cstheme="minorHAnsi"/>
        </w:rPr>
        <w:t xml:space="preserve">Figure III. </w:t>
      </w:r>
      <w:r w:rsidR="000A0E3D" w:rsidRPr="000A0E3D">
        <w:rPr>
          <w:rFonts w:cstheme="minorHAnsi"/>
          <w:noProof/>
        </w:rPr>
        <w:t>3.3</w:t>
      </w:r>
      <w:r w:rsidRPr="00E47369">
        <w:rPr>
          <w:rFonts w:cstheme="minorHAnsi"/>
        </w:rPr>
        <w:fldChar w:fldCharType="end"/>
      </w:r>
      <w:r w:rsidRPr="00E47369">
        <w:rPr>
          <w:rFonts w:cstheme="minorHAnsi"/>
        </w:rPr>
        <w:t>) which produces the allylic ester (</w:t>
      </w:r>
      <w:r w:rsidRPr="00E47369">
        <w:rPr>
          <w:rFonts w:cstheme="minorHAnsi"/>
          <w:b/>
        </w:rPr>
        <w:t>2</w:t>
      </w:r>
      <w:r w:rsidRPr="00E47369">
        <w:rPr>
          <w:rFonts w:cstheme="minorHAnsi"/>
        </w:rPr>
        <w:t xml:space="preserve">, </w:t>
      </w:r>
      <w:r w:rsidRPr="00E47369">
        <w:rPr>
          <w:rFonts w:cstheme="minorHAnsi"/>
        </w:rPr>
        <w:fldChar w:fldCharType="begin"/>
      </w:r>
      <w:r w:rsidRPr="00E47369">
        <w:rPr>
          <w:rFonts w:cstheme="minorHAnsi"/>
        </w:rPr>
        <w:instrText xml:space="preserve"> REF _Ref454183132 \h </w:instrText>
      </w:r>
      <w:r w:rsidR="00E47369">
        <w:rPr>
          <w:rFonts w:cstheme="minorHAnsi"/>
        </w:rPr>
        <w:instrText xml:space="preserve"> \* MERGEFORMAT </w:instrText>
      </w:r>
      <w:r w:rsidRPr="00E47369">
        <w:rPr>
          <w:rFonts w:cstheme="minorHAnsi"/>
        </w:rPr>
      </w:r>
      <w:r w:rsidRPr="00E47369">
        <w:rPr>
          <w:rFonts w:cstheme="minorHAnsi"/>
        </w:rPr>
        <w:fldChar w:fldCharType="separate"/>
      </w:r>
      <w:r w:rsidR="000A0E3D" w:rsidRPr="000A0E3D">
        <w:rPr>
          <w:rFonts w:cstheme="minorHAnsi"/>
        </w:rPr>
        <w:t xml:space="preserve">Figure III. </w:t>
      </w:r>
      <w:r w:rsidR="000A0E3D" w:rsidRPr="000A0E3D">
        <w:rPr>
          <w:rFonts w:cstheme="minorHAnsi"/>
          <w:noProof/>
        </w:rPr>
        <w:t>3.3</w:t>
      </w:r>
      <w:r w:rsidRPr="00E47369">
        <w:rPr>
          <w:rFonts w:cstheme="minorHAnsi"/>
        </w:rPr>
        <w:fldChar w:fldCharType="end"/>
      </w:r>
      <w:r w:rsidRPr="00E47369">
        <w:rPr>
          <w:rFonts w:cstheme="minorHAnsi"/>
        </w:rPr>
        <w:t>) using benzyl alcohol as the reducing agent and ammonium perrhenate as catalyst. The allylation, catalyzed by the iridium complex (S)-I, can then take place with the aldehyde obtained in the DODH reaction and the allylic pro-nucleophile (</w:t>
      </w:r>
      <w:r w:rsidRPr="00E47369">
        <w:rPr>
          <w:rFonts w:cstheme="minorHAnsi"/>
          <w:b/>
        </w:rPr>
        <w:t>2</w:t>
      </w:r>
      <w:r w:rsidRPr="00E47369">
        <w:rPr>
          <w:rFonts w:cstheme="minorHAnsi"/>
        </w:rPr>
        <w:t xml:space="preserve">, </w:t>
      </w:r>
      <w:r w:rsidRPr="00E47369">
        <w:rPr>
          <w:rFonts w:cstheme="minorHAnsi"/>
        </w:rPr>
        <w:fldChar w:fldCharType="begin"/>
      </w:r>
      <w:r w:rsidRPr="00E47369">
        <w:rPr>
          <w:rFonts w:cstheme="minorHAnsi"/>
        </w:rPr>
        <w:instrText xml:space="preserve"> REF _Ref454183132 \h </w:instrText>
      </w:r>
      <w:r w:rsidR="00E47369">
        <w:rPr>
          <w:rFonts w:cstheme="minorHAnsi"/>
        </w:rPr>
        <w:instrText xml:space="preserve"> \* MERGEFORMAT </w:instrText>
      </w:r>
      <w:r w:rsidRPr="00E47369">
        <w:rPr>
          <w:rFonts w:cstheme="minorHAnsi"/>
        </w:rPr>
      </w:r>
      <w:r w:rsidRPr="00E47369">
        <w:rPr>
          <w:rFonts w:cstheme="minorHAnsi"/>
        </w:rPr>
        <w:fldChar w:fldCharType="separate"/>
      </w:r>
      <w:r w:rsidR="000A0E3D" w:rsidRPr="000A0E3D">
        <w:rPr>
          <w:rFonts w:cstheme="minorHAnsi"/>
        </w:rPr>
        <w:t xml:space="preserve">Figure III. </w:t>
      </w:r>
      <w:r w:rsidR="000A0E3D" w:rsidRPr="000A0E3D">
        <w:rPr>
          <w:rFonts w:cstheme="minorHAnsi"/>
          <w:noProof/>
        </w:rPr>
        <w:t>3.3</w:t>
      </w:r>
      <w:r w:rsidRPr="00E47369">
        <w:rPr>
          <w:rFonts w:cstheme="minorHAnsi"/>
        </w:rPr>
        <w:fldChar w:fldCharType="end"/>
      </w:r>
      <w:r w:rsidRPr="00E47369">
        <w:rPr>
          <w:rFonts w:cstheme="minorHAnsi"/>
        </w:rPr>
        <w:t>) to provide 1-phenylbut-3-en-1-ol (</w:t>
      </w:r>
      <w:r w:rsidRPr="00E47369">
        <w:rPr>
          <w:rFonts w:cstheme="minorHAnsi"/>
          <w:b/>
        </w:rPr>
        <w:t>3</w:t>
      </w:r>
      <w:r w:rsidRPr="00E47369">
        <w:rPr>
          <w:rFonts w:cstheme="minorHAnsi"/>
        </w:rPr>
        <w:t xml:space="preserve">, </w:t>
      </w:r>
      <w:r w:rsidRPr="00E47369">
        <w:rPr>
          <w:rFonts w:cstheme="minorHAnsi"/>
        </w:rPr>
        <w:fldChar w:fldCharType="begin"/>
      </w:r>
      <w:r w:rsidRPr="00E47369">
        <w:rPr>
          <w:rFonts w:cstheme="minorHAnsi"/>
        </w:rPr>
        <w:instrText xml:space="preserve"> REF _Ref454183132 \h </w:instrText>
      </w:r>
      <w:r w:rsidR="00E47369">
        <w:rPr>
          <w:rFonts w:cstheme="minorHAnsi"/>
        </w:rPr>
        <w:instrText xml:space="preserve"> \* MERGEFORMAT </w:instrText>
      </w:r>
      <w:r w:rsidRPr="00E47369">
        <w:rPr>
          <w:rFonts w:cstheme="minorHAnsi"/>
        </w:rPr>
      </w:r>
      <w:r w:rsidRPr="00E47369">
        <w:rPr>
          <w:rFonts w:cstheme="minorHAnsi"/>
        </w:rPr>
        <w:fldChar w:fldCharType="separate"/>
      </w:r>
      <w:r w:rsidR="000A0E3D" w:rsidRPr="000A0E3D">
        <w:rPr>
          <w:rFonts w:cstheme="minorHAnsi"/>
        </w:rPr>
        <w:t xml:space="preserve">Figure III. </w:t>
      </w:r>
      <w:r w:rsidR="000A0E3D" w:rsidRPr="000A0E3D">
        <w:rPr>
          <w:rFonts w:cstheme="minorHAnsi"/>
          <w:noProof/>
        </w:rPr>
        <w:t>3.3</w:t>
      </w:r>
      <w:r w:rsidRPr="00E47369">
        <w:rPr>
          <w:rFonts w:cstheme="minorHAnsi"/>
        </w:rPr>
        <w:fldChar w:fldCharType="end"/>
      </w:r>
      <w:r w:rsidRPr="00E47369">
        <w:rPr>
          <w:rFonts w:cstheme="minorHAnsi"/>
        </w:rPr>
        <w:t>). In this tandem reaction the relatively economical glycerol derivative provides a more valuable product via the use of two transition metal catalysts. This system is atom economical since the benzaldehyde formed in the DODH reaction is a reagent in the second reaction. Only the long chain carboxylate from the glycerol ester derivative would be left out of the final product.</w:t>
      </w:r>
    </w:p>
    <w:p w14:paraId="7251AB49" w14:textId="77777777" w:rsidR="00A25FD4" w:rsidRPr="00E47369" w:rsidRDefault="00A25FD4" w:rsidP="00A25FD4">
      <w:pPr>
        <w:ind w:firstLine="360"/>
        <w:jc w:val="both"/>
        <w:rPr>
          <w:rFonts w:cstheme="minorHAnsi"/>
        </w:rPr>
      </w:pPr>
      <w:r w:rsidRPr="00E47369">
        <w:rPr>
          <w:rFonts w:cstheme="minorHAnsi"/>
        </w:rPr>
        <w:t xml:space="preserve">In the first part of this section we will describe our approach to testing the compatibility of the reagents for each step. </w:t>
      </w:r>
    </w:p>
    <w:p w14:paraId="4225127F" w14:textId="77777777" w:rsidR="00A25FD4" w:rsidRDefault="00A25FD4" w:rsidP="00A25FD4">
      <w:pPr>
        <w:ind w:firstLine="360"/>
        <w:jc w:val="both"/>
        <w:rPr>
          <w:rFonts w:cstheme="minorHAnsi"/>
        </w:rPr>
      </w:pPr>
    </w:p>
    <w:p w14:paraId="1284B559" w14:textId="77777777" w:rsidR="00537311" w:rsidRPr="00E47369" w:rsidRDefault="00537311" w:rsidP="00A25FD4">
      <w:pPr>
        <w:ind w:firstLine="360"/>
        <w:jc w:val="both"/>
        <w:rPr>
          <w:rFonts w:cstheme="minorHAnsi"/>
        </w:rPr>
      </w:pPr>
    </w:p>
    <w:p w14:paraId="23435919" w14:textId="77777777" w:rsidR="00A25FD4" w:rsidRPr="00E47369" w:rsidRDefault="00A25FD4" w:rsidP="00A25FD4">
      <w:pPr>
        <w:pStyle w:val="Heading41"/>
        <w:rPr>
          <w:rFonts w:cstheme="minorHAnsi"/>
        </w:rPr>
      </w:pPr>
      <w:r w:rsidRPr="00E47369">
        <w:rPr>
          <w:rFonts w:cstheme="minorHAnsi"/>
        </w:rPr>
        <w:t>DODH/Allylation with Masuyama system</w:t>
      </w:r>
    </w:p>
    <w:p w14:paraId="69BDC814" w14:textId="3B975548" w:rsidR="00A25FD4" w:rsidRPr="00E47369" w:rsidRDefault="00A25FD4" w:rsidP="00A25FD4">
      <w:pPr>
        <w:ind w:firstLine="360"/>
        <w:jc w:val="both"/>
        <w:rPr>
          <w:rFonts w:cstheme="minorHAnsi"/>
        </w:rPr>
      </w:pPr>
      <w:r w:rsidRPr="00E47369">
        <w:rPr>
          <w:rFonts w:cstheme="minorHAnsi"/>
        </w:rPr>
        <w:t>With the recent development of a DODH reaction system for glycerol</w:t>
      </w:r>
      <w:r w:rsidRPr="00E47369">
        <w:rPr>
          <w:rFonts w:cstheme="minorHAnsi"/>
        </w:rPr>
        <w:fldChar w:fldCharType="begin"/>
      </w:r>
      <w:r w:rsidRPr="00E47369">
        <w:rPr>
          <w:rFonts w:cstheme="minorHAnsi"/>
        </w:rPr>
        <w:instrText xml:space="preserve"> ADDIN ZOTERO_ITEM CSL_CITATION {"citationID":"284eq58g3o","properties":{"formattedCitation":"{\\rtf \\super 42,44,83\\nosupersub{}}","plainCitation":"42,44,83"},"citationItems":[{"id":154,"uris":["http://zotero.org/users/1624234/items/9UNQ7VFF"],"uri":["http://zotero.org/users/1624234/items/9UNQ7VFF"],"itemData":{"id":154,"type":"article-journal","title":"Deoxygenation of Biomass-Derived Feedstocks: Oxorhenium-Catalyzed Deoxydehydration of Sugars and Sugar Alcohols","container-title":"Angewandte Chemie International Edition","page":"8082-8086","volume":"51","issue":"32","source":"CrossRef","DOI":"10.1002/anie.201203877","ISSN":"14337851","shortTitle":"Deoxygenation of Biomass-Derived Feedstocks","author":[{"family":"Shiramizu","given":"Mika"},{"family":"Toste","given":"F. Dean"}],"issued":{"date-parts":[["2012",8,6]]}}},{"id":1671,"uris":["http://zotero.org/users/1624234/items/BTSVQIK3"],"uri":["http://zotero.org/users/1624234/items/BTSVQIK3"],"itemData":{"id":1671,"type":"article-journal","title":"Oxo-Rhenium-Catalyzed Deoxydehydration of Polyols with Hydroaromatic Reductants","container-title":"Organometallics","page":"1985-1990","volume":"34","issue":"10","source":"ACS Publications","abstract":"Several dihydroaromatic compounds are shown to be effective reducing agents in the oxo-metal-catalyzed deoxydehydration of diols and polyols to produce olefins and the corresponding arenes. NH4ReO4 and MeReO3 are active catalysts for the reactions. The most effective of the hydroaromatic reductants is indoline, which is oxidized to indole. Yields for a variety of diols and polyols range from 35% to 99%. Two hydrogen donors, 1,3-cyclohexadiene and dihydroanthracene, engage in tandem DODH/cycloaddition reactions. Competition experiments show that indoline is more reactive than representative alcohols in H-transfer. Indoline is shown to reduce MeReO3 to MeReO2 via an isolable adduct, MeReO3(indoline) (4), which has been structurally characterized and is suggested to be an intermediate in the catalytic DODH process.","DOI":"10.1021/acs.organomet.5b00226","ISSN":"0276-7333","journalAbbreviation":"Organometallics","author":[{"family":"Boucher-Jacobs","given":"Camille"},{"family":"Nicholas","given":"Kenneth M."}],"issued":{"date-parts":[["2015",5,26]]}}},{"id":399,"uris":["http://zotero.org/users/1624234/items/SP6A7ZFS"],"uri":["http://zotero.org/users/1624234/items/SP6A7ZFS"],"itemData":{"id":399,"type":"article-journal","title":"Rhenium-Catalyzed Transfer Hydrogenation and Deoxygenation of Biomass-Derived Polyols to Small and Useful Organics","container-title":"ChemSusChem","page":"1401-1404","volume":"5","issue":"8","source":"CrossRef","DOI":"10.1002/cssc.201200138","ISSN":"18645631","author":[{"family":"Yi","given":"Jing"},{"family":"Liu","given":"Shuo"},{"family":"Abu-Omar","given":"Mahdi M."}],"issued":{"date-parts":[["2012",8]]}}}],"schema":"https://github.com/citation-style-language/schema/raw/master/csl-citation.json"} </w:instrText>
      </w:r>
      <w:r w:rsidRPr="00E47369">
        <w:rPr>
          <w:rFonts w:cstheme="minorHAnsi"/>
        </w:rPr>
        <w:fldChar w:fldCharType="separate"/>
      </w:r>
      <w:r w:rsidRPr="00E47369">
        <w:rPr>
          <w:rFonts w:cstheme="minorHAnsi"/>
          <w:vertAlign w:val="superscript"/>
        </w:rPr>
        <w:t>42,44,83</w:t>
      </w:r>
      <w:r w:rsidRPr="00E47369">
        <w:rPr>
          <w:rFonts w:cstheme="minorHAnsi"/>
        </w:rPr>
        <w:fldChar w:fldCharType="end"/>
      </w:r>
      <w:r w:rsidRPr="00E47369">
        <w:rPr>
          <w:rFonts w:cstheme="minorHAnsi"/>
        </w:rPr>
        <w:t xml:space="preserve"> we also considered the Masuyama allylation to be used in a tandem DODH-CA reaction (</w:t>
      </w:r>
      <w:r w:rsidRPr="00E47369">
        <w:rPr>
          <w:rFonts w:cstheme="minorHAnsi"/>
        </w:rPr>
        <w:fldChar w:fldCharType="begin"/>
      </w:r>
      <w:r w:rsidRPr="00E47369">
        <w:rPr>
          <w:rFonts w:cstheme="minorHAnsi"/>
        </w:rPr>
        <w:instrText xml:space="preserve"> REF _Ref454183265 \h </w:instrText>
      </w:r>
      <w:r w:rsidR="00E47369">
        <w:rPr>
          <w:rFonts w:cstheme="minorHAnsi"/>
        </w:rPr>
        <w:instrText xml:space="preserve"> \* MERGEFORMAT </w:instrText>
      </w:r>
      <w:r w:rsidRPr="00E47369">
        <w:rPr>
          <w:rFonts w:cstheme="minorHAnsi"/>
        </w:rPr>
      </w:r>
      <w:r w:rsidRPr="00E47369">
        <w:rPr>
          <w:rFonts w:cstheme="minorHAnsi"/>
        </w:rPr>
        <w:fldChar w:fldCharType="separate"/>
      </w:r>
      <w:r w:rsidR="000A0E3D" w:rsidRPr="000A0E3D">
        <w:rPr>
          <w:rFonts w:cstheme="minorHAnsi"/>
        </w:rPr>
        <w:t xml:space="preserve">Figure III. </w:t>
      </w:r>
      <w:r w:rsidR="000A0E3D" w:rsidRPr="000A0E3D">
        <w:rPr>
          <w:rFonts w:cstheme="minorHAnsi"/>
          <w:noProof/>
        </w:rPr>
        <w:t>3.5</w:t>
      </w:r>
      <w:r w:rsidRPr="00E47369">
        <w:rPr>
          <w:rFonts w:cstheme="minorHAnsi"/>
        </w:rPr>
        <w:fldChar w:fldCharType="end"/>
      </w:r>
      <w:r w:rsidRPr="00E47369">
        <w:rPr>
          <w:rFonts w:cstheme="minorHAnsi"/>
        </w:rPr>
        <w:t>). In the Masuyama system tin chloride is used as a stoichiometric reductant with palladium (II) chloride catalyst (either phosphine ligand or bis-benzonitrile and bis-acetonitrile ligands) in dimethyl formamide as solvent. More recently Guo’s group reported a modification of the Masuyama allylation using bi-phasic (THF/water) and aqueous media</w:t>
      </w:r>
      <w:r w:rsidRPr="00E47369">
        <w:rPr>
          <w:rFonts w:cstheme="minorHAnsi"/>
        </w:rPr>
        <w:fldChar w:fldCharType="begin"/>
      </w:r>
      <w:r w:rsidR="00E028D6">
        <w:rPr>
          <w:rFonts w:cstheme="minorHAnsi"/>
        </w:rPr>
        <w:instrText xml:space="preserve"> ADDIN ZOTERO_ITEM CSL_CITATION {"citationID":"23tauif5ge","properties":{"formattedCitation":"{\\rtf \\super 135\\nosupersub{}}","plainCitation":"135"},"citationItems":[{"id":1381,"uris":["http://zotero.org/users/1624234/items/HF7JDKSA"],"uri":["http://zotero.org/users/1624234/items/HF7JDKSA"],"itemData":{"id":1381,"type":"article-journal","title":"SnCl2/PdCl2-mediated aldehyde allylation in fully aqueous media","container-title":"Tetrahedron Letters","page":"5525-5528","volume":"45","issue":"28","source":"ScienceDirect","abstract":"Catalyzed by PdCl2, SnCl2 can efficiently mediate the allylation of various aldehydes with allyl chloride or bromide, but not with allyl alcohol, in fully aqueous media. The yield of the reaction is very high (90–100%), and the reaction is operationally simple, environmental benign and easy to scale up.","DOI":"10.1016/j.tetlet.2004.05.066","ISSN":"0040-4039","journalAbbreviation":"Tetrahedron Letters","author":[{"family":"Tan","given":"Xiang-Hui"},{"family":"Hou","given":"Yong-Quan"},{"family":"Shen","given":"Bo"},{"family":"Liu","given":"Lei"},{"family":"Guo","given":"Qing-Xiang"}],"issued":{"date-parts":[["2004",7,5]]}}}],"schema":"https://github.com/citation-style-language/schema/raw/master/csl-citation.json"} </w:instrText>
      </w:r>
      <w:r w:rsidRPr="00E47369">
        <w:rPr>
          <w:rFonts w:cstheme="minorHAnsi"/>
        </w:rPr>
        <w:fldChar w:fldCharType="separate"/>
      </w:r>
      <w:r w:rsidR="00E028D6" w:rsidRPr="00E028D6">
        <w:rPr>
          <w:rFonts w:ascii="Times New Roman" w:hAnsi="Times New Roman"/>
          <w:vertAlign w:val="superscript"/>
        </w:rPr>
        <w:t>135</w:t>
      </w:r>
      <w:r w:rsidRPr="00E47369">
        <w:rPr>
          <w:rFonts w:cstheme="minorHAnsi"/>
        </w:rPr>
        <w:fldChar w:fldCharType="end"/>
      </w:r>
      <w:r w:rsidRPr="00E47369">
        <w:rPr>
          <w:rFonts w:cstheme="minorHAnsi"/>
        </w:rPr>
        <w:t xml:space="preserve"> and palladium (II) chloride as the catalyst without any added ligand. Since phosphine is a very good reducing agent in the DODH reaction we wanted to avoid the use of a phosphine based catalyst in the tandem system. The use of triphenyl phosphine as reducing agent was considered, but with the high cost and toxicity of it and it</w:t>
      </w:r>
      <w:r w:rsidR="00E7560F">
        <w:rPr>
          <w:rFonts w:cstheme="minorHAnsi"/>
        </w:rPr>
        <w:t>’</w:t>
      </w:r>
      <w:r w:rsidRPr="00E47369">
        <w:rPr>
          <w:rFonts w:cstheme="minorHAnsi"/>
        </w:rPr>
        <w:t xml:space="preserve">s difficult to recycle triphenyl phosphine oxide byproduct, we wanted to avoid it. In addition we planned on using benzyl alcohol as the reducing agent in this DODH/Allylation tandem system so that we could form the carbonyl species needed for the allylation in the DODH step and achieve an atom economical tandem system. The </w:t>
      </w:r>
      <w:r w:rsidR="00E7560F" w:rsidRPr="00E47369">
        <w:rPr>
          <w:rFonts w:cstheme="minorHAnsi"/>
        </w:rPr>
        <w:t>compatibility</w:t>
      </w:r>
      <w:r w:rsidRPr="00E47369">
        <w:rPr>
          <w:rFonts w:cstheme="minorHAnsi"/>
        </w:rPr>
        <w:t xml:space="preserve"> of acetonitrile or benzonitrile with the DODH reaction was unknown. In order to limit any potential reactivity of these ligands we will investigate the naked palladium (II) chloride catalyst. The potential activity of tin chloride as a reductant in the DODH reaction will be considered as well since it could compete with benzyl alcohol. The biggest unknown for the Masuyama allylation reaction system is that the reaction proceeds at room temperature, but we planned on conducting it at the typical DODH reaction temperature of 150</w:t>
      </w:r>
      <w:r w:rsidRPr="00E47369">
        <w:rPr>
          <w:rFonts w:cstheme="minorHAnsi"/>
          <w:vertAlign w:val="superscript"/>
        </w:rPr>
        <w:t>o</w:t>
      </w:r>
      <w:r w:rsidRPr="00E47369">
        <w:rPr>
          <w:rFonts w:cstheme="minorHAnsi"/>
        </w:rPr>
        <w:t>C.</w:t>
      </w:r>
    </w:p>
    <w:p w14:paraId="30B1A9B8" w14:textId="77777777" w:rsidR="00A25FD4" w:rsidRPr="00E47369" w:rsidRDefault="00A25FD4" w:rsidP="00A25FD4">
      <w:pPr>
        <w:keepNext/>
        <w:jc w:val="center"/>
        <w:rPr>
          <w:rFonts w:cstheme="minorHAnsi"/>
        </w:rPr>
      </w:pPr>
      <w:r w:rsidRPr="00E47369">
        <w:rPr>
          <w:rFonts w:cstheme="minorHAnsi"/>
        </w:rPr>
        <w:object w:dxaOrig="6535" w:dyaOrig="2613" w14:anchorId="4F74A87E">
          <v:shape id="_x0000_i1107" type="#_x0000_t75" style="width:236.55pt;height:92.55pt" o:ole="">
            <v:imagedata r:id="rId237" o:title=""/>
          </v:shape>
          <o:OLEObject Type="Embed" ProgID="ChemDraw.Document.6.0" ShapeID="_x0000_i1107" DrawAspect="Content" ObjectID="_1532784950" r:id="rId238"/>
        </w:object>
      </w:r>
    </w:p>
    <w:p w14:paraId="2AC8B463" w14:textId="77777777" w:rsidR="00A25FD4" w:rsidRPr="008A0BB7" w:rsidRDefault="00A25FD4" w:rsidP="008A0BB7">
      <w:pPr>
        <w:pStyle w:val="Caption"/>
      </w:pPr>
      <w:bookmarkStart w:id="242" w:name="_Ref454183265"/>
      <w:bookmarkStart w:id="243" w:name="_Toc457670723"/>
      <w:r w:rsidRPr="008A0BB7">
        <w:t xml:space="preserve">Figure III. </w:t>
      </w:r>
      <w:r w:rsidR="00443010">
        <w:fldChar w:fldCharType="begin"/>
      </w:r>
      <w:r w:rsidR="00443010">
        <w:instrText xml:space="preserve"> STYLEREF 2 \s </w:instrText>
      </w:r>
      <w:r w:rsidR="00443010">
        <w:fldChar w:fldCharType="separate"/>
      </w:r>
      <w:r w:rsidR="000A0E3D">
        <w:rPr>
          <w:noProof/>
        </w:rPr>
        <w:t>3</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5</w:t>
      </w:r>
      <w:r w:rsidR="00443010">
        <w:rPr>
          <w:noProof/>
        </w:rPr>
        <w:fldChar w:fldCharType="end"/>
      </w:r>
      <w:bookmarkEnd w:id="242"/>
      <w:r w:rsidRPr="008A0BB7">
        <w:t xml:space="preserve"> DODH/Masuyama Allylation</w:t>
      </w:r>
      <w:bookmarkEnd w:id="243"/>
    </w:p>
    <w:p w14:paraId="70BD0ACF" w14:textId="77777777" w:rsidR="00A25FD4" w:rsidRPr="00E47369" w:rsidRDefault="00A25FD4" w:rsidP="00A25FD4">
      <w:pPr>
        <w:jc w:val="center"/>
        <w:rPr>
          <w:rFonts w:cstheme="minorHAnsi"/>
          <w:b/>
        </w:rPr>
      </w:pPr>
    </w:p>
    <w:p w14:paraId="1F54A707" w14:textId="77777777" w:rsidR="00A25FD4" w:rsidRPr="00E47369" w:rsidRDefault="00A25FD4" w:rsidP="00A25FD4">
      <w:pPr>
        <w:ind w:firstLine="360"/>
        <w:jc w:val="both"/>
        <w:rPr>
          <w:rFonts w:cstheme="minorHAnsi"/>
        </w:rPr>
      </w:pPr>
      <w:r w:rsidRPr="00E47369">
        <w:rPr>
          <w:rFonts w:cstheme="minorHAnsi"/>
        </w:rPr>
        <w:t xml:space="preserve">In a second part of this section we will describe our study of each step individually. The allylation will be studied in the potential DODH solvent from toluene and benzene to more polar solvents such as 1-butanol. Tin chloride's activity as a reducing agent will be tested and we will also compare its activity to benzyl alcohol in a competition experiment. Finally we will attempt to combine both reactions in a tandem DODH/Allylation system. </w:t>
      </w:r>
    </w:p>
    <w:p w14:paraId="0D988CE4" w14:textId="77777777" w:rsidR="00A25FD4" w:rsidRPr="00E47369" w:rsidRDefault="00A25FD4" w:rsidP="00A25FD4">
      <w:pPr>
        <w:ind w:firstLine="360"/>
        <w:jc w:val="both"/>
        <w:rPr>
          <w:rFonts w:cstheme="minorHAnsi"/>
        </w:rPr>
      </w:pPr>
    </w:p>
    <w:p w14:paraId="3061B609" w14:textId="77777777" w:rsidR="00A25FD4" w:rsidRPr="00E47369" w:rsidRDefault="00A25FD4" w:rsidP="000351A7">
      <w:pPr>
        <w:pStyle w:val="Heading3"/>
      </w:pPr>
      <w:bookmarkStart w:id="244" w:name="_Toc458938311"/>
      <w:r w:rsidRPr="00E47369">
        <w:t>DODH/Krische’s Allylation</w:t>
      </w:r>
      <w:bookmarkEnd w:id="244"/>
    </w:p>
    <w:p w14:paraId="2F913B61" w14:textId="77777777" w:rsidR="00A25FD4" w:rsidRPr="00E47369" w:rsidRDefault="00A25FD4" w:rsidP="00A25FD4">
      <w:pPr>
        <w:ind w:firstLine="360"/>
        <w:jc w:val="both"/>
        <w:rPr>
          <w:rFonts w:cstheme="minorHAnsi"/>
          <w:color w:val="000000" w:themeColor="text1"/>
        </w:rPr>
      </w:pPr>
      <w:r w:rsidRPr="00E47369">
        <w:rPr>
          <w:rFonts w:cstheme="minorHAnsi"/>
        </w:rPr>
        <w:t xml:space="preserve">Initially each of </w:t>
      </w:r>
      <w:r w:rsidRPr="00E47369">
        <w:rPr>
          <w:rFonts w:cstheme="minorHAnsi"/>
          <w:color w:val="000000" w:themeColor="text1"/>
        </w:rPr>
        <w:t>the reactions were studied separately and the compatibility of the reagents for each step were evaluated.</w:t>
      </w:r>
    </w:p>
    <w:p w14:paraId="719FD658" w14:textId="77777777" w:rsidR="00003D5D" w:rsidRPr="00E47369" w:rsidRDefault="00003D5D" w:rsidP="00A25FD4">
      <w:pPr>
        <w:ind w:firstLine="360"/>
        <w:jc w:val="both"/>
        <w:rPr>
          <w:rFonts w:cstheme="minorHAnsi"/>
        </w:rPr>
      </w:pPr>
    </w:p>
    <w:p w14:paraId="1BEEF392" w14:textId="77777777" w:rsidR="00A25FD4" w:rsidRPr="00E47369" w:rsidRDefault="00A25FD4" w:rsidP="00C36752">
      <w:pPr>
        <w:pStyle w:val="Heading41"/>
        <w:numPr>
          <w:ilvl w:val="0"/>
          <w:numId w:val="26"/>
        </w:numPr>
        <w:rPr>
          <w:rFonts w:cstheme="minorHAnsi"/>
        </w:rPr>
      </w:pPr>
      <w:r w:rsidRPr="00E47369">
        <w:rPr>
          <w:rFonts w:cstheme="minorHAnsi"/>
        </w:rPr>
        <w:t>Allylation step</w:t>
      </w:r>
    </w:p>
    <w:p w14:paraId="3902D66C" w14:textId="77777777" w:rsidR="00A25FD4" w:rsidRPr="00E47369" w:rsidRDefault="00A25FD4" w:rsidP="00A25FD4">
      <w:pPr>
        <w:ind w:firstLine="360"/>
        <w:jc w:val="both"/>
        <w:rPr>
          <w:rFonts w:cstheme="minorHAnsi"/>
          <w:noProof/>
        </w:rPr>
      </w:pPr>
      <w:r w:rsidRPr="00E47369">
        <w:rPr>
          <w:rFonts w:cstheme="minorHAnsi"/>
        </w:rPr>
        <w:t xml:space="preserve">The reaction conditions for the allylation </w:t>
      </w:r>
      <w:r w:rsidRPr="00E47369">
        <w:rPr>
          <w:rFonts w:cstheme="minorHAnsi"/>
          <w:color w:val="000000" w:themeColor="text1"/>
        </w:rPr>
        <w:t>were utilized from the literature using allyl acetate as the allylic ester. This reaction employed the cataly</w:t>
      </w:r>
      <w:r w:rsidRPr="00E47369">
        <w:rPr>
          <w:rFonts w:cstheme="minorHAnsi"/>
        </w:rPr>
        <w:t>st (S)-I prepared from bis-1,5-cyclooctadiene chloride diiridium (I), allyl acetate, (S)-SEGPHOS and 4-cyano-3-nitrobenzoic acid.</w:t>
      </w:r>
      <w:r w:rsidRPr="00E47369">
        <w:rPr>
          <w:rFonts w:cstheme="minorHAnsi"/>
          <w:noProof/>
        </w:rPr>
        <w:t xml:space="preserve"> (</w:t>
      </w:r>
      <w:r w:rsidRPr="00E47369">
        <w:rPr>
          <w:rFonts w:cstheme="minorHAnsi"/>
          <w:noProof/>
        </w:rPr>
        <w:fldChar w:fldCharType="begin"/>
      </w:r>
      <w:r w:rsidRPr="00E47369">
        <w:rPr>
          <w:rFonts w:cstheme="minorHAnsi"/>
          <w:noProof/>
        </w:rPr>
        <w:instrText xml:space="preserve"> REF _Ref454183342 \h </w:instrText>
      </w:r>
      <w:r w:rsidR="00E47369">
        <w:rPr>
          <w:rFonts w:cstheme="minorHAnsi"/>
          <w:noProof/>
        </w:rPr>
        <w:instrText xml:space="preserve"> \* MERGEFORMAT </w:instrText>
      </w:r>
      <w:r w:rsidRPr="00E47369">
        <w:rPr>
          <w:rFonts w:cstheme="minorHAnsi"/>
          <w:noProof/>
        </w:rPr>
      </w:r>
      <w:r w:rsidRPr="00E47369">
        <w:rPr>
          <w:rFonts w:cstheme="minorHAnsi"/>
          <w:noProof/>
        </w:rPr>
        <w:fldChar w:fldCharType="separate"/>
      </w:r>
      <w:r w:rsidR="000A0E3D" w:rsidRPr="000A0E3D">
        <w:rPr>
          <w:rFonts w:cstheme="minorHAnsi"/>
        </w:rPr>
        <w:t xml:space="preserve">Figure III. </w:t>
      </w:r>
      <w:r w:rsidR="000A0E3D" w:rsidRPr="000A0E3D">
        <w:rPr>
          <w:rFonts w:cstheme="minorHAnsi"/>
          <w:noProof/>
        </w:rPr>
        <w:t>3.6</w:t>
      </w:r>
      <w:r w:rsidRPr="00E47369">
        <w:rPr>
          <w:rFonts w:cstheme="minorHAnsi"/>
          <w:noProof/>
        </w:rPr>
        <w:fldChar w:fldCharType="end"/>
      </w:r>
      <w:r w:rsidRPr="00E47369">
        <w:rPr>
          <w:rFonts w:cstheme="minorHAnsi"/>
          <w:noProof/>
        </w:rPr>
        <w:t>). The catalyst (S)-I was provided to us by Dr. Krische.</w:t>
      </w:r>
    </w:p>
    <w:p w14:paraId="3CE8B16B" w14:textId="77777777" w:rsidR="00A25FD4" w:rsidRPr="00E47369" w:rsidRDefault="00A25FD4" w:rsidP="00A25FD4">
      <w:pPr>
        <w:keepNext/>
        <w:jc w:val="center"/>
        <w:rPr>
          <w:rFonts w:cstheme="minorHAnsi"/>
        </w:rPr>
      </w:pPr>
      <w:r w:rsidRPr="00E47369">
        <w:rPr>
          <w:rFonts w:cstheme="minorHAnsi"/>
        </w:rPr>
        <w:object w:dxaOrig="7656" w:dyaOrig="2234" w14:anchorId="4970BF1E">
          <v:shape id="_x0000_i1108" type="#_x0000_t75" style="width:236.55pt;height:66.45pt" o:ole="">
            <v:imagedata r:id="rId239" o:title=""/>
          </v:shape>
          <o:OLEObject Type="Embed" ProgID="ChemDraw.Document.6.0" ShapeID="_x0000_i1108" DrawAspect="Content" ObjectID="_1532784951" r:id="rId240"/>
        </w:object>
      </w:r>
    </w:p>
    <w:p w14:paraId="45EB3AF3" w14:textId="77777777" w:rsidR="00A25FD4" w:rsidRPr="008A0BB7" w:rsidRDefault="00A25FD4" w:rsidP="008A0BB7">
      <w:pPr>
        <w:pStyle w:val="Caption"/>
      </w:pPr>
      <w:bookmarkStart w:id="245" w:name="_Ref454183342"/>
      <w:bookmarkStart w:id="246" w:name="_Toc457670724"/>
      <w:r w:rsidRPr="008A0BB7">
        <w:t xml:space="preserve">Figure III. </w:t>
      </w:r>
      <w:r w:rsidR="00443010">
        <w:fldChar w:fldCharType="begin"/>
      </w:r>
      <w:r w:rsidR="00443010">
        <w:instrText xml:space="preserve"> STYLEREF 2 \s </w:instrText>
      </w:r>
      <w:r w:rsidR="00443010">
        <w:fldChar w:fldCharType="separate"/>
      </w:r>
      <w:r w:rsidR="000A0E3D">
        <w:rPr>
          <w:noProof/>
        </w:rPr>
        <w:t>3</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6</w:t>
      </w:r>
      <w:r w:rsidR="00443010">
        <w:rPr>
          <w:noProof/>
        </w:rPr>
        <w:fldChar w:fldCharType="end"/>
      </w:r>
      <w:bookmarkEnd w:id="245"/>
      <w:r w:rsidRPr="008A0BB7">
        <w:t xml:space="preserve"> (S)-I Catalyst </w:t>
      </w:r>
      <w:r w:rsidR="00317102">
        <w:t>p</w:t>
      </w:r>
      <w:r w:rsidRPr="008A0BB7">
        <w:t>reparation</w:t>
      </w:r>
      <w:bookmarkEnd w:id="246"/>
    </w:p>
    <w:p w14:paraId="6C415763" w14:textId="77777777" w:rsidR="00A25FD4" w:rsidRPr="00E47369" w:rsidRDefault="00A25FD4" w:rsidP="00A25FD4">
      <w:pPr>
        <w:jc w:val="center"/>
        <w:rPr>
          <w:rFonts w:cstheme="minorHAnsi"/>
          <w:b/>
        </w:rPr>
      </w:pPr>
    </w:p>
    <w:p w14:paraId="21C26C60" w14:textId="77777777" w:rsidR="00A25FD4" w:rsidRPr="00E47369" w:rsidRDefault="00A25FD4" w:rsidP="00A25FD4">
      <w:pPr>
        <w:ind w:firstLine="360"/>
        <w:jc w:val="both"/>
        <w:rPr>
          <w:rFonts w:cstheme="minorHAnsi"/>
        </w:rPr>
      </w:pPr>
      <w:r w:rsidRPr="00E47369">
        <w:rPr>
          <w:rFonts w:cstheme="minorHAnsi"/>
        </w:rPr>
        <w:t>This step was found to have some specific requirements (</w:t>
      </w:r>
      <w:r w:rsidRPr="00E47369">
        <w:rPr>
          <w:rFonts w:cstheme="minorHAnsi"/>
        </w:rPr>
        <w:fldChar w:fldCharType="begin"/>
      </w:r>
      <w:r w:rsidRPr="00E47369">
        <w:rPr>
          <w:rFonts w:cstheme="minorHAnsi"/>
        </w:rPr>
        <w:instrText xml:space="preserve"> REF _Ref454183403 \h </w:instrText>
      </w:r>
      <w:r w:rsidR="00E47369">
        <w:rPr>
          <w:rFonts w:cstheme="minorHAnsi"/>
        </w:rPr>
        <w:instrText xml:space="preserve"> \* MERGEFORMAT </w:instrText>
      </w:r>
      <w:r w:rsidRPr="00E47369">
        <w:rPr>
          <w:rFonts w:cstheme="minorHAnsi"/>
        </w:rPr>
      </w:r>
      <w:r w:rsidRPr="00E47369">
        <w:rPr>
          <w:rFonts w:cstheme="minorHAnsi"/>
        </w:rPr>
        <w:fldChar w:fldCharType="separate"/>
      </w:r>
      <w:r w:rsidR="000A0E3D" w:rsidRPr="000A0E3D">
        <w:rPr>
          <w:rFonts w:cstheme="minorHAnsi"/>
        </w:rPr>
        <w:t xml:space="preserve">Figure III. </w:t>
      </w:r>
      <w:r w:rsidR="000A0E3D" w:rsidRPr="000A0E3D">
        <w:rPr>
          <w:rFonts w:cstheme="minorHAnsi"/>
          <w:noProof/>
        </w:rPr>
        <w:t>3.7</w:t>
      </w:r>
      <w:r w:rsidRPr="00E47369">
        <w:rPr>
          <w:rFonts w:cstheme="minorHAnsi"/>
        </w:rPr>
        <w:fldChar w:fldCharType="end"/>
      </w:r>
      <w:r w:rsidRPr="00E47369">
        <w:rPr>
          <w:rFonts w:cstheme="minorHAnsi"/>
        </w:rPr>
        <w:t>, R = Ac). In fact the use of potassium triphosphate as a base and an inert atmosphere were two important reaction conditions. The base is needed to deprotonate one of the catalyst intermediates to form an anionic Iridium (I) species that will oxidize and coordinate wit</w:t>
      </w:r>
      <w:r w:rsidR="00973C73">
        <w:rPr>
          <w:rFonts w:cstheme="minorHAnsi"/>
        </w:rPr>
        <w:t xml:space="preserve">h the allyl acetate to form the Ir-aryl complex. </w:t>
      </w:r>
    </w:p>
    <w:p w14:paraId="3AC458A5" w14:textId="77777777" w:rsidR="00A25FD4" w:rsidRPr="00E47369" w:rsidRDefault="00A25FD4" w:rsidP="00A25FD4">
      <w:pPr>
        <w:keepNext/>
        <w:jc w:val="center"/>
        <w:rPr>
          <w:rFonts w:cstheme="minorHAnsi"/>
        </w:rPr>
      </w:pPr>
      <w:r w:rsidRPr="00E47369">
        <w:rPr>
          <w:rFonts w:cstheme="minorHAnsi"/>
        </w:rPr>
        <w:object w:dxaOrig="8302" w:dyaOrig="2116" w14:anchorId="0560B778">
          <v:shape id="_x0000_i1109" type="#_x0000_t75" style="width:267.45pt;height:67.25pt" o:ole="">
            <v:imagedata r:id="rId241" o:title=""/>
          </v:shape>
          <o:OLEObject Type="Embed" ProgID="ChemDraw.Document.6.0" ShapeID="_x0000_i1109" DrawAspect="Content" ObjectID="_1532784952" r:id="rId242"/>
        </w:object>
      </w:r>
    </w:p>
    <w:p w14:paraId="19898D82" w14:textId="77777777" w:rsidR="00A25FD4" w:rsidRPr="008A0BB7" w:rsidRDefault="00A25FD4" w:rsidP="008A0BB7">
      <w:pPr>
        <w:pStyle w:val="Caption"/>
      </w:pPr>
      <w:bookmarkStart w:id="247" w:name="_Ref454183403"/>
      <w:bookmarkStart w:id="248" w:name="_Toc457670725"/>
      <w:r w:rsidRPr="008A0BB7">
        <w:t xml:space="preserve">Figure III. </w:t>
      </w:r>
      <w:r w:rsidR="00443010">
        <w:fldChar w:fldCharType="begin"/>
      </w:r>
      <w:r w:rsidR="00443010">
        <w:instrText xml:space="preserve"> STYLEREF 2 \s </w:instrText>
      </w:r>
      <w:r w:rsidR="00443010">
        <w:fldChar w:fldCharType="separate"/>
      </w:r>
      <w:r w:rsidR="000A0E3D">
        <w:rPr>
          <w:noProof/>
        </w:rPr>
        <w:t>3</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7</w:t>
      </w:r>
      <w:r w:rsidR="00443010">
        <w:rPr>
          <w:noProof/>
        </w:rPr>
        <w:fldChar w:fldCharType="end"/>
      </w:r>
      <w:bookmarkEnd w:id="247"/>
      <w:r w:rsidRPr="008A0BB7">
        <w:t xml:space="preserve"> </w:t>
      </w:r>
      <w:r w:rsidR="00057ECA">
        <w:t xml:space="preserve">Study of </w:t>
      </w:r>
      <w:r w:rsidRPr="008A0BB7">
        <w:t xml:space="preserve">allylation </w:t>
      </w:r>
      <w:r w:rsidR="00057ECA">
        <w:t>step</w:t>
      </w:r>
      <w:bookmarkEnd w:id="248"/>
    </w:p>
    <w:p w14:paraId="4D06665A" w14:textId="77777777" w:rsidR="00A25FD4" w:rsidRPr="00E47369" w:rsidRDefault="00A25FD4" w:rsidP="00A25FD4">
      <w:pPr>
        <w:jc w:val="center"/>
        <w:rPr>
          <w:rFonts w:cstheme="minorHAnsi"/>
        </w:rPr>
      </w:pPr>
    </w:p>
    <w:p w14:paraId="09917865" w14:textId="77777777" w:rsidR="00A25FD4" w:rsidRPr="00E47369" w:rsidRDefault="00A25FD4" w:rsidP="00A25FD4">
      <w:pPr>
        <w:ind w:firstLine="360"/>
        <w:jc w:val="both"/>
        <w:rPr>
          <w:rFonts w:cstheme="minorHAnsi"/>
        </w:rPr>
      </w:pPr>
      <w:r w:rsidRPr="00E47369">
        <w:rPr>
          <w:rFonts w:cstheme="minorHAnsi"/>
        </w:rPr>
        <w:t>The conditions that we found to be required for the allylation of benzaldehyde with allyl acetate were applied to the isolated alkene product from the DODH of glycerol monostearate (</w:t>
      </w:r>
      <w:r w:rsidRPr="00E47369">
        <w:rPr>
          <w:rFonts w:cstheme="minorHAnsi"/>
        </w:rPr>
        <w:fldChar w:fldCharType="begin"/>
      </w:r>
      <w:r w:rsidRPr="00E47369">
        <w:rPr>
          <w:rFonts w:cstheme="minorHAnsi"/>
        </w:rPr>
        <w:instrText xml:space="preserve"> REF _Ref454183403 \h </w:instrText>
      </w:r>
      <w:r w:rsidR="00E47369">
        <w:rPr>
          <w:rFonts w:cstheme="minorHAnsi"/>
        </w:rPr>
        <w:instrText xml:space="preserve"> \* MERGEFORMAT </w:instrText>
      </w:r>
      <w:r w:rsidRPr="00E47369">
        <w:rPr>
          <w:rFonts w:cstheme="minorHAnsi"/>
        </w:rPr>
      </w:r>
      <w:r w:rsidRPr="00E47369">
        <w:rPr>
          <w:rFonts w:cstheme="minorHAnsi"/>
        </w:rPr>
        <w:fldChar w:fldCharType="separate"/>
      </w:r>
      <w:r w:rsidR="000A0E3D" w:rsidRPr="000A0E3D">
        <w:rPr>
          <w:rFonts w:cstheme="minorHAnsi"/>
        </w:rPr>
        <w:t xml:space="preserve">Figure III. </w:t>
      </w:r>
      <w:r w:rsidR="000A0E3D" w:rsidRPr="000A0E3D">
        <w:rPr>
          <w:rFonts w:cstheme="minorHAnsi"/>
          <w:noProof/>
        </w:rPr>
        <w:t>3.7</w:t>
      </w:r>
      <w:r w:rsidRPr="00E47369">
        <w:rPr>
          <w:rFonts w:cstheme="minorHAnsi"/>
        </w:rPr>
        <w:fldChar w:fldCharType="end"/>
      </w:r>
      <w:r w:rsidRPr="00E47369">
        <w:rPr>
          <w:rFonts w:cstheme="minorHAnsi"/>
        </w:rPr>
        <w:t>, R = COC</w:t>
      </w:r>
      <w:r w:rsidRPr="00E47369">
        <w:rPr>
          <w:rFonts w:cstheme="minorHAnsi"/>
          <w:vertAlign w:val="subscript"/>
        </w:rPr>
        <w:t>17</w:t>
      </w:r>
      <w:r w:rsidRPr="00E47369">
        <w:rPr>
          <w:rFonts w:cstheme="minorHAnsi"/>
        </w:rPr>
        <w:t>H</w:t>
      </w:r>
      <w:r w:rsidRPr="00E47369">
        <w:rPr>
          <w:rFonts w:cstheme="minorHAnsi"/>
          <w:vertAlign w:val="subscript"/>
        </w:rPr>
        <w:t>35</w:t>
      </w:r>
      <w:r w:rsidRPr="00E47369">
        <w:rPr>
          <w:rFonts w:cstheme="minorHAnsi"/>
        </w:rPr>
        <w:t xml:space="preserve">). Some significant amount of allylation product (~30%) was found </w:t>
      </w:r>
      <w:r w:rsidR="00973C73">
        <w:rPr>
          <w:rFonts w:cstheme="minorHAnsi"/>
        </w:rPr>
        <w:t>in the</w:t>
      </w:r>
      <w:r w:rsidRPr="00E47369">
        <w:rPr>
          <w:rFonts w:cstheme="minorHAnsi"/>
        </w:rPr>
        <w:t xml:space="preserve"> </w:t>
      </w:r>
      <w:r w:rsidRPr="00E47369">
        <w:rPr>
          <w:rFonts w:cstheme="minorHAnsi"/>
          <w:vertAlign w:val="superscript"/>
        </w:rPr>
        <w:t>1</w:t>
      </w:r>
      <w:r w:rsidR="00973C73">
        <w:rPr>
          <w:rFonts w:cstheme="minorHAnsi"/>
        </w:rPr>
        <w:t xml:space="preserve">H </w:t>
      </w:r>
      <w:r w:rsidRPr="00E47369">
        <w:rPr>
          <w:rFonts w:cstheme="minorHAnsi"/>
        </w:rPr>
        <w:t>NMR</w:t>
      </w:r>
      <w:r w:rsidR="00973C73">
        <w:rPr>
          <w:rFonts w:cstheme="minorHAnsi"/>
        </w:rPr>
        <w:t xml:space="preserve"> spectrum</w:t>
      </w:r>
      <w:r w:rsidRPr="00E47369">
        <w:rPr>
          <w:rFonts w:cstheme="minorHAnsi"/>
        </w:rPr>
        <w:t>. The terminal alkene signals moved up field from 6.7 and 5.2 ppm to 6.5 and 5.0 ppm; the proton next to the hydroxyl moves from 4.6 to 4.4 ppm. Finally, the CH</w:t>
      </w:r>
      <w:r w:rsidRPr="00E47369">
        <w:rPr>
          <w:rFonts w:cstheme="minorHAnsi"/>
          <w:vertAlign w:val="subscript"/>
        </w:rPr>
        <w:t>2</w:t>
      </w:r>
      <w:r w:rsidRPr="00E47369">
        <w:rPr>
          <w:rFonts w:cstheme="minorHAnsi"/>
        </w:rPr>
        <w:t xml:space="preserve"> between the unsaturation and the hydroxyl gives a triplet at 2.5 ppm. We also detected some of the allyl ester unreacted in the NMR spectrum. The formation of the product was also confirm</w:t>
      </w:r>
      <w:r w:rsidR="00F81633">
        <w:rPr>
          <w:rFonts w:cstheme="minorHAnsi"/>
        </w:rPr>
        <w:t>ed</w:t>
      </w:r>
      <w:r w:rsidRPr="00E47369">
        <w:rPr>
          <w:rFonts w:cstheme="minorHAnsi"/>
        </w:rPr>
        <w:t xml:space="preserve"> by GCMS with a GC signal at 10.3 min with the right mass. </w:t>
      </w:r>
    </w:p>
    <w:p w14:paraId="2CC46B2C" w14:textId="77777777" w:rsidR="00A25FD4" w:rsidRPr="00E47369" w:rsidRDefault="00A25FD4" w:rsidP="00A25FD4">
      <w:pPr>
        <w:ind w:firstLine="360"/>
        <w:jc w:val="both"/>
        <w:rPr>
          <w:rFonts w:cstheme="minorHAnsi"/>
        </w:rPr>
      </w:pPr>
      <w:r w:rsidRPr="00E47369">
        <w:rPr>
          <w:rFonts w:cstheme="minorHAnsi"/>
        </w:rPr>
        <w:t>From these preliminary results on the allylation step, we planned on changing the DODH reaction solvent for dioxane. Following the reaction by NMR it was found that dioxane was not a very good solvent for the DODH reaction. The yield in alkene dropped dramatically below 20%.</w:t>
      </w:r>
      <w:r w:rsidRPr="00E47369">
        <w:rPr>
          <w:rFonts w:cstheme="minorHAnsi"/>
          <w:color w:val="000000" w:themeColor="text1"/>
        </w:rPr>
        <w:t xml:space="preserve"> </w:t>
      </w:r>
      <w:r w:rsidRPr="00E47369">
        <w:rPr>
          <w:rFonts w:cstheme="minorHAnsi"/>
        </w:rPr>
        <w:t xml:space="preserve">Toluene was originally reported as solvent for the DODH of this derivative of glycerol so we decided to use a portion of DODH reaction run in toluene to try the allylation step. The </w:t>
      </w:r>
      <w:r w:rsidRPr="00E47369">
        <w:rPr>
          <w:rFonts w:cstheme="minorHAnsi"/>
          <w:vertAlign w:val="superscript"/>
        </w:rPr>
        <w:t>1</w:t>
      </w:r>
      <w:r w:rsidRPr="00E47369">
        <w:rPr>
          <w:rFonts w:cstheme="minorHAnsi"/>
        </w:rPr>
        <w:t xml:space="preserve">H NMR analysis of </w:t>
      </w:r>
      <w:r w:rsidRPr="00E47369">
        <w:rPr>
          <w:rFonts w:cstheme="minorHAnsi"/>
          <w:color w:val="000000" w:themeColor="text1"/>
        </w:rPr>
        <w:t>this reaction mixture showed signals at 2.5 ppm for the CH</w:t>
      </w:r>
      <w:r w:rsidRPr="00E47369">
        <w:rPr>
          <w:rFonts w:cstheme="minorHAnsi"/>
          <w:color w:val="000000" w:themeColor="text1"/>
          <w:vertAlign w:val="subscript"/>
        </w:rPr>
        <w:t>2</w:t>
      </w:r>
      <w:r w:rsidRPr="00E47369">
        <w:rPr>
          <w:rFonts w:cstheme="minorHAnsi"/>
          <w:color w:val="000000" w:themeColor="text1"/>
        </w:rPr>
        <w:t xml:space="preserve"> next to the alkene and at 4.6 ppm for the CH-OH group, giving evidence that </w:t>
      </w:r>
      <w:r w:rsidRPr="00E47369">
        <w:rPr>
          <w:rFonts w:cstheme="minorHAnsi"/>
        </w:rPr>
        <w:t>the allylation product formed. We could then conclude that the DODH reagents are compatible with the allylation reaction system.</w:t>
      </w:r>
    </w:p>
    <w:p w14:paraId="06503E78" w14:textId="77777777" w:rsidR="00A25FD4" w:rsidRPr="00E47369" w:rsidRDefault="00A25FD4" w:rsidP="00A25FD4">
      <w:pPr>
        <w:ind w:firstLine="360"/>
        <w:jc w:val="both"/>
        <w:rPr>
          <w:rFonts w:cstheme="minorHAnsi"/>
        </w:rPr>
      </w:pPr>
      <w:r w:rsidRPr="00E47369">
        <w:rPr>
          <w:rFonts w:cstheme="minorHAnsi"/>
          <w:color w:val="000000" w:themeColor="text1"/>
        </w:rPr>
        <w:t xml:space="preserve">To </w:t>
      </w:r>
      <w:r w:rsidRPr="00E47369">
        <w:rPr>
          <w:rFonts w:cstheme="minorHAnsi"/>
        </w:rPr>
        <w:t xml:space="preserve">conclude this study of the allylation side of the tandem reaction we found that tripotassium phosphate is needed as a base and an inert atmosphere must be maintained, but also that the allylation reaction tolerates </w:t>
      </w:r>
      <w:r w:rsidRPr="00E47369">
        <w:rPr>
          <w:rFonts w:cstheme="minorHAnsi"/>
          <w:color w:val="000000" w:themeColor="text1"/>
        </w:rPr>
        <w:t xml:space="preserve">the </w:t>
      </w:r>
      <w:r w:rsidRPr="00123839">
        <w:rPr>
          <w:rFonts w:cstheme="minorHAnsi"/>
        </w:rPr>
        <w:t xml:space="preserve">solvent, products </w:t>
      </w:r>
      <w:r w:rsidRPr="00E47369">
        <w:rPr>
          <w:rFonts w:cstheme="minorHAnsi"/>
        </w:rPr>
        <w:t xml:space="preserve">and side products of the DODH reaction. </w:t>
      </w:r>
    </w:p>
    <w:p w14:paraId="4F794002" w14:textId="77777777" w:rsidR="00003D5D" w:rsidRPr="00E47369" w:rsidRDefault="00003D5D" w:rsidP="00A25FD4">
      <w:pPr>
        <w:ind w:firstLine="360"/>
        <w:jc w:val="both"/>
        <w:rPr>
          <w:rFonts w:cstheme="minorHAnsi"/>
        </w:rPr>
      </w:pPr>
    </w:p>
    <w:p w14:paraId="79997253" w14:textId="77777777" w:rsidR="00A25FD4" w:rsidRPr="00E47369" w:rsidRDefault="00A25FD4" w:rsidP="00A25FD4">
      <w:pPr>
        <w:pStyle w:val="Heading41"/>
        <w:rPr>
          <w:rFonts w:cstheme="minorHAnsi"/>
        </w:rPr>
      </w:pPr>
      <w:r w:rsidRPr="00E47369">
        <w:rPr>
          <w:rFonts w:cstheme="minorHAnsi"/>
        </w:rPr>
        <w:t>DODH Step</w:t>
      </w:r>
    </w:p>
    <w:p w14:paraId="0EC3E60C" w14:textId="77777777" w:rsidR="00A25FD4" w:rsidRPr="00E47369" w:rsidRDefault="00A25FD4" w:rsidP="00A25FD4">
      <w:pPr>
        <w:keepNext/>
        <w:jc w:val="center"/>
        <w:rPr>
          <w:rFonts w:cstheme="minorHAnsi"/>
        </w:rPr>
      </w:pPr>
      <w:r w:rsidRPr="00E47369">
        <w:rPr>
          <w:rFonts w:cstheme="minorHAnsi"/>
        </w:rPr>
        <w:object w:dxaOrig="8477" w:dyaOrig="1559" w14:anchorId="6A6B3AB4">
          <v:shape id="_x0000_i1110" type="#_x0000_t75" style="width:293.55pt;height:51.45pt" o:ole="">
            <v:imagedata r:id="rId243" o:title=""/>
          </v:shape>
          <o:OLEObject Type="Embed" ProgID="ChemDraw.Document.6.0" ShapeID="_x0000_i1110" DrawAspect="Content" ObjectID="_1532784953" r:id="rId244"/>
        </w:object>
      </w:r>
    </w:p>
    <w:p w14:paraId="0C5D12A2" w14:textId="77777777" w:rsidR="00A25FD4" w:rsidRPr="008A0BB7" w:rsidRDefault="00A25FD4" w:rsidP="008A0BB7">
      <w:pPr>
        <w:pStyle w:val="Caption"/>
      </w:pPr>
      <w:bookmarkStart w:id="249" w:name="_Ref454183456"/>
      <w:bookmarkStart w:id="250" w:name="_Toc457670726"/>
      <w:r w:rsidRPr="008A0BB7">
        <w:t xml:space="preserve">Figure III. </w:t>
      </w:r>
      <w:r w:rsidR="00443010">
        <w:fldChar w:fldCharType="begin"/>
      </w:r>
      <w:r w:rsidR="00443010">
        <w:instrText xml:space="preserve"> STYLEREF 2 \s </w:instrText>
      </w:r>
      <w:r w:rsidR="00443010">
        <w:fldChar w:fldCharType="separate"/>
      </w:r>
      <w:r w:rsidR="000A0E3D">
        <w:rPr>
          <w:noProof/>
        </w:rPr>
        <w:t>3</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8</w:t>
      </w:r>
      <w:r w:rsidR="00443010">
        <w:rPr>
          <w:noProof/>
        </w:rPr>
        <w:fldChar w:fldCharType="end"/>
      </w:r>
      <w:bookmarkEnd w:id="249"/>
      <w:r w:rsidRPr="008A0BB7">
        <w:t xml:space="preserve"> DODH of Glycerol Monostearate</w:t>
      </w:r>
      <w:bookmarkEnd w:id="250"/>
    </w:p>
    <w:p w14:paraId="69A09423" w14:textId="77777777" w:rsidR="00A25FD4" w:rsidRPr="00E47369" w:rsidRDefault="00A25FD4" w:rsidP="00A25FD4">
      <w:pPr>
        <w:jc w:val="center"/>
        <w:rPr>
          <w:rFonts w:cstheme="minorHAnsi"/>
          <w:b/>
        </w:rPr>
      </w:pPr>
    </w:p>
    <w:p w14:paraId="505FE0E6" w14:textId="12E88111" w:rsidR="00A25FD4" w:rsidRPr="00E47369" w:rsidRDefault="00A25FD4" w:rsidP="00A25FD4">
      <w:pPr>
        <w:ind w:firstLine="360"/>
        <w:jc w:val="both"/>
        <w:rPr>
          <w:rFonts w:cstheme="minorHAnsi"/>
        </w:rPr>
      </w:pPr>
      <w:r w:rsidRPr="00E47369">
        <w:rPr>
          <w:rFonts w:cstheme="minorHAnsi"/>
        </w:rPr>
        <w:t>We reported the DODH of glycerol monostearate using benzyl alcohol as reducing agent and ammonium perrhenate as catalyst with a</w:t>
      </w:r>
      <w:r w:rsidR="00185786">
        <w:rPr>
          <w:rFonts w:cstheme="minorHAnsi"/>
        </w:rPr>
        <w:t>n</w:t>
      </w:r>
      <w:r w:rsidRPr="00E47369">
        <w:rPr>
          <w:rFonts w:cstheme="minorHAnsi"/>
        </w:rPr>
        <w:t xml:space="preserve"> 80 to 90% yield (</w:t>
      </w:r>
      <w:r w:rsidRPr="00E47369">
        <w:rPr>
          <w:rFonts w:cstheme="minorHAnsi"/>
        </w:rPr>
        <w:fldChar w:fldCharType="begin"/>
      </w:r>
      <w:r w:rsidRPr="00E47369">
        <w:rPr>
          <w:rFonts w:cstheme="minorHAnsi"/>
        </w:rPr>
        <w:instrText xml:space="preserve"> REF _Ref454183456 \h </w:instrText>
      </w:r>
      <w:r w:rsidR="00E47369">
        <w:rPr>
          <w:rFonts w:cstheme="minorHAnsi"/>
        </w:rPr>
        <w:instrText xml:space="preserve"> \* MERGEFORMAT </w:instrText>
      </w:r>
      <w:r w:rsidRPr="00E47369">
        <w:rPr>
          <w:rFonts w:cstheme="minorHAnsi"/>
        </w:rPr>
      </w:r>
      <w:r w:rsidRPr="00E47369">
        <w:rPr>
          <w:rFonts w:cstheme="minorHAnsi"/>
        </w:rPr>
        <w:fldChar w:fldCharType="separate"/>
      </w:r>
      <w:r w:rsidR="000A0E3D" w:rsidRPr="000A0E3D">
        <w:rPr>
          <w:rFonts w:cstheme="minorHAnsi"/>
        </w:rPr>
        <w:t xml:space="preserve">Figure III. </w:t>
      </w:r>
      <w:r w:rsidR="000A0E3D" w:rsidRPr="000A0E3D">
        <w:rPr>
          <w:rFonts w:cstheme="minorHAnsi"/>
          <w:noProof/>
        </w:rPr>
        <w:t>3.8</w:t>
      </w:r>
      <w:r w:rsidRPr="00E47369">
        <w:rPr>
          <w:rFonts w:cstheme="minorHAnsi"/>
        </w:rPr>
        <w:fldChar w:fldCharType="end"/>
      </w:r>
      <w:r w:rsidRPr="00E47369">
        <w:rPr>
          <w:rFonts w:cstheme="minorHAnsi"/>
        </w:rPr>
        <w:t>).</w:t>
      </w:r>
      <w:r w:rsidRPr="00E47369">
        <w:rPr>
          <w:rFonts w:cstheme="minorHAnsi"/>
        </w:rPr>
        <w:fldChar w:fldCharType="begin"/>
      </w:r>
      <w:r w:rsidRPr="00E47369">
        <w:rPr>
          <w:rFonts w:cstheme="minorHAnsi"/>
        </w:rPr>
        <w:instrText xml:space="preserve"> ADDIN ZOTERO_ITEM CSL_CITATION {"citationID":"11qrmb4fjg","properties":{"formattedCitation":"{\\rtf \\super 46\\nosupersub{}}","plainCitation":"46"},"citationItems":[{"id":435,"uris":["http://zotero.org/users/1624234/items/VS4SE8DS"],"uri":["http://zotero.org/users/1624234/items/VS4SE8DS"],"itemData":{"id":435,"type":"article-journal","title":"Catalytic Deoxydehydration of Glycols with Alcohol Reductants","container-title":"ChemSusChem","page":"597-599","volume":"6","issue":"4","source":"CrossRef","DOI":"10.1002/cssc.201200781","ISSN":"18645631","author":[{"family":"Boucher-Jacobs","given":"Camille"},{"family":"Nicholas","given":"Kenneth M."}],"issued":{"date-parts":[["2013",4]]}}}],"schema":"https://github.com/citation-style-language/schema/raw/master/csl-citation.json"} </w:instrText>
      </w:r>
      <w:r w:rsidRPr="00E47369">
        <w:rPr>
          <w:rFonts w:cstheme="minorHAnsi"/>
        </w:rPr>
        <w:fldChar w:fldCharType="separate"/>
      </w:r>
      <w:r w:rsidRPr="00E47369">
        <w:rPr>
          <w:rFonts w:cstheme="minorHAnsi"/>
          <w:vertAlign w:val="superscript"/>
        </w:rPr>
        <w:t>46</w:t>
      </w:r>
      <w:r w:rsidRPr="00E47369">
        <w:rPr>
          <w:rFonts w:cstheme="minorHAnsi"/>
        </w:rPr>
        <w:fldChar w:fldCharType="end"/>
      </w:r>
      <w:r w:rsidRPr="00E47369">
        <w:rPr>
          <w:rFonts w:cstheme="minorHAnsi"/>
        </w:rPr>
        <w:t xml:space="preserve"> After studying the allylation step, we determined that dioxane is not a suitable solvent for the DODH reaction, so we needed to test the compatibility of the tripotassium phosphate with the DODH reaction. Since the catalyst, ammonium perrhenate, is slightly acidic our main concern was the deactivation of the rhenium-oxo complex by the tripotassium phosphate. So we ran the DODH reaction under the usual conditions adding the base in the stoichiometry of the allylation system. As we had anticipated, the </w:t>
      </w:r>
      <w:r w:rsidRPr="00E47369">
        <w:rPr>
          <w:rFonts w:cstheme="minorHAnsi"/>
          <w:vertAlign w:val="superscript"/>
        </w:rPr>
        <w:t>1</w:t>
      </w:r>
      <w:r w:rsidRPr="00E47369">
        <w:rPr>
          <w:rFonts w:cstheme="minorHAnsi"/>
        </w:rPr>
        <w:t>H NMR spectrum of the reaction did not show any protons</w:t>
      </w:r>
      <w:r w:rsidR="00123839">
        <w:rPr>
          <w:rFonts w:cstheme="minorHAnsi"/>
        </w:rPr>
        <w:t xml:space="preserve"> NMR signals</w:t>
      </w:r>
      <w:r w:rsidRPr="00E47369">
        <w:rPr>
          <w:rFonts w:cstheme="minorHAnsi"/>
        </w:rPr>
        <w:t xml:space="preserve"> of the DODH alkene product and all the diol was found unreacted. </w:t>
      </w:r>
    </w:p>
    <w:p w14:paraId="0943BDC3" w14:textId="77777777" w:rsidR="00A25FD4" w:rsidRPr="00E47369" w:rsidRDefault="00A25FD4" w:rsidP="00A25FD4">
      <w:pPr>
        <w:ind w:firstLine="360"/>
        <w:jc w:val="both"/>
        <w:rPr>
          <w:rFonts w:cstheme="minorHAnsi"/>
        </w:rPr>
      </w:pPr>
      <w:r w:rsidRPr="00E47369">
        <w:rPr>
          <w:rFonts w:cstheme="minorHAnsi"/>
        </w:rPr>
        <w:t>We decided to screen some milder bases to find one that would be compatible with the DODH system: ammonium hydroxide, sodium carbonate, triethylamine and pyridine (</w:t>
      </w:r>
      <w:r w:rsidRPr="00E47369">
        <w:rPr>
          <w:rFonts w:cstheme="minorHAnsi"/>
        </w:rPr>
        <w:fldChar w:fldCharType="begin"/>
      </w:r>
      <w:r w:rsidRPr="00E47369">
        <w:rPr>
          <w:rFonts w:cstheme="minorHAnsi"/>
        </w:rPr>
        <w:instrText xml:space="preserve"> REF _Ref454183617 \h </w:instrText>
      </w:r>
      <w:r w:rsidR="00E47369">
        <w:rPr>
          <w:rFonts w:cstheme="minorHAnsi"/>
        </w:rPr>
        <w:instrText xml:space="preserve"> \* MERGEFORMAT </w:instrText>
      </w:r>
      <w:r w:rsidRPr="00E47369">
        <w:rPr>
          <w:rFonts w:cstheme="minorHAnsi"/>
        </w:rPr>
      </w:r>
      <w:r w:rsidRPr="00E47369">
        <w:rPr>
          <w:rFonts w:cstheme="minorHAnsi"/>
        </w:rPr>
        <w:fldChar w:fldCharType="separate"/>
      </w:r>
      <w:r w:rsidR="000A0E3D" w:rsidRPr="000A0E3D">
        <w:rPr>
          <w:rFonts w:cstheme="minorHAnsi"/>
        </w:rPr>
        <w:t xml:space="preserve">Figure III. </w:t>
      </w:r>
      <w:r w:rsidR="000A0E3D" w:rsidRPr="000A0E3D">
        <w:rPr>
          <w:rFonts w:cstheme="minorHAnsi"/>
          <w:noProof/>
        </w:rPr>
        <w:t>3.9</w:t>
      </w:r>
      <w:r w:rsidRPr="00E47369">
        <w:rPr>
          <w:rFonts w:cstheme="minorHAnsi"/>
        </w:rPr>
        <w:fldChar w:fldCharType="end"/>
      </w:r>
      <w:r w:rsidRPr="00E47369">
        <w:rPr>
          <w:rFonts w:cstheme="minorHAnsi"/>
        </w:rPr>
        <w:t>). Ammonium hydroxide was found to allow the DODH reaction to proceed in moderate yield (50% estimate, 150</w:t>
      </w:r>
      <w:r w:rsidRPr="00E47369">
        <w:rPr>
          <w:rFonts w:cstheme="minorHAnsi"/>
          <w:vertAlign w:val="superscript"/>
        </w:rPr>
        <w:t>o</w:t>
      </w:r>
      <w:r w:rsidRPr="00E47369">
        <w:rPr>
          <w:rFonts w:cstheme="minorHAnsi"/>
        </w:rPr>
        <w:t>C, 24h), but when we used this base in place of tripotassium phosphate in the allylation reaction no products w</w:t>
      </w:r>
      <w:r w:rsidR="00F81633">
        <w:rPr>
          <w:rFonts w:cstheme="minorHAnsi"/>
        </w:rPr>
        <w:t>ere</w:t>
      </w:r>
      <w:r w:rsidRPr="00E47369">
        <w:rPr>
          <w:rFonts w:cstheme="minorHAnsi"/>
        </w:rPr>
        <w:t xml:space="preserve"> detected by </w:t>
      </w:r>
      <w:r w:rsidRPr="00E47369">
        <w:rPr>
          <w:rFonts w:cstheme="minorHAnsi"/>
          <w:vertAlign w:val="superscript"/>
        </w:rPr>
        <w:t>1</w:t>
      </w:r>
      <w:r w:rsidRPr="00E47369">
        <w:rPr>
          <w:rFonts w:cstheme="minorHAnsi"/>
        </w:rPr>
        <w:t>H NMR. Also we could see only a very low conversion of the diol with still some strong signals in the 3.5 ppm region.</w:t>
      </w:r>
    </w:p>
    <w:p w14:paraId="06D38C07" w14:textId="77777777" w:rsidR="00A25FD4" w:rsidRPr="00E47369" w:rsidRDefault="00A25FD4" w:rsidP="00A25FD4">
      <w:pPr>
        <w:ind w:firstLine="360"/>
        <w:jc w:val="both"/>
        <w:rPr>
          <w:rFonts w:cstheme="minorHAnsi"/>
        </w:rPr>
      </w:pPr>
    </w:p>
    <w:p w14:paraId="7CAFA621" w14:textId="77777777" w:rsidR="00A25FD4" w:rsidRPr="00E47369" w:rsidRDefault="00A25FD4" w:rsidP="00A25FD4">
      <w:pPr>
        <w:keepNext/>
        <w:jc w:val="center"/>
        <w:rPr>
          <w:rFonts w:cstheme="minorHAnsi"/>
        </w:rPr>
      </w:pPr>
      <w:r w:rsidRPr="00E47369">
        <w:rPr>
          <w:rFonts w:cstheme="minorHAnsi"/>
        </w:rPr>
        <w:object w:dxaOrig="8476" w:dyaOrig="2220" w14:anchorId="2EB7E980">
          <v:shape id="_x0000_i1111" type="#_x0000_t75" style="width:293.55pt;height:77.55pt" o:ole="">
            <v:imagedata r:id="rId245" o:title=""/>
          </v:shape>
          <o:OLEObject Type="Embed" ProgID="ChemDraw.Document.6.0" ShapeID="_x0000_i1111" DrawAspect="Content" ObjectID="_1532784954" r:id="rId246"/>
        </w:object>
      </w:r>
    </w:p>
    <w:p w14:paraId="79854C07" w14:textId="77777777" w:rsidR="00A25FD4" w:rsidRPr="008A0BB7" w:rsidRDefault="00A25FD4" w:rsidP="008A0BB7">
      <w:pPr>
        <w:pStyle w:val="Caption"/>
      </w:pPr>
      <w:bookmarkStart w:id="251" w:name="_Ref454183617"/>
      <w:bookmarkStart w:id="252" w:name="_Toc457670727"/>
      <w:r w:rsidRPr="008A0BB7">
        <w:t xml:space="preserve">Figure III. </w:t>
      </w:r>
      <w:r w:rsidR="00443010">
        <w:fldChar w:fldCharType="begin"/>
      </w:r>
      <w:r w:rsidR="00443010">
        <w:instrText xml:space="preserve"> STYLEREF 2 \s </w:instrText>
      </w:r>
      <w:r w:rsidR="00443010">
        <w:fldChar w:fldCharType="separate"/>
      </w:r>
      <w:r w:rsidR="000A0E3D">
        <w:rPr>
          <w:noProof/>
        </w:rPr>
        <w:t>3</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9</w:t>
      </w:r>
      <w:r w:rsidR="00443010">
        <w:rPr>
          <w:noProof/>
        </w:rPr>
        <w:fldChar w:fldCharType="end"/>
      </w:r>
      <w:bookmarkEnd w:id="251"/>
      <w:r w:rsidRPr="008A0BB7">
        <w:t xml:space="preserve"> DODH reaction with added bases</w:t>
      </w:r>
      <w:bookmarkEnd w:id="252"/>
    </w:p>
    <w:p w14:paraId="09C2951E" w14:textId="77777777" w:rsidR="00A25FD4" w:rsidRPr="00E47369" w:rsidRDefault="00A25FD4" w:rsidP="00A25FD4">
      <w:pPr>
        <w:jc w:val="center"/>
        <w:rPr>
          <w:rFonts w:cstheme="minorHAnsi"/>
          <w:b/>
          <w:color w:val="000000" w:themeColor="text1"/>
        </w:rPr>
      </w:pPr>
    </w:p>
    <w:p w14:paraId="08DF5B05" w14:textId="77777777" w:rsidR="00A25FD4" w:rsidRPr="00E47369" w:rsidRDefault="00A25FD4" w:rsidP="00A25FD4">
      <w:pPr>
        <w:ind w:firstLine="360"/>
        <w:jc w:val="both"/>
        <w:rPr>
          <w:rFonts w:cstheme="minorHAnsi"/>
        </w:rPr>
      </w:pPr>
      <w:r w:rsidRPr="00E47369">
        <w:rPr>
          <w:rFonts w:cstheme="minorHAnsi"/>
          <w:color w:val="000000" w:themeColor="text1"/>
        </w:rPr>
        <w:t xml:space="preserve">In summary we </w:t>
      </w:r>
      <w:r w:rsidRPr="00E47369">
        <w:rPr>
          <w:rFonts w:cstheme="minorHAnsi"/>
        </w:rPr>
        <w:t>found the DODH reaction to be incompatible with the base tripotassium phosphate. Even though we found ammonium hydroxide to be compatible with the DODH reaction, this base was found to be unsuitable for the allylation step.</w:t>
      </w:r>
    </w:p>
    <w:p w14:paraId="7BB38E5A" w14:textId="77777777" w:rsidR="00A25FD4" w:rsidRPr="00E47369" w:rsidRDefault="00A25FD4" w:rsidP="00A25FD4">
      <w:pPr>
        <w:ind w:firstLine="360"/>
        <w:jc w:val="both"/>
        <w:rPr>
          <w:rFonts w:cstheme="minorHAnsi"/>
        </w:rPr>
      </w:pPr>
    </w:p>
    <w:p w14:paraId="32691419" w14:textId="5FE6F794" w:rsidR="00A25FD4" w:rsidRPr="00E47369" w:rsidRDefault="00537311" w:rsidP="005D4B4F">
      <w:pPr>
        <w:keepNext/>
        <w:jc w:val="center"/>
        <w:rPr>
          <w:rFonts w:cstheme="minorHAnsi"/>
        </w:rPr>
      </w:pPr>
      <w:r w:rsidRPr="00E47369">
        <w:rPr>
          <w:rFonts w:cstheme="minorHAnsi"/>
        </w:rPr>
        <w:object w:dxaOrig="8827" w:dyaOrig="1183" w14:anchorId="6085B2BB">
          <v:shape id="_x0000_i1112" type="#_x0000_t75" style="width:348.9pt;height:47.45pt" o:ole="">
            <v:imagedata r:id="rId247" o:title=""/>
          </v:shape>
          <o:OLEObject Type="Embed" ProgID="ChemDraw.Document.6.0" ShapeID="_x0000_i1112" DrawAspect="Content" ObjectID="_1532784955" r:id="rId248"/>
        </w:object>
      </w:r>
    </w:p>
    <w:p w14:paraId="0434D13C" w14:textId="77777777" w:rsidR="00A25FD4" w:rsidRPr="008A0BB7" w:rsidRDefault="00A25FD4" w:rsidP="008A0BB7">
      <w:pPr>
        <w:pStyle w:val="Caption"/>
      </w:pPr>
      <w:bookmarkStart w:id="253" w:name="_Ref454183716"/>
      <w:bookmarkStart w:id="254" w:name="_Toc457670728"/>
      <w:r w:rsidRPr="008A0BB7">
        <w:t xml:space="preserve">Figure III. </w:t>
      </w:r>
      <w:r w:rsidR="00443010">
        <w:fldChar w:fldCharType="begin"/>
      </w:r>
      <w:r w:rsidR="00443010">
        <w:instrText xml:space="preserve"> STYLEREF 2 \s </w:instrText>
      </w:r>
      <w:r w:rsidR="00443010">
        <w:fldChar w:fldCharType="separate"/>
      </w:r>
      <w:r w:rsidR="000A0E3D">
        <w:rPr>
          <w:noProof/>
        </w:rPr>
        <w:t>3</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10</w:t>
      </w:r>
      <w:r w:rsidR="00443010">
        <w:rPr>
          <w:noProof/>
        </w:rPr>
        <w:fldChar w:fldCharType="end"/>
      </w:r>
      <w:bookmarkEnd w:id="253"/>
      <w:r w:rsidRPr="008A0BB7">
        <w:t xml:space="preserve"> DODH reaction with trans-[ReO</w:t>
      </w:r>
      <w:r w:rsidRPr="008A0BB7">
        <w:rPr>
          <w:vertAlign w:val="subscript"/>
        </w:rPr>
        <w:t>2</w:t>
      </w:r>
      <w:r w:rsidRPr="008A0BB7">
        <w:t>(py)</w:t>
      </w:r>
      <w:r w:rsidRPr="008A0BB7">
        <w:rPr>
          <w:vertAlign w:val="subscript"/>
        </w:rPr>
        <w:t>4</w:t>
      </w:r>
      <w:r w:rsidRPr="008A0BB7">
        <w:t>]PF</w:t>
      </w:r>
      <w:r w:rsidRPr="008A0BB7">
        <w:rPr>
          <w:vertAlign w:val="subscript"/>
        </w:rPr>
        <w:t>6</w:t>
      </w:r>
      <w:r w:rsidRPr="008A0BB7">
        <w:t xml:space="preserve"> as catalyst and added pyridine</w:t>
      </w:r>
      <w:bookmarkEnd w:id="254"/>
      <w:r w:rsidRPr="008A0BB7">
        <w:t xml:space="preserve"> </w:t>
      </w:r>
    </w:p>
    <w:p w14:paraId="794BAF94" w14:textId="77777777" w:rsidR="00A25FD4" w:rsidRPr="00E47369" w:rsidRDefault="00A25FD4" w:rsidP="00A25FD4">
      <w:pPr>
        <w:spacing w:line="360" w:lineRule="auto"/>
        <w:jc w:val="center"/>
        <w:rPr>
          <w:rFonts w:cstheme="minorHAnsi"/>
          <w:b/>
          <w:color w:val="000000" w:themeColor="text1"/>
        </w:rPr>
      </w:pPr>
    </w:p>
    <w:p w14:paraId="679BB73A" w14:textId="77777777" w:rsidR="00A25FD4" w:rsidRDefault="00A25FD4" w:rsidP="00A25FD4">
      <w:pPr>
        <w:ind w:firstLine="360"/>
        <w:jc w:val="both"/>
        <w:rPr>
          <w:rFonts w:cstheme="minorHAnsi"/>
        </w:rPr>
      </w:pPr>
      <w:r w:rsidRPr="00E47369">
        <w:rPr>
          <w:rFonts w:cstheme="minorHAnsi"/>
          <w:color w:val="000000" w:themeColor="text1"/>
        </w:rPr>
        <w:t>We also tested a potentially base-tolerant DODH catalyst, trans-[ReO</w:t>
      </w:r>
      <w:r w:rsidRPr="00E47369">
        <w:rPr>
          <w:rFonts w:cstheme="minorHAnsi"/>
          <w:color w:val="000000" w:themeColor="text1"/>
          <w:vertAlign w:val="subscript"/>
        </w:rPr>
        <w:t>2</w:t>
      </w:r>
      <w:r w:rsidRPr="00E47369">
        <w:rPr>
          <w:rFonts w:cstheme="minorHAnsi"/>
          <w:color w:val="000000" w:themeColor="text1"/>
        </w:rPr>
        <w:t>(py)</w:t>
      </w:r>
      <w:r w:rsidRPr="00E47369">
        <w:rPr>
          <w:rFonts w:cstheme="minorHAnsi"/>
          <w:color w:val="000000" w:themeColor="text1"/>
          <w:vertAlign w:val="subscript"/>
        </w:rPr>
        <w:t>4</w:t>
      </w:r>
      <w:r w:rsidRPr="00E47369">
        <w:rPr>
          <w:rFonts w:cstheme="minorHAnsi"/>
          <w:color w:val="000000" w:themeColor="text1"/>
        </w:rPr>
        <w:t>]PF</w:t>
      </w:r>
      <w:r w:rsidRPr="00E47369">
        <w:rPr>
          <w:rFonts w:cstheme="minorHAnsi"/>
          <w:color w:val="000000" w:themeColor="text1"/>
          <w:vertAlign w:val="subscript"/>
        </w:rPr>
        <w:t>6</w:t>
      </w:r>
      <w:r w:rsidRPr="00E47369">
        <w:rPr>
          <w:rFonts w:cstheme="minorHAnsi"/>
          <w:color w:val="000000" w:themeColor="text1"/>
        </w:rPr>
        <w:t xml:space="preserve"> (py=pyridine), which has a basic ligand (</w:t>
      </w:r>
      <w:r w:rsidR="002B6FC2">
        <w:rPr>
          <w:rFonts w:cstheme="minorHAnsi"/>
          <w:color w:val="000000" w:themeColor="text1"/>
        </w:rPr>
        <w:fldChar w:fldCharType="begin"/>
      </w:r>
      <w:r w:rsidR="002B6FC2">
        <w:rPr>
          <w:rFonts w:cstheme="minorHAnsi"/>
          <w:color w:val="000000" w:themeColor="text1"/>
        </w:rPr>
        <w:instrText xml:space="preserve"> REF _Ref455843257 \r \h </w:instrText>
      </w:r>
      <w:r w:rsidR="002B6FC2">
        <w:rPr>
          <w:rFonts w:cstheme="minorHAnsi"/>
          <w:color w:val="000000" w:themeColor="text1"/>
        </w:rPr>
      </w:r>
      <w:r w:rsidR="002B6FC2">
        <w:rPr>
          <w:rFonts w:cstheme="minorHAnsi"/>
          <w:color w:val="000000" w:themeColor="text1"/>
        </w:rPr>
        <w:fldChar w:fldCharType="separate"/>
      </w:r>
      <w:r w:rsidR="000A0E3D">
        <w:rPr>
          <w:rFonts w:cstheme="minorHAnsi"/>
          <w:color w:val="000000" w:themeColor="text1"/>
        </w:rPr>
        <w:t>Chapter III</w:t>
      </w:r>
      <w:r w:rsidR="002B6FC2">
        <w:rPr>
          <w:rFonts w:cstheme="minorHAnsi"/>
          <w:color w:val="000000" w:themeColor="text1"/>
        </w:rPr>
        <w:fldChar w:fldCharType="end"/>
      </w:r>
      <w:r w:rsidRPr="00E47369">
        <w:rPr>
          <w:rFonts w:cstheme="minorHAnsi"/>
          <w:color w:val="000000" w:themeColor="text1"/>
        </w:rPr>
        <w:t xml:space="preserve"> Section </w:t>
      </w:r>
      <w:r w:rsidR="002B6FC2">
        <w:rPr>
          <w:rFonts w:cstheme="minorHAnsi"/>
          <w:color w:val="000000" w:themeColor="text1"/>
          <w:highlight w:val="green"/>
        </w:rPr>
        <w:fldChar w:fldCharType="begin"/>
      </w:r>
      <w:r w:rsidR="002B6FC2">
        <w:rPr>
          <w:rFonts w:cstheme="minorHAnsi"/>
          <w:color w:val="000000" w:themeColor="text1"/>
        </w:rPr>
        <w:instrText xml:space="preserve"> REF _Ref455843190 \r \h </w:instrText>
      </w:r>
      <w:r w:rsidR="002B6FC2">
        <w:rPr>
          <w:rFonts w:cstheme="minorHAnsi"/>
          <w:color w:val="000000" w:themeColor="text1"/>
          <w:highlight w:val="green"/>
        </w:rPr>
      </w:r>
      <w:r w:rsidR="002B6FC2">
        <w:rPr>
          <w:rFonts w:cstheme="minorHAnsi"/>
          <w:color w:val="000000" w:themeColor="text1"/>
          <w:highlight w:val="green"/>
        </w:rPr>
        <w:fldChar w:fldCharType="separate"/>
      </w:r>
      <w:r w:rsidR="000A0E3D">
        <w:rPr>
          <w:rFonts w:cstheme="minorHAnsi"/>
          <w:color w:val="000000" w:themeColor="text1"/>
        </w:rPr>
        <w:t>5</w:t>
      </w:r>
      <w:r w:rsidR="002B6FC2">
        <w:rPr>
          <w:rFonts w:cstheme="minorHAnsi"/>
          <w:color w:val="000000" w:themeColor="text1"/>
          <w:highlight w:val="green"/>
        </w:rPr>
        <w:fldChar w:fldCharType="end"/>
      </w:r>
      <w:r w:rsidRPr="00E47369">
        <w:rPr>
          <w:rFonts w:cstheme="minorHAnsi"/>
          <w:color w:val="000000" w:themeColor="text1"/>
        </w:rPr>
        <w:t xml:space="preserve">). This catalyst gave a 70% yield of the DODH alkene </w:t>
      </w:r>
      <w:r w:rsidRPr="00E47369">
        <w:rPr>
          <w:rFonts w:cstheme="minorHAnsi"/>
        </w:rPr>
        <w:t>product from glycerol monostearate (toluene 0.2M, 150</w:t>
      </w:r>
      <w:r w:rsidRPr="00E47369">
        <w:rPr>
          <w:rFonts w:cstheme="minorHAnsi"/>
          <w:vertAlign w:val="superscript"/>
        </w:rPr>
        <w:t>o</w:t>
      </w:r>
      <w:r w:rsidRPr="00E47369">
        <w:rPr>
          <w:rFonts w:cstheme="minorHAnsi"/>
        </w:rPr>
        <w:t>C, 24h) with benzyl alcohol reductant (</w:t>
      </w:r>
      <w:r w:rsidRPr="00E47369">
        <w:rPr>
          <w:rFonts w:cstheme="minorHAnsi"/>
        </w:rPr>
        <w:fldChar w:fldCharType="begin"/>
      </w:r>
      <w:r w:rsidRPr="00E47369">
        <w:rPr>
          <w:rFonts w:cstheme="minorHAnsi"/>
        </w:rPr>
        <w:instrText xml:space="preserve"> REF _Ref454183716 \h </w:instrText>
      </w:r>
      <w:r w:rsidR="00E47369">
        <w:rPr>
          <w:rFonts w:cstheme="minorHAnsi"/>
        </w:rPr>
        <w:instrText xml:space="preserve"> \* MERGEFORMAT </w:instrText>
      </w:r>
      <w:r w:rsidRPr="00E47369">
        <w:rPr>
          <w:rFonts w:cstheme="minorHAnsi"/>
        </w:rPr>
      </w:r>
      <w:r w:rsidRPr="00E47369">
        <w:rPr>
          <w:rFonts w:cstheme="minorHAnsi"/>
        </w:rPr>
        <w:fldChar w:fldCharType="separate"/>
      </w:r>
      <w:r w:rsidR="000A0E3D" w:rsidRPr="000A0E3D">
        <w:rPr>
          <w:rFonts w:cstheme="minorHAnsi"/>
        </w:rPr>
        <w:t xml:space="preserve">Figure III. </w:t>
      </w:r>
      <w:r w:rsidR="000A0E3D" w:rsidRPr="000A0E3D">
        <w:rPr>
          <w:rFonts w:cstheme="minorHAnsi"/>
          <w:noProof/>
        </w:rPr>
        <w:t>3.10</w:t>
      </w:r>
      <w:r w:rsidRPr="00E47369">
        <w:rPr>
          <w:rFonts w:cstheme="minorHAnsi"/>
        </w:rPr>
        <w:fldChar w:fldCharType="end"/>
      </w:r>
      <w:r w:rsidRPr="00E47369">
        <w:rPr>
          <w:rFonts w:cstheme="minorHAnsi"/>
        </w:rPr>
        <w:t xml:space="preserve">). But when we used the catalyst alone or added pyridine to replace tripotassium phosphate in the allylation reaction, we did not observe any signals for the homo-allylic alcohol product in the NMR spectrum. On the other </w:t>
      </w:r>
      <w:r w:rsidR="00F81633">
        <w:rPr>
          <w:rFonts w:cstheme="minorHAnsi"/>
        </w:rPr>
        <w:t>hand</w:t>
      </w:r>
      <w:r w:rsidRPr="00E47369">
        <w:rPr>
          <w:rFonts w:cstheme="minorHAnsi"/>
        </w:rPr>
        <w:t xml:space="preserve"> the DODH reaction of the glycerol ester with trans-[ReO</w:t>
      </w:r>
      <w:r w:rsidRPr="00E47369">
        <w:rPr>
          <w:rFonts w:cstheme="minorHAnsi"/>
          <w:vertAlign w:val="subscript"/>
        </w:rPr>
        <w:t>2</w:t>
      </w:r>
      <w:r w:rsidRPr="00E47369">
        <w:rPr>
          <w:rFonts w:cstheme="minorHAnsi"/>
        </w:rPr>
        <w:t>(py)</w:t>
      </w:r>
      <w:r w:rsidRPr="00E47369">
        <w:rPr>
          <w:rFonts w:cstheme="minorHAnsi"/>
          <w:vertAlign w:val="subscript"/>
        </w:rPr>
        <w:t>4</w:t>
      </w:r>
      <w:r w:rsidRPr="00E47369">
        <w:rPr>
          <w:rFonts w:cstheme="minorHAnsi"/>
        </w:rPr>
        <w:t>]PF</w:t>
      </w:r>
      <w:r w:rsidRPr="00E47369">
        <w:rPr>
          <w:rFonts w:cstheme="minorHAnsi"/>
          <w:vertAlign w:val="subscript"/>
        </w:rPr>
        <w:t>6</w:t>
      </w:r>
      <w:r w:rsidRPr="00E47369">
        <w:rPr>
          <w:rFonts w:cstheme="minorHAnsi"/>
        </w:rPr>
        <w:t xml:space="preserve"> didn’t occur in the presence of the phosphate base (</w:t>
      </w:r>
      <w:r w:rsidRPr="00E47369">
        <w:rPr>
          <w:rFonts w:cstheme="minorHAnsi"/>
        </w:rPr>
        <w:fldChar w:fldCharType="begin"/>
      </w:r>
      <w:r w:rsidRPr="00E47369">
        <w:rPr>
          <w:rFonts w:cstheme="minorHAnsi"/>
        </w:rPr>
        <w:instrText xml:space="preserve"> REF _Ref454183739 \h </w:instrText>
      </w:r>
      <w:r w:rsidR="00E47369">
        <w:rPr>
          <w:rFonts w:cstheme="minorHAnsi"/>
        </w:rPr>
        <w:instrText xml:space="preserve"> \* MERGEFORMAT </w:instrText>
      </w:r>
      <w:r w:rsidRPr="00E47369">
        <w:rPr>
          <w:rFonts w:cstheme="minorHAnsi"/>
        </w:rPr>
      </w:r>
      <w:r w:rsidRPr="00E47369">
        <w:rPr>
          <w:rFonts w:cstheme="minorHAnsi"/>
        </w:rPr>
        <w:fldChar w:fldCharType="separate"/>
      </w:r>
      <w:r w:rsidR="000A0E3D" w:rsidRPr="000A0E3D">
        <w:rPr>
          <w:rFonts w:cstheme="minorHAnsi"/>
        </w:rPr>
        <w:t xml:space="preserve">Figure III. </w:t>
      </w:r>
      <w:r w:rsidR="000A0E3D" w:rsidRPr="000A0E3D">
        <w:rPr>
          <w:rFonts w:cstheme="minorHAnsi"/>
          <w:noProof/>
        </w:rPr>
        <w:t>3.11</w:t>
      </w:r>
      <w:r w:rsidRPr="00E47369">
        <w:rPr>
          <w:rFonts w:cstheme="minorHAnsi"/>
        </w:rPr>
        <w:fldChar w:fldCharType="end"/>
      </w:r>
      <w:r w:rsidRPr="00E47369">
        <w:rPr>
          <w:rFonts w:cstheme="minorHAnsi"/>
        </w:rPr>
        <w:t>). It is conceivable that the phosphate base react</w:t>
      </w:r>
      <w:r w:rsidR="00F81633">
        <w:rPr>
          <w:rFonts w:cstheme="minorHAnsi"/>
        </w:rPr>
        <w:t>s</w:t>
      </w:r>
      <w:r w:rsidRPr="00E47369">
        <w:rPr>
          <w:rFonts w:cstheme="minorHAnsi"/>
        </w:rPr>
        <w:t xml:space="preserve"> with the catalyst (as a ligand or by replacing the anion) making it inactive toward the DODH reaction.</w:t>
      </w:r>
    </w:p>
    <w:p w14:paraId="3AB4BF4F" w14:textId="77777777" w:rsidR="00537311" w:rsidRPr="00E47369" w:rsidRDefault="00537311" w:rsidP="00A25FD4">
      <w:pPr>
        <w:ind w:firstLine="360"/>
        <w:jc w:val="both"/>
        <w:rPr>
          <w:rFonts w:cstheme="minorHAnsi"/>
        </w:rPr>
      </w:pPr>
    </w:p>
    <w:p w14:paraId="5BD10CA7" w14:textId="77777777" w:rsidR="00A25FD4" w:rsidRPr="00E47369" w:rsidRDefault="00A25FD4" w:rsidP="005D4B4F">
      <w:pPr>
        <w:keepNext/>
        <w:jc w:val="center"/>
        <w:rPr>
          <w:rFonts w:cstheme="minorHAnsi"/>
        </w:rPr>
      </w:pPr>
      <w:r w:rsidRPr="00E47369">
        <w:rPr>
          <w:rFonts w:cstheme="minorHAnsi"/>
        </w:rPr>
        <w:object w:dxaOrig="9168" w:dyaOrig="2650" w14:anchorId="0426AAF8">
          <v:shape id="_x0000_i1113" type="#_x0000_t75" style="width:298.3pt;height:87.8pt" o:ole="">
            <v:imagedata r:id="rId249" o:title=""/>
          </v:shape>
          <o:OLEObject Type="Embed" ProgID="ChemDraw.Document.6.0" ShapeID="_x0000_i1113" DrawAspect="Content" ObjectID="_1532784956" r:id="rId250"/>
        </w:object>
      </w:r>
    </w:p>
    <w:p w14:paraId="7DDF41AC" w14:textId="77777777" w:rsidR="00A25FD4" w:rsidRPr="008A0BB7" w:rsidRDefault="00A25FD4" w:rsidP="008A0BB7">
      <w:pPr>
        <w:pStyle w:val="Caption"/>
      </w:pPr>
      <w:bookmarkStart w:id="255" w:name="_Ref454183739"/>
      <w:bookmarkStart w:id="256" w:name="_Toc457670729"/>
      <w:r w:rsidRPr="008A0BB7">
        <w:t xml:space="preserve">Figure III. </w:t>
      </w:r>
      <w:r w:rsidR="00443010">
        <w:fldChar w:fldCharType="begin"/>
      </w:r>
      <w:r w:rsidR="00443010">
        <w:instrText xml:space="preserve"> STYLEREF 2 \s </w:instrText>
      </w:r>
      <w:r w:rsidR="00443010">
        <w:fldChar w:fldCharType="separate"/>
      </w:r>
      <w:r w:rsidR="000A0E3D">
        <w:rPr>
          <w:noProof/>
        </w:rPr>
        <w:t>3</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11</w:t>
      </w:r>
      <w:r w:rsidR="00443010">
        <w:rPr>
          <w:noProof/>
        </w:rPr>
        <w:fldChar w:fldCharType="end"/>
      </w:r>
      <w:bookmarkEnd w:id="255"/>
      <w:r w:rsidRPr="008A0BB7">
        <w:t xml:space="preserve"> Carbonyl Allylation Step with added [ReO</w:t>
      </w:r>
      <w:r w:rsidRPr="008A0BB7">
        <w:rPr>
          <w:vertAlign w:val="subscript"/>
        </w:rPr>
        <w:t>2</w:t>
      </w:r>
      <w:r w:rsidRPr="008A0BB7">
        <w:t>(py)</w:t>
      </w:r>
      <w:r w:rsidRPr="008A0BB7">
        <w:rPr>
          <w:vertAlign w:val="subscript"/>
        </w:rPr>
        <w:t>4</w:t>
      </w:r>
      <w:r w:rsidRPr="008A0BB7">
        <w:t>]PF</w:t>
      </w:r>
      <w:r w:rsidRPr="008A0BB7">
        <w:rPr>
          <w:vertAlign w:val="subscript"/>
        </w:rPr>
        <w:t>6</w:t>
      </w:r>
      <w:r w:rsidRPr="008A0BB7">
        <w:t xml:space="preserve"> or pyridine</w:t>
      </w:r>
      <w:bookmarkEnd w:id="256"/>
    </w:p>
    <w:p w14:paraId="78E76FF9" w14:textId="77777777" w:rsidR="00A25FD4" w:rsidRPr="00E47369" w:rsidRDefault="00A25FD4" w:rsidP="00A25FD4">
      <w:pPr>
        <w:rPr>
          <w:rFonts w:cstheme="minorHAnsi"/>
          <w:b/>
        </w:rPr>
      </w:pPr>
    </w:p>
    <w:p w14:paraId="0D897814" w14:textId="431C0BAC" w:rsidR="00003D5D" w:rsidRPr="00537311" w:rsidRDefault="00A25FD4" w:rsidP="00537311">
      <w:pPr>
        <w:ind w:firstLine="270"/>
        <w:jc w:val="both"/>
        <w:rPr>
          <w:rFonts w:cstheme="minorHAnsi"/>
          <w:color w:val="000000" w:themeColor="text1"/>
        </w:rPr>
      </w:pPr>
      <w:r w:rsidRPr="00E47369">
        <w:rPr>
          <w:rFonts w:cstheme="minorHAnsi"/>
        </w:rPr>
        <w:t xml:space="preserve">We found the DODH reaction to be tolerant </w:t>
      </w:r>
      <w:r w:rsidR="00F05BFF">
        <w:rPr>
          <w:rFonts w:cstheme="minorHAnsi"/>
        </w:rPr>
        <w:t>of</w:t>
      </w:r>
      <w:r w:rsidRPr="00E47369">
        <w:rPr>
          <w:rFonts w:cstheme="minorHAnsi"/>
        </w:rPr>
        <w:t xml:space="preserve"> pyridine when trans-[ReO</w:t>
      </w:r>
      <w:r w:rsidRPr="00E47369">
        <w:rPr>
          <w:rFonts w:cstheme="minorHAnsi"/>
          <w:vertAlign w:val="subscript"/>
        </w:rPr>
        <w:t>2</w:t>
      </w:r>
      <w:r w:rsidRPr="00E47369">
        <w:rPr>
          <w:rFonts w:cstheme="minorHAnsi"/>
        </w:rPr>
        <w:t>(py)</w:t>
      </w:r>
      <w:r w:rsidRPr="00E47369">
        <w:rPr>
          <w:rFonts w:cstheme="minorHAnsi"/>
          <w:vertAlign w:val="subscript"/>
        </w:rPr>
        <w:t>4</w:t>
      </w:r>
      <w:r w:rsidRPr="00E47369">
        <w:rPr>
          <w:rFonts w:cstheme="minorHAnsi"/>
        </w:rPr>
        <w:t>]PF</w:t>
      </w:r>
      <w:r w:rsidRPr="00E47369">
        <w:rPr>
          <w:rFonts w:cstheme="minorHAnsi"/>
          <w:vertAlign w:val="subscript"/>
        </w:rPr>
        <w:t>6</w:t>
      </w:r>
      <w:r w:rsidRPr="00E47369">
        <w:rPr>
          <w:rFonts w:cstheme="minorHAnsi"/>
        </w:rPr>
        <w:t xml:space="preserve"> was used as catalyst. Unfortunately, neither the catalyst itself nor pyridine could substitute for tripotassium phosphate in the allylation </w:t>
      </w:r>
      <w:r w:rsidRPr="00E47369">
        <w:rPr>
          <w:rFonts w:cstheme="minorHAnsi"/>
          <w:color w:val="000000" w:themeColor="text1"/>
        </w:rPr>
        <w:t xml:space="preserve">reaction.  </w:t>
      </w:r>
    </w:p>
    <w:p w14:paraId="6DD0590D" w14:textId="77777777" w:rsidR="00A25FD4" w:rsidRPr="00E47369" w:rsidRDefault="00A25FD4" w:rsidP="00A25FD4">
      <w:pPr>
        <w:pStyle w:val="Heading41"/>
        <w:rPr>
          <w:rFonts w:cstheme="minorHAnsi"/>
        </w:rPr>
      </w:pPr>
      <w:r w:rsidRPr="00E47369">
        <w:rPr>
          <w:rFonts w:cstheme="minorHAnsi"/>
        </w:rPr>
        <w:t>Change in the glycerol derivative</w:t>
      </w:r>
    </w:p>
    <w:p w14:paraId="6CF533FE" w14:textId="77777777" w:rsidR="00A25FD4" w:rsidRPr="00E47369" w:rsidRDefault="00A25FD4" w:rsidP="00A25FD4">
      <w:pPr>
        <w:ind w:firstLine="360"/>
        <w:jc w:val="both"/>
        <w:rPr>
          <w:rFonts w:cstheme="minorHAnsi"/>
          <w:bCs/>
        </w:rPr>
      </w:pPr>
      <w:r w:rsidRPr="00E47369">
        <w:rPr>
          <w:rFonts w:cstheme="minorHAnsi"/>
        </w:rPr>
        <w:t xml:space="preserve">The incompatibility of the DODH reaction with the required base for the allylation was a major limitation for the tandem DODH-allylation reactions. In an effort to enable this tandem reaction Dr. Krische suggested a BOC-carbonate derivative of glycerol which could form the base </w:t>
      </w:r>
      <w:r w:rsidRPr="00E47369">
        <w:rPr>
          <w:rFonts w:cstheme="minorHAnsi"/>
          <w:i/>
        </w:rPr>
        <w:t>in situ</w:t>
      </w:r>
      <w:r w:rsidRPr="00E47369">
        <w:rPr>
          <w:rFonts w:cstheme="minorHAnsi"/>
        </w:rPr>
        <w:t xml:space="preserve"> upon activation by the Ir-catalyst </w:t>
      </w:r>
      <w:r w:rsidRPr="00E47369">
        <w:rPr>
          <w:rFonts w:cstheme="minorHAnsi"/>
          <w:bCs/>
        </w:rPr>
        <w:t>(</w:t>
      </w:r>
      <w:r w:rsidRPr="00E47369">
        <w:rPr>
          <w:rFonts w:cstheme="minorHAnsi"/>
          <w:bCs/>
        </w:rPr>
        <w:fldChar w:fldCharType="begin"/>
      </w:r>
      <w:r w:rsidRPr="00E47369">
        <w:rPr>
          <w:rFonts w:cstheme="minorHAnsi"/>
          <w:bCs/>
        </w:rPr>
        <w:instrText xml:space="preserve"> REF _Ref454183788 \h </w:instrText>
      </w:r>
      <w:r w:rsidR="00E47369">
        <w:rPr>
          <w:rFonts w:cstheme="minorHAnsi"/>
          <w:bCs/>
        </w:rPr>
        <w:instrText xml:space="preserve"> \* MERGEFORMAT </w:instrText>
      </w:r>
      <w:r w:rsidRPr="00E47369">
        <w:rPr>
          <w:rFonts w:cstheme="minorHAnsi"/>
          <w:bCs/>
        </w:rPr>
      </w:r>
      <w:r w:rsidRPr="00E47369">
        <w:rPr>
          <w:rFonts w:cstheme="minorHAnsi"/>
          <w:bCs/>
        </w:rPr>
        <w:fldChar w:fldCharType="separate"/>
      </w:r>
      <w:r w:rsidR="000A0E3D" w:rsidRPr="000A0E3D">
        <w:rPr>
          <w:rFonts w:cstheme="minorHAnsi"/>
        </w:rPr>
        <w:t xml:space="preserve">Figure III. </w:t>
      </w:r>
      <w:r w:rsidR="000A0E3D" w:rsidRPr="000A0E3D">
        <w:rPr>
          <w:rFonts w:cstheme="minorHAnsi"/>
          <w:noProof/>
        </w:rPr>
        <w:t>3.12</w:t>
      </w:r>
      <w:r w:rsidRPr="00E47369">
        <w:rPr>
          <w:rFonts w:cstheme="minorHAnsi"/>
          <w:bCs/>
        </w:rPr>
        <w:fldChar w:fldCharType="end"/>
      </w:r>
      <w:r w:rsidRPr="00E47369">
        <w:rPr>
          <w:rFonts w:cstheme="minorHAnsi"/>
          <w:bCs/>
        </w:rPr>
        <w:t>). The diol-BOC derivative was prepared from glycerol at room temperature with an excess of di-</w:t>
      </w:r>
      <w:r w:rsidRPr="00E47369">
        <w:rPr>
          <w:rFonts w:cstheme="minorHAnsi"/>
          <w:bCs/>
          <w:i/>
          <w:iCs/>
        </w:rPr>
        <w:t>tert</w:t>
      </w:r>
      <w:r w:rsidRPr="00E47369">
        <w:rPr>
          <w:rFonts w:cstheme="minorHAnsi"/>
          <w:bCs/>
        </w:rPr>
        <w:t xml:space="preserve">-butyl dicarbonate and 4-dimethylaminopyridine </w:t>
      </w:r>
      <w:r w:rsidRPr="00E47369">
        <w:rPr>
          <w:rFonts w:cstheme="minorHAnsi"/>
          <w:bCs/>
          <w:color w:val="000000" w:themeColor="text1"/>
        </w:rPr>
        <w:t xml:space="preserve">(DMAP) as catalyst </w:t>
      </w:r>
      <w:r w:rsidRPr="00E47369">
        <w:rPr>
          <w:rFonts w:cstheme="minorHAnsi"/>
          <w:bCs/>
        </w:rPr>
        <w:t>(</w:t>
      </w:r>
      <w:r w:rsidRPr="00E47369">
        <w:rPr>
          <w:rFonts w:cstheme="minorHAnsi"/>
          <w:bCs/>
        </w:rPr>
        <w:fldChar w:fldCharType="begin"/>
      </w:r>
      <w:r w:rsidRPr="00E47369">
        <w:rPr>
          <w:rFonts w:cstheme="minorHAnsi"/>
          <w:bCs/>
        </w:rPr>
        <w:instrText xml:space="preserve"> REF _Ref454184029 \h </w:instrText>
      </w:r>
      <w:r w:rsidR="00E47369">
        <w:rPr>
          <w:rFonts w:cstheme="minorHAnsi"/>
          <w:bCs/>
        </w:rPr>
        <w:instrText xml:space="preserve"> \* MERGEFORMAT </w:instrText>
      </w:r>
      <w:r w:rsidRPr="00E47369">
        <w:rPr>
          <w:rFonts w:cstheme="minorHAnsi"/>
          <w:bCs/>
        </w:rPr>
      </w:r>
      <w:r w:rsidRPr="00E47369">
        <w:rPr>
          <w:rFonts w:cstheme="minorHAnsi"/>
          <w:bCs/>
        </w:rPr>
        <w:fldChar w:fldCharType="separate"/>
      </w:r>
      <w:r w:rsidR="000A0E3D" w:rsidRPr="000A0E3D">
        <w:rPr>
          <w:rFonts w:cstheme="minorHAnsi"/>
        </w:rPr>
        <w:t xml:space="preserve">Figure III. </w:t>
      </w:r>
      <w:r w:rsidR="000A0E3D" w:rsidRPr="000A0E3D">
        <w:rPr>
          <w:rFonts w:cstheme="minorHAnsi"/>
          <w:noProof/>
        </w:rPr>
        <w:t>3.13</w:t>
      </w:r>
      <w:r w:rsidRPr="00E47369">
        <w:rPr>
          <w:rFonts w:cstheme="minorHAnsi"/>
          <w:bCs/>
        </w:rPr>
        <w:fldChar w:fldCharType="end"/>
      </w:r>
      <w:r w:rsidRPr="00E47369">
        <w:rPr>
          <w:rFonts w:cstheme="minorHAnsi"/>
          <w:bCs/>
        </w:rPr>
        <w:t xml:space="preserve">). </w:t>
      </w:r>
    </w:p>
    <w:p w14:paraId="15D8833F" w14:textId="77777777" w:rsidR="00A25FD4" w:rsidRPr="00E47369" w:rsidRDefault="00A25FD4" w:rsidP="00A25FD4">
      <w:pPr>
        <w:keepNext/>
        <w:jc w:val="center"/>
        <w:rPr>
          <w:rFonts w:cstheme="minorHAnsi"/>
        </w:rPr>
      </w:pPr>
      <w:r w:rsidRPr="00E47369">
        <w:rPr>
          <w:rFonts w:cstheme="minorHAnsi"/>
        </w:rPr>
        <w:object w:dxaOrig="10413" w:dyaOrig="1425" w14:anchorId="5A79A94F">
          <v:shape id="_x0000_i1114" type="#_x0000_t75" style="width:344.95pt;height:46.7pt" o:ole="">
            <v:imagedata r:id="rId251" o:title=""/>
          </v:shape>
          <o:OLEObject Type="Embed" ProgID="ChemDraw.Document.6.0" ShapeID="_x0000_i1114" DrawAspect="Content" ObjectID="_1532784957" r:id="rId252"/>
        </w:object>
      </w:r>
    </w:p>
    <w:p w14:paraId="2E2FD7FD" w14:textId="77777777" w:rsidR="00A25FD4" w:rsidRPr="008A0BB7" w:rsidRDefault="00A25FD4" w:rsidP="008A0BB7">
      <w:pPr>
        <w:pStyle w:val="Caption"/>
      </w:pPr>
      <w:bookmarkStart w:id="257" w:name="_Ref454183788"/>
      <w:bookmarkStart w:id="258" w:name="_Toc457670730"/>
      <w:r w:rsidRPr="008A0BB7">
        <w:t xml:space="preserve">Figure III. </w:t>
      </w:r>
      <w:r w:rsidR="00443010">
        <w:fldChar w:fldCharType="begin"/>
      </w:r>
      <w:r w:rsidR="00443010">
        <w:instrText xml:space="preserve"> STYLEREF 2 \s </w:instrText>
      </w:r>
      <w:r w:rsidR="00443010">
        <w:fldChar w:fldCharType="separate"/>
      </w:r>
      <w:r w:rsidR="000A0E3D">
        <w:rPr>
          <w:noProof/>
        </w:rPr>
        <w:t>3</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12</w:t>
      </w:r>
      <w:r w:rsidR="00443010">
        <w:rPr>
          <w:noProof/>
        </w:rPr>
        <w:fldChar w:fldCharType="end"/>
      </w:r>
      <w:bookmarkEnd w:id="257"/>
      <w:r w:rsidRPr="008A0BB7">
        <w:t xml:space="preserve"> </w:t>
      </w:r>
      <w:r w:rsidRPr="008A0BB7">
        <w:rPr>
          <w:i/>
        </w:rPr>
        <w:t>In situ</w:t>
      </w:r>
      <w:r w:rsidRPr="008A0BB7">
        <w:t xml:space="preserve"> Formation of a Base with BOC Derivative of Glycerol</w:t>
      </w:r>
      <w:bookmarkEnd w:id="258"/>
    </w:p>
    <w:p w14:paraId="7C7DBF0D" w14:textId="77777777" w:rsidR="00A25FD4" w:rsidRPr="00E47369" w:rsidRDefault="00A25FD4" w:rsidP="00F26849">
      <w:pPr>
        <w:rPr>
          <w:rFonts w:cstheme="minorHAnsi"/>
        </w:rPr>
      </w:pPr>
    </w:p>
    <w:p w14:paraId="7F175420" w14:textId="77777777" w:rsidR="00A25FD4" w:rsidRPr="00E47369" w:rsidRDefault="00A25FD4" w:rsidP="00A25FD4">
      <w:pPr>
        <w:keepNext/>
        <w:jc w:val="center"/>
        <w:rPr>
          <w:rFonts w:cstheme="minorHAnsi"/>
        </w:rPr>
      </w:pPr>
      <w:r w:rsidRPr="00E47369">
        <w:rPr>
          <w:rFonts w:cstheme="minorHAnsi"/>
        </w:rPr>
        <w:object w:dxaOrig="6612" w:dyaOrig="1488" w14:anchorId="086124E7">
          <v:shape id="_x0000_i1115" type="#_x0000_t75" style="width:246.85pt;height:56.2pt" o:ole="" o:allowoverlap="f">
            <v:imagedata r:id="rId253" o:title=""/>
          </v:shape>
          <o:OLEObject Type="Embed" ProgID="ChemDraw.Document.6.0" ShapeID="_x0000_i1115" DrawAspect="Content" ObjectID="_1532784958" r:id="rId254"/>
        </w:object>
      </w:r>
    </w:p>
    <w:p w14:paraId="3D0339F3" w14:textId="77777777" w:rsidR="00A25FD4" w:rsidRPr="008A0BB7" w:rsidRDefault="00A25FD4" w:rsidP="008A0BB7">
      <w:pPr>
        <w:pStyle w:val="Caption"/>
      </w:pPr>
      <w:bookmarkStart w:id="259" w:name="_Ref454184029"/>
      <w:bookmarkStart w:id="260" w:name="_Toc457670731"/>
      <w:r w:rsidRPr="008A0BB7">
        <w:t xml:space="preserve">Figure III. </w:t>
      </w:r>
      <w:r w:rsidR="00443010">
        <w:fldChar w:fldCharType="begin"/>
      </w:r>
      <w:r w:rsidR="00443010">
        <w:instrText xml:space="preserve"> STYLEREF 2 \s </w:instrText>
      </w:r>
      <w:r w:rsidR="00443010">
        <w:fldChar w:fldCharType="separate"/>
      </w:r>
      <w:r w:rsidR="000A0E3D">
        <w:rPr>
          <w:noProof/>
        </w:rPr>
        <w:t>3</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13</w:t>
      </w:r>
      <w:r w:rsidR="00443010">
        <w:rPr>
          <w:noProof/>
        </w:rPr>
        <w:fldChar w:fldCharType="end"/>
      </w:r>
      <w:bookmarkEnd w:id="259"/>
      <w:r w:rsidRPr="008A0BB7">
        <w:t xml:space="preserve"> Synthesis of BOC derivative of glycerol</w:t>
      </w:r>
      <w:bookmarkEnd w:id="260"/>
    </w:p>
    <w:p w14:paraId="3FD2EF87" w14:textId="77777777" w:rsidR="00A25FD4" w:rsidRPr="00E47369" w:rsidRDefault="00A25FD4" w:rsidP="00F26849">
      <w:pPr>
        <w:rPr>
          <w:rFonts w:cstheme="minorHAnsi"/>
        </w:rPr>
      </w:pPr>
    </w:p>
    <w:p w14:paraId="1A3BD620" w14:textId="77777777" w:rsidR="00F26849" w:rsidRDefault="00F26849" w:rsidP="00F26849">
      <w:pPr>
        <w:ind w:firstLine="360"/>
        <w:jc w:val="both"/>
        <w:rPr>
          <w:rFonts w:cstheme="minorHAnsi"/>
        </w:rPr>
      </w:pPr>
      <w:bookmarkStart w:id="261" w:name="_Ref411242693"/>
      <w:r w:rsidRPr="00E47369">
        <w:rPr>
          <w:rFonts w:cstheme="minorHAnsi"/>
        </w:rPr>
        <w:t>Since this was a new diol, the DODH step was first tested. Variations of solvents (toluene, dioxane, tetrahydrofuran) and of catalyst (NH</w:t>
      </w:r>
      <w:r w:rsidRPr="00E47369">
        <w:rPr>
          <w:rFonts w:cstheme="minorHAnsi"/>
          <w:vertAlign w:val="subscript"/>
        </w:rPr>
        <w:t>4</w:t>
      </w:r>
      <w:r w:rsidRPr="00E47369">
        <w:rPr>
          <w:rFonts w:cstheme="minorHAnsi"/>
        </w:rPr>
        <w:t>ReO</w:t>
      </w:r>
      <w:r w:rsidRPr="00E47369">
        <w:rPr>
          <w:rFonts w:cstheme="minorHAnsi"/>
          <w:vertAlign w:val="subscript"/>
        </w:rPr>
        <w:t>4</w:t>
      </w:r>
      <w:r w:rsidRPr="00E47369">
        <w:rPr>
          <w:rFonts w:cstheme="minorHAnsi"/>
        </w:rPr>
        <w:t>, CH</w:t>
      </w:r>
      <w:r w:rsidRPr="00E47369">
        <w:rPr>
          <w:rFonts w:cstheme="minorHAnsi"/>
          <w:vertAlign w:val="subscript"/>
        </w:rPr>
        <w:t>3</w:t>
      </w:r>
      <w:r w:rsidRPr="00E47369">
        <w:rPr>
          <w:rFonts w:cstheme="minorHAnsi"/>
        </w:rPr>
        <w:t>ReO</w:t>
      </w:r>
      <w:r w:rsidRPr="00E47369">
        <w:rPr>
          <w:rFonts w:cstheme="minorHAnsi"/>
          <w:vertAlign w:val="subscript"/>
        </w:rPr>
        <w:t>3</w:t>
      </w:r>
      <w:r w:rsidRPr="00E47369">
        <w:rPr>
          <w:rFonts w:cstheme="minorHAnsi"/>
        </w:rPr>
        <w:t>, trans-[ReO</w:t>
      </w:r>
      <w:r w:rsidRPr="00E47369">
        <w:rPr>
          <w:rFonts w:cstheme="minorHAnsi"/>
          <w:vertAlign w:val="subscript"/>
        </w:rPr>
        <w:t>2</w:t>
      </w:r>
      <w:r w:rsidRPr="00E47369">
        <w:rPr>
          <w:rFonts w:cstheme="minorHAnsi"/>
        </w:rPr>
        <w:t>(py)</w:t>
      </w:r>
      <w:r w:rsidRPr="00E47369">
        <w:rPr>
          <w:rFonts w:cstheme="minorHAnsi"/>
          <w:vertAlign w:val="subscript"/>
        </w:rPr>
        <w:t>4</w:t>
      </w:r>
      <w:r w:rsidRPr="00E47369">
        <w:rPr>
          <w:rFonts w:cstheme="minorHAnsi"/>
        </w:rPr>
        <w:t>]PF</w:t>
      </w:r>
      <w:r w:rsidRPr="00E47369">
        <w:rPr>
          <w:rFonts w:cstheme="minorHAnsi"/>
          <w:vertAlign w:val="subscript"/>
        </w:rPr>
        <w:t>6</w:t>
      </w:r>
      <w:r w:rsidRPr="00E47369">
        <w:rPr>
          <w:rFonts w:cstheme="minorHAnsi"/>
        </w:rPr>
        <w:t xml:space="preserve"> and [n-Bu</w:t>
      </w:r>
      <w:r w:rsidRPr="00E47369">
        <w:rPr>
          <w:rFonts w:cstheme="minorHAnsi"/>
          <w:vertAlign w:val="subscript"/>
        </w:rPr>
        <w:t>4</w:t>
      </w:r>
      <w:r w:rsidRPr="00E47369">
        <w:rPr>
          <w:rFonts w:cstheme="minorHAnsi"/>
        </w:rPr>
        <w:t>N](dipic)VO</w:t>
      </w:r>
      <w:r w:rsidRPr="00E47369">
        <w:rPr>
          <w:rFonts w:cstheme="minorHAnsi"/>
          <w:vertAlign w:val="subscript"/>
        </w:rPr>
        <w:t>2</w:t>
      </w:r>
      <w:r w:rsidRPr="00E47369">
        <w:rPr>
          <w:rFonts w:cstheme="minorHAnsi"/>
        </w:rPr>
        <w:t xml:space="preserve">) were tested with this diol conversion using benzyl alcohol as the reducing agent. In only four of these combinations the NMR analysis of the reaction mixture show alkene and </w:t>
      </w:r>
      <w:r w:rsidRPr="00E47369">
        <w:rPr>
          <w:rFonts w:cstheme="minorHAnsi"/>
          <w:color w:val="000000" w:themeColor="text1"/>
        </w:rPr>
        <w:t>aldehyde products (</w:t>
      </w:r>
      <w:r w:rsidRPr="00E47369">
        <w:rPr>
          <w:rFonts w:cstheme="minorHAnsi"/>
          <w:color w:val="000000" w:themeColor="text1"/>
        </w:rPr>
        <w:fldChar w:fldCharType="begin"/>
      </w:r>
      <w:r w:rsidRPr="00E47369">
        <w:rPr>
          <w:rFonts w:cstheme="minorHAnsi"/>
          <w:color w:val="000000" w:themeColor="text1"/>
        </w:rPr>
        <w:instrText xml:space="preserve"> REF _Ref454189534 \h </w:instrText>
      </w:r>
      <w:r w:rsidR="00E47369">
        <w:rPr>
          <w:rFonts w:cstheme="minorHAnsi"/>
          <w:color w:val="000000" w:themeColor="text1"/>
        </w:rPr>
        <w:instrText xml:space="preserve"> \* MERGEFORMAT </w:instrText>
      </w:r>
      <w:r w:rsidRPr="00E47369">
        <w:rPr>
          <w:rFonts w:cstheme="minorHAnsi"/>
          <w:color w:val="000000" w:themeColor="text1"/>
        </w:rPr>
      </w:r>
      <w:r w:rsidRPr="00E47369">
        <w:rPr>
          <w:rFonts w:cstheme="minorHAnsi"/>
          <w:color w:val="000000" w:themeColor="text1"/>
        </w:rPr>
        <w:fldChar w:fldCharType="separate"/>
      </w:r>
      <w:r w:rsidR="000A0E3D" w:rsidRPr="000A0E3D">
        <w:rPr>
          <w:rFonts w:cstheme="minorHAnsi"/>
        </w:rPr>
        <w:t xml:space="preserve">Table III. </w:t>
      </w:r>
      <w:r w:rsidR="000A0E3D" w:rsidRPr="000A0E3D">
        <w:rPr>
          <w:rFonts w:cstheme="minorHAnsi"/>
          <w:noProof/>
        </w:rPr>
        <w:t>3.1</w:t>
      </w:r>
      <w:r w:rsidRPr="00E47369">
        <w:rPr>
          <w:rFonts w:cstheme="minorHAnsi"/>
          <w:color w:val="000000" w:themeColor="text1"/>
        </w:rPr>
        <w:fldChar w:fldCharType="end"/>
      </w:r>
      <w:r w:rsidRPr="00E47369">
        <w:rPr>
          <w:rFonts w:cstheme="minorHAnsi"/>
          <w:color w:val="000000" w:themeColor="text1"/>
        </w:rPr>
        <w:t xml:space="preserve">) </w:t>
      </w:r>
      <w:r w:rsidRPr="00E47369">
        <w:rPr>
          <w:rFonts w:cstheme="minorHAnsi"/>
        </w:rPr>
        <w:t>with yields in alkene from less than 10% and up to 23% (the conversion of this reaction could ne be determined as the starting diol is not soluble in the NMR solvent). The reason for low yield in alkene could be</w:t>
      </w:r>
      <w:r w:rsidR="00F05BFF">
        <w:rPr>
          <w:rFonts w:cstheme="minorHAnsi"/>
        </w:rPr>
        <w:t>:</w:t>
      </w:r>
      <w:r w:rsidRPr="00E47369">
        <w:rPr>
          <w:rFonts w:cstheme="minorHAnsi"/>
        </w:rPr>
        <w:t xml:space="preserve"> 1) a poor solubility of the polyol in the DODH solvent </w:t>
      </w:r>
      <w:r w:rsidR="00F05BFF">
        <w:rPr>
          <w:rFonts w:cstheme="minorHAnsi"/>
        </w:rPr>
        <w:t>since the most polar solvent, dioxane,</w:t>
      </w:r>
      <w:r w:rsidRPr="00E47369">
        <w:rPr>
          <w:rFonts w:cstheme="minorHAnsi"/>
        </w:rPr>
        <w:t xml:space="preserve"> gave the highest yield (entry III.3.2) or</w:t>
      </w:r>
      <w:r w:rsidR="00F05BFF">
        <w:rPr>
          <w:rFonts w:cstheme="minorHAnsi"/>
        </w:rPr>
        <w:t xml:space="preserve"> 2)</w:t>
      </w:r>
      <w:r w:rsidRPr="00E47369">
        <w:rPr>
          <w:rFonts w:cstheme="minorHAnsi"/>
        </w:rPr>
        <w:t xml:space="preserve"> its product could be unstable at high temperature </w:t>
      </w:r>
      <w:r w:rsidR="00F05BFF">
        <w:rPr>
          <w:rFonts w:cstheme="minorHAnsi"/>
        </w:rPr>
        <w:t>causing it to degrade</w:t>
      </w:r>
      <w:r w:rsidRPr="00E47369">
        <w:rPr>
          <w:rFonts w:cstheme="minorHAnsi"/>
        </w:rPr>
        <w:t xml:space="preserve"> or undergo side reactions. With a maximum yield of 23% in alkene and 45% in benzaldehyde in the DODH step, the tandem DODH/Allylation reaction was not attempted.</w:t>
      </w:r>
      <w:r w:rsidR="00F05BFF">
        <w:rPr>
          <w:rFonts w:cstheme="minorHAnsi"/>
        </w:rPr>
        <w:t xml:space="preserve"> S</w:t>
      </w:r>
      <w:r w:rsidRPr="00E47369">
        <w:rPr>
          <w:rFonts w:cstheme="minorHAnsi"/>
        </w:rPr>
        <w:t>o further efforts to carry out a tandem DODH/</w:t>
      </w:r>
      <w:r w:rsidR="00F05BFF">
        <w:rPr>
          <w:rFonts w:cstheme="minorHAnsi"/>
        </w:rPr>
        <w:t>Krische’</w:t>
      </w:r>
      <w:r w:rsidRPr="00E47369">
        <w:rPr>
          <w:rFonts w:cstheme="minorHAnsi"/>
        </w:rPr>
        <w:t>allylation were discontinued.</w:t>
      </w:r>
    </w:p>
    <w:p w14:paraId="0492596D" w14:textId="77777777" w:rsidR="00367301" w:rsidRPr="00E47369" w:rsidRDefault="00367301" w:rsidP="00F26849">
      <w:pPr>
        <w:ind w:firstLine="360"/>
        <w:jc w:val="both"/>
        <w:rPr>
          <w:rFonts w:cstheme="minorHAnsi"/>
        </w:rPr>
      </w:pPr>
    </w:p>
    <w:p w14:paraId="7D7D6F3B" w14:textId="77777777" w:rsidR="00A25FD4" w:rsidRPr="00E47369" w:rsidRDefault="00A25FD4" w:rsidP="00A25FD4">
      <w:pPr>
        <w:keepNext/>
        <w:jc w:val="center"/>
        <w:rPr>
          <w:rFonts w:cstheme="minorHAnsi"/>
        </w:rPr>
      </w:pPr>
      <w:r w:rsidRPr="00E47369">
        <w:rPr>
          <w:rFonts w:cstheme="minorHAnsi"/>
        </w:rPr>
        <w:object w:dxaOrig="8477" w:dyaOrig="1183" w14:anchorId="11D1664C">
          <v:shape id="_x0000_i1116" type="#_x0000_t75" style="width:344.95pt;height:46.7pt" o:ole="" o:allowoverlap="f">
            <v:imagedata r:id="rId255" o:title=""/>
          </v:shape>
          <o:OLEObject Type="Embed" ProgID="ChemDraw.Document.6.0" ShapeID="_x0000_i1116" DrawAspect="Content" ObjectID="_1532784959" r:id="rId256"/>
        </w:object>
      </w:r>
    </w:p>
    <w:p w14:paraId="502112F5" w14:textId="77777777" w:rsidR="00A25FD4" w:rsidRPr="008A0BB7" w:rsidRDefault="00A25FD4" w:rsidP="008A0BB7">
      <w:pPr>
        <w:pStyle w:val="Caption"/>
      </w:pPr>
      <w:bookmarkStart w:id="262" w:name="_Toc457670732"/>
      <w:r w:rsidRPr="008A0BB7">
        <w:t xml:space="preserve">Figure III. </w:t>
      </w:r>
      <w:r w:rsidR="00443010">
        <w:fldChar w:fldCharType="begin"/>
      </w:r>
      <w:r w:rsidR="00443010">
        <w:instrText xml:space="preserve"> STYLEREF 2 \s </w:instrText>
      </w:r>
      <w:r w:rsidR="00443010">
        <w:fldChar w:fldCharType="separate"/>
      </w:r>
      <w:r w:rsidR="000A0E3D">
        <w:rPr>
          <w:noProof/>
        </w:rPr>
        <w:t>3</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14</w:t>
      </w:r>
      <w:r w:rsidR="00443010">
        <w:rPr>
          <w:noProof/>
        </w:rPr>
        <w:fldChar w:fldCharType="end"/>
      </w:r>
      <w:r w:rsidRPr="008A0BB7">
        <w:t xml:space="preserve"> DODH of the BOC Derivative of Glycerol</w:t>
      </w:r>
      <w:bookmarkEnd w:id="262"/>
    </w:p>
    <w:p w14:paraId="26322A60" w14:textId="77777777" w:rsidR="001C4EB8" w:rsidRPr="00E47369" w:rsidRDefault="001C4EB8" w:rsidP="00A25FD4">
      <w:pPr>
        <w:rPr>
          <w:rFonts w:cstheme="minorHAnsi"/>
          <w:b/>
        </w:rPr>
      </w:pPr>
    </w:p>
    <w:p w14:paraId="6D9062D7" w14:textId="77777777" w:rsidR="00A25FD4" w:rsidRPr="008A0BB7" w:rsidRDefault="00A25FD4" w:rsidP="008A0BB7">
      <w:pPr>
        <w:pStyle w:val="Caption"/>
      </w:pPr>
      <w:bookmarkStart w:id="263" w:name="_Ref454189534"/>
      <w:bookmarkStart w:id="264" w:name="_Toc457670489"/>
      <w:r w:rsidRPr="008A0BB7">
        <w:t xml:space="preserve">Table III. </w:t>
      </w:r>
      <w:r w:rsidR="00443010">
        <w:fldChar w:fldCharType="begin"/>
      </w:r>
      <w:r w:rsidR="00443010">
        <w:instrText xml:space="preserve"> STYLEREF 2 \s </w:instrText>
      </w:r>
      <w:r w:rsidR="00443010">
        <w:fldChar w:fldCharType="separate"/>
      </w:r>
      <w:r w:rsidR="000A0E3D">
        <w:rPr>
          <w:noProof/>
        </w:rPr>
        <w:t>3</w:t>
      </w:r>
      <w:r w:rsidR="00443010">
        <w:rPr>
          <w:noProof/>
        </w:rPr>
        <w:fldChar w:fldCharType="end"/>
      </w:r>
      <w:r w:rsidR="00E20ED7">
        <w:t>.</w:t>
      </w:r>
      <w:r w:rsidR="00443010">
        <w:fldChar w:fldCharType="begin"/>
      </w:r>
      <w:r w:rsidR="00443010">
        <w:instrText xml:space="preserve"> SEQ Table_III. \* ARABIC \s 2 </w:instrText>
      </w:r>
      <w:r w:rsidR="00443010">
        <w:fldChar w:fldCharType="separate"/>
      </w:r>
      <w:r w:rsidR="000A0E3D">
        <w:rPr>
          <w:noProof/>
        </w:rPr>
        <w:t>1</w:t>
      </w:r>
      <w:r w:rsidR="00443010">
        <w:rPr>
          <w:noProof/>
        </w:rPr>
        <w:fldChar w:fldCharType="end"/>
      </w:r>
      <w:bookmarkEnd w:id="261"/>
      <w:bookmarkEnd w:id="263"/>
      <w:r w:rsidRPr="008A0BB7">
        <w:t xml:space="preserve"> DODH Study of the BOC Derivative of Glycerol</w:t>
      </w:r>
      <w:bookmarkEnd w:id="264"/>
    </w:p>
    <w:p w14:paraId="572CB443" w14:textId="77777777" w:rsidR="00A25FD4" w:rsidRPr="00E47369" w:rsidRDefault="00A25FD4" w:rsidP="00A25FD4">
      <w:pPr>
        <w:rPr>
          <w:rFonts w:cstheme="minorHAnsi"/>
        </w:rPr>
      </w:pPr>
    </w:p>
    <w:tbl>
      <w:tblPr>
        <w:tblW w:w="7920" w:type="dxa"/>
        <w:jc w:val="center"/>
        <w:tblCellMar>
          <w:left w:w="0" w:type="dxa"/>
          <w:right w:w="0" w:type="dxa"/>
        </w:tblCellMar>
        <w:tblLook w:val="0600" w:firstRow="0" w:lastRow="0" w:firstColumn="0" w:lastColumn="0" w:noHBand="1" w:noVBand="1"/>
      </w:tblPr>
      <w:tblGrid>
        <w:gridCol w:w="864"/>
        <w:gridCol w:w="2160"/>
        <w:gridCol w:w="3888"/>
        <w:gridCol w:w="1008"/>
      </w:tblGrid>
      <w:tr w:rsidR="00A25FD4" w:rsidRPr="00E47369" w14:paraId="22118D66" w14:textId="77777777" w:rsidTr="005952BF">
        <w:trPr>
          <w:trHeight w:val="432"/>
          <w:jc w:val="center"/>
        </w:trPr>
        <w:tc>
          <w:tcPr>
            <w:tcW w:w="864" w:type="dxa"/>
            <w:tcBorders>
              <w:top w:val="nil"/>
              <w:left w:val="nil"/>
              <w:bottom w:val="single" w:sz="12" w:space="0" w:color="000000" w:themeColor="text1"/>
              <w:right w:val="single" w:sz="12" w:space="0" w:color="000000" w:themeColor="text1"/>
            </w:tcBorders>
            <w:shd w:val="clear" w:color="auto" w:fill="auto"/>
            <w:tcMar>
              <w:top w:w="15" w:type="dxa"/>
              <w:left w:w="14" w:type="dxa"/>
              <w:bottom w:w="0" w:type="dxa"/>
              <w:right w:w="14" w:type="dxa"/>
            </w:tcMar>
            <w:vAlign w:val="center"/>
            <w:hideMark/>
          </w:tcPr>
          <w:p w14:paraId="690C4661" w14:textId="77777777" w:rsidR="00A25FD4" w:rsidRPr="00E47369" w:rsidRDefault="00A25FD4" w:rsidP="002B6FC2">
            <w:pPr>
              <w:spacing w:line="360" w:lineRule="auto"/>
              <w:jc w:val="center"/>
              <w:rPr>
                <w:rFonts w:cstheme="minorHAnsi"/>
                <w:szCs w:val="36"/>
              </w:rPr>
            </w:pPr>
            <w:r w:rsidRPr="00E47369">
              <w:rPr>
                <w:rFonts w:cstheme="minorHAnsi"/>
                <w:szCs w:val="36"/>
              </w:rPr>
              <w:t>entry</w:t>
            </w:r>
          </w:p>
        </w:tc>
        <w:tc>
          <w:tcPr>
            <w:tcW w:w="2160" w:type="dxa"/>
            <w:tcBorders>
              <w:top w:val="nil"/>
              <w:left w:val="single" w:sz="12" w:space="0" w:color="000000" w:themeColor="text1"/>
              <w:bottom w:val="single" w:sz="12" w:space="0" w:color="000000" w:themeColor="text1"/>
            </w:tcBorders>
            <w:shd w:val="clear" w:color="auto" w:fill="auto"/>
            <w:tcMar>
              <w:top w:w="15" w:type="dxa"/>
              <w:left w:w="14" w:type="dxa"/>
              <w:bottom w:w="0" w:type="dxa"/>
              <w:right w:w="14" w:type="dxa"/>
            </w:tcMar>
            <w:vAlign w:val="center"/>
            <w:hideMark/>
          </w:tcPr>
          <w:p w14:paraId="16F4E17D" w14:textId="77777777" w:rsidR="00A25FD4" w:rsidRPr="00E47369" w:rsidRDefault="00A25FD4" w:rsidP="002B6FC2">
            <w:pPr>
              <w:spacing w:line="360" w:lineRule="auto"/>
              <w:jc w:val="center"/>
              <w:textAlignment w:val="center"/>
              <w:rPr>
                <w:rFonts w:cstheme="minorHAnsi"/>
                <w:szCs w:val="36"/>
              </w:rPr>
            </w:pPr>
            <w:r w:rsidRPr="00E47369">
              <w:rPr>
                <w:rFonts w:cstheme="minorHAnsi"/>
                <w:color w:val="000000"/>
                <w:kern w:val="24"/>
                <w:szCs w:val="28"/>
              </w:rPr>
              <w:t>Catalyst</w:t>
            </w:r>
          </w:p>
        </w:tc>
        <w:tc>
          <w:tcPr>
            <w:tcW w:w="3888" w:type="dxa"/>
            <w:tcBorders>
              <w:top w:val="nil"/>
              <w:left w:val="nil"/>
              <w:bottom w:val="single" w:sz="12" w:space="0" w:color="000000" w:themeColor="text1"/>
              <w:right w:val="nil"/>
            </w:tcBorders>
            <w:shd w:val="clear" w:color="auto" w:fill="auto"/>
            <w:tcMar>
              <w:top w:w="15" w:type="dxa"/>
              <w:left w:w="14" w:type="dxa"/>
              <w:bottom w:w="0" w:type="dxa"/>
              <w:right w:w="14" w:type="dxa"/>
            </w:tcMar>
            <w:vAlign w:val="center"/>
            <w:hideMark/>
          </w:tcPr>
          <w:p w14:paraId="4B7B419D" w14:textId="77777777" w:rsidR="00A25FD4" w:rsidRPr="00E47369" w:rsidRDefault="00A25FD4" w:rsidP="002B6FC2">
            <w:pPr>
              <w:spacing w:line="360" w:lineRule="auto"/>
              <w:jc w:val="center"/>
              <w:textAlignment w:val="center"/>
              <w:rPr>
                <w:rFonts w:cstheme="minorHAnsi"/>
                <w:szCs w:val="36"/>
              </w:rPr>
            </w:pPr>
            <w:r w:rsidRPr="00E47369">
              <w:rPr>
                <w:rFonts w:cstheme="minorHAnsi"/>
                <w:color w:val="000000"/>
                <w:kern w:val="24"/>
                <w:szCs w:val="28"/>
              </w:rPr>
              <w:t>Solvent</w:t>
            </w:r>
          </w:p>
        </w:tc>
        <w:tc>
          <w:tcPr>
            <w:tcW w:w="1008" w:type="dxa"/>
            <w:tcBorders>
              <w:top w:val="nil"/>
              <w:left w:val="nil"/>
              <w:bottom w:val="single" w:sz="12" w:space="0" w:color="000000" w:themeColor="text1"/>
              <w:right w:val="nil"/>
            </w:tcBorders>
            <w:shd w:val="clear" w:color="auto" w:fill="auto"/>
            <w:tcMar>
              <w:top w:w="15" w:type="dxa"/>
              <w:left w:w="14" w:type="dxa"/>
              <w:bottom w:w="0" w:type="dxa"/>
              <w:right w:w="14" w:type="dxa"/>
            </w:tcMar>
            <w:vAlign w:val="center"/>
            <w:hideMark/>
          </w:tcPr>
          <w:p w14:paraId="52910FA2" w14:textId="77777777" w:rsidR="00A25FD4" w:rsidRPr="00E47369" w:rsidRDefault="00A25FD4" w:rsidP="002B6FC2">
            <w:pPr>
              <w:spacing w:line="360" w:lineRule="auto"/>
              <w:jc w:val="center"/>
              <w:textAlignment w:val="center"/>
              <w:rPr>
                <w:rFonts w:cstheme="minorHAnsi"/>
                <w:szCs w:val="36"/>
              </w:rPr>
            </w:pPr>
            <w:r w:rsidRPr="00E47369">
              <w:rPr>
                <w:rFonts w:cstheme="minorHAnsi"/>
                <w:color w:val="000000"/>
                <w:kern w:val="24"/>
                <w:szCs w:val="28"/>
              </w:rPr>
              <w:t>Yield (%)</w:t>
            </w:r>
          </w:p>
        </w:tc>
      </w:tr>
      <w:tr w:rsidR="00A25FD4" w:rsidRPr="00E47369" w14:paraId="61D7B7BA" w14:textId="77777777" w:rsidTr="005952BF">
        <w:trPr>
          <w:trHeight w:val="432"/>
          <w:jc w:val="center"/>
        </w:trPr>
        <w:tc>
          <w:tcPr>
            <w:tcW w:w="864" w:type="dxa"/>
            <w:tcBorders>
              <w:top w:val="single" w:sz="12" w:space="0" w:color="000000" w:themeColor="text1"/>
              <w:left w:val="nil"/>
              <w:bottom w:val="single" w:sz="2" w:space="0" w:color="808080" w:themeColor="background1" w:themeShade="80"/>
              <w:right w:val="single" w:sz="12" w:space="0" w:color="000000" w:themeColor="text1"/>
            </w:tcBorders>
            <w:shd w:val="clear" w:color="auto" w:fill="auto"/>
            <w:tcMar>
              <w:top w:w="15" w:type="dxa"/>
              <w:left w:w="14" w:type="dxa"/>
              <w:bottom w:w="0" w:type="dxa"/>
              <w:right w:w="14" w:type="dxa"/>
            </w:tcMar>
            <w:vAlign w:val="center"/>
            <w:hideMark/>
          </w:tcPr>
          <w:p w14:paraId="166A49D7" w14:textId="77777777" w:rsidR="00A25FD4" w:rsidRPr="00E47369" w:rsidRDefault="00A25FD4" w:rsidP="002B6FC2">
            <w:pPr>
              <w:spacing w:line="360" w:lineRule="auto"/>
              <w:jc w:val="center"/>
              <w:textAlignment w:val="center"/>
              <w:rPr>
                <w:rFonts w:cstheme="minorHAnsi"/>
                <w:szCs w:val="36"/>
              </w:rPr>
            </w:pPr>
            <w:r w:rsidRPr="00E47369">
              <w:rPr>
                <w:rFonts w:cstheme="minorHAnsi"/>
                <w:color w:val="000000"/>
                <w:kern w:val="24"/>
                <w:szCs w:val="28"/>
              </w:rPr>
              <w:t>III.</w:t>
            </w:r>
            <w:r w:rsidR="00F26849" w:rsidRPr="00E47369">
              <w:rPr>
                <w:rFonts w:cstheme="minorHAnsi"/>
                <w:color w:val="000000"/>
                <w:kern w:val="24"/>
                <w:szCs w:val="28"/>
              </w:rPr>
              <w:t>3</w:t>
            </w:r>
            <w:r w:rsidRPr="00E47369">
              <w:rPr>
                <w:rFonts w:cstheme="minorHAnsi"/>
                <w:color w:val="000000"/>
                <w:kern w:val="24"/>
                <w:szCs w:val="28"/>
              </w:rPr>
              <w:t>.1.1</w:t>
            </w:r>
          </w:p>
        </w:tc>
        <w:tc>
          <w:tcPr>
            <w:tcW w:w="2160" w:type="dxa"/>
            <w:vMerge w:val="restart"/>
            <w:tcBorders>
              <w:top w:val="single" w:sz="12" w:space="0" w:color="000000" w:themeColor="text1"/>
              <w:left w:val="single" w:sz="12" w:space="0" w:color="000000" w:themeColor="text1"/>
              <w:bottom w:val="single" w:sz="2" w:space="0" w:color="808080" w:themeColor="background1" w:themeShade="80"/>
            </w:tcBorders>
            <w:shd w:val="clear" w:color="auto" w:fill="auto"/>
            <w:tcMar>
              <w:top w:w="15" w:type="dxa"/>
              <w:left w:w="14" w:type="dxa"/>
              <w:bottom w:w="0" w:type="dxa"/>
              <w:right w:w="14" w:type="dxa"/>
            </w:tcMar>
            <w:vAlign w:val="center"/>
            <w:hideMark/>
          </w:tcPr>
          <w:p w14:paraId="069F7109" w14:textId="77777777" w:rsidR="00A25FD4" w:rsidRPr="00E47369" w:rsidRDefault="00A25FD4" w:rsidP="002B6FC2">
            <w:pPr>
              <w:spacing w:line="360" w:lineRule="auto"/>
              <w:jc w:val="center"/>
              <w:textAlignment w:val="center"/>
              <w:rPr>
                <w:rFonts w:cstheme="minorHAnsi"/>
                <w:szCs w:val="36"/>
              </w:rPr>
            </w:pPr>
            <w:r w:rsidRPr="00E47369">
              <w:rPr>
                <w:rFonts w:cstheme="minorHAnsi"/>
                <w:color w:val="000000"/>
                <w:kern w:val="24"/>
                <w:szCs w:val="28"/>
              </w:rPr>
              <w:t>NH</w:t>
            </w:r>
            <w:r w:rsidRPr="00E47369">
              <w:rPr>
                <w:rFonts w:cstheme="minorHAnsi"/>
                <w:color w:val="000000"/>
                <w:kern w:val="24"/>
                <w:szCs w:val="28"/>
                <w:vertAlign w:val="subscript"/>
              </w:rPr>
              <w:t>4</w:t>
            </w:r>
            <w:r w:rsidRPr="00E47369">
              <w:rPr>
                <w:rFonts w:cstheme="minorHAnsi"/>
                <w:color w:val="000000"/>
                <w:kern w:val="24"/>
                <w:szCs w:val="28"/>
              </w:rPr>
              <w:t>ReO</w:t>
            </w:r>
            <w:r w:rsidRPr="00E47369">
              <w:rPr>
                <w:rFonts w:cstheme="minorHAnsi"/>
                <w:color w:val="000000"/>
                <w:kern w:val="24"/>
                <w:szCs w:val="28"/>
                <w:vertAlign w:val="subscript"/>
              </w:rPr>
              <w:t>4</w:t>
            </w:r>
          </w:p>
        </w:tc>
        <w:tc>
          <w:tcPr>
            <w:tcW w:w="3888" w:type="dxa"/>
            <w:tcBorders>
              <w:top w:val="single" w:sz="12" w:space="0" w:color="000000" w:themeColor="text1"/>
              <w:left w:val="nil"/>
              <w:bottom w:val="single" w:sz="2" w:space="0" w:color="808080" w:themeColor="background1" w:themeShade="80"/>
            </w:tcBorders>
            <w:shd w:val="clear" w:color="auto" w:fill="auto"/>
            <w:tcMar>
              <w:top w:w="15" w:type="dxa"/>
              <w:left w:w="14" w:type="dxa"/>
              <w:bottom w:w="0" w:type="dxa"/>
              <w:right w:w="14" w:type="dxa"/>
            </w:tcMar>
            <w:vAlign w:val="center"/>
            <w:hideMark/>
          </w:tcPr>
          <w:p w14:paraId="2DC01507" w14:textId="77777777" w:rsidR="00A25FD4" w:rsidRPr="00E47369" w:rsidRDefault="00A25FD4" w:rsidP="002B6FC2">
            <w:pPr>
              <w:spacing w:line="360" w:lineRule="auto"/>
              <w:jc w:val="center"/>
              <w:textAlignment w:val="center"/>
              <w:rPr>
                <w:rFonts w:cstheme="minorHAnsi"/>
                <w:szCs w:val="36"/>
              </w:rPr>
            </w:pPr>
            <w:r w:rsidRPr="00E47369">
              <w:rPr>
                <w:rFonts w:cstheme="minorHAnsi"/>
                <w:color w:val="000000"/>
                <w:kern w:val="24"/>
                <w:szCs w:val="28"/>
              </w:rPr>
              <w:t>Toluene 0.2M dried over Na</w:t>
            </w:r>
            <w:r w:rsidRPr="00E47369">
              <w:rPr>
                <w:rFonts w:cstheme="minorHAnsi"/>
                <w:color w:val="000000"/>
                <w:kern w:val="24"/>
                <w:szCs w:val="28"/>
                <w:vertAlign w:val="subscript"/>
              </w:rPr>
              <w:t>2</w:t>
            </w:r>
            <w:r w:rsidRPr="00E47369">
              <w:rPr>
                <w:rFonts w:cstheme="minorHAnsi"/>
                <w:color w:val="000000"/>
                <w:kern w:val="24"/>
                <w:szCs w:val="28"/>
              </w:rPr>
              <w:t>SO</w:t>
            </w:r>
            <w:r w:rsidRPr="00E47369">
              <w:rPr>
                <w:rFonts w:cstheme="minorHAnsi"/>
                <w:color w:val="000000"/>
                <w:kern w:val="24"/>
                <w:szCs w:val="28"/>
                <w:vertAlign w:val="subscript"/>
              </w:rPr>
              <w:t>4</w:t>
            </w:r>
          </w:p>
        </w:tc>
        <w:tc>
          <w:tcPr>
            <w:tcW w:w="1008" w:type="dxa"/>
            <w:tcBorders>
              <w:top w:val="single" w:sz="12" w:space="0" w:color="000000" w:themeColor="text1"/>
              <w:bottom w:val="single" w:sz="2" w:space="0" w:color="808080" w:themeColor="background1" w:themeShade="80"/>
            </w:tcBorders>
            <w:shd w:val="clear" w:color="auto" w:fill="auto"/>
            <w:tcMar>
              <w:top w:w="15" w:type="dxa"/>
              <w:left w:w="14" w:type="dxa"/>
              <w:bottom w:w="0" w:type="dxa"/>
              <w:right w:w="14" w:type="dxa"/>
            </w:tcMar>
            <w:vAlign w:val="center"/>
            <w:hideMark/>
          </w:tcPr>
          <w:p w14:paraId="3CF36E35" w14:textId="77777777" w:rsidR="00A25FD4" w:rsidRPr="00E47369" w:rsidRDefault="00A25FD4" w:rsidP="002B6FC2">
            <w:pPr>
              <w:spacing w:line="360" w:lineRule="auto"/>
              <w:jc w:val="center"/>
              <w:textAlignment w:val="center"/>
              <w:rPr>
                <w:rFonts w:cstheme="minorHAnsi"/>
                <w:szCs w:val="36"/>
              </w:rPr>
            </w:pPr>
            <w:r w:rsidRPr="00E47369">
              <w:rPr>
                <w:rFonts w:cstheme="minorHAnsi"/>
                <w:color w:val="000000"/>
                <w:kern w:val="24"/>
                <w:szCs w:val="28"/>
              </w:rPr>
              <w:t>12</w:t>
            </w:r>
          </w:p>
        </w:tc>
      </w:tr>
      <w:tr w:rsidR="00A25FD4" w:rsidRPr="00E47369" w14:paraId="6048AD11" w14:textId="77777777" w:rsidTr="005952BF">
        <w:trPr>
          <w:trHeight w:val="432"/>
          <w:jc w:val="center"/>
        </w:trPr>
        <w:tc>
          <w:tcPr>
            <w:tcW w:w="864" w:type="dxa"/>
            <w:tcBorders>
              <w:top w:val="single" w:sz="2" w:space="0" w:color="808080" w:themeColor="background1" w:themeShade="80"/>
              <w:left w:val="nil"/>
              <w:bottom w:val="single" w:sz="2" w:space="0" w:color="808080" w:themeColor="background1" w:themeShade="80"/>
              <w:right w:val="single" w:sz="12" w:space="0" w:color="000000" w:themeColor="text1"/>
            </w:tcBorders>
            <w:shd w:val="clear" w:color="auto" w:fill="auto"/>
            <w:tcMar>
              <w:top w:w="15" w:type="dxa"/>
              <w:left w:w="14" w:type="dxa"/>
              <w:bottom w:w="0" w:type="dxa"/>
              <w:right w:w="14" w:type="dxa"/>
            </w:tcMar>
            <w:vAlign w:val="center"/>
            <w:hideMark/>
          </w:tcPr>
          <w:p w14:paraId="2BB0378F" w14:textId="77777777" w:rsidR="00A25FD4" w:rsidRPr="00E47369" w:rsidRDefault="00A25FD4" w:rsidP="002B6FC2">
            <w:pPr>
              <w:spacing w:line="360" w:lineRule="auto"/>
              <w:jc w:val="center"/>
              <w:textAlignment w:val="center"/>
              <w:rPr>
                <w:rFonts w:cstheme="minorHAnsi"/>
                <w:szCs w:val="36"/>
              </w:rPr>
            </w:pPr>
            <w:r w:rsidRPr="00E47369">
              <w:rPr>
                <w:rFonts w:cstheme="minorHAnsi"/>
                <w:color w:val="000000"/>
                <w:kern w:val="24"/>
                <w:szCs w:val="28"/>
              </w:rPr>
              <w:t>III.</w:t>
            </w:r>
            <w:r w:rsidR="00F26849" w:rsidRPr="00E47369">
              <w:rPr>
                <w:rFonts w:cstheme="minorHAnsi"/>
                <w:color w:val="000000"/>
                <w:kern w:val="24"/>
                <w:szCs w:val="28"/>
              </w:rPr>
              <w:t>3</w:t>
            </w:r>
            <w:r w:rsidRPr="00E47369">
              <w:rPr>
                <w:rFonts w:cstheme="minorHAnsi"/>
                <w:color w:val="000000"/>
                <w:kern w:val="24"/>
                <w:szCs w:val="28"/>
              </w:rPr>
              <w:t>.1.2</w:t>
            </w:r>
          </w:p>
        </w:tc>
        <w:tc>
          <w:tcPr>
            <w:tcW w:w="2160" w:type="dxa"/>
            <w:vMerge/>
            <w:tcBorders>
              <w:top w:val="single" w:sz="8" w:space="0" w:color="000000"/>
              <w:left w:val="single" w:sz="12" w:space="0" w:color="000000" w:themeColor="text1"/>
              <w:bottom w:val="single" w:sz="2" w:space="0" w:color="808080" w:themeColor="background1" w:themeShade="80"/>
            </w:tcBorders>
            <w:vAlign w:val="center"/>
            <w:hideMark/>
          </w:tcPr>
          <w:p w14:paraId="22502C63" w14:textId="77777777" w:rsidR="00A25FD4" w:rsidRPr="00E47369" w:rsidRDefault="00A25FD4" w:rsidP="002B6FC2">
            <w:pPr>
              <w:spacing w:line="360" w:lineRule="auto"/>
              <w:jc w:val="center"/>
              <w:rPr>
                <w:rFonts w:cstheme="minorHAnsi"/>
                <w:szCs w:val="36"/>
              </w:rPr>
            </w:pPr>
          </w:p>
        </w:tc>
        <w:tc>
          <w:tcPr>
            <w:tcW w:w="3888" w:type="dxa"/>
            <w:tcBorders>
              <w:top w:val="single" w:sz="2" w:space="0" w:color="808080" w:themeColor="background1" w:themeShade="80"/>
              <w:left w:val="nil"/>
              <w:bottom w:val="single" w:sz="2" w:space="0" w:color="808080" w:themeColor="background1" w:themeShade="80"/>
            </w:tcBorders>
            <w:shd w:val="clear" w:color="auto" w:fill="auto"/>
            <w:tcMar>
              <w:top w:w="15" w:type="dxa"/>
              <w:left w:w="14" w:type="dxa"/>
              <w:bottom w:w="0" w:type="dxa"/>
              <w:right w:w="14" w:type="dxa"/>
            </w:tcMar>
            <w:vAlign w:val="center"/>
            <w:hideMark/>
          </w:tcPr>
          <w:p w14:paraId="78C397B8" w14:textId="77777777" w:rsidR="00A25FD4" w:rsidRPr="00E47369" w:rsidRDefault="00A25FD4" w:rsidP="002B6FC2">
            <w:pPr>
              <w:spacing w:line="360" w:lineRule="auto"/>
              <w:jc w:val="center"/>
              <w:textAlignment w:val="center"/>
              <w:rPr>
                <w:rFonts w:cstheme="minorHAnsi"/>
                <w:szCs w:val="36"/>
              </w:rPr>
            </w:pPr>
            <w:r w:rsidRPr="00E47369">
              <w:rPr>
                <w:rFonts w:cstheme="minorHAnsi"/>
                <w:color w:val="000000"/>
                <w:kern w:val="24"/>
                <w:szCs w:val="28"/>
              </w:rPr>
              <w:t>2.5mL Dioxane 0.2M</w:t>
            </w:r>
          </w:p>
        </w:tc>
        <w:tc>
          <w:tcPr>
            <w:tcW w:w="1008" w:type="dxa"/>
            <w:tcBorders>
              <w:top w:val="single" w:sz="2" w:space="0" w:color="808080" w:themeColor="background1" w:themeShade="80"/>
              <w:bottom w:val="single" w:sz="2" w:space="0" w:color="808080" w:themeColor="background1" w:themeShade="80"/>
            </w:tcBorders>
            <w:shd w:val="clear" w:color="auto" w:fill="auto"/>
            <w:tcMar>
              <w:top w:w="15" w:type="dxa"/>
              <w:left w:w="14" w:type="dxa"/>
              <w:bottom w:w="0" w:type="dxa"/>
              <w:right w:w="14" w:type="dxa"/>
            </w:tcMar>
            <w:vAlign w:val="center"/>
            <w:hideMark/>
          </w:tcPr>
          <w:p w14:paraId="02A0722C" w14:textId="77777777" w:rsidR="00A25FD4" w:rsidRPr="00E47369" w:rsidRDefault="00A25FD4" w:rsidP="002B6FC2">
            <w:pPr>
              <w:spacing w:line="360" w:lineRule="auto"/>
              <w:jc w:val="center"/>
              <w:textAlignment w:val="center"/>
              <w:rPr>
                <w:rFonts w:cstheme="minorHAnsi"/>
                <w:szCs w:val="36"/>
              </w:rPr>
            </w:pPr>
            <w:r w:rsidRPr="00E47369">
              <w:rPr>
                <w:rFonts w:cstheme="minorHAnsi"/>
                <w:color w:val="000000"/>
                <w:kern w:val="24"/>
                <w:szCs w:val="28"/>
              </w:rPr>
              <w:t>23</w:t>
            </w:r>
          </w:p>
        </w:tc>
      </w:tr>
      <w:tr w:rsidR="00A25FD4" w:rsidRPr="00E47369" w14:paraId="79E983F9" w14:textId="77777777" w:rsidTr="005952BF">
        <w:trPr>
          <w:trHeight w:val="432"/>
          <w:jc w:val="center"/>
        </w:trPr>
        <w:tc>
          <w:tcPr>
            <w:tcW w:w="864" w:type="dxa"/>
            <w:tcBorders>
              <w:top w:val="single" w:sz="2" w:space="0" w:color="808080" w:themeColor="background1" w:themeShade="80"/>
              <w:left w:val="nil"/>
              <w:bottom w:val="single" w:sz="2" w:space="0" w:color="808080" w:themeColor="background1" w:themeShade="80"/>
              <w:right w:val="single" w:sz="12" w:space="0" w:color="000000" w:themeColor="text1"/>
            </w:tcBorders>
            <w:shd w:val="clear" w:color="auto" w:fill="auto"/>
            <w:tcMar>
              <w:top w:w="15" w:type="dxa"/>
              <w:left w:w="14" w:type="dxa"/>
              <w:bottom w:w="0" w:type="dxa"/>
              <w:right w:w="14" w:type="dxa"/>
            </w:tcMar>
            <w:vAlign w:val="center"/>
            <w:hideMark/>
          </w:tcPr>
          <w:p w14:paraId="5F245006" w14:textId="77777777" w:rsidR="00A25FD4" w:rsidRPr="00E47369" w:rsidRDefault="00A25FD4" w:rsidP="002B6FC2">
            <w:pPr>
              <w:spacing w:line="360" w:lineRule="auto"/>
              <w:jc w:val="center"/>
              <w:textAlignment w:val="center"/>
              <w:rPr>
                <w:rFonts w:cstheme="minorHAnsi"/>
                <w:szCs w:val="36"/>
              </w:rPr>
            </w:pPr>
            <w:r w:rsidRPr="00E47369">
              <w:rPr>
                <w:rFonts w:cstheme="minorHAnsi"/>
                <w:color w:val="000000"/>
                <w:kern w:val="24"/>
                <w:szCs w:val="28"/>
              </w:rPr>
              <w:t>III.</w:t>
            </w:r>
            <w:r w:rsidR="00F26849" w:rsidRPr="00E47369">
              <w:rPr>
                <w:rFonts w:cstheme="minorHAnsi"/>
                <w:color w:val="000000"/>
                <w:kern w:val="24"/>
                <w:szCs w:val="28"/>
              </w:rPr>
              <w:t>3</w:t>
            </w:r>
            <w:r w:rsidRPr="00E47369">
              <w:rPr>
                <w:rFonts w:cstheme="minorHAnsi"/>
                <w:color w:val="000000"/>
                <w:kern w:val="24"/>
                <w:szCs w:val="28"/>
              </w:rPr>
              <w:t>.1.3</w:t>
            </w:r>
          </w:p>
        </w:tc>
        <w:tc>
          <w:tcPr>
            <w:tcW w:w="2160" w:type="dxa"/>
            <w:tcBorders>
              <w:top w:val="single" w:sz="2" w:space="0" w:color="808080" w:themeColor="background1" w:themeShade="80"/>
              <w:left w:val="single" w:sz="12" w:space="0" w:color="000000" w:themeColor="text1"/>
              <w:bottom w:val="single" w:sz="2" w:space="0" w:color="808080" w:themeColor="background1" w:themeShade="80"/>
            </w:tcBorders>
            <w:shd w:val="clear" w:color="auto" w:fill="auto"/>
            <w:tcMar>
              <w:top w:w="15" w:type="dxa"/>
              <w:left w:w="14" w:type="dxa"/>
              <w:bottom w:w="0" w:type="dxa"/>
              <w:right w:w="14" w:type="dxa"/>
            </w:tcMar>
            <w:vAlign w:val="center"/>
            <w:hideMark/>
          </w:tcPr>
          <w:p w14:paraId="0F1EE7C6" w14:textId="77777777" w:rsidR="00A25FD4" w:rsidRPr="00E47369" w:rsidRDefault="00A25FD4" w:rsidP="002B6FC2">
            <w:pPr>
              <w:spacing w:line="360" w:lineRule="auto"/>
              <w:jc w:val="center"/>
              <w:textAlignment w:val="center"/>
              <w:rPr>
                <w:rFonts w:cstheme="minorHAnsi"/>
                <w:szCs w:val="36"/>
              </w:rPr>
            </w:pPr>
            <w:r w:rsidRPr="00E47369">
              <w:rPr>
                <w:rFonts w:cstheme="minorHAnsi"/>
                <w:color w:val="000000"/>
                <w:kern w:val="24"/>
                <w:szCs w:val="28"/>
              </w:rPr>
              <w:t>trans-[ReO</w:t>
            </w:r>
            <w:r w:rsidRPr="00E47369">
              <w:rPr>
                <w:rFonts w:cstheme="minorHAnsi"/>
                <w:color w:val="000000"/>
                <w:kern w:val="24"/>
                <w:szCs w:val="28"/>
                <w:vertAlign w:val="subscript"/>
              </w:rPr>
              <w:t>2</w:t>
            </w:r>
            <w:r w:rsidRPr="00E47369">
              <w:rPr>
                <w:rFonts w:cstheme="minorHAnsi"/>
                <w:color w:val="000000"/>
                <w:kern w:val="24"/>
                <w:szCs w:val="28"/>
              </w:rPr>
              <w:t xml:space="preserve"> (py)</w:t>
            </w:r>
            <w:r w:rsidRPr="00E47369">
              <w:rPr>
                <w:rFonts w:cstheme="minorHAnsi"/>
                <w:color w:val="000000"/>
                <w:kern w:val="24"/>
                <w:szCs w:val="28"/>
                <w:vertAlign w:val="subscript"/>
              </w:rPr>
              <w:t>4</w:t>
            </w:r>
            <w:r w:rsidRPr="00E47369">
              <w:rPr>
                <w:rFonts w:cstheme="minorHAnsi"/>
                <w:color w:val="000000"/>
                <w:kern w:val="24"/>
                <w:szCs w:val="28"/>
              </w:rPr>
              <w:t>]PF</w:t>
            </w:r>
            <w:r w:rsidRPr="00E47369">
              <w:rPr>
                <w:rFonts w:cstheme="minorHAnsi"/>
                <w:color w:val="000000"/>
                <w:kern w:val="24"/>
                <w:szCs w:val="28"/>
                <w:vertAlign w:val="subscript"/>
              </w:rPr>
              <w:t>6</w:t>
            </w:r>
          </w:p>
        </w:tc>
        <w:tc>
          <w:tcPr>
            <w:tcW w:w="3888" w:type="dxa"/>
            <w:tcBorders>
              <w:top w:val="single" w:sz="2" w:space="0" w:color="808080" w:themeColor="background1" w:themeShade="80"/>
              <w:left w:val="nil"/>
              <w:bottom w:val="single" w:sz="2" w:space="0" w:color="808080" w:themeColor="background1" w:themeShade="80"/>
            </w:tcBorders>
            <w:shd w:val="clear" w:color="auto" w:fill="auto"/>
            <w:tcMar>
              <w:top w:w="15" w:type="dxa"/>
              <w:left w:w="14" w:type="dxa"/>
              <w:bottom w:w="0" w:type="dxa"/>
              <w:right w:w="14" w:type="dxa"/>
            </w:tcMar>
            <w:vAlign w:val="center"/>
            <w:hideMark/>
          </w:tcPr>
          <w:p w14:paraId="2FAE587E" w14:textId="77777777" w:rsidR="00A25FD4" w:rsidRPr="00E47369" w:rsidRDefault="00A25FD4" w:rsidP="002B6FC2">
            <w:pPr>
              <w:spacing w:line="360" w:lineRule="auto"/>
              <w:jc w:val="center"/>
              <w:textAlignment w:val="center"/>
              <w:rPr>
                <w:rFonts w:cstheme="minorHAnsi"/>
                <w:szCs w:val="36"/>
              </w:rPr>
            </w:pPr>
            <w:r w:rsidRPr="00E47369">
              <w:rPr>
                <w:rFonts w:cstheme="minorHAnsi"/>
                <w:color w:val="000000"/>
                <w:kern w:val="24"/>
                <w:szCs w:val="28"/>
              </w:rPr>
              <w:t>Toluene 0.4M dried over Na</w:t>
            </w:r>
            <w:r w:rsidRPr="00E47369">
              <w:rPr>
                <w:rFonts w:cstheme="minorHAnsi"/>
                <w:color w:val="000000"/>
                <w:kern w:val="24"/>
                <w:szCs w:val="28"/>
                <w:vertAlign w:val="subscript"/>
              </w:rPr>
              <w:t>2</w:t>
            </w:r>
            <w:r w:rsidRPr="00E47369">
              <w:rPr>
                <w:rFonts w:cstheme="minorHAnsi"/>
                <w:color w:val="000000"/>
                <w:kern w:val="24"/>
                <w:szCs w:val="28"/>
              </w:rPr>
              <w:t>SO</w:t>
            </w:r>
            <w:r w:rsidRPr="00E47369">
              <w:rPr>
                <w:rFonts w:cstheme="minorHAnsi"/>
                <w:color w:val="000000"/>
                <w:kern w:val="24"/>
                <w:szCs w:val="28"/>
                <w:vertAlign w:val="subscript"/>
              </w:rPr>
              <w:t>4</w:t>
            </w:r>
            <w:r w:rsidRPr="00E47369">
              <w:rPr>
                <w:rFonts w:cstheme="minorHAnsi"/>
                <w:color w:val="000000"/>
                <w:kern w:val="24"/>
                <w:szCs w:val="28"/>
              </w:rPr>
              <w:t xml:space="preserve"> (under N</w:t>
            </w:r>
            <w:r w:rsidRPr="00E47369">
              <w:rPr>
                <w:rFonts w:cstheme="minorHAnsi"/>
                <w:color w:val="000000"/>
                <w:kern w:val="24"/>
                <w:szCs w:val="28"/>
                <w:vertAlign w:val="subscript"/>
              </w:rPr>
              <w:t>2</w:t>
            </w:r>
            <w:r w:rsidRPr="00E47369">
              <w:rPr>
                <w:rFonts w:cstheme="minorHAnsi"/>
                <w:color w:val="000000"/>
                <w:kern w:val="24"/>
                <w:szCs w:val="28"/>
              </w:rPr>
              <w:t>)</w:t>
            </w:r>
          </w:p>
        </w:tc>
        <w:tc>
          <w:tcPr>
            <w:tcW w:w="1008" w:type="dxa"/>
            <w:tcBorders>
              <w:top w:val="single" w:sz="2" w:space="0" w:color="808080" w:themeColor="background1" w:themeShade="80"/>
              <w:bottom w:val="single" w:sz="2" w:space="0" w:color="808080" w:themeColor="background1" w:themeShade="80"/>
            </w:tcBorders>
            <w:shd w:val="clear" w:color="auto" w:fill="auto"/>
            <w:tcMar>
              <w:top w:w="15" w:type="dxa"/>
              <w:left w:w="14" w:type="dxa"/>
              <w:bottom w:w="0" w:type="dxa"/>
              <w:right w:w="14" w:type="dxa"/>
            </w:tcMar>
            <w:vAlign w:val="center"/>
            <w:hideMark/>
          </w:tcPr>
          <w:p w14:paraId="4E85B124" w14:textId="77777777" w:rsidR="00A25FD4" w:rsidRPr="00E47369" w:rsidRDefault="00A25FD4" w:rsidP="002B6FC2">
            <w:pPr>
              <w:spacing w:line="360" w:lineRule="auto"/>
              <w:jc w:val="center"/>
              <w:textAlignment w:val="center"/>
              <w:rPr>
                <w:rFonts w:cstheme="minorHAnsi"/>
                <w:szCs w:val="36"/>
              </w:rPr>
            </w:pPr>
            <w:r w:rsidRPr="00E47369">
              <w:rPr>
                <w:rFonts w:cstheme="minorHAnsi"/>
                <w:color w:val="000000"/>
                <w:kern w:val="24"/>
                <w:szCs w:val="28"/>
              </w:rPr>
              <w:t>&lt;10%</w:t>
            </w:r>
          </w:p>
        </w:tc>
      </w:tr>
      <w:tr w:rsidR="00A25FD4" w:rsidRPr="00E47369" w14:paraId="07B55D7C" w14:textId="77777777" w:rsidTr="005952BF">
        <w:trPr>
          <w:trHeight w:val="432"/>
          <w:jc w:val="center"/>
        </w:trPr>
        <w:tc>
          <w:tcPr>
            <w:tcW w:w="864" w:type="dxa"/>
            <w:tcBorders>
              <w:top w:val="single" w:sz="2" w:space="0" w:color="808080" w:themeColor="background1" w:themeShade="80"/>
              <w:left w:val="nil"/>
              <w:right w:val="single" w:sz="12" w:space="0" w:color="000000" w:themeColor="text1"/>
            </w:tcBorders>
            <w:shd w:val="clear" w:color="auto" w:fill="auto"/>
            <w:tcMar>
              <w:top w:w="15" w:type="dxa"/>
              <w:left w:w="14" w:type="dxa"/>
              <w:bottom w:w="0" w:type="dxa"/>
              <w:right w:w="14" w:type="dxa"/>
            </w:tcMar>
            <w:vAlign w:val="center"/>
            <w:hideMark/>
          </w:tcPr>
          <w:p w14:paraId="0E78D5C1" w14:textId="77777777" w:rsidR="00A25FD4" w:rsidRPr="00E47369" w:rsidRDefault="00A25FD4" w:rsidP="002B6FC2">
            <w:pPr>
              <w:spacing w:line="360" w:lineRule="auto"/>
              <w:jc w:val="center"/>
              <w:textAlignment w:val="center"/>
              <w:rPr>
                <w:rFonts w:cstheme="minorHAnsi"/>
                <w:szCs w:val="36"/>
              </w:rPr>
            </w:pPr>
            <w:r w:rsidRPr="00E47369">
              <w:rPr>
                <w:rFonts w:cstheme="minorHAnsi"/>
                <w:color w:val="000000"/>
                <w:kern w:val="24"/>
                <w:szCs w:val="28"/>
              </w:rPr>
              <w:t>III.</w:t>
            </w:r>
            <w:r w:rsidR="00F26849" w:rsidRPr="00E47369">
              <w:rPr>
                <w:rFonts w:cstheme="minorHAnsi"/>
                <w:color w:val="000000"/>
                <w:kern w:val="24"/>
                <w:szCs w:val="28"/>
              </w:rPr>
              <w:t>3</w:t>
            </w:r>
            <w:r w:rsidRPr="00E47369">
              <w:rPr>
                <w:rFonts w:cstheme="minorHAnsi"/>
                <w:color w:val="000000"/>
                <w:kern w:val="24"/>
                <w:szCs w:val="28"/>
              </w:rPr>
              <w:t>.1.4</w:t>
            </w:r>
          </w:p>
        </w:tc>
        <w:tc>
          <w:tcPr>
            <w:tcW w:w="2160" w:type="dxa"/>
            <w:tcBorders>
              <w:top w:val="single" w:sz="2" w:space="0" w:color="808080" w:themeColor="background1" w:themeShade="80"/>
              <w:left w:val="single" w:sz="12" w:space="0" w:color="000000" w:themeColor="text1"/>
            </w:tcBorders>
            <w:shd w:val="clear" w:color="auto" w:fill="auto"/>
            <w:tcMar>
              <w:top w:w="15" w:type="dxa"/>
              <w:left w:w="14" w:type="dxa"/>
              <w:bottom w:w="0" w:type="dxa"/>
              <w:right w:w="14" w:type="dxa"/>
            </w:tcMar>
            <w:vAlign w:val="center"/>
            <w:hideMark/>
          </w:tcPr>
          <w:p w14:paraId="4CAD0EFA" w14:textId="77777777" w:rsidR="00A25FD4" w:rsidRPr="00E47369" w:rsidRDefault="00A25FD4" w:rsidP="002B6FC2">
            <w:pPr>
              <w:spacing w:line="360" w:lineRule="auto"/>
              <w:jc w:val="center"/>
              <w:textAlignment w:val="center"/>
              <w:rPr>
                <w:rFonts w:cstheme="minorHAnsi"/>
                <w:szCs w:val="36"/>
              </w:rPr>
            </w:pPr>
            <w:r w:rsidRPr="00E47369">
              <w:rPr>
                <w:rFonts w:cstheme="minorHAnsi"/>
                <w:color w:val="000000"/>
                <w:kern w:val="24"/>
                <w:szCs w:val="28"/>
              </w:rPr>
              <w:t>MeReO</w:t>
            </w:r>
            <w:r w:rsidRPr="00E47369">
              <w:rPr>
                <w:rFonts w:cstheme="minorHAnsi"/>
                <w:color w:val="000000"/>
                <w:kern w:val="24"/>
                <w:szCs w:val="28"/>
                <w:vertAlign w:val="subscript"/>
              </w:rPr>
              <w:t>3</w:t>
            </w:r>
          </w:p>
        </w:tc>
        <w:tc>
          <w:tcPr>
            <w:tcW w:w="3888" w:type="dxa"/>
            <w:tcBorders>
              <w:top w:val="single" w:sz="2" w:space="0" w:color="808080" w:themeColor="background1" w:themeShade="80"/>
              <w:left w:val="nil"/>
            </w:tcBorders>
            <w:vAlign w:val="center"/>
            <w:hideMark/>
          </w:tcPr>
          <w:p w14:paraId="262459B3" w14:textId="77777777" w:rsidR="00A25FD4" w:rsidRPr="00E47369" w:rsidRDefault="00A25FD4" w:rsidP="002B6FC2">
            <w:pPr>
              <w:spacing w:line="360" w:lineRule="auto"/>
              <w:jc w:val="center"/>
              <w:rPr>
                <w:rFonts w:cstheme="minorHAnsi"/>
                <w:szCs w:val="36"/>
              </w:rPr>
            </w:pPr>
          </w:p>
        </w:tc>
        <w:tc>
          <w:tcPr>
            <w:tcW w:w="1008" w:type="dxa"/>
            <w:tcBorders>
              <w:top w:val="single" w:sz="2" w:space="0" w:color="808080" w:themeColor="background1" w:themeShade="80"/>
            </w:tcBorders>
            <w:shd w:val="clear" w:color="auto" w:fill="auto"/>
            <w:tcMar>
              <w:top w:w="15" w:type="dxa"/>
              <w:left w:w="14" w:type="dxa"/>
              <w:bottom w:w="0" w:type="dxa"/>
              <w:right w:w="14" w:type="dxa"/>
            </w:tcMar>
            <w:vAlign w:val="center"/>
            <w:hideMark/>
          </w:tcPr>
          <w:p w14:paraId="5B91E970" w14:textId="77777777" w:rsidR="00A25FD4" w:rsidRPr="00E47369" w:rsidRDefault="00A25FD4" w:rsidP="002B6FC2">
            <w:pPr>
              <w:spacing w:line="360" w:lineRule="auto"/>
              <w:jc w:val="center"/>
              <w:textAlignment w:val="center"/>
              <w:rPr>
                <w:rFonts w:cstheme="minorHAnsi"/>
                <w:szCs w:val="36"/>
              </w:rPr>
            </w:pPr>
            <w:r w:rsidRPr="00E47369">
              <w:rPr>
                <w:rFonts w:cstheme="minorHAnsi"/>
                <w:color w:val="000000"/>
                <w:kern w:val="24"/>
                <w:szCs w:val="28"/>
              </w:rPr>
              <w:t>13</w:t>
            </w:r>
          </w:p>
        </w:tc>
      </w:tr>
    </w:tbl>
    <w:p w14:paraId="53D011D2" w14:textId="77777777" w:rsidR="00A25FD4" w:rsidRPr="00E47369" w:rsidRDefault="00A25FD4" w:rsidP="00A25FD4">
      <w:pPr>
        <w:jc w:val="both"/>
        <w:rPr>
          <w:rFonts w:cstheme="minorHAnsi"/>
        </w:rPr>
      </w:pPr>
    </w:p>
    <w:p w14:paraId="704892D5" w14:textId="77777777" w:rsidR="00A25FD4" w:rsidRPr="00E47369" w:rsidRDefault="00A25FD4" w:rsidP="00A25FD4">
      <w:pPr>
        <w:pStyle w:val="Heading41"/>
        <w:rPr>
          <w:rFonts w:cstheme="minorHAnsi"/>
        </w:rPr>
      </w:pPr>
      <w:r w:rsidRPr="00E47369">
        <w:rPr>
          <w:rFonts w:cstheme="minorHAnsi"/>
        </w:rPr>
        <w:t>Conclusions</w:t>
      </w:r>
    </w:p>
    <w:p w14:paraId="2B35E4A6" w14:textId="77777777" w:rsidR="00A25FD4" w:rsidRPr="00E47369" w:rsidRDefault="00A25FD4" w:rsidP="00A25FD4">
      <w:pPr>
        <w:ind w:firstLine="360"/>
        <w:jc w:val="both"/>
        <w:rPr>
          <w:rFonts w:cstheme="minorHAnsi"/>
        </w:rPr>
      </w:pPr>
      <w:r w:rsidRPr="00E47369">
        <w:rPr>
          <w:rFonts w:cstheme="minorHAnsi"/>
        </w:rPr>
        <w:t xml:space="preserve">By studying each step individually we discovered that the allylation reaction required potassium triphosphate base and inert atmosphere. The catalytic cycle involves iridium (I), which is air sensitive, and explains the requirement for an inert atmosphere. The base plays a key role in the catalytic cycle by reducing the iridium (III) hydride intermediate. The use of this base was found to be incompatible with the DODH reaction. We found also that dioxane was not a suitable solvent for the DODH reaction. We found the DODH reaction to be tolerant of ammonium hydroxide. Since most DODH catalysts tested are mildly acidic the presence of a base in the DODH reaction could deactivate the catalyst. Also we found the DODH reaction to tolerate the use of an equivalent of pyridine when a pyridine rhenium (V) oxo complex was employed as catalyst, but pyridine was not an effective substitute for potassium triphosphate in the allylation step. We attempted a variation in the allylic reagent in order to form an equivalent of base in situ, but the BOC derivative of glycerol provided low yield in the DODH reaction itself. We explain the low yield in alkene by the limited solubility of the diol in the reaction solvent and the instability of the BOC derivative at the reaction temperature. Because of these limitations we were not able to combine the DODH reaction and the allylation reaction into an efficient tandem system. </w:t>
      </w:r>
    </w:p>
    <w:p w14:paraId="4D91841A" w14:textId="77777777" w:rsidR="00A25FD4" w:rsidRPr="00E47369" w:rsidRDefault="00A25FD4" w:rsidP="00A25FD4">
      <w:pPr>
        <w:ind w:firstLine="360"/>
        <w:jc w:val="both"/>
        <w:rPr>
          <w:rFonts w:cstheme="minorHAnsi"/>
          <w:color w:val="000000" w:themeColor="text1"/>
        </w:rPr>
      </w:pPr>
    </w:p>
    <w:p w14:paraId="6285C471" w14:textId="77777777" w:rsidR="00A25FD4" w:rsidRPr="00E47369" w:rsidRDefault="00A25FD4" w:rsidP="000351A7">
      <w:pPr>
        <w:pStyle w:val="Heading3"/>
      </w:pPr>
      <w:bookmarkStart w:id="265" w:name="_Toc458938312"/>
      <w:r w:rsidRPr="00E47369">
        <w:t>DODH/Masuyama’s Allylation</w:t>
      </w:r>
      <w:bookmarkEnd w:id="265"/>
    </w:p>
    <w:p w14:paraId="40CE0B93" w14:textId="77777777" w:rsidR="00A25FD4" w:rsidRPr="00E47369" w:rsidRDefault="00A25FD4" w:rsidP="00A25FD4">
      <w:pPr>
        <w:ind w:firstLine="360"/>
        <w:jc w:val="both"/>
        <w:rPr>
          <w:rFonts w:cstheme="minorHAnsi"/>
        </w:rPr>
      </w:pPr>
      <w:r w:rsidRPr="00E47369">
        <w:rPr>
          <w:rFonts w:cstheme="minorHAnsi"/>
        </w:rPr>
        <w:t>In the Masuyama allylation reaction a Pd(II)/Sn(II) co-catalyst promotes the allylic alcohol addition to an aryl aldehyde. In order to obtain allyl alcohol from a DODH reaction we need the inexpensive polyol glycerol. For many years the transformation of this polyol to allyl alcohol was limited by it solubility in the reaction solvent. With the recent report of secondary alcohols as efficient solvents and reducing agent we finally have a promising way to efficiently convert polyols to olefins. Shiramizu and Toste reported a 90% yield of allyl alcohol from glycerol using MeReO</w:t>
      </w:r>
      <w:r w:rsidRPr="00E47369">
        <w:rPr>
          <w:rFonts w:cstheme="minorHAnsi"/>
          <w:vertAlign w:val="subscript"/>
        </w:rPr>
        <w:t>3</w:t>
      </w:r>
      <w:r w:rsidRPr="00E47369">
        <w:rPr>
          <w:rFonts w:cstheme="minorHAnsi"/>
        </w:rPr>
        <w:t xml:space="preserve"> as catalyst and 3-octanol as reducing agent and solvent.</w:t>
      </w:r>
      <w:r w:rsidRPr="00E47369">
        <w:rPr>
          <w:rFonts w:cstheme="minorHAnsi"/>
        </w:rPr>
        <w:fldChar w:fldCharType="begin"/>
      </w:r>
      <w:r w:rsidRPr="00E47369">
        <w:rPr>
          <w:rFonts w:cstheme="minorHAnsi"/>
        </w:rPr>
        <w:instrText xml:space="preserve"> ADDIN ZOTERO_ITEM CSL_CITATION {"citationID":"ju3epm5td","properties":{"formattedCitation":"{\\rtf \\super 44\\nosupersub{}}","plainCitation":"44"},"citationItems":[{"id":154,"uris":["http://zotero.org/users/1624234/items/9UNQ7VFF"],"uri":["http://zotero.org/users/1624234/items/9UNQ7VFF"],"itemData":{"id":154,"type":"article-journal","title":"Deoxygenation of Biomass-Derived Feedstocks: Oxorhenium-Catalyzed Deoxydehydration of Sugars and Sugar Alcohols","container-title":"Angewandte Chemie International Edition","page":"8082-8086","volume":"51","issue":"32","source":"CrossRef","DOI":"10.1002/anie.201203877","ISSN":"14337851","shortTitle":"Deoxygenation of Biomass-Derived Feedstocks","author":[{"family":"Shiramizu","given":"Mika"},{"family":"Toste","given":"F. Dean"}],"issued":{"date-parts":[["2012",8,6]]}}}],"schema":"https://github.com/citation-style-language/schema/raw/master/csl-citation.json"} </w:instrText>
      </w:r>
      <w:r w:rsidRPr="00E47369">
        <w:rPr>
          <w:rFonts w:cstheme="minorHAnsi"/>
        </w:rPr>
        <w:fldChar w:fldCharType="separate"/>
      </w:r>
      <w:r w:rsidRPr="00E47369">
        <w:rPr>
          <w:rFonts w:cstheme="minorHAnsi"/>
          <w:vertAlign w:val="superscript"/>
        </w:rPr>
        <w:t>44</w:t>
      </w:r>
      <w:r w:rsidRPr="00E47369">
        <w:rPr>
          <w:rFonts w:cstheme="minorHAnsi"/>
        </w:rPr>
        <w:fldChar w:fldCharType="end"/>
      </w:r>
      <w:r w:rsidRPr="00E47369">
        <w:rPr>
          <w:rFonts w:cstheme="minorHAnsi"/>
        </w:rPr>
        <w:t xml:space="preserve"> Abu-Omar’s group reported a DODH reaction in which glycerol serves as the diol, the reducing agent and the solvent.</w:t>
      </w:r>
      <w:r w:rsidRPr="00E47369">
        <w:rPr>
          <w:rFonts w:cstheme="minorHAnsi"/>
        </w:rPr>
        <w:fldChar w:fldCharType="begin"/>
      </w:r>
      <w:r w:rsidRPr="00E47369">
        <w:rPr>
          <w:rFonts w:cstheme="minorHAnsi"/>
        </w:rPr>
        <w:instrText xml:space="preserve"> ADDIN ZOTERO_ITEM CSL_CITATION {"citationID":"1i7g9acthv","properties":{"formattedCitation":"{\\rtf \\super 42\\nosupersub{}}","plainCitation":"42"},"citationItems":[{"id":399,"uris":["http://zotero.org/users/1624234/items/SP6A7ZFS"],"uri":["http://zotero.org/users/1624234/items/SP6A7ZFS"],"itemData":{"id":399,"type":"article-journal","title":"Rhenium-Catalyzed Transfer Hydrogenation and Deoxygenation of Biomass-Derived Polyols to Small and Useful Organics","container-title":"ChemSusChem","page":"1401-1404","volume":"5","issue":"8","source":"CrossRef","DOI":"10.1002/cssc.201200138","ISSN":"18645631","author":[{"family":"Yi","given":"Jing"},{"family":"Liu","given":"Shuo"},{"family":"Abu-Omar","given":"Mahdi M."}],"issued":{"date-parts":[["2012",8]]}}}],"schema":"https://github.com/citation-style-language/schema/raw/master/csl-citation.json"} </w:instrText>
      </w:r>
      <w:r w:rsidRPr="00E47369">
        <w:rPr>
          <w:rFonts w:cstheme="minorHAnsi"/>
        </w:rPr>
        <w:fldChar w:fldCharType="separate"/>
      </w:r>
      <w:r w:rsidRPr="00E47369">
        <w:rPr>
          <w:rFonts w:cstheme="minorHAnsi"/>
          <w:vertAlign w:val="superscript"/>
        </w:rPr>
        <w:t>42</w:t>
      </w:r>
      <w:r w:rsidRPr="00E47369">
        <w:rPr>
          <w:rFonts w:cstheme="minorHAnsi"/>
        </w:rPr>
        <w:fldChar w:fldCharType="end"/>
      </w:r>
      <w:r w:rsidRPr="00E47369">
        <w:rPr>
          <w:rFonts w:cstheme="minorHAnsi"/>
        </w:rPr>
        <w:t xml:space="preserve"> More recently in our study of hydroaromatics as DODH reducing agents 1-butanol was used as solvent to convert glycerol to allyl alcohol with indoline as reductant.</w:t>
      </w:r>
      <w:r w:rsidRPr="00E47369">
        <w:rPr>
          <w:rFonts w:cstheme="minorHAnsi"/>
        </w:rPr>
        <w:fldChar w:fldCharType="begin"/>
      </w:r>
      <w:r w:rsidRPr="00E47369">
        <w:rPr>
          <w:rFonts w:cstheme="minorHAnsi"/>
        </w:rPr>
        <w:instrText xml:space="preserve"> ADDIN ZOTERO_ITEM CSL_CITATION {"citationID":"1t249soied","properties":{"formattedCitation":"{\\rtf \\super 83\\nosupersub{}}","plainCitation":"83"},"citationItems":[{"id":1671,"uris":["http://zotero.org/users/1624234/items/BTSVQIK3"],"uri":["http://zotero.org/users/1624234/items/BTSVQIK3"],"itemData":{"id":1671,"type":"article-journal","title":"Oxo-Rhenium-Catalyzed Deoxydehydration of Polyols with Hydroaromatic Reductants","container-title":"Organometallics","page":"1985-1990","volume":"34","issue":"10","source":"ACS Publications","abstract":"Several dihydroaromatic compounds are shown to be effective reducing agents in the oxo-metal-catalyzed deoxydehydration of diols and polyols to produce olefins and the corresponding arenes. NH4ReO4 and MeReO3 are active catalysts for the reactions. The most effective of the hydroaromatic reductants is indoline, which is oxidized to indole. Yields for a variety of diols and polyols range from 35% to 99%. Two hydrogen donors, 1,3-cyclohexadiene and dihydroanthracene, engage in tandem DODH/cycloaddition reactions. Competition experiments show that indoline is more reactive than representative alcohols in H-transfer. Indoline is shown to reduce MeReO3 to MeReO2 via an isolable adduct, MeReO3(indoline) (4), which has been structurally characterized and is suggested to be an intermediate in the catalytic DODH process.","DOI":"10.1021/acs.organomet.5b00226","ISSN":"0276-7333","journalAbbreviation":"Organometallics","author":[{"family":"Boucher-Jacobs","given":"Camille"},{"family":"Nicholas","given":"Kenneth M."}],"issued":{"date-parts":[["2015",5,26]]}}}],"schema":"https://github.com/citation-style-language/schema/raw/master/csl-citation.json"} </w:instrText>
      </w:r>
      <w:r w:rsidRPr="00E47369">
        <w:rPr>
          <w:rFonts w:cstheme="minorHAnsi"/>
        </w:rPr>
        <w:fldChar w:fldCharType="separate"/>
      </w:r>
      <w:r w:rsidRPr="00E47369">
        <w:rPr>
          <w:rFonts w:cstheme="minorHAnsi"/>
          <w:vertAlign w:val="superscript"/>
        </w:rPr>
        <w:t>83</w:t>
      </w:r>
      <w:r w:rsidRPr="00E47369">
        <w:rPr>
          <w:rFonts w:cstheme="minorHAnsi"/>
        </w:rPr>
        <w:fldChar w:fldCharType="end"/>
      </w:r>
      <w:r w:rsidRPr="00E47369">
        <w:rPr>
          <w:rFonts w:cstheme="minorHAnsi"/>
        </w:rPr>
        <w:t xml:space="preserve"> </w:t>
      </w:r>
    </w:p>
    <w:p w14:paraId="3B9EEF27" w14:textId="77777777" w:rsidR="00A25FD4" w:rsidRPr="00E47369" w:rsidRDefault="00A25FD4" w:rsidP="00A25FD4">
      <w:pPr>
        <w:ind w:firstLine="360"/>
        <w:jc w:val="both"/>
        <w:rPr>
          <w:rFonts w:cstheme="minorHAnsi"/>
        </w:rPr>
      </w:pPr>
      <w:r w:rsidRPr="00E47369">
        <w:rPr>
          <w:rFonts w:cstheme="minorHAnsi"/>
        </w:rPr>
        <w:t xml:space="preserve">In 2004 Guo and co-workers reported an allylation reaction in THF:water in different ratios (from 1:0 to 0:1). They could use water as the solvent in high yield (&gt;90%) by replacing allyl alcohol with allyl chloride. As we wanted to use glycerol as the starting material we focused on their result in a THF:water mixture on allyl alcohol. The DODH of glycerol has not been reported in either THF or water. They also used a stoichiometry of 1 to 2 on aldehyde to alcohol. </w:t>
      </w:r>
    </w:p>
    <w:p w14:paraId="5B498275" w14:textId="7757AFEE" w:rsidR="00A25FD4" w:rsidRDefault="00A25FD4" w:rsidP="00A25FD4">
      <w:pPr>
        <w:tabs>
          <w:tab w:val="left" w:pos="7650"/>
        </w:tabs>
        <w:ind w:firstLine="360"/>
        <w:jc w:val="both"/>
        <w:rPr>
          <w:rFonts w:cstheme="minorHAnsi"/>
        </w:rPr>
      </w:pPr>
      <w:r w:rsidRPr="00E47369">
        <w:rPr>
          <w:rFonts w:cstheme="minorHAnsi"/>
        </w:rPr>
        <w:t>We started the study of this tandem reaction system by running the allylation reaction under typical DODH conditions- in benzene at 150</w:t>
      </w:r>
      <w:r w:rsidRPr="00E47369">
        <w:rPr>
          <w:rFonts w:cstheme="minorHAnsi"/>
          <w:vertAlign w:val="superscript"/>
        </w:rPr>
        <w:t>o</w:t>
      </w:r>
      <w:r w:rsidRPr="00E47369">
        <w:rPr>
          <w:rFonts w:cstheme="minorHAnsi"/>
        </w:rPr>
        <w:t>C (</w:t>
      </w:r>
      <w:r w:rsidR="00810326">
        <w:rPr>
          <w:rFonts w:cstheme="minorHAnsi"/>
        </w:rPr>
        <w:fldChar w:fldCharType="begin"/>
      </w:r>
      <w:r w:rsidR="00810326">
        <w:rPr>
          <w:rFonts w:cstheme="minorHAnsi"/>
        </w:rPr>
        <w:instrText xml:space="preserve"> REF _Ref454185138 \h </w:instrText>
      </w:r>
      <w:r w:rsidR="00810326">
        <w:rPr>
          <w:rFonts w:cstheme="minorHAnsi"/>
        </w:rPr>
      </w:r>
      <w:r w:rsidR="00810326">
        <w:rPr>
          <w:rFonts w:cstheme="minorHAnsi"/>
        </w:rPr>
        <w:fldChar w:fldCharType="separate"/>
      </w:r>
      <w:r w:rsidR="000A0E3D" w:rsidRPr="008A0BB7">
        <w:t xml:space="preserve">Figure III. </w:t>
      </w:r>
      <w:r w:rsidR="000A0E3D">
        <w:rPr>
          <w:noProof/>
        </w:rPr>
        <w:t>3</w:t>
      </w:r>
      <w:r w:rsidR="000A0E3D">
        <w:t>.</w:t>
      </w:r>
      <w:r w:rsidR="000A0E3D">
        <w:rPr>
          <w:noProof/>
        </w:rPr>
        <w:t>15</w:t>
      </w:r>
      <w:r w:rsidR="00810326">
        <w:rPr>
          <w:rFonts w:cstheme="minorHAnsi"/>
        </w:rPr>
        <w:fldChar w:fldCharType="end"/>
      </w:r>
      <w:r w:rsidRPr="00E47369">
        <w:rPr>
          <w:rFonts w:cstheme="minorHAnsi"/>
        </w:rPr>
        <w:t xml:space="preserve">). With this experiment we wanted to determine if the allylation would still occur since it was reported to work at room temperature after several hours. The reaction was analyzed by </w:t>
      </w:r>
      <w:r w:rsidRPr="00E47369">
        <w:rPr>
          <w:rFonts w:cstheme="minorHAnsi"/>
          <w:vertAlign w:val="superscript"/>
        </w:rPr>
        <w:t>1</w:t>
      </w:r>
      <w:r w:rsidRPr="00E47369">
        <w:rPr>
          <w:rFonts w:cstheme="minorHAnsi"/>
        </w:rPr>
        <w:t>H NMR spectroscopy and showed a little bit of unreacted benzaldehyde with a singlet at 10 ppm and a doublet at 8 ppm. We could see a change in the shape the signal for the terminal alkene protons with a multiplet at 6.3 ppm the two doublets for the C</w:t>
      </w:r>
      <w:r w:rsidRPr="00E47369">
        <w:rPr>
          <w:rFonts w:cstheme="minorHAnsi"/>
          <w:i/>
        </w:rPr>
        <w:t>H</w:t>
      </w:r>
      <w:r w:rsidRPr="00E47369">
        <w:rPr>
          <w:rFonts w:cstheme="minorHAnsi"/>
          <w:vertAlign w:val="subscript"/>
        </w:rPr>
        <w:t>2</w:t>
      </w:r>
      <w:r w:rsidRPr="00E47369">
        <w:rPr>
          <w:rFonts w:cstheme="minorHAnsi"/>
        </w:rPr>
        <w:t xml:space="preserve"> of the alkene being closer than in allyl alcohol at 5.4 ppm. The allylic C</w:t>
      </w:r>
      <w:r w:rsidRPr="00E47369">
        <w:rPr>
          <w:rFonts w:cstheme="minorHAnsi"/>
          <w:i/>
        </w:rPr>
        <w:t>H</w:t>
      </w:r>
      <w:r w:rsidRPr="00E47369">
        <w:rPr>
          <w:rFonts w:cstheme="minorHAnsi"/>
          <w:vertAlign w:val="subscript"/>
        </w:rPr>
        <w:t>2</w:t>
      </w:r>
      <w:r w:rsidRPr="00E47369">
        <w:rPr>
          <w:rFonts w:cstheme="minorHAnsi"/>
        </w:rPr>
        <w:t xml:space="preserve"> is expected at 2.5 ppm as a multiplet and the C</w:t>
      </w:r>
      <w:r w:rsidRPr="00E47369">
        <w:rPr>
          <w:rFonts w:cstheme="minorHAnsi"/>
          <w:i/>
        </w:rPr>
        <w:t>H</w:t>
      </w:r>
      <w:r w:rsidRPr="00E47369">
        <w:rPr>
          <w:rFonts w:cstheme="minorHAnsi"/>
        </w:rPr>
        <w:t xml:space="preserve">-OH proton is expected at 4.6 ppm as a triplet; neither of these signals was detected. However, a doublet integrating for 2 (compared to the 6.3 ppm signal) was present at 3.7 ppm, which could be from the ketone </w:t>
      </w:r>
      <w:r w:rsidRPr="00E47369">
        <w:rPr>
          <w:rFonts w:cstheme="minorHAnsi"/>
          <w:b/>
        </w:rPr>
        <w:t>2</w:t>
      </w:r>
      <w:r w:rsidRPr="00E47369">
        <w:rPr>
          <w:rFonts w:cstheme="minorHAnsi"/>
        </w:rPr>
        <w:t xml:space="preserve"> (</w:t>
      </w:r>
      <w:r w:rsidRPr="00E47369">
        <w:rPr>
          <w:rFonts w:cstheme="minorHAnsi"/>
        </w:rPr>
        <w:fldChar w:fldCharType="begin"/>
      </w:r>
      <w:r w:rsidRPr="00E47369">
        <w:rPr>
          <w:rFonts w:cstheme="minorHAnsi"/>
        </w:rPr>
        <w:instrText xml:space="preserve"> REF _Ref454185138 \h </w:instrText>
      </w:r>
      <w:r w:rsidR="00E47369">
        <w:rPr>
          <w:rFonts w:cstheme="minorHAnsi"/>
        </w:rPr>
        <w:instrText xml:space="preserve"> \* MERGEFORMAT </w:instrText>
      </w:r>
      <w:r w:rsidRPr="00E47369">
        <w:rPr>
          <w:rFonts w:cstheme="minorHAnsi"/>
        </w:rPr>
      </w:r>
      <w:r w:rsidRPr="00E47369">
        <w:rPr>
          <w:rFonts w:cstheme="minorHAnsi"/>
        </w:rPr>
        <w:fldChar w:fldCharType="separate"/>
      </w:r>
      <w:r w:rsidR="000A0E3D" w:rsidRPr="000A0E3D">
        <w:rPr>
          <w:rFonts w:cstheme="minorHAnsi"/>
        </w:rPr>
        <w:t xml:space="preserve">Figure III. </w:t>
      </w:r>
      <w:r w:rsidR="000A0E3D" w:rsidRPr="000A0E3D">
        <w:rPr>
          <w:rFonts w:cstheme="minorHAnsi"/>
          <w:noProof/>
        </w:rPr>
        <w:t>3.15</w:t>
      </w:r>
      <w:r w:rsidRPr="00E47369">
        <w:rPr>
          <w:rFonts w:cstheme="minorHAnsi"/>
        </w:rPr>
        <w:fldChar w:fldCharType="end"/>
      </w:r>
      <w:r w:rsidRPr="00E47369">
        <w:rPr>
          <w:rFonts w:cstheme="minorHAnsi"/>
        </w:rPr>
        <w:t xml:space="preserve">), formed after the allylation of benzaldehyde by the oxidation of the alcohol </w:t>
      </w:r>
      <w:r w:rsidRPr="00E47369">
        <w:rPr>
          <w:rFonts w:cstheme="minorHAnsi"/>
          <w:b/>
        </w:rPr>
        <w:t>1</w:t>
      </w:r>
      <w:r w:rsidRPr="00E47369">
        <w:rPr>
          <w:rFonts w:cstheme="minorHAnsi"/>
        </w:rPr>
        <w:t xml:space="preserve"> (</w:t>
      </w:r>
      <w:r w:rsidRPr="00E47369">
        <w:rPr>
          <w:rFonts w:cstheme="minorHAnsi"/>
        </w:rPr>
        <w:fldChar w:fldCharType="begin"/>
      </w:r>
      <w:r w:rsidRPr="00E47369">
        <w:rPr>
          <w:rFonts w:cstheme="minorHAnsi"/>
        </w:rPr>
        <w:instrText xml:space="preserve"> REF _Ref454185138 \h </w:instrText>
      </w:r>
      <w:r w:rsidR="00E47369">
        <w:rPr>
          <w:rFonts w:cstheme="minorHAnsi"/>
        </w:rPr>
        <w:instrText xml:space="preserve"> \* MERGEFORMAT </w:instrText>
      </w:r>
      <w:r w:rsidRPr="00E47369">
        <w:rPr>
          <w:rFonts w:cstheme="minorHAnsi"/>
        </w:rPr>
      </w:r>
      <w:r w:rsidRPr="00E47369">
        <w:rPr>
          <w:rFonts w:cstheme="minorHAnsi"/>
        </w:rPr>
        <w:fldChar w:fldCharType="separate"/>
      </w:r>
      <w:r w:rsidR="000A0E3D" w:rsidRPr="000A0E3D">
        <w:rPr>
          <w:rFonts w:cstheme="minorHAnsi"/>
        </w:rPr>
        <w:t xml:space="preserve">Figure III. </w:t>
      </w:r>
      <w:r w:rsidR="000A0E3D" w:rsidRPr="000A0E3D">
        <w:rPr>
          <w:rFonts w:cstheme="minorHAnsi"/>
          <w:noProof/>
        </w:rPr>
        <w:t>3.15</w:t>
      </w:r>
      <w:r w:rsidRPr="00E47369">
        <w:rPr>
          <w:rFonts w:cstheme="minorHAnsi"/>
        </w:rPr>
        <w:fldChar w:fldCharType="end"/>
      </w:r>
      <w:r w:rsidRPr="00E47369">
        <w:rPr>
          <w:rFonts w:cstheme="minorHAnsi"/>
        </w:rPr>
        <w:t xml:space="preserve">). If </w:t>
      </w:r>
      <w:r w:rsidRPr="00E47369">
        <w:rPr>
          <w:rFonts w:cstheme="minorHAnsi"/>
          <w:b/>
        </w:rPr>
        <w:t>1</w:t>
      </w:r>
      <w:r w:rsidRPr="00E47369">
        <w:rPr>
          <w:rFonts w:cstheme="minorHAnsi"/>
        </w:rPr>
        <w:t xml:space="preserve"> is oxidized to </w:t>
      </w:r>
      <w:r w:rsidRPr="00E47369">
        <w:rPr>
          <w:rFonts w:cstheme="minorHAnsi"/>
          <w:b/>
        </w:rPr>
        <w:t>2</w:t>
      </w:r>
      <w:r w:rsidRPr="00E47369">
        <w:rPr>
          <w:rFonts w:cstheme="minorHAnsi"/>
        </w:rPr>
        <w:t>, it is not easy to see which reagent gets reduced. The only two other signals on in the NMR spectrum were a singlet at 4.3 ppm and</w:t>
      </w:r>
      <w:r w:rsidR="00CF34DF">
        <w:rPr>
          <w:rFonts w:cstheme="minorHAnsi"/>
        </w:rPr>
        <w:t xml:space="preserve"> a</w:t>
      </w:r>
      <w:r w:rsidRPr="00E47369">
        <w:rPr>
          <w:rFonts w:cstheme="minorHAnsi"/>
        </w:rPr>
        <w:t xml:space="preserve"> little doublet at 1.7 ppm. In addition allyl alcohol was used in excess, but we did not detect a large amount of unreacted allyl alcohol by NMR. The changes in solvent and temperature most definitely changed the product of the allylation reaction but the formation the ketone </w:t>
      </w:r>
      <w:r w:rsidRPr="00E47369">
        <w:rPr>
          <w:rFonts w:cstheme="minorHAnsi"/>
          <w:b/>
        </w:rPr>
        <w:t>2</w:t>
      </w:r>
      <w:r w:rsidRPr="00E47369">
        <w:rPr>
          <w:rFonts w:cstheme="minorHAnsi"/>
        </w:rPr>
        <w:t xml:space="preserve"> was significant as this was a C-C bond formation reaction that took place under similar conditions to the DODH reaction.</w:t>
      </w:r>
    </w:p>
    <w:p w14:paraId="2E1EB3CC" w14:textId="77777777" w:rsidR="001C4EB8" w:rsidRPr="00E47369" w:rsidRDefault="001C4EB8" w:rsidP="00A25FD4">
      <w:pPr>
        <w:tabs>
          <w:tab w:val="left" w:pos="7650"/>
        </w:tabs>
        <w:ind w:firstLine="360"/>
        <w:jc w:val="both"/>
        <w:rPr>
          <w:rFonts w:cstheme="minorHAnsi"/>
        </w:rPr>
      </w:pPr>
    </w:p>
    <w:p w14:paraId="6AE46529" w14:textId="4C6157B5" w:rsidR="00A25FD4" w:rsidRPr="00E47369" w:rsidRDefault="00537311" w:rsidP="00A25FD4">
      <w:pPr>
        <w:keepNext/>
        <w:jc w:val="center"/>
        <w:rPr>
          <w:rFonts w:cstheme="minorHAnsi"/>
        </w:rPr>
      </w:pPr>
      <w:r w:rsidRPr="00E47369">
        <w:rPr>
          <w:rFonts w:cstheme="minorHAnsi"/>
        </w:rPr>
        <w:object w:dxaOrig="7363" w:dyaOrig="1579" w14:anchorId="294E23D0">
          <v:shape id="_x0000_i1117" type="#_x0000_t75" style="width:337.05pt;height:1in" o:ole="">
            <v:imagedata r:id="rId257" o:title=""/>
          </v:shape>
          <o:OLEObject Type="Embed" ProgID="ChemDraw.Document.6.0" ShapeID="_x0000_i1117" DrawAspect="Content" ObjectID="_1532784960" r:id="rId258"/>
        </w:object>
      </w:r>
    </w:p>
    <w:p w14:paraId="5709BDBE" w14:textId="77777777" w:rsidR="00A25FD4" w:rsidRPr="008A0BB7" w:rsidRDefault="00A25FD4" w:rsidP="008A0BB7">
      <w:pPr>
        <w:pStyle w:val="Caption"/>
      </w:pPr>
      <w:bookmarkStart w:id="266" w:name="_Ref454185138"/>
      <w:bookmarkStart w:id="267" w:name="_Toc457670733"/>
      <w:r w:rsidRPr="008A0BB7">
        <w:t xml:space="preserve">Figure III. </w:t>
      </w:r>
      <w:r w:rsidR="00443010">
        <w:fldChar w:fldCharType="begin"/>
      </w:r>
      <w:r w:rsidR="00443010">
        <w:instrText xml:space="preserve"> STYLEREF 2 \s </w:instrText>
      </w:r>
      <w:r w:rsidR="00443010">
        <w:fldChar w:fldCharType="separate"/>
      </w:r>
      <w:r w:rsidR="000A0E3D">
        <w:rPr>
          <w:noProof/>
        </w:rPr>
        <w:t>3</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15</w:t>
      </w:r>
      <w:r w:rsidR="00443010">
        <w:rPr>
          <w:noProof/>
        </w:rPr>
        <w:fldChar w:fldCharType="end"/>
      </w:r>
      <w:bookmarkEnd w:id="266"/>
      <w:r w:rsidRPr="008A0BB7">
        <w:t xml:space="preserve"> Allylation reaction in benzene as solvent and at 150</w:t>
      </w:r>
      <w:r w:rsidRPr="008A0BB7">
        <w:rPr>
          <w:vertAlign w:val="superscript"/>
        </w:rPr>
        <w:t>o</w:t>
      </w:r>
      <w:r w:rsidRPr="008A0BB7">
        <w:t>C</w:t>
      </w:r>
      <w:bookmarkEnd w:id="267"/>
    </w:p>
    <w:p w14:paraId="2BC118F0" w14:textId="77777777" w:rsidR="00A25FD4" w:rsidRPr="00E47369" w:rsidRDefault="00A25FD4" w:rsidP="00A25FD4">
      <w:pPr>
        <w:jc w:val="center"/>
        <w:rPr>
          <w:rFonts w:cstheme="minorHAnsi"/>
          <w:b/>
        </w:rPr>
      </w:pPr>
    </w:p>
    <w:p w14:paraId="29E66CC8" w14:textId="77777777" w:rsidR="00A25FD4" w:rsidRDefault="00A25FD4" w:rsidP="00A25FD4">
      <w:pPr>
        <w:ind w:firstLine="270"/>
        <w:jc w:val="both"/>
        <w:rPr>
          <w:rFonts w:cstheme="minorHAnsi"/>
        </w:rPr>
      </w:pPr>
      <w:r w:rsidRPr="00E47369">
        <w:rPr>
          <w:rFonts w:cstheme="minorHAnsi"/>
        </w:rPr>
        <w:t>With this result on the allylation step we now had to address the compatibility of the allylation reagents with the DODH reagents. Our biggest concern was the potential activity of tin chloride as a reducing agent in the DODH reaction. We started by testing the activity of SnCl</w:t>
      </w:r>
      <w:r w:rsidRPr="00E47369">
        <w:rPr>
          <w:rFonts w:cstheme="minorHAnsi"/>
          <w:vertAlign w:val="subscript"/>
        </w:rPr>
        <w:t>2</w:t>
      </w:r>
      <w:r w:rsidRPr="00E47369">
        <w:rPr>
          <w:rFonts w:cstheme="minorHAnsi"/>
        </w:rPr>
        <w:t xml:space="preserve"> : 2H</w:t>
      </w:r>
      <w:r w:rsidRPr="00E47369">
        <w:rPr>
          <w:rFonts w:cstheme="minorHAnsi"/>
          <w:vertAlign w:val="subscript"/>
        </w:rPr>
        <w:t>2</w:t>
      </w:r>
      <w:r w:rsidRPr="00E47369">
        <w:rPr>
          <w:rFonts w:cstheme="minorHAnsi"/>
        </w:rPr>
        <w:t>O as a reducing agent for the DODH reaction on diethyl tartrate (</w:t>
      </w:r>
      <w:r w:rsidRPr="00E47369">
        <w:rPr>
          <w:rFonts w:cstheme="minorHAnsi"/>
        </w:rPr>
        <w:fldChar w:fldCharType="begin"/>
      </w:r>
      <w:r w:rsidRPr="00E47369">
        <w:rPr>
          <w:rFonts w:cstheme="minorHAnsi"/>
        </w:rPr>
        <w:instrText xml:space="preserve"> REF _Ref454185205 \h </w:instrText>
      </w:r>
      <w:r w:rsidR="00E47369">
        <w:rPr>
          <w:rFonts w:cstheme="minorHAnsi"/>
        </w:rPr>
        <w:instrText xml:space="preserve"> \* MERGEFORMAT </w:instrText>
      </w:r>
      <w:r w:rsidRPr="00E47369">
        <w:rPr>
          <w:rFonts w:cstheme="minorHAnsi"/>
        </w:rPr>
      </w:r>
      <w:r w:rsidRPr="00E47369">
        <w:rPr>
          <w:rFonts w:cstheme="minorHAnsi"/>
        </w:rPr>
        <w:fldChar w:fldCharType="separate"/>
      </w:r>
      <w:r w:rsidR="000A0E3D" w:rsidRPr="000A0E3D">
        <w:rPr>
          <w:rFonts w:cstheme="minorHAnsi"/>
        </w:rPr>
        <w:t xml:space="preserve">Figure III. </w:t>
      </w:r>
      <w:r w:rsidR="000A0E3D" w:rsidRPr="000A0E3D">
        <w:rPr>
          <w:rFonts w:cstheme="minorHAnsi"/>
          <w:noProof/>
        </w:rPr>
        <w:t>3.16</w:t>
      </w:r>
      <w:r w:rsidRPr="00E47369">
        <w:rPr>
          <w:rFonts w:cstheme="minorHAnsi"/>
        </w:rPr>
        <w:fldChar w:fldCharType="end"/>
      </w:r>
      <w:r w:rsidRPr="00E47369">
        <w:rPr>
          <w:rFonts w:cstheme="minorHAnsi"/>
        </w:rPr>
        <w:t>). The reaction was analyzed by NMR and we could detect 55% yield of product along with 45% unreacted diol. This demonstrated the ability of tin chloride to act as a reducing agent in the DODH reaction.</w:t>
      </w:r>
    </w:p>
    <w:p w14:paraId="07E7F3F9" w14:textId="77777777" w:rsidR="00367301" w:rsidRPr="00E47369" w:rsidRDefault="00367301" w:rsidP="00A25FD4">
      <w:pPr>
        <w:ind w:firstLine="270"/>
        <w:jc w:val="both"/>
        <w:rPr>
          <w:rFonts w:cstheme="minorHAnsi"/>
        </w:rPr>
      </w:pPr>
    </w:p>
    <w:p w14:paraId="68875D96" w14:textId="77777777" w:rsidR="00A25FD4" w:rsidRPr="00E47369" w:rsidRDefault="00367301" w:rsidP="00A25FD4">
      <w:pPr>
        <w:keepNext/>
        <w:jc w:val="center"/>
        <w:rPr>
          <w:rFonts w:cstheme="minorHAnsi"/>
        </w:rPr>
      </w:pPr>
      <w:r w:rsidRPr="00E47369">
        <w:rPr>
          <w:rFonts w:cstheme="minorHAnsi"/>
        </w:rPr>
        <w:object w:dxaOrig="6137" w:dyaOrig="1096" w14:anchorId="35C0B0DD">
          <v:shape id="_x0000_i1118" type="#_x0000_t75" style="width:298.3pt;height:51.45pt" o:ole="">
            <v:imagedata r:id="rId259" o:title=""/>
          </v:shape>
          <o:OLEObject Type="Embed" ProgID="ChemDraw.Document.6.0" ShapeID="_x0000_i1118" DrawAspect="Content" ObjectID="_1532784961" r:id="rId260"/>
        </w:object>
      </w:r>
    </w:p>
    <w:p w14:paraId="2C1E444C" w14:textId="77777777" w:rsidR="00A25FD4" w:rsidRPr="008A0BB7" w:rsidRDefault="00A25FD4" w:rsidP="008A0BB7">
      <w:pPr>
        <w:pStyle w:val="Caption"/>
      </w:pPr>
      <w:bookmarkStart w:id="268" w:name="_Ref454185205"/>
      <w:bookmarkStart w:id="269" w:name="_Toc457670734"/>
      <w:r w:rsidRPr="008A0BB7">
        <w:t xml:space="preserve">Figure III. </w:t>
      </w:r>
      <w:r w:rsidR="00443010">
        <w:fldChar w:fldCharType="begin"/>
      </w:r>
      <w:r w:rsidR="00443010">
        <w:instrText xml:space="preserve"> STYLEREF 2 \s </w:instrText>
      </w:r>
      <w:r w:rsidR="00443010">
        <w:fldChar w:fldCharType="separate"/>
      </w:r>
      <w:r w:rsidR="000A0E3D">
        <w:rPr>
          <w:noProof/>
        </w:rPr>
        <w:t>3</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16</w:t>
      </w:r>
      <w:r w:rsidR="00443010">
        <w:rPr>
          <w:noProof/>
        </w:rPr>
        <w:fldChar w:fldCharType="end"/>
      </w:r>
      <w:bookmarkEnd w:id="268"/>
      <w:r w:rsidRPr="008A0BB7">
        <w:t xml:space="preserve"> DODH of DET using SnCl</w:t>
      </w:r>
      <w:r w:rsidRPr="008A0BB7">
        <w:rPr>
          <w:vertAlign w:val="subscript"/>
        </w:rPr>
        <w:t>2</w:t>
      </w:r>
      <w:r w:rsidRPr="008A0BB7">
        <w:t xml:space="preserve"> as reducing agent</w:t>
      </w:r>
      <w:bookmarkEnd w:id="269"/>
    </w:p>
    <w:p w14:paraId="202ED44E" w14:textId="77777777" w:rsidR="00A25FD4" w:rsidRPr="00E47369" w:rsidRDefault="00A25FD4" w:rsidP="00A25FD4">
      <w:pPr>
        <w:jc w:val="center"/>
        <w:rPr>
          <w:rFonts w:cstheme="minorHAnsi"/>
          <w:b/>
        </w:rPr>
      </w:pPr>
    </w:p>
    <w:p w14:paraId="3F936CC2" w14:textId="77777777" w:rsidR="00A25FD4" w:rsidRPr="00E47369" w:rsidRDefault="00A25FD4" w:rsidP="00A25FD4">
      <w:pPr>
        <w:ind w:firstLine="360"/>
        <w:jc w:val="both"/>
        <w:rPr>
          <w:rFonts w:cstheme="minorHAnsi"/>
        </w:rPr>
      </w:pPr>
      <w:r w:rsidRPr="00E47369">
        <w:rPr>
          <w:rFonts w:cstheme="minorHAnsi"/>
        </w:rPr>
        <w:t>With the demonstration of the activity of tin (II) chloride as reducing agent we decided to test it</w:t>
      </w:r>
      <w:r w:rsidR="00F05BFF">
        <w:rPr>
          <w:rFonts w:cstheme="minorHAnsi"/>
        </w:rPr>
        <w:t>s</w:t>
      </w:r>
      <w:r w:rsidRPr="00E47369">
        <w:rPr>
          <w:rFonts w:cstheme="minorHAnsi"/>
        </w:rPr>
        <w:t xml:space="preserve"> activity as catalyst for the DODH reaction. We ran the same reaction (</w:t>
      </w:r>
      <w:r w:rsidRPr="00E47369">
        <w:rPr>
          <w:rFonts w:cstheme="minorHAnsi"/>
        </w:rPr>
        <w:fldChar w:fldCharType="begin"/>
      </w:r>
      <w:r w:rsidRPr="00E47369">
        <w:rPr>
          <w:rFonts w:cstheme="minorHAnsi"/>
        </w:rPr>
        <w:instrText xml:space="preserve"> REF _Ref454185205 \h </w:instrText>
      </w:r>
      <w:r w:rsidR="00E47369">
        <w:rPr>
          <w:rFonts w:cstheme="minorHAnsi"/>
        </w:rPr>
        <w:instrText xml:space="preserve"> \* MERGEFORMAT </w:instrText>
      </w:r>
      <w:r w:rsidRPr="00E47369">
        <w:rPr>
          <w:rFonts w:cstheme="minorHAnsi"/>
        </w:rPr>
      </w:r>
      <w:r w:rsidRPr="00E47369">
        <w:rPr>
          <w:rFonts w:cstheme="minorHAnsi"/>
        </w:rPr>
        <w:fldChar w:fldCharType="separate"/>
      </w:r>
      <w:r w:rsidR="000A0E3D" w:rsidRPr="000A0E3D">
        <w:rPr>
          <w:rFonts w:cstheme="minorHAnsi"/>
        </w:rPr>
        <w:t xml:space="preserve">Figure III. </w:t>
      </w:r>
      <w:r w:rsidR="000A0E3D" w:rsidRPr="000A0E3D">
        <w:rPr>
          <w:rFonts w:cstheme="minorHAnsi"/>
          <w:noProof/>
        </w:rPr>
        <w:t>3.16</w:t>
      </w:r>
      <w:r w:rsidRPr="00E47369">
        <w:rPr>
          <w:rFonts w:cstheme="minorHAnsi"/>
        </w:rPr>
        <w:fldChar w:fldCharType="end"/>
      </w:r>
      <w:r w:rsidRPr="00E47369">
        <w:rPr>
          <w:rFonts w:cstheme="minorHAnsi"/>
        </w:rPr>
        <w:t xml:space="preserve">) without any rhenium catalyst and 2 equivalents of tin chloride. The NMR analysis of this reaction showed a 67% yield of fumarate. Also we tested tin (II) chloride as catalyst with benzyl alcohol as reducing agent, but we did not detect any diethyl fumarate (singlet at 6.8 ppm) by NMR. Tin chloride and its oxidized product are not “green” chemicals and would not be economical stoichiometrically on industrial scale. A </w:t>
      </w:r>
      <w:r w:rsidR="00F05BFF">
        <w:rPr>
          <w:rFonts w:cstheme="minorHAnsi"/>
        </w:rPr>
        <w:t>control</w:t>
      </w:r>
      <w:r w:rsidRPr="00E47369">
        <w:rPr>
          <w:rFonts w:cstheme="minorHAnsi"/>
        </w:rPr>
        <w:t xml:space="preserve"> reaction was run and no DODH reaction was observed when diethyl tartrate is placed at 150</w:t>
      </w:r>
      <w:r w:rsidRPr="00E47369">
        <w:rPr>
          <w:rFonts w:cstheme="minorHAnsi"/>
          <w:vertAlign w:val="superscript"/>
        </w:rPr>
        <w:t>o</w:t>
      </w:r>
      <w:r w:rsidRPr="00E47369">
        <w:rPr>
          <w:rFonts w:cstheme="minorHAnsi"/>
        </w:rPr>
        <w:t>C in benzene 0.2M for 24h). In summary we discovered the ability of tin (II) chloride to be a reducing agent in the rhenium-catalyzed DODH reaction and to convert diethyl tartrate in diethyl fumarate in absence of rhenium catalyst. This is the first report of a DODH reaction driven by a non-transition metal.</w:t>
      </w:r>
    </w:p>
    <w:p w14:paraId="068CEBF9" w14:textId="4D6E8801" w:rsidR="00367301" w:rsidRPr="00E47369" w:rsidRDefault="00A25FD4" w:rsidP="00537311">
      <w:pPr>
        <w:ind w:firstLine="360"/>
        <w:jc w:val="both"/>
        <w:rPr>
          <w:rFonts w:cstheme="minorHAnsi"/>
        </w:rPr>
      </w:pPr>
      <w:r w:rsidRPr="00E47369">
        <w:rPr>
          <w:rFonts w:cstheme="minorHAnsi"/>
        </w:rPr>
        <w:t>Knowing now the ability of tin (II) chloride as a reducing agent on diethyl tartrate we tested it on glycerol. With the poor solubility of glycerol in organic solvents we ran this reaction in a biphasic system with 1 mL of glycerol and 2.5 mL of benzene. We detected 1.2 mmol of allyl alcohol product by NMR. Also we can calculate the turnover number (TON) of the rhenium catalyst to be 24 (Entry III.</w:t>
      </w:r>
      <w:r w:rsidR="00F26849" w:rsidRPr="00E47369">
        <w:rPr>
          <w:rFonts w:cstheme="minorHAnsi"/>
        </w:rPr>
        <w:t>3</w:t>
      </w:r>
      <w:r w:rsidRPr="00E47369">
        <w:rPr>
          <w:rFonts w:cstheme="minorHAnsi"/>
        </w:rPr>
        <w:t>.2.1). One issue with this system is to know if tin chloride was the active reducing agent or if the excess glycerol employed could have also taken part in the reaction as reducing agent. Consequently we ran the same reaction without any SnCl</w:t>
      </w:r>
      <w:r w:rsidRPr="00E47369">
        <w:rPr>
          <w:rFonts w:cstheme="minorHAnsi"/>
          <w:vertAlign w:val="subscript"/>
        </w:rPr>
        <w:t>2</w:t>
      </w:r>
      <w:r w:rsidRPr="00E47369">
        <w:rPr>
          <w:rFonts w:cstheme="minorHAnsi"/>
        </w:rPr>
        <w:t xml:space="preserve"> and obtained only 0.74 mmol of allyl alcohol (Entry III.</w:t>
      </w:r>
      <w:r w:rsidR="00F26849" w:rsidRPr="00E47369">
        <w:rPr>
          <w:rFonts w:cstheme="minorHAnsi"/>
        </w:rPr>
        <w:t>3</w:t>
      </w:r>
      <w:r w:rsidRPr="00E47369">
        <w:rPr>
          <w:rFonts w:cstheme="minorHAnsi"/>
        </w:rPr>
        <w:t>.2.</w:t>
      </w:r>
      <w:r w:rsidR="00F26849" w:rsidRPr="00E47369">
        <w:rPr>
          <w:rFonts w:cstheme="minorHAnsi"/>
        </w:rPr>
        <w:t>2</w:t>
      </w:r>
      <w:r w:rsidRPr="00E47369">
        <w:rPr>
          <w:rFonts w:cstheme="minorHAnsi"/>
        </w:rPr>
        <w:t>); this corresponds to a 15 TON of the rhenium catalyst. We observed an increase of the TON when SnCl</w:t>
      </w:r>
      <w:r w:rsidRPr="00E47369">
        <w:rPr>
          <w:rFonts w:cstheme="minorHAnsi"/>
          <w:vertAlign w:val="subscript"/>
        </w:rPr>
        <w:t>2</w:t>
      </w:r>
      <w:r w:rsidRPr="00E47369">
        <w:rPr>
          <w:rFonts w:cstheme="minorHAnsi"/>
        </w:rPr>
        <w:t xml:space="preserve"> was added in the reaction which demonstrated the </w:t>
      </w:r>
      <w:r w:rsidR="00F05BFF">
        <w:rPr>
          <w:rFonts w:cstheme="minorHAnsi"/>
        </w:rPr>
        <w:t xml:space="preserve">reducing </w:t>
      </w:r>
      <w:r w:rsidRPr="00E47369">
        <w:rPr>
          <w:rFonts w:cstheme="minorHAnsi"/>
        </w:rPr>
        <w:t xml:space="preserve">activity of tin chloride in the DODH </w:t>
      </w:r>
      <w:r w:rsidR="00F05BFF">
        <w:rPr>
          <w:rFonts w:cstheme="minorHAnsi"/>
        </w:rPr>
        <w:t>reaction</w:t>
      </w:r>
      <w:r w:rsidRPr="00E47369">
        <w:rPr>
          <w:rFonts w:cstheme="minorHAnsi"/>
        </w:rPr>
        <w:t>.</w:t>
      </w:r>
    </w:p>
    <w:p w14:paraId="6745700B" w14:textId="3C8DF296" w:rsidR="00A25FD4" w:rsidRPr="00E47369" w:rsidRDefault="00537311" w:rsidP="00A25FD4">
      <w:pPr>
        <w:keepNext/>
        <w:jc w:val="center"/>
        <w:rPr>
          <w:rFonts w:cstheme="minorHAnsi"/>
        </w:rPr>
      </w:pPr>
      <w:r w:rsidRPr="00E47369">
        <w:rPr>
          <w:rFonts w:cstheme="minorHAnsi"/>
        </w:rPr>
        <w:object w:dxaOrig="5028" w:dyaOrig="1091" w14:anchorId="3C4DE102">
          <v:shape id="_x0000_i1119" type="#_x0000_t75" style="width:210.45pt;height:49.05pt" o:ole="">
            <v:imagedata r:id="rId261" o:title=""/>
          </v:shape>
          <o:OLEObject Type="Embed" ProgID="ChemDraw.Document.6.0" ShapeID="_x0000_i1119" DrawAspect="Content" ObjectID="_1532784962" r:id="rId262"/>
        </w:object>
      </w:r>
    </w:p>
    <w:p w14:paraId="6DE845DD" w14:textId="77777777" w:rsidR="00A25FD4" w:rsidRPr="008A0BB7" w:rsidRDefault="00A25FD4" w:rsidP="008A0BB7">
      <w:pPr>
        <w:pStyle w:val="Caption"/>
      </w:pPr>
      <w:bookmarkStart w:id="270" w:name="_Toc457670735"/>
      <w:r w:rsidRPr="008A0BB7">
        <w:t xml:space="preserve">Figure III. </w:t>
      </w:r>
      <w:r w:rsidR="00443010">
        <w:fldChar w:fldCharType="begin"/>
      </w:r>
      <w:r w:rsidR="00443010">
        <w:instrText xml:space="preserve"> STYLEREF 2 \s </w:instrText>
      </w:r>
      <w:r w:rsidR="00443010">
        <w:fldChar w:fldCharType="separate"/>
      </w:r>
      <w:r w:rsidR="000A0E3D">
        <w:rPr>
          <w:noProof/>
        </w:rPr>
        <w:t>3</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17</w:t>
      </w:r>
      <w:r w:rsidR="00443010">
        <w:rPr>
          <w:noProof/>
        </w:rPr>
        <w:fldChar w:fldCharType="end"/>
      </w:r>
      <w:r w:rsidRPr="008A0BB7">
        <w:t xml:space="preserve"> DODH of glycerol in biphasic media</w:t>
      </w:r>
      <w:bookmarkEnd w:id="270"/>
      <w:r w:rsidRPr="008A0BB7">
        <w:t xml:space="preserve"> </w:t>
      </w:r>
    </w:p>
    <w:p w14:paraId="66AEC580" w14:textId="77777777" w:rsidR="005D4B4F" w:rsidRPr="00E47369" w:rsidRDefault="005D4B4F" w:rsidP="00A25FD4">
      <w:pPr>
        <w:rPr>
          <w:rFonts w:cstheme="minorHAnsi"/>
        </w:rPr>
      </w:pPr>
    </w:p>
    <w:p w14:paraId="0FFAB5C1" w14:textId="77777777" w:rsidR="00A25FD4" w:rsidRPr="008A0BB7" w:rsidRDefault="00A25FD4" w:rsidP="008A0BB7">
      <w:pPr>
        <w:pStyle w:val="Caption"/>
      </w:pPr>
      <w:bookmarkStart w:id="271" w:name="_Ref454186630"/>
      <w:bookmarkStart w:id="272" w:name="_Toc457670490"/>
      <w:r w:rsidRPr="008A0BB7">
        <w:t xml:space="preserve">Table III. </w:t>
      </w:r>
      <w:r w:rsidR="00443010">
        <w:fldChar w:fldCharType="begin"/>
      </w:r>
      <w:r w:rsidR="00443010">
        <w:instrText xml:space="preserve"> STYLEREF 2 \s </w:instrText>
      </w:r>
      <w:r w:rsidR="00443010">
        <w:fldChar w:fldCharType="separate"/>
      </w:r>
      <w:r w:rsidR="000A0E3D">
        <w:rPr>
          <w:noProof/>
        </w:rPr>
        <w:t>3</w:t>
      </w:r>
      <w:r w:rsidR="00443010">
        <w:rPr>
          <w:noProof/>
        </w:rPr>
        <w:fldChar w:fldCharType="end"/>
      </w:r>
      <w:r w:rsidR="00E20ED7">
        <w:t>.</w:t>
      </w:r>
      <w:r w:rsidR="00443010">
        <w:fldChar w:fldCharType="begin"/>
      </w:r>
      <w:r w:rsidR="00443010">
        <w:instrText xml:space="preserve"> SEQ Table_III. \* ARABIC \s 2 </w:instrText>
      </w:r>
      <w:r w:rsidR="00443010">
        <w:fldChar w:fldCharType="separate"/>
      </w:r>
      <w:r w:rsidR="000A0E3D">
        <w:rPr>
          <w:noProof/>
        </w:rPr>
        <w:t>2</w:t>
      </w:r>
      <w:r w:rsidR="00443010">
        <w:rPr>
          <w:noProof/>
        </w:rPr>
        <w:fldChar w:fldCharType="end"/>
      </w:r>
      <w:bookmarkEnd w:id="271"/>
      <w:r w:rsidRPr="008A0BB7">
        <w:t xml:space="preserve"> TON of the DODH in glycerol : benzene solvent mixture</w:t>
      </w:r>
      <w:bookmarkEnd w:id="272"/>
      <w:r w:rsidRPr="008A0BB7">
        <w:t xml:space="preserve"> </w:t>
      </w:r>
    </w:p>
    <w:tbl>
      <w:tblPr>
        <w:tblW w:w="0" w:type="auto"/>
        <w:jc w:val="center"/>
        <w:tblCellMar>
          <w:left w:w="0" w:type="dxa"/>
          <w:right w:w="0" w:type="dxa"/>
        </w:tblCellMar>
        <w:tblLook w:val="0600" w:firstRow="0" w:lastRow="0" w:firstColumn="0" w:lastColumn="0" w:noHBand="1" w:noVBand="1"/>
      </w:tblPr>
      <w:tblGrid>
        <w:gridCol w:w="1260"/>
        <w:gridCol w:w="1872"/>
        <w:gridCol w:w="2016"/>
        <w:gridCol w:w="864"/>
      </w:tblGrid>
      <w:tr w:rsidR="00A25FD4" w:rsidRPr="00E47369" w14:paraId="5E43E99A" w14:textId="77777777" w:rsidTr="00A25FD4">
        <w:trPr>
          <w:trHeight w:val="432"/>
          <w:jc w:val="center"/>
        </w:trPr>
        <w:tc>
          <w:tcPr>
            <w:tcW w:w="1260" w:type="dxa"/>
            <w:tcBorders>
              <w:top w:val="nil"/>
              <w:left w:val="nil"/>
              <w:bottom w:val="single" w:sz="12" w:space="0" w:color="000000" w:themeColor="text1"/>
              <w:right w:val="single" w:sz="12" w:space="0" w:color="000000" w:themeColor="text1"/>
            </w:tcBorders>
            <w:shd w:val="clear" w:color="auto" w:fill="auto"/>
            <w:tcMar>
              <w:top w:w="15" w:type="dxa"/>
              <w:left w:w="14" w:type="dxa"/>
              <w:bottom w:w="0" w:type="dxa"/>
              <w:right w:w="14" w:type="dxa"/>
            </w:tcMar>
            <w:vAlign w:val="center"/>
            <w:hideMark/>
          </w:tcPr>
          <w:p w14:paraId="201B7666" w14:textId="77777777" w:rsidR="00A25FD4" w:rsidRPr="00E47369" w:rsidRDefault="00A25FD4" w:rsidP="00FD2A1C">
            <w:pPr>
              <w:spacing w:line="276" w:lineRule="auto"/>
              <w:jc w:val="center"/>
              <w:rPr>
                <w:rFonts w:cstheme="minorHAnsi"/>
                <w:szCs w:val="36"/>
              </w:rPr>
            </w:pPr>
            <w:r w:rsidRPr="00E47369">
              <w:rPr>
                <w:rFonts w:cstheme="minorHAnsi"/>
                <w:szCs w:val="36"/>
              </w:rPr>
              <w:t>entry</w:t>
            </w:r>
          </w:p>
        </w:tc>
        <w:tc>
          <w:tcPr>
            <w:tcW w:w="1872" w:type="dxa"/>
            <w:tcBorders>
              <w:top w:val="nil"/>
              <w:left w:val="single" w:sz="12" w:space="0" w:color="000000" w:themeColor="text1"/>
              <w:bottom w:val="single" w:sz="12" w:space="0" w:color="000000" w:themeColor="text1"/>
              <w:right w:val="nil"/>
            </w:tcBorders>
            <w:shd w:val="clear" w:color="auto" w:fill="auto"/>
            <w:tcMar>
              <w:top w:w="15" w:type="dxa"/>
              <w:left w:w="14" w:type="dxa"/>
              <w:bottom w:w="0" w:type="dxa"/>
              <w:right w:w="14" w:type="dxa"/>
            </w:tcMar>
            <w:vAlign w:val="center"/>
            <w:hideMark/>
          </w:tcPr>
          <w:p w14:paraId="5899E3E5" w14:textId="77777777" w:rsidR="00A25FD4" w:rsidRPr="00E47369" w:rsidRDefault="00A25FD4" w:rsidP="00FD2A1C">
            <w:pPr>
              <w:spacing w:line="276" w:lineRule="auto"/>
              <w:jc w:val="center"/>
              <w:textAlignment w:val="center"/>
              <w:rPr>
                <w:rFonts w:cstheme="minorHAnsi"/>
                <w:szCs w:val="36"/>
              </w:rPr>
            </w:pPr>
            <w:r w:rsidRPr="00E47369">
              <w:rPr>
                <w:rFonts w:cstheme="minorHAnsi"/>
                <w:color w:val="000000"/>
                <w:kern w:val="24"/>
                <w:szCs w:val="28"/>
              </w:rPr>
              <w:t>Reducing Agent</w:t>
            </w:r>
          </w:p>
        </w:tc>
        <w:tc>
          <w:tcPr>
            <w:tcW w:w="2016" w:type="dxa"/>
            <w:tcBorders>
              <w:top w:val="nil"/>
              <w:left w:val="nil"/>
              <w:bottom w:val="single" w:sz="12" w:space="0" w:color="000000" w:themeColor="text1"/>
              <w:right w:val="nil"/>
            </w:tcBorders>
            <w:shd w:val="clear" w:color="auto" w:fill="auto"/>
            <w:tcMar>
              <w:top w:w="15" w:type="dxa"/>
              <w:left w:w="14" w:type="dxa"/>
              <w:bottom w:w="0" w:type="dxa"/>
              <w:right w:w="14" w:type="dxa"/>
            </w:tcMar>
            <w:vAlign w:val="center"/>
            <w:hideMark/>
          </w:tcPr>
          <w:p w14:paraId="22C8B4EA" w14:textId="77777777" w:rsidR="00A25FD4" w:rsidRPr="00E47369" w:rsidRDefault="00A25FD4" w:rsidP="00FD2A1C">
            <w:pPr>
              <w:spacing w:line="276" w:lineRule="auto"/>
              <w:jc w:val="center"/>
              <w:textAlignment w:val="center"/>
              <w:rPr>
                <w:rFonts w:cstheme="minorHAnsi"/>
                <w:szCs w:val="36"/>
              </w:rPr>
            </w:pPr>
            <w:r w:rsidRPr="00E47369">
              <w:rPr>
                <w:rFonts w:cstheme="minorHAnsi"/>
                <w:color w:val="000000"/>
                <w:kern w:val="24"/>
                <w:szCs w:val="28"/>
              </w:rPr>
              <w:t>mmol of allyl alcohol</w:t>
            </w:r>
          </w:p>
        </w:tc>
        <w:tc>
          <w:tcPr>
            <w:tcW w:w="864" w:type="dxa"/>
            <w:tcBorders>
              <w:top w:val="nil"/>
              <w:left w:val="nil"/>
              <w:bottom w:val="single" w:sz="12" w:space="0" w:color="000000" w:themeColor="text1"/>
              <w:right w:val="nil"/>
            </w:tcBorders>
            <w:shd w:val="clear" w:color="auto" w:fill="auto"/>
            <w:tcMar>
              <w:top w:w="15" w:type="dxa"/>
              <w:left w:w="14" w:type="dxa"/>
              <w:bottom w:w="0" w:type="dxa"/>
              <w:right w:w="14" w:type="dxa"/>
            </w:tcMar>
            <w:vAlign w:val="center"/>
            <w:hideMark/>
          </w:tcPr>
          <w:p w14:paraId="08D13DFE" w14:textId="77777777" w:rsidR="00A25FD4" w:rsidRPr="00E47369" w:rsidRDefault="00A25FD4" w:rsidP="00FD2A1C">
            <w:pPr>
              <w:spacing w:line="276" w:lineRule="auto"/>
              <w:jc w:val="center"/>
              <w:textAlignment w:val="center"/>
              <w:rPr>
                <w:rFonts w:cstheme="minorHAnsi"/>
                <w:szCs w:val="36"/>
              </w:rPr>
            </w:pPr>
            <w:r w:rsidRPr="00E47369">
              <w:rPr>
                <w:rFonts w:cstheme="minorHAnsi"/>
                <w:color w:val="000000"/>
                <w:kern w:val="24"/>
                <w:szCs w:val="28"/>
              </w:rPr>
              <w:t>TON</w:t>
            </w:r>
          </w:p>
        </w:tc>
      </w:tr>
      <w:tr w:rsidR="00A25FD4" w:rsidRPr="00E47369" w14:paraId="3C1A9293" w14:textId="77777777" w:rsidTr="00A25FD4">
        <w:trPr>
          <w:trHeight w:val="432"/>
          <w:jc w:val="center"/>
        </w:trPr>
        <w:tc>
          <w:tcPr>
            <w:tcW w:w="1260" w:type="dxa"/>
            <w:tcBorders>
              <w:top w:val="single" w:sz="12" w:space="0" w:color="000000" w:themeColor="text1"/>
              <w:left w:val="nil"/>
              <w:bottom w:val="single" w:sz="2" w:space="0" w:color="808080" w:themeColor="background1" w:themeShade="80"/>
              <w:right w:val="single" w:sz="12" w:space="0" w:color="000000" w:themeColor="text1"/>
            </w:tcBorders>
            <w:shd w:val="clear" w:color="auto" w:fill="auto"/>
            <w:tcMar>
              <w:top w:w="15" w:type="dxa"/>
              <w:left w:w="14" w:type="dxa"/>
              <w:bottom w:w="0" w:type="dxa"/>
              <w:right w:w="14" w:type="dxa"/>
            </w:tcMar>
            <w:vAlign w:val="center"/>
            <w:hideMark/>
          </w:tcPr>
          <w:p w14:paraId="6E6598DA" w14:textId="77777777" w:rsidR="00A25FD4" w:rsidRPr="00E47369" w:rsidRDefault="00A25FD4" w:rsidP="00F26849">
            <w:pPr>
              <w:jc w:val="center"/>
              <w:textAlignment w:val="center"/>
              <w:rPr>
                <w:rFonts w:cstheme="minorHAnsi"/>
                <w:szCs w:val="36"/>
              </w:rPr>
            </w:pPr>
            <w:r w:rsidRPr="00E47369">
              <w:rPr>
                <w:rFonts w:cstheme="minorHAnsi"/>
                <w:color w:val="000000"/>
                <w:kern w:val="24"/>
                <w:szCs w:val="28"/>
              </w:rPr>
              <w:t>III.</w:t>
            </w:r>
            <w:r w:rsidR="00F26849" w:rsidRPr="00E47369">
              <w:rPr>
                <w:rFonts w:cstheme="minorHAnsi"/>
                <w:color w:val="000000"/>
                <w:kern w:val="24"/>
                <w:szCs w:val="28"/>
              </w:rPr>
              <w:t>3</w:t>
            </w:r>
            <w:r w:rsidRPr="00E47369">
              <w:rPr>
                <w:rFonts w:cstheme="minorHAnsi"/>
                <w:color w:val="000000"/>
                <w:kern w:val="24"/>
                <w:szCs w:val="28"/>
              </w:rPr>
              <w:t>.2.1</w:t>
            </w:r>
          </w:p>
        </w:tc>
        <w:tc>
          <w:tcPr>
            <w:tcW w:w="1872" w:type="dxa"/>
            <w:tcBorders>
              <w:top w:val="single" w:sz="12" w:space="0" w:color="000000" w:themeColor="text1"/>
              <w:left w:val="single" w:sz="12" w:space="0" w:color="000000" w:themeColor="text1"/>
              <w:bottom w:val="single" w:sz="2" w:space="0" w:color="808080" w:themeColor="background1" w:themeShade="80"/>
              <w:right w:val="single" w:sz="4" w:space="0" w:color="FFFFFF" w:themeColor="background1"/>
            </w:tcBorders>
            <w:shd w:val="clear" w:color="auto" w:fill="auto"/>
            <w:tcMar>
              <w:top w:w="15" w:type="dxa"/>
              <w:left w:w="14" w:type="dxa"/>
              <w:bottom w:w="0" w:type="dxa"/>
              <w:right w:w="14" w:type="dxa"/>
            </w:tcMar>
            <w:vAlign w:val="center"/>
            <w:hideMark/>
          </w:tcPr>
          <w:p w14:paraId="4AA5D037" w14:textId="77777777" w:rsidR="00A25FD4" w:rsidRPr="00E47369" w:rsidRDefault="00A25FD4" w:rsidP="00A25FD4">
            <w:pPr>
              <w:jc w:val="center"/>
              <w:textAlignment w:val="center"/>
              <w:rPr>
                <w:rFonts w:cstheme="minorHAnsi"/>
                <w:szCs w:val="36"/>
              </w:rPr>
            </w:pPr>
            <w:r w:rsidRPr="00E47369">
              <w:rPr>
                <w:rFonts w:cstheme="minorHAnsi"/>
                <w:color w:val="000000"/>
                <w:kern w:val="24"/>
                <w:szCs w:val="28"/>
              </w:rPr>
              <w:t>SnCl</w:t>
            </w:r>
            <w:r w:rsidRPr="00E47369">
              <w:rPr>
                <w:rFonts w:cstheme="minorHAnsi"/>
                <w:color w:val="000000"/>
                <w:kern w:val="24"/>
                <w:szCs w:val="28"/>
                <w:vertAlign w:val="subscript"/>
              </w:rPr>
              <w:t>2</w:t>
            </w:r>
          </w:p>
        </w:tc>
        <w:tc>
          <w:tcPr>
            <w:tcW w:w="2016" w:type="dxa"/>
            <w:tcBorders>
              <w:top w:val="single" w:sz="12" w:space="0" w:color="000000" w:themeColor="text1"/>
              <w:left w:val="single" w:sz="4" w:space="0" w:color="FFFFFF" w:themeColor="background1"/>
              <w:bottom w:val="single" w:sz="2" w:space="0" w:color="808080" w:themeColor="background1" w:themeShade="80"/>
            </w:tcBorders>
            <w:shd w:val="clear" w:color="auto" w:fill="auto"/>
            <w:tcMar>
              <w:top w:w="15" w:type="dxa"/>
              <w:left w:w="14" w:type="dxa"/>
              <w:bottom w:w="0" w:type="dxa"/>
              <w:right w:w="14" w:type="dxa"/>
            </w:tcMar>
            <w:vAlign w:val="center"/>
          </w:tcPr>
          <w:p w14:paraId="5631B2E8" w14:textId="77777777" w:rsidR="00A25FD4" w:rsidRPr="00E47369" w:rsidRDefault="00A25FD4" w:rsidP="00A25FD4">
            <w:pPr>
              <w:jc w:val="center"/>
              <w:textAlignment w:val="center"/>
              <w:rPr>
                <w:rFonts w:cstheme="minorHAnsi"/>
                <w:szCs w:val="36"/>
              </w:rPr>
            </w:pPr>
            <w:r w:rsidRPr="00E47369">
              <w:rPr>
                <w:rFonts w:cstheme="minorHAnsi"/>
                <w:szCs w:val="36"/>
              </w:rPr>
              <w:t>1.2</w:t>
            </w:r>
          </w:p>
        </w:tc>
        <w:tc>
          <w:tcPr>
            <w:tcW w:w="864" w:type="dxa"/>
            <w:tcBorders>
              <w:top w:val="single" w:sz="12" w:space="0" w:color="000000" w:themeColor="text1"/>
              <w:bottom w:val="single" w:sz="2" w:space="0" w:color="808080" w:themeColor="background1" w:themeShade="80"/>
            </w:tcBorders>
            <w:shd w:val="clear" w:color="auto" w:fill="auto"/>
            <w:tcMar>
              <w:top w:w="15" w:type="dxa"/>
              <w:left w:w="14" w:type="dxa"/>
              <w:bottom w:w="0" w:type="dxa"/>
              <w:right w:w="14" w:type="dxa"/>
            </w:tcMar>
            <w:vAlign w:val="center"/>
            <w:hideMark/>
          </w:tcPr>
          <w:p w14:paraId="4BA961D2" w14:textId="77777777" w:rsidR="00A25FD4" w:rsidRPr="00E47369" w:rsidRDefault="00A25FD4" w:rsidP="00A25FD4">
            <w:pPr>
              <w:jc w:val="center"/>
              <w:textAlignment w:val="center"/>
              <w:rPr>
                <w:rFonts w:cstheme="minorHAnsi"/>
                <w:szCs w:val="36"/>
              </w:rPr>
            </w:pPr>
            <w:r w:rsidRPr="00E47369">
              <w:rPr>
                <w:rFonts w:cstheme="minorHAnsi"/>
                <w:color w:val="000000"/>
                <w:kern w:val="24"/>
                <w:szCs w:val="28"/>
              </w:rPr>
              <w:t>24</w:t>
            </w:r>
          </w:p>
        </w:tc>
      </w:tr>
      <w:tr w:rsidR="00A25FD4" w:rsidRPr="00E47369" w14:paraId="2EDCB841" w14:textId="77777777" w:rsidTr="00A25FD4">
        <w:trPr>
          <w:trHeight w:val="432"/>
          <w:jc w:val="center"/>
        </w:trPr>
        <w:tc>
          <w:tcPr>
            <w:tcW w:w="1260" w:type="dxa"/>
            <w:tcBorders>
              <w:top w:val="single" w:sz="2" w:space="0" w:color="808080" w:themeColor="background1" w:themeShade="80"/>
              <w:left w:val="nil"/>
              <w:bottom w:val="single" w:sz="2" w:space="0" w:color="808080" w:themeColor="background1" w:themeShade="80"/>
              <w:right w:val="single" w:sz="12" w:space="0" w:color="000000" w:themeColor="text1"/>
            </w:tcBorders>
            <w:shd w:val="clear" w:color="auto" w:fill="auto"/>
            <w:tcMar>
              <w:top w:w="15" w:type="dxa"/>
              <w:left w:w="14" w:type="dxa"/>
              <w:bottom w:w="0" w:type="dxa"/>
              <w:right w:w="14" w:type="dxa"/>
            </w:tcMar>
            <w:vAlign w:val="center"/>
            <w:hideMark/>
          </w:tcPr>
          <w:p w14:paraId="6275F0B6" w14:textId="77777777" w:rsidR="00A25FD4" w:rsidRPr="00E47369" w:rsidRDefault="00A25FD4" w:rsidP="00F26849">
            <w:pPr>
              <w:jc w:val="center"/>
              <w:textAlignment w:val="center"/>
              <w:rPr>
                <w:rFonts w:cstheme="minorHAnsi"/>
                <w:szCs w:val="36"/>
              </w:rPr>
            </w:pPr>
            <w:r w:rsidRPr="00E47369">
              <w:rPr>
                <w:rFonts w:cstheme="minorHAnsi"/>
                <w:color w:val="000000"/>
                <w:kern w:val="24"/>
                <w:szCs w:val="28"/>
              </w:rPr>
              <w:t>III.</w:t>
            </w:r>
            <w:r w:rsidR="00F26849" w:rsidRPr="00E47369">
              <w:rPr>
                <w:rFonts w:cstheme="minorHAnsi"/>
                <w:color w:val="000000"/>
                <w:kern w:val="24"/>
                <w:szCs w:val="28"/>
              </w:rPr>
              <w:t>3</w:t>
            </w:r>
            <w:r w:rsidRPr="00E47369">
              <w:rPr>
                <w:rFonts w:cstheme="minorHAnsi"/>
                <w:color w:val="000000"/>
                <w:kern w:val="24"/>
                <w:szCs w:val="28"/>
              </w:rPr>
              <w:t>.2.2</w:t>
            </w:r>
          </w:p>
        </w:tc>
        <w:tc>
          <w:tcPr>
            <w:tcW w:w="1872" w:type="dxa"/>
            <w:tcBorders>
              <w:top w:val="single" w:sz="2" w:space="0" w:color="808080" w:themeColor="background1" w:themeShade="80"/>
              <w:left w:val="single" w:sz="12" w:space="0" w:color="000000" w:themeColor="text1"/>
              <w:bottom w:val="single" w:sz="2" w:space="0" w:color="808080" w:themeColor="background1" w:themeShade="80"/>
              <w:right w:val="single" w:sz="4" w:space="0" w:color="FFFFFF" w:themeColor="background1"/>
            </w:tcBorders>
            <w:shd w:val="clear" w:color="auto" w:fill="auto"/>
            <w:vAlign w:val="center"/>
            <w:hideMark/>
          </w:tcPr>
          <w:p w14:paraId="61A051C1" w14:textId="77777777" w:rsidR="00A25FD4" w:rsidRPr="00E47369" w:rsidRDefault="00A25FD4" w:rsidP="00A25FD4">
            <w:pPr>
              <w:jc w:val="center"/>
              <w:rPr>
                <w:rFonts w:cstheme="minorHAnsi"/>
                <w:szCs w:val="36"/>
              </w:rPr>
            </w:pPr>
            <w:r w:rsidRPr="00E47369">
              <w:rPr>
                <w:rFonts w:cstheme="minorHAnsi"/>
                <w:szCs w:val="36"/>
              </w:rPr>
              <w:t>none</w:t>
            </w:r>
          </w:p>
        </w:tc>
        <w:tc>
          <w:tcPr>
            <w:tcW w:w="2016" w:type="dxa"/>
            <w:tcBorders>
              <w:top w:val="single" w:sz="2" w:space="0" w:color="808080" w:themeColor="background1" w:themeShade="80"/>
              <w:left w:val="single" w:sz="4" w:space="0" w:color="FFFFFF" w:themeColor="background1"/>
              <w:bottom w:val="single" w:sz="2" w:space="0" w:color="808080" w:themeColor="background1" w:themeShade="80"/>
            </w:tcBorders>
            <w:shd w:val="clear" w:color="auto" w:fill="auto"/>
            <w:tcMar>
              <w:top w:w="15" w:type="dxa"/>
              <w:left w:w="14" w:type="dxa"/>
              <w:bottom w:w="0" w:type="dxa"/>
              <w:right w:w="14" w:type="dxa"/>
            </w:tcMar>
            <w:vAlign w:val="center"/>
          </w:tcPr>
          <w:p w14:paraId="5E6D3892" w14:textId="77777777" w:rsidR="00A25FD4" w:rsidRPr="00E47369" w:rsidRDefault="00A25FD4" w:rsidP="00A25FD4">
            <w:pPr>
              <w:jc w:val="center"/>
              <w:textAlignment w:val="center"/>
              <w:rPr>
                <w:rFonts w:cstheme="minorHAnsi"/>
                <w:szCs w:val="36"/>
              </w:rPr>
            </w:pPr>
            <w:r w:rsidRPr="00E47369">
              <w:rPr>
                <w:rFonts w:cstheme="minorHAnsi"/>
                <w:szCs w:val="36"/>
              </w:rPr>
              <w:t>0.74</w:t>
            </w:r>
          </w:p>
        </w:tc>
        <w:tc>
          <w:tcPr>
            <w:tcW w:w="864" w:type="dxa"/>
            <w:tcBorders>
              <w:top w:val="single" w:sz="2" w:space="0" w:color="808080" w:themeColor="background1" w:themeShade="80"/>
              <w:bottom w:val="single" w:sz="2" w:space="0" w:color="808080" w:themeColor="background1" w:themeShade="80"/>
            </w:tcBorders>
            <w:shd w:val="clear" w:color="auto" w:fill="auto"/>
            <w:tcMar>
              <w:top w:w="15" w:type="dxa"/>
              <w:left w:w="14" w:type="dxa"/>
              <w:bottom w:w="0" w:type="dxa"/>
              <w:right w:w="14" w:type="dxa"/>
            </w:tcMar>
            <w:vAlign w:val="center"/>
            <w:hideMark/>
          </w:tcPr>
          <w:p w14:paraId="1F20229E" w14:textId="77777777" w:rsidR="00A25FD4" w:rsidRPr="00E47369" w:rsidRDefault="00A25FD4" w:rsidP="00A25FD4">
            <w:pPr>
              <w:jc w:val="center"/>
              <w:textAlignment w:val="center"/>
              <w:rPr>
                <w:rFonts w:cstheme="minorHAnsi"/>
                <w:szCs w:val="36"/>
              </w:rPr>
            </w:pPr>
            <w:r w:rsidRPr="00E47369">
              <w:rPr>
                <w:rFonts w:cstheme="minorHAnsi"/>
                <w:color w:val="000000"/>
                <w:kern w:val="24"/>
                <w:szCs w:val="28"/>
              </w:rPr>
              <w:t>15</w:t>
            </w:r>
          </w:p>
        </w:tc>
      </w:tr>
      <w:tr w:rsidR="00A25FD4" w:rsidRPr="00E47369" w14:paraId="573650A7" w14:textId="77777777" w:rsidTr="00A25FD4">
        <w:trPr>
          <w:trHeight w:val="432"/>
          <w:jc w:val="center"/>
        </w:trPr>
        <w:tc>
          <w:tcPr>
            <w:tcW w:w="1260" w:type="dxa"/>
            <w:tcBorders>
              <w:top w:val="single" w:sz="2" w:space="0" w:color="808080" w:themeColor="background1" w:themeShade="80"/>
              <w:left w:val="nil"/>
              <w:right w:val="single" w:sz="12" w:space="0" w:color="000000" w:themeColor="text1"/>
            </w:tcBorders>
            <w:shd w:val="clear" w:color="auto" w:fill="auto"/>
            <w:tcMar>
              <w:top w:w="15" w:type="dxa"/>
              <w:left w:w="14" w:type="dxa"/>
              <w:bottom w:w="0" w:type="dxa"/>
              <w:right w:w="14" w:type="dxa"/>
            </w:tcMar>
            <w:vAlign w:val="center"/>
            <w:hideMark/>
          </w:tcPr>
          <w:p w14:paraId="64955992" w14:textId="77777777" w:rsidR="00A25FD4" w:rsidRPr="00E47369" w:rsidRDefault="00A25FD4" w:rsidP="00F26849">
            <w:pPr>
              <w:jc w:val="center"/>
              <w:textAlignment w:val="center"/>
              <w:rPr>
                <w:rFonts w:cstheme="minorHAnsi"/>
                <w:szCs w:val="36"/>
              </w:rPr>
            </w:pPr>
            <w:r w:rsidRPr="00E47369">
              <w:rPr>
                <w:rFonts w:cstheme="minorHAnsi"/>
                <w:color w:val="000000"/>
                <w:kern w:val="24"/>
                <w:szCs w:val="28"/>
              </w:rPr>
              <w:t>III.</w:t>
            </w:r>
            <w:r w:rsidR="00F26849" w:rsidRPr="00E47369">
              <w:rPr>
                <w:rFonts w:cstheme="minorHAnsi"/>
                <w:color w:val="000000"/>
                <w:kern w:val="24"/>
                <w:szCs w:val="28"/>
              </w:rPr>
              <w:t>3</w:t>
            </w:r>
            <w:r w:rsidRPr="00E47369">
              <w:rPr>
                <w:rFonts w:cstheme="minorHAnsi"/>
                <w:color w:val="000000"/>
                <w:kern w:val="24"/>
                <w:szCs w:val="28"/>
              </w:rPr>
              <w:t>.2.3</w:t>
            </w:r>
          </w:p>
        </w:tc>
        <w:tc>
          <w:tcPr>
            <w:tcW w:w="1872" w:type="dxa"/>
            <w:tcBorders>
              <w:top w:val="single" w:sz="2" w:space="0" w:color="808080" w:themeColor="background1" w:themeShade="80"/>
              <w:left w:val="single" w:sz="12" w:space="0" w:color="000000" w:themeColor="text1"/>
              <w:right w:val="single" w:sz="4" w:space="0" w:color="FFFFFF" w:themeColor="background1"/>
            </w:tcBorders>
            <w:shd w:val="clear" w:color="auto" w:fill="auto"/>
            <w:tcMar>
              <w:top w:w="15" w:type="dxa"/>
              <w:left w:w="14" w:type="dxa"/>
              <w:bottom w:w="0" w:type="dxa"/>
              <w:right w:w="14" w:type="dxa"/>
            </w:tcMar>
            <w:vAlign w:val="center"/>
            <w:hideMark/>
          </w:tcPr>
          <w:p w14:paraId="509A2C93" w14:textId="77777777" w:rsidR="00A25FD4" w:rsidRPr="00E47369" w:rsidRDefault="00A25FD4" w:rsidP="00A25FD4">
            <w:pPr>
              <w:jc w:val="center"/>
              <w:textAlignment w:val="center"/>
              <w:rPr>
                <w:rFonts w:cstheme="minorHAnsi"/>
                <w:szCs w:val="36"/>
              </w:rPr>
            </w:pPr>
            <w:r w:rsidRPr="00E47369">
              <w:rPr>
                <w:rFonts w:cstheme="minorHAnsi"/>
                <w:color w:val="000000"/>
                <w:kern w:val="24"/>
                <w:szCs w:val="28"/>
              </w:rPr>
              <w:t>BnOH</w:t>
            </w:r>
          </w:p>
        </w:tc>
        <w:tc>
          <w:tcPr>
            <w:tcW w:w="2016" w:type="dxa"/>
            <w:tcBorders>
              <w:top w:val="single" w:sz="2" w:space="0" w:color="808080" w:themeColor="background1" w:themeShade="80"/>
              <w:left w:val="single" w:sz="4" w:space="0" w:color="FFFFFF" w:themeColor="background1"/>
            </w:tcBorders>
            <w:shd w:val="clear" w:color="auto" w:fill="auto"/>
            <w:tcMar>
              <w:top w:w="15" w:type="dxa"/>
              <w:left w:w="14" w:type="dxa"/>
              <w:bottom w:w="0" w:type="dxa"/>
              <w:right w:w="14" w:type="dxa"/>
            </w:tcMar>
            <w:vAlign w:val="center"/>
          </w:tcPr>
          <w:p w14:paraId="45ACEAE1" w14:textId="77777777" w:rsidR="00A25FD4" w:rsidRPr="00E47369" w:rsidRDefault="00A25FD4" w:rsidP="00A25FD4">
            <w:pPr>
              <w:jc w:val="center"/>
              <w:textAlignment w:val="center"/>
              <w:rPr>
                <w:rFonts w:cstheme="minorHAnsi"/>
                <w:szCs w:val="36"/>
              </w:rPr>
            </w:pPr>
            <w:r w:rsidRPr="00E47369">
              <w:rPr>
                <w:rFonts w:cstheme="minorHAnsi"/>
                <w:szCs w:val="36"/>
              </w:rPr>
              <w:t>0.87</w:t>
            </w:r>
          </w:p>
        </w:tc>
        <w:tc>
          <w:tcPr>
            <w:tcW w:w="864" w:type="dxa"/>
            <w:tcBorders>
              <w:top w:val="single" w:sz="2" w:space="0" w:color="808080" w:themeColor="background1" w:themeShade="80"/>
            </w:tcBorders>
            <w:shd w:val="clear" w:color="auto" w:fill="auto"/>
            <w:tcMar>
              <w:top w:w="15" w:type="dxa"/>
              <w:left w:w="14" w:type="dxa"/>
              <w:bottom w:w="0" w:type="dxa"/>
              <w:right w:w="14" w:type="dxa"/>
            </w:tcMar>
            <w:vAlign w:val="center"/>
            <w:hideMark/>
          </w:tcPr>
          <w:p w14:paraId="15BB8DA9" w14:textId="77777777" w:rsidR="00A25FD4" w:rsidRPr="00E47369" w:rsidRDefault="00A25FD4" w:rsidP="00A25FD4">
            <w:pPr>
              <w:jc w:val="center"/>
              <w:textAlignment w:val="center"/>
              <w:rPr>
                <w:rFonts w:cstheme="minorHAnsi"/>
                <w:szCs w:val="36"/>
              </w:rPr>
            </w:pPr>
            <w:r w:rsidRPr="00E47369">
              <w:rPr>
                <w:rFonts w:cstheme="minorHAnsi"/>
                <w:color w:val="000000"/>
                <w:kern w:val="24"/>
                <w:szCs w:val="28"/>
              </w:rPr>
              <w:t>17</w:t>
            </w:r>
          </w:p>
        </w:tc>
      </w:tr>
    </w:tbl>
    <w:p w14:paraId="59C102B7" w14:textId="77777777" w:rsidR="00A25FD4" w:rsidRPr="00E47369" w:rsidRDefault="00A25FD4" w:rsidP="00A25FD4">
      <w:pPr>
        <w:ind w:firstLine="360"/>
        <w:jc w:val="both"/>
        <w:rPr>
          <w:rFonts w:cstheme="minorHAnsi"/>
        </w:rPr>
      </w:pPr>
    </w:p>
    <w:p w14:paraId="5C91FD79" w14:textId="77777777" w:rsidR="00A25FD4" w:rsidRDefault="00A25FD4" w:rsidP="00A25FD4">
      <w:pPr>
        <w:ind w:firstLine="360"/>
        <w:jc w:val="both"/>
        <w:rPr>
          <w:rFonts w:cstheme="minorHAnsi"/>
        </w:rPr>
      </w:pPr>
      <w:r w:rsidRPr="00E47369">
        <w:rPr>
          <w:rFonts w:cstheme="minorHAnsi"/>
        </w:rPr>
        <w:t xml:space="preserve">We </w:t>
      </w:r>
      <w:r w:rsidR="00F05BFF">
        <w:rPr>
          <w:rFonts w:cstheme="minorHAnsi"/>
        </w:rPr>
        <w:t>conducted</w:t>
      </w:r>
      <w:r w:rsidRPr="00E47369">
        <w:rPr>
          <w:rFonts w:cstheme="minorHAnsi"/>
        </w:rPr>
        <w:t xml:space="preserve"> the same reaction using benzyl alcohol as reducing agent (Entry </w:t>
      </w:r>
      <w:r w:rsidR="002757BB" w:rsidRPr="00E47369">
        <w:rPr>
          <w:rFonts w:cstheme="minorHAnsi"/>
        </w:rPr>
        <w:t>III.2.3</w:t>
      </w:r>
      <w:r w:rsidRPr="00E47369">
        <w:rPr>
          <w:rFonts w:cstheme="minorHAnsi"/>
        </w:rPr>
        <w:t>). By NMR we detected 0.87 mmol of allyl alcohol, which corresponds to a TON of 17. This is a slightly higher TON than without additional reducing agent, but lower than when we used SnCl</w:t>
      </w:r>
      <w:r w:rsidRPr="00E47369">
        <w:rPr>
          <w:rFonts w:cstheme="minorHAnsi"/>
          <w:vertAlign w:val="subscript"/>
        </w:rPr>
        <w:t>2</w:t>
      </w:r>
      <w:r w:rsidRPr="00E47369">
        <w:rPr>
          <w:rFonts w:cstheme="minorHAnsi"/>
        </w:rPr>
        <w:t xml:space="preserve"> as reducing agent. In the case of benzyl alcohol we can observe its product benzaldehyde in the NMR (singlet at 10.0 pm and doublet at 8.0 ppm) and the quantity detected for this reaction was &lt;0.1 mmol, which means clearly that benzyl alcohol was not the primary reducing agent in this DODH reaction.</w:t>
      </w:r>
    </w:p>
    <w:p w14:paraId="67B5E060" w14:textId="77777777" w:rsidR="00367301" w:rsidRPr="00E47369" w:rsidRDefault="00367301" w:rsidP="00A25FD4">
      <w:pPr>
        <w:ind w:firstLine="360"/>
        <w:jc w:val="both"/>
        <w:rPr>
          <w:rFonts w:cstheme="minorHAnsi"/>
        </w:rPr>
      </w:pPr>
    </w:p>
    <w:p w14:paraId="476D9F69" w14:textId="77777777" w:rsidR="00A25FD4" w:rsidRPr="00E47369" w:rsidRDefault="00A25FD4" w:rsidP="00A25FD4">
      <w:pPr>
        <w:keepNext/>
        <w:jc w:val="center"/>
        <w:rPr>
          <w:rFonts w:cstheme="minorHAnsi"/>
        </w:rPr>
      </w:pPr>
      <w:r w:rsidRPr="00E47369">
        <w:rPr>
          <w:rFonts w:cstheme="minorHAnsi"/>
        </w:rPr>
        <w:object w:dxaOrig="8595" w:dyaOrig="1202" w14:anchorId="12BDD196">
          <v:shape id="_x0000_i1120" type="#_x0000_t75" style="width:365.55pt;height:51.45pt" o:ole="">
            <v:imagedata r:id="rId263" o:title=""/>
          </v:shape>
          <o:OLEObject Type="Embed" ProgID="ChemDraw.Document.6.0" ShapeID="_x0000_i1120" DrawAspect="Content" ObjectID="_1532784963" r:id="rId264"/>
        </w:object>
      </w:r>
    </w:p>
    <w:p w14:paraId="5389657F" w14:textId="77777777" w:rsidR="00A25FD4" w:rsidRPr="008A0BB7" w:rsidRDefault="00A25FD4" w:rsidP="008A0BB7">
      <w:pPr>
        <w:pStyle w:val="Caption"/>
      </w:pPr>
      <w:bookmarkStart w:id="273" w:name="_Ref454186708"/>
      <w:bookmarkStart w:id="274" w:name="_Toc457670736"/>
      <w:r w:rsidRPr="008A0BB7">
        <w:t xml:space="preserve">Figure III. </w:t>
      </w:r>
      <w:r w:rsidR="00443010">
        <w:fldChar w:fldCharType="begin"/>
      </w:r>
      <w:r w:rsidR="00443010">
        <w:instrText xml:space="preserve"> STYLEREF 2 \s </w:instrText>
      </w:r>
      <w:r w:rsidR="00443010">
        <w:fldChar w:fldCharType="separate"/>
      </w:r>
      <w:r w:rsidR="000A0E3D">
        <w:rPr>
          <w:noProof/>
        </w:rPr>
        <w:t>3</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18</w:t>
      </w:r>
      <w:r w:rsidR="00443010">
        <w:rPr>
          <w:noProof/>
        </w:rPr>
        <w:fldChar w:fldCharType="end"/>
      </w:r>
      <w:bookmarkEnd w:id="273"/>
      <w:r w:rsidRPr="008A0BB7">
        <w:t xml:space="preserve"> Allylation reaction in benzene : glycerol biphasic system</w:t>
      </w:r>
      <w:bookmarkEnd w:id="274"/>
    </w:p>
    <w:p w14:paraId="5907979F" w14:textId="77777777" w:rsidR="00A25FD4" w:rsidRPr="00E47369" w:rsidRDefault="00A25FD4" w:rsidP="00A25FD4">
      <w:pPr>
        <w:rPr>
          <w:rFonts w:cstheme="minorHAnsi"/>
        </w:rPr>
      </w:pPr>
    </w:p>
    <w:p w14:paraId="13508A7A" w14:textId="77777777" w:rsidR="00A25FD4" w:rsidRDefault="00A25FD4" w:rsidP="00973359">
      <w:pPr>
        <w:ind w:firstLine="360"/>
        <w:jc w:val="both"/>
        <w:rPr>
          <w:rFonts w:cstheme="minorHAnsi"/>
        </w:rPr>
      </w:pPr>
      <w:r w:rsidRPr="00E47369">
        <w:rPr>
          <w:rFonts w:cstheme="minorHAnsi"/>
        </w:rPr>
        <w:t>With these results on the DODH step we carried out the allylation reaction in a glycerol : benzene solvent mixture (</w:t>
      </w:r>
      <w:r w:rsidRPr="00E47369">
        <w:rPr>
          <w:rFonts w:cstheme="minorHAnsi"/>
        </w:rPr>
        <w:fldChar w:fldCharType="begin"/>
      </w:r>
      <w:r w:rsidRPr="00E47369">
        <w:rPr>
          <w:rFonts w:cstheme="minorHAnsi"/>
        </w:rPr>
        <w:instrText xml:space="preserve"> REF _Ref454186708 \h </w:instrText>
      </w:r>
      <w:r w:rsidR="00E47369">
        <w:rPr>
          <w:rFonts w:cstheme="minorHAnsi"/>
        </w:rPr>
        <w:instrText xml:space="preserve"> \* MERGEFORMAT </w:instrText>
      </w:r>
      <w:r w:rsidRPr="00E47369">
        <w:rPr>
          <w:rFonts w:cstheme="minorHAnsi"/>
        </w:rPr>
      </w:r>
      <w:r w:rsidRPr="00E47369">
        <w:rPr>
          <w:rFonts w:cstheme="minorHAnsi"/>
        </w:rPr>
        <w:fldChar w:fldCharType="separate"/>
      </w:r>
      <w:r w:rsidR="000A0E3D" w:rsidRPr="000A0E3D">
        <w:rPr>
          <w:rFonts w:cstheme="minorHAnsi"/>
        </w:rPr>
        <w:t xml:space="preserve">Figure III. </w:t>
      </w:r>
      <w:r w:rsidR="000A0E3D" w:rsidRPr="000A0E3D">
        <w:rPr>
          <w:rFonts w:cstheme="minorHAnsi"/>
          <w:noProof/>
        </w:rPr>
        <w:t>3.18</w:t>
      </w:r>
      <w:r w:rsidRPr="00E47369">
        <w:rPr>
          <w:rFonts w:cstheme="minorHAnsi"/>
        </w:rPr>
        <w:fldChar w:fldCharType="end"/>
      </w:r>
      <w:r w:rsidRPr="00E47369">
        <w:rPr>
          <w:rFonts w:cstheme="minorHAnsi"/>
        </w:rPr>
        <w:t>)</w:t>
      </w:r>
      <w:r w:rsidR="00973359">
        <w:rPr>
          <w:rFonts w:cstheme="minorHAnsi"/>
        </w:rPr>
        <w:t xml:space="preserve"> and 3-octanol </w:t>
      </w:r>
      <w:r w:rsidR="00973359" w:rsidRPr="00E47369">
        <w:rPr>
          <w:rFonts w:cstheme="minorHAnsi"/>
        </w:rPr>
        <w:t>(</w:t>
      </w:r>
      <w:r w:rsidR="00973359" w:rsidRPr="00E47369">
        <w:rPr>
          <w:rFonts w:cstheme="minorHAnsi"/>
        </w:rPr>
        <w:fldChar w:fldCharType="begin"/>
      </w:r>
      <w:r w:rsidR="00973359" w:rsidRPr="00E47369">
        <w:rPr>
          <w:rFonts w:cstheme="minorHAnsi"/>
        </w:rPr>
        <w:instrText xml:space="preserve"> REF _Ref454186804 \h </w:instrText>
      </w:r>
      <w:r w:rsidR="00973359">
        <w:rPr>
          <w:rFonts w:cstheme="minorHAnsi"/>
        </w:rPr>
        <w:instrText xml:space="preserve"> \* MERGEFORMAT </w:instrText>
      </w:r>
      <w:r w:rsidR="00973359" w:rsidRPr="00E47369">
        <w:rPr>
          <w:rFonts w:cstheme="minorHAnsi"/>
        </w:rPr>
      </w:r>
      <w:r w:rsidR="00973359" w:rsidRPr="00E47369">
        <w:rPr>
          <w:rFonts w:cstheme="minorHAnsi"/>
        </w:rPr>
        <w:fldChar w:fldCharType="separate"/>
      </w:r>
      <w:r w:rsidR="000A0E3D" w:rsidRPr="000A0E3D">
        <w:rPr>
          <w:rFonts w:cstheme="minorHAnsi"/>
        </w:rPr>
        <w:t xml:space="preserve">Figure III. </w:t>
      </w:r>
      <w:r w:rsidR="000A0E3D" w:rsidRPr="000A0E3D">
        <w:rPr>
          <w:rFonts w:cstheme="minorHAnsi"/>
          <w:noProof/>
        </w:rPr>
        <w:t>3.19</w:t>
      </w:r>
      <w:r w:rsidR="00973359" w:rsidRPr="00E47369">
        <w:rPr>
          <w:rFonts w:cstheme="minorHAnsi"/>
        </w:rPr>
        <w:fldChar w:fldCharType="end"/>
      </w:r>
      <w:r w:rsidR="00973359" w:rsidRPr="00E47369">
        <w:rPr>
          <w:rFonts w:cstheme="minorHAnsi"/>
        </w:rPr>
        <w:t>)</w:t>
      </w:r>
      <w:r w:rsidRPr="00E47369">
        <w:rPr>
          <w:rFonts w:cstheme="minorHAnsi"/>
        </w:rPr>
        <w:t>.</w:t>
      </w:r>
      <w:r w:rsidR="00973359" w:rsidRPr="00973359">
        <w:rPr>
          <w:rFonts w:cstheme="minorHAnsi"/>
        </w:rPr>
        <w:t xml:space="preserve"> </w:t>
      </w:r>
      <w:r w:rsidR="00973359" w:rsidRPr="00E47369">
        <w:rPr>
          <w:rFonts w:cstheme="minorHAnsi"/>
        </w:rPr>
        <w:fldChar w:fldCharType="begin"/>
      </w:r>
      <w:r w:rsidR="00973359" w:rsidRPr="00E47369">
        <w:rPr>
          <w:rFonts w:cstheme="minorHAnsi"/>
        </w:rPr>
        <w:instrText xml:space="preserve"> ADDIN ZOTERO_ITEM CSL_CITATION {"citationID":"1ul2o1cm5n","properties":{"formattedCitation":"{\\rtf \\super 44\\nosupersub{}}","plainCitation":"44"},"citationItems":[{"id":154,"uris":["http://zotero.org/users/1624234/items/9UNQ7VFF"],"uri":["http://zotero.org/users/1624234/items/9UNQ7VFF"],"itemData":{"id":154,"type":"article-journal","title":"Deoxygenation of Biomass-Derived Feedstocks: Oxorhenium-Catalyzed Deoxydehydration of Sugars and Sugar Alcohols","container-title":"Angewandte Chemie International Edition","page":"8082-8086","volume":"51","issue":"32","source":"CrossRef","DOI":"10.1002/anie.201203877","ISSN":"14337851","shortTitle":"Deoxygenation of Biomass-Derived Feedstocks","author":[{"family":"Shiramizu","given":"Mika"},{"family":"Toste","given":"F. Dean"}],"issued":{"date-parts":[["2012",8,6]]}}}],"schema":"https://github.com/citation-style-language/schema/raw/master/csl-citation.json"} </w:instrText>
      </w:r>
      <w:r w:rsidR="00973359" w:rsidRPr="00E47369">
        <w:rPr>
          <w:rFonts w:cstheme="minorHAnsi"/>
        </w:rPr>
        <w:fldChar w:fldCharType="separate"/>
      </w:r>
      <w:r w:rsidR="00973359" w:rsidRPr="00E47369">
        <w:rPr>
          <w:rFonts w:cstheme="minorHAnsi"/>
          <w:vertAlign w:val="superscript"/>
        </w:rPr>
        <w:t>44</w:t>
      </w:r>
      <w:r w:rsidR="00973359" w:rsidRPr="00E47369">
        <w:rPr>
          <w:rFonts w:cstheme="minorHAnsi"/>
        </w:rPr>
        <w:fldChar w:fldCharType="end"/>
      </w:r>
      <w:r w:rsidR="00973359" w:rsidRPr="00E47369">
        <w:rPr>
          <w:rFonts w:cstheme="minorHAnsi"/>
        </w:rPr>
        <w:t xml:space="preserve"> </w:t>
      </w:r>
      <w:r w:rsidR="00973359">
        <w:rPr>
          <w:rFonts w:cstheme="minorHAnsi"/>
        </w:rPr>
        <w:t>We analyzed the reaction mixtures by</w:t>
      </w:r>
      <w:r w:rsidRPr="00E47369">
        <w:rPr>
          <w:rFonts w:cstheme="minorHAnsi"/>
        </w:rPr>
        <w:t xml:space="preserve"> NMR </w:t>
      </w:r>
      <w:r w:rsidR="00973359">
        <w:rPr>
          <w:rFonts w:cstheme="minorHAnsi"/>
        </w:rPr>
        <w:t xml:space="preserve">and </w:t>
      </w:r>
      <w:r w:rsidR="00C91AFA">
        <w:rPr>
          <w:rFonts w:cstheme="minorHAnsi"/>
        </w:rPr>
        <w:t xml:space="preserve">did not find </w:t>
      </w:r>
      <w:r w:rsidRPr="00E47369">
        <w:rPr>
          <w:rFonts w:cstheme="minorHAnsi"/>
        </w:rPr>
        <w:t>sign of allylation product</w:t>
      </w:r>
      <w:r w:rsidR="00C91AFA">
        <w:rPr>
          <w:rFonts w:cstheme="minorHAnsi"/>
        </w:rPr>
        <w:t xml:space="preserve"> in either one of these reactions.</w:t>
      </w:r>
    </w:p>
    <w:p w14:paraId="13DD2A63" w14:textId="77777777" w:rsidR="00367301" w:rsidRPr="00E47369" w:rsidRDefault="00367301" w:rsidP="00A25FD4">
      <w:pPr>
        <w:ind w:firstLine="360"/>
        <w:jc w:val="both"/>
        <w:rPr>
          <w:rFonts w:cstheme="minorHAnsi"/>
        </w:rPr>
      </w:pPr>
    </w:p>
    <w:p w14:paraId="26AFD70E" w14:textId="77777777" w:rsidR="00A25FD4" w:rsidRPr="00E47369" w:rsidRDefault="00A25FD4" w:rsidP="00A25FD4">
      <w:pPr>
        <w:keepNext/>
        <w:jc w:val="center"/>
        <w:rPr>
          <w:rFonts w:cstheme="minorHAnsi"/>
        </w:rPr>
      </w:pPr>
      <w:r w:rsidRPr="00E47369">
        <w:rPr>
          <w:rFonts w:cstheme="minorHAnsi"/>
        </w:rPr>
        <w:object w:dxaOrig="7507" w:dyaOrig="1202" w14:anchorId="171E2263">
          <v:shape id="_x0000_i1121" type="#_x0000_t75" style="width:329.15pt;height:51.45pt" o:ole="">
            <v:imagedata r:id="rId265" o:title=""/>
          </v:shape>
          <o:OLEObject Type="Embed" ProgID="ChemDraw.Document.6.0" ShapeID="_x0000_i1121" DrawAspect="Content" ObjectID="_1532784964" r:id="rId266"/>
        </w:object>
      </w:r>
    </w:p>
    <w:p w14:paraId="42DA0BAD" w14:textId="77777777" w:rsidR="00A25FD4" w:rsidRPr="008A0BB7" w:rsidRDefault="00A25FD4" w:rsidP="008A0BB7">
      <w:pPr>
        <w:pStyle w:val="Caption"/>
      </w:pPr>
      <w:bookmarkStart w:id="275" w:name="_Ref454186804"/>
      <w:bookmarkStart w:id="276" w:name="_Toc457670737"/>
      <w:r w:rsidRPr="008A0BB7">
        <w:t xml:space="preserve">Figure III. </w:t>
      </w:r>
      <w:r w:rsidR="00443010">
        <w:fldChar w:fldCharType="begin"/>
      </w:r>
      <w:r w:rsidR="00443010">
        <w:instrText xml:space="preserve"> STYLEREF 2 \s </w:instrText>
      </w:r>
      <w:r w:rsidR="00443010">
        <w:fldChar w:fldCharType="separate"/>
      </w:r>
      <w:r w:rsidR="000A0E3D">
        <w:rPr>
          <w:noProof/>
        </w:rPr>
        <w:t>3</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19</w:t>
      </w:r>
      <w:r w:rsidR="00443010">
        <w:rPr>
          <w:noProof/>
        </w:rPr>
        <w:fldChar w:fldCharType="end"/>
      </w:r>
      <w:bookmarkEnd w:id="275"/>
      <w:r w:rsidRPr="008A0BB7">
        <w:t xml:space="preserve"> Allylation step in 3-octanol</w:t>
      </w:r>
      <w:bookmarkEnd w:id="276"/>
    </w:p>
    <w:p w14:paraId="41FED2A6" w14:textId="77777777" w:rsidR="00A25FD4" w:rsidRPr="00E47369" w:rsidRDefault="00A25FD4" w:rsidP="00A25FD4">
      <w:pPr>
        <w:jc w:val="center"/>
        <w:rPr>
          <w:rFonts w:cstheme="minorHAnsi"/>
          <w:b/>
        </w:rPr>
      </w:pPr>
    </w:p>
    <w:p w14:paraId="67E40C3C" w14:textId="3B4948E3" w:rsidR="00A25FD4" w:rsidRDefault="00A25FD4" w:rsidP="00A25FD4">
      <w:pPr>
        <w:ind w:firstLine="360"/>
        <w:jc w:val="both"/>
        <w:rPr>
          <w:rFonts w:cstheme="minorHAnsi"/>
        </w:rPr>
      </w:pPr>
      <w:r w:rsidRPr="00E47369">
        <w:rPr>
          <w:rFonts w:cstheme="minorHAnsi"/>
        </w:rPr>
        <w:t xml:space="preserve">Even with </w:t>
      </w:r>
      <w:r w:rsidR="00123839">
        <w:rPr>
          <w:rFonts w:cstheme="minorHAnsi"/>
        </w:rPr>
        <w:t>little</w:t>
      </w:r>
      <w:r w:rsidRPr="00E47369">
        <w:rPr>
          <w:rFonts w:cstheme="minorHAnsi"/>
        </w:rPr>
        <w:t xml:space="preserve"> evidence of allylation in 3-octanol we decided to attempt the combine</w:t>
      </w:r>
      <w:r w:rsidR="001539C6">
        <w:rPr>
          <w:rFonts w:cstheme="minorHAnsi"/>
        </w:rPr>
        <w:t>d</w:t>
      </w:r>
      <w:r w:rsidRPr="00E47369">
        <w:rPr>
          <w:rFonts w:cstheme="minorHAnsi"/>
        </w:rPr>
        <w:t xml:space="preserve"> tandem reaction. We first ran this reaction at 150</w:t>
      </w:r>
      <w:r w:rsidRPr="00E47369">
        <w:rPr>
          <w:rFonts w:cstheme="minorHAnsi"/>
          <w:vertAlign w:val="superscript"/>
        </w:rPr>
        <w:t>o</w:t>
      </w:r>
      <w:r w:rsidRPr="00E47369">
        <w:rPr>
          <w:rFonts w:cstheme="minorHAnsi"/>
        </w:rPr>
        <w:t>C for 24h</w:t>
      </w:r>
      <w:r w:rsidR="00EB108D">
        <w:rPr>
          <w:rFonts w:cstheme="minorHAnsi"/>
        </w:rPr>
        <w:t xml:space="preserve"> </w:t>
      </w:r>
      <w:r w:rsidRPr="00E47369">
        <w:rPr>
          <w:rFonts w:cstheme="minorHAnsi"/>
        </w:rPr>
        <w:t>(</w:t>
      </w:r>
      <w:r w:rsidRPr="00E47369">
        <w:rPr>
          <w:rFonts w:cstheme="minorHAnsi"/>
        </w:rPr>
        <w:fldChar w:fldCharType="begin"/>
      </w:r>
      <w:r w:rsidRPr="00E47369">
        <w:rPr>
          <w:rFonts w:cstheme="minorHAnsi"/>
        </w:rPr>
        <w:instrText xml:space="preserve"> REF _Ref454186866 \h </w:instrText>
      </w:r>
      <w:r w:rsidR="00E47369">
        <w:rPr>
          <w:rFonts w:cstheme="minorHAnsi"/>
        </w:rPr>
        <w:instrText xml:space="preserve"> \* MERGEFORMAT </w:instrText>
      </w:r>
      <w:r w:rsidRPr="00E47369">
        <w:rPr>
          <w:rFonts w:cstheme="minorHAnsi"/>
        </w:rPr>
      </w:r>
      <w:r w:rsidRPr="00E47369">
        <w:rPr>
          <w:rFonts w:cstheme="minorHAnsi"/>
        </w:rPr>
        <w:fldChar w:fldCharType="separate"/>
      </w:r>
      <w:r w:rsidR="000A0E3D" w:rsidRPr="000A0E3D">
        <w:rPr>
          <w:rFonts w:cstheme="minorHAnsi"/>
        </w:rPr>
        <w:t xml:space="preserve">Figure III. </w:t>
      </w:r>
      <w:r w:rsidR="000A0E3D" w:rsidRPr="000A0E3D">
        <w:rPr>
          <w:rFonts w:cstheme="minorHAnsi"/>
          <w:noProof/>
        </w:rPr>
        <w:t>3.20</w:t>
      </w:r>
      <w:r w:rsidRPr="00E47369">
        <w:rPr>
          <w:rFonts w:cstheme="minorHAnsi"/>
        </w:rPr>
        <w:fldChar w:fldCharType="end"/>
      </w:r>
      <w:r w:rsidRPr="00E47369">
        <w:rPr>
          <w:rFonts w:cstheme="minorHAnsi"/>
        </w:rPr>
        <w:t xml:space="preserve">). The reaction mixture was very complex and the GC chromatogram of it </w:t>
      </w:r>
      <w:r w:rsidR="009E458A">
        <w:rPr>
          <w:rFonts w:cstheme="minorHAnsi"/>
        </w:rPr>
        <w:t>contained</w:t>
      </w:r>
      <w:r w:rsidR="009E458A" w:rsidRPr="00E47369">
        <w:rPr>
          <w:rFonts w:cstheme="minorHAnsi"/>
        </w:rPr>
        <w:t xml:space="preserve"> </w:t>
      </w:r>
      <w:r w:rsidRPr="00E47369">
        <w:rPr>
          <w:rFonts w:cstheme="minorHAnsi"/>
        </w:rPr>
        <w:t xml:space="preserve">several small peaks. </w:t>
      </w:r>
      <w:r w:rsidR="00EB108D">
        <w:rPr>
          <w:rFonts w:cstheme="minorHAnsi"/>
        </w:rPr>
        <w:t xml:space="preserve">We ran the reaction with the same reaction conditions as reported for 3-octanol as reducing agent, </w:t>
      </w:r>
      <w:r w:rsidR="00EB108D" w:rsidRPr="00E47369">
        <w:rPr>
          <w:rFonts w:cstheme="minorHAnsi"/>
        </w:rPr>
        <w:t>at 170</w:t>
      </w:r>
      <w:r w:rsidR="00EB108D" w:rsidRPr="00E47369">
        <w:rPr>
          <w:rFonts w:cstheme="minorHAnsi"/>
          <w:vertAlign w:val="superscript"/>
        </w:rPr>
        <w:t>o</w:t>
      </w:r>
      <w:r w:rsidR="00EB108D" w:rsidRPr="00E47369">
        <w:rPr>
          <w:rFonts w:cstheme="minorHAnsi"/>
        </w:rPr>
        <w:t>C for only 1.5h</w:t>
      </w:r>
      <w:r w:rsidR="00EB108D">
        <w:rPr>
          <w:rFonts w:cstheme="minorHAnsi"/>
        </w:rPr>
        <w:t>.</w:t>
      </w:r>
      <w:r w:rsidRPr="00E47369">
        <w:rPr>
          <w:rFonts w:cstheme="minorHAnsi"/>
        </w:rPr>
        <w:t xml:space="preserve"> The </w:t>
      </w:r>
      <w:r w:rsidRPr="00E47369">
        <w:rPr>
          <w:rFonts w:cstheme="minorHAnsi"/>
          <w:vertAlign w:val="superscript"/>
        </w:rPr>
        <w:t>1</w:t>
      </w:r>
      <w:r w:rsidRPr="00E47369">
        <w:rPr>
          <w:rFonts w:cstheme="minorHAnsi"/>
        </w:rPr>
        <w:t xml:space="preserve">H NMR and GC the reaction mixture was much simpler </w:t>
      </w:r>
      <w:r w:rsidR="00123839">
        <w:rPr>
          <w:rFonts w:cstheme="minorHAnsi"/>
        </w:rPr>
        <w:t>w</w:t>
      </w:r>
      <w:r w:rsidRPr="00E47369">
        <w:rPr>
          <w:rFonts w:cstheme="minorHAnsi"/>
        </w:rPr>
        <w:t xml:space="preserve">e estimated the yield </w:t>
      </w:r>
      <w:r w:rsidR="00123839">
        <w:rPr>
          <w:rFonts w:cstheme="minorHAnsi"/>
        </w:rPr>
        <w:t>of</w:t>
      </w:r>
      <w:r w:rsidRPr="00E47369">
        <w:rPr>
          <w:rFonts w:cstheme="minorHAnsi"/>
        </w:rPr>
        <w:t xml:space="preserve"> all</w:t>
      </w:r>
      <w:r w:rsidR="001539C6">
        <w:rPr>
          <w:rFonts w:cstheme="minorHAnsi"/>
        </w:rPr>
        <w:t>yl alcohol around 40%. There was</w:t>
      </w:r>
      <w:r w:rsidRPr="00E47369">
        <w:rPr>
          <w:rFonts w:cstheme="minorHAnsi"/>
        </w:rPr>
        <w:t xml:space="preserve"> no sign of the expected homo-allylic alcohol product </w:t>
      </w:r>
      <w:r w:rsidR="00123839">
        <w:rPr>
          <w:rFonts w:cstheme="minorHAnsi"/>
        </w:rPr>
        <w:t>o</w:t>
      </w:r>
      <w:r w:rsidRPr="00E47369">
        <w:rPr>
          <w:rFonts w:cstheme="minorHAnsi"/>
        </w:rPr>
        <w:t>f it</w:t>
      </w:r>
      <w:r w:rsidR="00123839">
        <w:rPr>
          <w:rFonts w:cstheme="minorHAnsi"/>
        </w:rPr>
        <w:t>s</w:t>
      </w:r>
      <w:r w:rsidRPr="00E47369">
        <w:rPr>
          <w:rFonts w:cstheme="minorHAnsi"/>
        </w:rPr>
        <w:t xml:space="preserve"> corresponding ketone. </w:t>
      </w:r>
    </w:p>
    <w:p w14:paraId="32B64326" w14:textId="77777777" w:rsidR="008C2882" w:rsidRPr="00E47369" w:rsidRDefault="008C2882" w:rsidP="00A25FD4">
      <w:pPr>
        <w:ind w:firstLine="360"/>
        <w:jc w:val="both"/>
        <w:rPr>
          <w:rFonts w:cstheme="minorHAnsi"/>
        </w:rPr>
      </w:pPr>
    </w:p>
    <w:p w14:paraId="153ACB1F" w14:textId="77777777" w:rsidR="00A25FD4" w:rsidRPr="00E47369" w:rsidRDefault="00A25FD4" w:rsidP="00A25FD4">
      <w:pPr>
        <w:keepNext/>
        <w:jc w:val="center"/>
        <w:rPr>
          <w:rFonts w:cstheme="minorHAnsi"/>
        </w:rPr>
      </w:pPr>
      <w:r w:rsidRPr="00E47369">
        <w:rPr>
          <w:rFonts w:cstheme="minorHAnsi"/>
        </w:rPr>
        <w:object w:dxaOrig="8914" w:dyaOrig="1202" w14:anchorId="7A1A00F6">
          <v:shape id="_x0000_i1122" type="#_x0000_t75" style="width:380.55pt;height:51.45pt" o:ole="">
            <v:imagedata r:id="rId267" o:title=""/>
          </v:shape>
          <o:OLEObject Type="Embed" ProgID="ChemDraw.Document.6.0" ShapeID="_x0000_i1122" DrawAspect="Content" ObjectID="_1532784965" r:id="rId268"/>
        </w:object>
      </w:r>
    </w:p>
    <w:p w14:paraId="0B8F0E3A" w14:textId="77777777" w:rsidR="00A25FD4" w:rsidRPr="008A0BB7" w:rsidRDefault="00A25FD4" w:rsidP="008A0BB7">
      <w:pPr>
        <w:pStyle w:val="Caption"/>
      </w:pPr>
      <w:bookmarkStart w:id="277" w:name="_Ref454186866"/>
      <w:bookmarkStart w:id="278" w:name="_Toc457670738"/>
      <w:r w:rsidRPr="008A0BB7">
        <w:t xml:space="preserve">Figure III. </w:t>
      </w:r>
      <w:r w:rsidR="00443010">
        <w:fldChar w:fldCharType="begin"/>
      </w:r>
      <w:r w:rsidR="00443010">
        <w:instrText xml:space="preserve"> STYLEREF 2 \s </w:instrText>
      </w:r>
      <w:r w:rsidR="00443010">
        <w:fldChar w:fldCharType="separate"/>
      </w:r>
      <w:r w:rsidR="000A0E3D">
        <w:rPr>
          <w:noProof/>
        </w:rPr>
        <w:t>3</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20</w:t>
      </w:r>
      <w:r w:rsidR="00443010">
        <w:rPr>
          <w:noProof/>
        </w:rPr>
        <w:fldChar w:fldCharType="end"/>
      </w:r>
      <w:bookmarkEnd w:id="277"/>
      <w:r w:rsidRPr="008A0BB7">
        <w:t xml:space="preserve"> Tandem DODH/Allylation reaction</w:t>
      </w:r>
      <w:bookmarkEnd w:id="278"/>
    </w:p>
    <w:p w14:paraId="0A216FC3" w14:textId="77777777" w:rsidR="00A25FD4" w:rsidRPr="00E47369" w:rsidRDefault="00A25FD4" w:rsidP="00A25FD4">
      <w:pPr>
        <w:rPr>
          <w:rFonts w:cstheme="minorHAnsi"/>
        </w:rPr>
      </w:pPr>
    </w:p>
    <w:p w14:paraId="3FC93128" w14:textId="2F606884" w:rsidR="00A25FD4" w:rsidRDefault="00E60A97" w:rsidP="00A25FD4">
      <w:pPr>
        <w:ind w:firstLine="360"/>
        <w:jc w:val="both"/>
        <w:rPr>
          <w:rFonts w:cstheme="minorHAnsi"/>
        </w:rPr>
      </w:pPr>
      <w:r>
        <w:rPr>
          <w:rFonts w:cstheme="minorHAnsi"/>
        </w:rPr>
        <w:t xml:space="preserve">We found the solvent, </w:t>
      </w:r>
      <w:r w:rsidR="00A25FD4" w:rsidRPr="00E47369">
        <w:rPr>
          <w:rFonts w:cstheme="minorHAnsi"/>
        </w:rPr>
        <w:t>3-octanol</w:t>
      </w:r>
      <w:r>
        <w:rPr>
          <w:rFonts w:cstheme="minorHAnsi"/>
        </w:rPr>
        <w:t>,</w:t>
      </w:r>
      <w:r w:rsidR="00A25FD4" w:rsidRPr="00E47369">
        <w:rPr>
          <w:rFonts w:cstheme="minorHAnsi"/>
        </w:rPr>
        <w:t xml:space="preserve"> </w:t>
      </w:r>
      <w:r>
        <w:rPr>
          <w:rFonts w:cstheme="minorHAnsi"/>
        </w:rPr>
        <w:t>to</w:t>
      </w:r>
      <w:r w:rsidR="00A25FD4" w:rsidRPr="00E47369">
        <w:rPr>
          <w:rFonts w:cstheme="minorHAnsi"/>
        </w:rPr>
        <w:t xml:space="preserve"> dehydrat</w:t>
      </w:r>
      <w:r>
        <w:rPr>
          <w:rFonts w:cstheme="minorHAnsi"/>
        </w:rPr>
        <w:t>e</w:t>
      </w:r>
      <w:r w:rsidR="00A25FD4" w:rsidRPr="00E47369">
        <w:rPr>
          <w:rFonts w:cstheme="minorHAnsi"/>
        </w:rPr>
        <w:t xml:space="preserve"> </w:t>
      </w:r>
      <w:r>
        <w:rPr>
          <w:rFonts w:cstheme="minorHAnsi"/>
        </w:rPr>
        <w:t>under these reaction conditions</w:t>
      </w:r>
      <w:r w:rsidR="001539C6">
        <w:rPr>
          <w:rFonts w:cstheme="minorHAnsi"/>
        </w:rPr>
        <w:t>.</w:t>
      </w:r>
      <w:r w:rsidR="00A25FD4" w:rsidRPr="00E47369">
        <w:rPr>
          <w:rFonts w:cstheme="minorHAnsi"/>
        </w:rPr>
        <w:t xml:space="preserve"> </w:t>
      </w:r>
      <w:r w:rsidR="001539C6">
        <w:rPr>
          <w:rFonts w:cstheme="minorHAnsi"/>
        </w:rPr>
        <w:t>S</w:t>
      </w:r>
      <w:r w:rsidR="00123839">
        <w:rPr>
          <w:rFonts w:cstheme="minorHAnsi"/>
        </w:rPr>
        <w:t>ub</w:t>
      </w:r>
      <w:r>
        <w:rPr>
          <w:rFonts w:cstheme="minorHAnsi"/>
        </w:rPr>
        <w:t xml:space="preserve">sequently </w:t>
      </w:r>
      <w:r w:rsidR="00A25FD4" w:rsidRPr="00E47369">
        <w:rPr>
          <w:rFonts w:cstheme="minorHAnsi"/>
        </w:rPr>
        <w:t>we did some solvent variation with 1-butanol and also dimethoxy ethane (DME) and a poly ethylene glycol (PEG-200) (</w:t>
      </w:r>
      <w:r w:rsidR="00A25FD4" w:rsidRPr="00E47369">
        <w:rPr>
          <w:rFonts w:cstheme="minorHAnsi"/>
        </w:rPr>
        <w:fldChar w:fldCharType="begin"/>
      </w:r>
      <w:r w:rsidR="00A25FD4" w:rsidRPr="00E47369">
        <w:rPr>
          <w:rFonts w:cstheme="minorHAnsi"/>
        </w:rPr>
        <w:instrText xml:space="preserve"> REF _Ref454187114 \h </w:instrText>
      </w:r>
      <w:r w:rsidR="00E47369">
        <w:rPr>
          <w:rFonts w:cstheme="minorHAnsi"/>
        </w:rPr>
        <w:instrText xml:space="preserve"> \* MERGEFORMAT </w:instrText>
      </w:r>
      <w:r w:rsidR="00A25FD4" w:rsidRPr="00E47369">
        <w:rPr>
          <w:rFonts w:cstheme="minorHAnsi"/>
        </w:rPr>
      </w:r>
      <w:r w:rsidR="00A25FD4" w:rsidRPr="00E47369">
        <w:rPr>
          <w:rFonts w:cstheme="minorHAnsi"/>
        </w:rPr>
        <w:fldChar w:fldCharType="separate"/>
      </w:r>
      <w:r w:rsidR="000A0E3D" w:rsidRPr="000A0E3D">
        <w:rPr>
          <w:rFonts w:cstheme="minorHAnsi"/>
        </w:rPr>
        <w:t xml:space="preserve">Figure III. </w:t>
      </w:r>
      <w:r w:rsidR="000A0E3D" w:rsidRPr="000A0E3D">
        <w:rPr>
          <w:rFonts w:cstheme="minorHAnsi"/>
          <w:noProof/>
        </w:rPr>
        <w:t>3.21</w:t>
      </w:r>
      <w:r w:rsidR="00A25FD4" w:rsidRPr="00E47369">
        <w:rPr>
          <w:rFonts w:cstheme="minorHAnsi"/>
        </w:rPr>
        <w:fldChar w:fldCharType="end"/>
      </w:r>
      <w:r w:rsidR="00A25FD4" w:rsidRPr="00E47369">
        <w:rPr>
          <w:rFonts w:cstheme="minorHAnsi"/>
        </w:rPr>
        <w:t xml:space="preserve">). 1-Butanol </w:t>
      </w:r>
      <w:r w:rsidR="00E20ED7">
        <w:rPr>
          <w:rFonts w:cstheme="minorHAnsi"/>
        </w:rPr>
        <w:t>like</w:t>
      </w:r>
      <w:r w:rsidR="00A25FD4" w:rsidRPr="00E47369">
        <w:rPr>
          <w:rFonts w:cstheme="minorHAnsi"/>
        </w:rPr>
        <w:t xml:space="preserve"> 3-octanol was not an inert solvent in the reaction. Th</w:t>
      </w:r>
      <w:r w:rsidR="00E20ED7">
        <w:rPr>
          <w:rFonts w:cstheme="minorHAnsi"/>
        </w:rPr>
        <w:t>e DME and PEG solvents behaved similarly</w:t>
      </w:r>
      <w:r w:rsidR="00A25FD4" w:rsidRPr="00E47369">
        <w:rPr>
          <w:rFonts w:cstheme="minorHAnsi"/>
        </w:rPr>
        <w:t xml:space="preserve"> </w:t>
      </w:r>
      <w:r w:rsidR="00E20ED7">
        <w:rPr>
          <w:rFonts w:cstheme="minorHAnsi"/>
        </w:rPr>
        <w:t>and</w:t>
      </w:r>
      <w:r w:rsidR="00A25FD4" w:rsidRPr="00E47369">
        <w:rPr>
          <w:rFonts w:cstheme="minorHAnsi"/>
        </w:rPr>
        <w:t xml:space="preserve"> required the addition of a reducing agent. Neither benzyl alcohol nor tin chloride </w:t>
      </w:r>
      <w:r w:rsidR="00E20ED7">
        <w:rPr>
          <w:rFonts w:cstheme="minorHAnsi"/>
        </w:rPr>
        <w:t>w</w:t>
      </w:r>
      <w:r w:rsidR="00123839">
        <w:rPr>
          <w:rFonts w:cstheme="minorHAnsi"/>
        </w:rPr>
        <w:t xml:space="preserve">ere </w:t>
      </w:r>
      <w:r w:rsidR="00A25FD4" w:rsidRPr="00E47369">
        <w:rPr>
          <w:rFonts w:cstheme="minorHAnsi"/>
        </w:rPr>
        <w:t xml:space="preserve">really efficient reducing agents for the DODH reaction in these solvents (&lt;20% yield). </w:t>
      </w:r>
      <w:r w:rsidR="00E20ED7">
        <w:rPr>
          <w:rFonts w:cstheme="minorHAnsi"/>
        </w:rPr>
        <w:t>W</w:t>
      </w:r>
      <w:r w:rsidR="00A25FD4" w:rsidRPr="00E47369">
        <w:rPr>
          <w:rFonts w:cstheme="minorHAnsi"/>
        </w:rPr>
        <w:t>e tried a tandem reaction wit</w:t>
      </w:r>
      <w:r w:rsidR="00E20ED7">
        <w:rPr>
          <w:rFonts w:cstheme="minorHAnsi"/>
        </w:rPr>
        <w:t>h additional triphenylphosphine</w:t>
      </w:r>
      <w:r w:rsidR="00A25FD4" w:rsidRPr="00E47369">
        <w:rPr>
          <w:rFonts w:cstheme="minorHAnsi"/>
        </w:rPr>
        <w:t xml:space="preserve">. In the </w:t>
      </w:r>
      <w:r w:rsidR="00E20ED7">
        <w:rPr>
          <w:rFonts w:cstheme="minorHAnsi"/>
        </w:rPr>
        <w:t xml:space="preserve">GCMS </w:t>
      </w:r>
      <w:r w:rsidR="00A25FD4" w:rsidRPr="00E47369">
        <w:rPr>
          <w:rFonts w:cstheme="minorHAnsi"/>
        </w:rPr>
        <w:t xml:space="preserve">chromatogram we found a signal at 32.6 min with the same mass as the expected homo-allylic alcohol product. </w:t>
      </w:r>
      <w:r w:rsidR="00E20ED7">
        <w:rPr>
          <w:rFonts w:cstheme="minorHAnsi"/>
        </w:rPr>
        <w:t>We</w:t>
      </w:r>
      <w:r w:rsidR="00A25FD4" w:rsidRPr="00E47369">
        <w:rPr>
          <w:rFonts w:cstheme="minorHAnsi"/>
        </w:rPr>
        <w:t xml:space="preserve"> found a very large amount of solvent derived mol</w:t>
      </w:r>
      <w:r w:rsidR="00E20ED7">
        <w:rPr>
          <w:rFonts w:cstheme="minorHAnsi"/>
        </w:rPr>
        <w:t>ecules as well as acetals</w:t>
      </w:r>
      <w:r w:rsidR="00A25FD4" w:rsidRPr="00E47369">
        <w:rPr>
          <w:rFonts w:cstheme="minorHAnsi"/>
        </w:rPr>
        <w:t>. With all of these side products from the solvent and the need of an additional exp</w:t>
      </w:r>
      <w:r w:rsidR="001539C6">
        <w:rPr>
          <w:rFonts w:cstheme="minorHAnsi"/>
        </w:rPr>
        <w:t>ensive and toxic reducing agent, triphenyl phosphine,</w:t>
      </w:r>
      <w:r w:rsidR="00A25FD4" w:rsidRPr="00E47369">
        <w:rPr>
          <w:rFonts w:cstheme="minorHAnsi"/>
        </w:rPr>
        <w:t xml:space="preserve"> this reaction was not studied further.</w:t>
      </w:r>
    </w:p>
    <w:p w14:paraId="246F908B" w14:textId="77777777" w:rsidR="002B6FC2" w:rsidRPr="00E47369" w:rsidRDefault="002B6FC2" w:rsidP="00A25FD4">
      <w:pPr>
        <w:ind w:firstLine="360"/>
        <w:jc w:val="both"/>
        <w:rPr>
          <w:rFonts w:cstheme="minorHAnsi"/>
        </w:rPr>
      </w:pPr>
    </w:p>
    <w:p w14:paraId="6708E322" w14:textId="77777777" w:rsidR="00A25FD4" w:rsidRPr="00E47369" w:rsidRDefault="00A25FD4" w:rsidP="00A25FD4">
      <w:pPr>
        <w:keepNext/>
        <w:jc w:val="center"/>
        <w:rPr>
          <w:rFonts w:cstheme="minorHAnsi"/>
        </w:rPr>
      </w:pPr>
      <w:r w:rsidRPr="00E47369">
        <w:rPr>
          <w:rFonts w:cstheme="minorHAnsi"/>
        </w:rPr>
        <w:object w:dxaOrig="7339" w:dyaOrig="1202" w14:anchorId="52A3C4C4">
          <v:shape id="_x0000_i1123" type="#_x0000_t75" style="width:318.85pt;height:51.45pt" o:ole="">
            <v:imagedata r:id="rId269" o:title=""/>
          </v:shape>
          <o:OLEObject Type="Embed" ProgID="ChemDraw.Document.6.0" ShapeID="_x0000_i1123" DrawAspect="Content" ObjectID="_1532784966" r:id="rId270"/>
        </w:object>
      </w:r>
    </w:p>
    <w:p w14:paraId="5AFE89DC" w14:textId="77777777" w:rsidR="00A25FD4" w:rsidRPr="008A0BB7" w:rsidRDefault="00A25FD4" w:rsidP="008A0BB7">
      <w:pPr>
        <w:pStyle w:val="Caption"/>
      </w:pPr>
      <w:bookmarkStart w:id="279" w:name="_Ref454187114"/>
      <w:bookmarkStart w:id="280" w:name="_Toc457670739"/>
      <w:r w:rsidRPr="008A0BB7">
        <w:t xml:space="preserve">Figure III. </w:t>
      </w:r>
      <w:r w:rsidR="00443010">
        <w:fldChar w:fldCharType="begin"/>
      </w:r>
      <w:r w:rsidR="00443010">
        <w:instrText xml:space="preserve"> STYLEREF 2 \s </w:instrText>
      </w:r>
      <w:r w:rsidR="00443010">
        <w:fldChar w:fldCharType="separate"/>
      </w:r>
      <w:r w:rsidR="000A0E3D">
        <w:rPr>
          <w:noProof/>
        </w:rPr>
        <w:t>3</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21</w:t>
      </w:r>
      <w:r w:rsidR="00443010">
        <w:rPr>
          <w:noProof/>
        </w:rPr>
        <w:fldChar w:fldCharType="end"/>
      </w:r>
      <w:bookmarkEnd w:id="279"/>
      <w:r w:rsidRPr="008A0BB7">
        <w:t xml:space="preserve"> Tandem DODH/Allylation in PEG or DME solvent</w:t>
      </w:r>
      <w:bookmarkEnd w:id="280"/>
    </w:p>
    <w:p w14:paraId="1CE1B078" w14:textId="77777777" w:rsidR="001C4EB8" w:rsidRDefault="001C4EB8" w:rsidP="00A25FD4">
      <w:pPr>
        <w:jc w:val="center"/>
        <w:rPr>
          <w:rFonts w:cstheme="minorHAnsi"/>
          <w:b/>
        </w:rPr>
      </w:pPr>
    </w:p>
    <w:p w14:paraId="193BB194" w14:textId="77777777" w:rsidR="00E20ED7" w:rsidRDefault="00E20ED7" w:rsidP="00E20ED7">
      <w:pPr>
        <w:pStyle w:val="Caption"/>
        <w:rPr>
          <w:rFonts w:cstheme="minorHAnsi"/>
          <w:b w:val="0"/>
        </w:rPr>
      </w:pPr>
      <w:bookmarkStart w:id="281" w:name="_Toc457670491"/>
      <w:r>
        <w:t xml:space="preserve">Table III. </w:t>
      </w:r>
      <w:r w:rsidR="00443010">
        <w:fldChar w:fldCharType="begin"/>
      </w:r>
      <w:r w:rsidR="00443010">
        <w:instrText xml:space="preserve"> STYLEREF 2 \s </w:instrText>
      </w:r>
      <w:r w:rsidR="00443010">
        <w:fldChar w:fldCharType="separate"/>
      </w:r>
      <w:r w:rsidR="000A0E3D">
        <w:rPr>
          <w:noProof/>
        </w:rPr>
        <w:t>3</w:t>
      </w:r>
      <w:r w:rsidR="00443010">
        <w:rPr>
          <w:noProof/>
        </w:rPr>
        <w:fldChar w:fldCharType="end"/>
      </w:r>
      <w:r>
        <w:t>.</w:t>
      </w:r>
      <w:r w:rsidR="00443010">
        <w:fldChar w:fldCharType="begin"/>
      </w:r>
      <w:r w:rsidR="00443010">
        <w:instrText xml:space="preserve"> SEQ Table_III. \* ARABIC \s 2 </w:instrText>
      </w:r>
      <w:r w:rsidR="00443010">
        <w:fldChar w:fldCharType="separate"/>
      </w:r>
      <w:r w:rsidR="000A0E3D">
        <w:rPr>
          <w:noProof/>
        </w:rPr>
        <w:t>3</w:t>
      </w:r>
      <w:r w:rsidR="00443010">
        <w:rPr>
          <w:noProof/>
        </w:rPr>
        <w:fldChar w:fldCharType="end"/>
      </w:r>
      <w:r>
        <w:t xml:space="preserve"> Summary of reaction conditions for </w:t>
      </w:r>
      <w:r w:rsidR="005943F9">
        <w:t xml:space="preserve">attempted </w:t>
      </w:r>
      <w:r>
        <w:t xml:space="preserve">allylation and tandem </w:t>
      </w:r>
      <w:r w:rsidR="005403D7">
        <w:t>reaction</w:t>
      </w:r>
      <w:bookmarkEnd w:id="281"/>
    </w:p>
    <w:tbl>
      <w:tblPr>
        <w:tblStyle w:val="TableGrid"/>
        <w:tblW w:w="0" w:type="auto"/>
        <w:jc w:val="center"/>
        <w:tblLook w:val="04A0" w:firstRow="1" w:lastRow="0" w:firstColumn="1" w:lastColumn="0" w:noHBand="0" w:noVBand="1"/>
      </w:tblPr>
      <w:tblGrid>
        <w:gridCol w:w="1950"/>
        <w:gridCol w:w="1949"/>
        <w:gridCol w:w="1442"/>
        <w:gridCol w:w="723"/>
        <w:gridCol w:w="1716"/>
      </w:tblGrid>
      <w:tr w:rsidR="00545E0B" w:rsidRPr="00266011" w14:paraId="2505F9E5" w14:textId="77777777" w:rsidTr="00E60A97">
        <w:trPr>
          <w:jc w:val="center"/>
        </w:trPr>
        <w:tc>
          <w:tcPr>
            <w:tcW w:w="0" w:type="auto"/>
            <w:tcBorders>
              <w:top w:val="nil"/>
              <w:left w:val="nil"/>
              <w:bottom w:val="single" w:sz="12" w:space="0" w:color="auto"/>
              <w:right w:val="single" w:sz="12" w:space="0" w:color="auto"/>
            </w:tcBorders>
            <w:vAlign w:val="center"/>
          </w:tcPr>
          <w:p w14:paraId="22184745" w14:textId="77777777" w:rsidR="00545E0B" w:rsidRPr="00266011" w:rsidRDefault="00545E0B" w:rsidP="00E60A97">
            <w:pPr>
              <w:spacing w:line="276" w:lineRule="auto"/>
              <w:jc w:val="center"/>
              <w:rPr>
                <w:rFonts w:cstheme="minorHAnsi"/>
              </w:rPr>
            </w:pPr>
            <w:r w:rsidRPr="00266011">
              <w:rPr>
                <w:rFonts w:cstheme="minorHAnsi"/>
              </w:rPr>
              <w:t>Reaction</w:t>
            </w:r>
          </w:p>
        </w:tc>
        <w:tc>
          <w:tcPr>
            <w:tcW w:w="0" w:type="auto"/>
            <w:tcBorders>
              <w:top w:val="nil"/>
              <w:left w:val="single" w:sz="12" w:space="0" w:color="auto"/>
              <w:bottom w:val="single" w:sz="12" w:space="0" w:color="auto"/>
              <w:right w:val="nil"/>
            </w:tcBorders>
            <w:vAlign w:val="center"/>
          </w:tcPr>
          <w:p w14:paraId="1872E701" w14:textId="77777777" w:rsidR="00545E0B" w:rsidRDefault="00545E0B" w:rsidP="00E60A97">
            <w:pPr>
              <w:spacing w:line="276" w:lineRule="auto"/>
              <w:jc w:val="center"/>
              <w:rPr>
                <w:rFonts w:cstheme="minorHAnsi"/>
              </w:rPr>
            </w:pPr>
            <w:r w:rsidRPr="00266011">
              <w:rPr>
                <w:rFonts w:cstheme="minorHAnsi"/>
              </w:rPr>
              <w:t>Solvent</w:t>
            </w:r>
          </w:p>
          <w:p w14:paraId="0B14C90A" w14:textId="77777777" w:rsidR="00612521" w:rsidRPr="00266011" w:rsidRDefault="00612521" w:rsidP="00E60A97">
            <w:pPr>
              <w:spacing w:line="276" w:lineRule="auto"/>
              <w:jc w:val="center"/>
              <w:rPr>
                <w:rFonts w:cstheme="minorHAnsi"/>
              </w:rPr>
            </w:pPr>
            <w:r>
              <w:rPr>
                <w:rFonts w:cstheme="minorHAnsi"/>
              </w:rPr>
              <w:t>(0.3M)</w:t>
            </w:r>
          </w:p>
        </w:tc>
        <w:tc>
          <w:tcPr>
            <w:tcW w:w="0" w:type="auto"/>
            <w:tcBorders>
              <w:top w:val="nil"/>
              <w:left w:val="nil"/>
              <w:bottom w:val="single" w:sz="12" w:space="0" w:color="auto"/>
              <w:right w:val="nil"/>
            </w:tcBorders>
            <w:vAlign w:val="center"/>
          </w:tcPr>
          <w:p w14:paraId="37713689" w14:textId="77777777" w:rsidR="00545E0B" w:rsidRDefault="00545E0B" w:rsidP="00E60A97">
            <w:pPr>
              <w:spacing w:line="276" w:lineRule="auto"/>
              <w:jc w:val="center"/>
              <w:rPr>
                <w:rFonts w:cstheme="minorHAnsi"/>
              </w:rPr>
            </w:pPr>
            <w:r w:rsidRPr="00266011">
              <w:rPr>
                <w:rFonts w:cstheme="minorHAnsi"/>
              </w:rPr>
              <w:t>Temperature</w:t>
            </w:r>
          </w:p>
          <w:p w14:paraId="0D45FE90" w14:textId="77777777" w:rsidR="00266011" w:rsidRPr="00266011" w:rsidRDefault="004647CF" w:rsidP="00E60A97">
            <w:pPr>
              <w:spacing w:line="276" w:lineRule="auto"/>
              <w:jc w:val="center"/>
              <w:rPr>
                <w:rFonts w:cstheme="minorHAnsi"/>
              </w:rPr>
            </w:pPr>
            <w:r w:rsidRPr="004647CF">
              <w:rPr>
                <w:rFonts w:cstheme="minorHAnsi"/>
              </w:rPr>
              <w:t>(</w:t>
            </w:r>
            <w:r w:rsidR="00266011" w:rsidRPr="00266011">
              <w:rPr>
                <w:rFonts w:cstheme="minorHAnsi"/>
                <w:vertAlign w:val="superscript"/>
              </w:rPr>
              <w:t>o</w:t>
            </w:r>
            <w:r w:rsidR="00266011">
              <w:rPr>
                <w:rFonts w:cstheme="minorHAnsi"/>
              </w:rPr>
              <w:t>C</w:t>
            </w:r>
            <w:r>
              <w:rPr>
                <w:rFonts w:cstheme="minorHAnsi"/>
              </w:rPr>
              <w:t>)</w:t>
            </w:r>
          </w:p>
        </w:tc>
        <w:tc>
          <w:tcPr>
            <w:tcW w:w="0" w:type="auto"/>
            <w:tcBorders>
              <w:top w:val="nil"/>
              <w:left w:val="nil"/>
              <w:bottom w:val="single" w:sz="12" w:space="0" w:color="auto"/>
              <w:right w:val="nil"/>
            </w:tcBorders>
            <w:vAlign w:val="center"/>
          </w:tcPr>
          <w:p w14:paraId="51439727" w14:textId="77777777" w:rsidR="00545E0B" w:rsidRDefault="00545E0B" w:rsidP="00E60A97">
            <w:pPr>
              <w:spacing w:line="276" w:lineRule="auto"/>
              <w:jc w:val="center"/>
              <w:rPr>
                <w:rFonts w:cstheme="minorHAnsi"/>
              </w:rPr>
            </w:pPr>
            <w:r w:rsidRPr="00266011">
              <w:rPr>
                <w:rFonts w:cstheme="minorHAnsi"/>
              </w:rPr>
              <w:t>Time</w:t>
            </w:r>
          </w:p>
          <w:p w14:paraId="290A9FE4" w14:textId="77777777" w:rsidR="004647CF" w:rsidRPr="00266011" w:rsidRDefault="004647CF" w:rsidP="00E60A97">
            <w:pPr>
              <w:spacing w:line="276" w:lineRule="auto"/>
              <w:jc w:val="center"/>
              <w:rPr>
                <w:rFonts w:cstheme="minorHAnsi"/>
              </w:rPr>
            </w:pPr>
            <w:r>
              <w:rPr>
                <w:rFonts w:cstheme="minorHAnsi"/>
              </w:rPr>
              <w:t>(h)</w:t>
            </w:r>
          </w:p>
        </w:tc>
        <w:tc>
          <w:tcPr>
            <w:tcW w:w="0" w:type="auto"/>
            <w:tcBorders>
              <w:top w:val="nil"/>
              <w:left w:val="nil"/>
              <w:bottom w:val="single" w:sz="12" w:space="0" w:color="auto"/>
              <w:right w:val="nil"/>
            </w:tcBorders>
            <w:vAlign w:val="center"/>
          </w:tcPr>
          <w:p w14:paraId="17A4B6D0" w14:textId="77777777" w:rsidR="00545E0B" w:rsidRPr="00266011" w:rsidRDefault="00545E0B" w:rsidP="00E60A97">
            <w:pPr>
              <w:spacing w:line="276" w:lineRule="auto"/>
              <w:jc w:val="center"/>
              <w:rPr>
                <w:rFonts w:cstheme="minorHAnsi"/>
              </w:rPr>
            </w:pPr>
            <w:r w:rsidRPr="00266011">
              <w:rPr>
                <w:rFonts w:cstheme="minorHAnsi"/>
              </w:rPr>
              <w:t>Reducing agent</w:t>
            </w:r>
          </w:p>
        </w:tc>
      </w:tr>
      <w:tr w:rsidR="00E20ED7" w:rsidRPr="00266011" w14:paraId="4A3C06BF" w14:textId="77777777" w:rsidTr="009F393B">
        <w:trPr>
          <w:jc w:val="center"/>
        </w:trPr>
        <w:tc>
          <w:tcPr>
            <w:tcW w:w="0" w:type="auto"/>
            <w:vMerge w:val="restart"/>
            <w:tcBorders>
              <w:top w:val="single" w:sz="12" w:space="0" w:color="auto"/>
              <w:left w:val="nil"/>
              <w:bottom w:val="nil"/>
              <w:right w:val="single" w:sz="12" w:space="0" w:color="auto"/>
            </w:tcBorders>
            <w:vAlign w:val="center"/>
          </w:tcPr>
          <w:p w14:paraId="71507FBC" w14:textId="77777777" w:rsidR="00E20ED7" w:rsidRDefault="00E20ED7" w:rsidP="00E60A97">
            <w:pPr>
              <w:spacing w:line="276" w:lineRule="auto"/>
              <w:jc w:val="center"/>
              <w:rPr>
                <w:rFonts w:cstheme="minorHAnsi"/>
              </w:rPr>
            </w:pPr>
            <w:r w:rsidRPr="00266011">
              <w:rPr>
                <w:rFonts w:cstheme="minorHAnsi"/>
              </w:rPr>
              <w:t>Allylation</w:t>
            </w:r>
          </w:p>
          <w:p w14:paraId="38413C51" w14:textId="77777777" w:rsidR="00E20ED7" w:rsidRDefault="00E20ED7" w:rsidP="00E60A97">
            <w:pPr>
              <w:spacing w:line="276" w:lineRule="auto"/>
              <w:jc w:val="center"/>
              <w:rPr>
                <w:rFonts w:cstheme="minorHAnsi"/>
              </w:rPr>
            </w:pPr>
            <w:r>
              <w:rPr>
                <w:rFonts w:cstheme="minorHAnsi"/>
              </w:rPr>
              <w:t>(</w:t>
            </w:r>
            <w:r>
              <w:rPr>
                <w:rFonts w:cstheme="minorHAnsi"/>
              </w:rPr>
              <w:fldChar w:fldCharType="begin"/>
            </w:r>
            <w:r>
              <w:rPr>
                <w:rFonts w:cstheme="minorHAnsi"/>
              </w:rPr>
              <w:instrText xml:space="preserve"> REF _Ref454186708 \h </w:instrText>
            </w:r>
            <w:r>
              <w:rPr>
                <w:rFonts w:cstheme="minorHAnsi"/>
              </w:rPr>
            </w:r>
            <w:r>
              <w:rPr>
                <w:rFonts w:cstheme="minorHAnsi"/>
              </w:rPr>
              <w:fldChar w:fldCharType="separate"/>
            </w:r>
            <w:r w:rsidR="000A0E3D" w:rsidRPr="008A0BB7">
              <w:t xml:space="preserve">Figure III. </w:t>
            </w:r>
            <w:r w:rsidR="000A0E3D">
              <w:rPr>
                <w:noProof/>
              </w:rPr>
              <w:t>3</w:t>
            </w:r>
            <w:r w:rsidR="000A0E3D">
              <w:t>.</w:t>
            </w:r>
            <w:r w:rsidR="000A0E3D">
              <w:rPr>
                <w:noProof/>
              </w:rPr>
              <w:t>18</w:t>
            </w:r>
            <w:r>
              <w:rPr>
                <w:rFonts w:cstheme="minorHAnsi"/>
              </w:rPr>
              <w:fldChar w:fldCharType="end"/>
            </w:r>
            <w:r>
              <w:rPr>
                <w:rFonts w:cstheme="minorHAnsi"/>
              </w:rPr>
              <w:t>,</w:t>
            </w:r>
          </w:p>
          <w:p w14:paraId="39B3D45B" w14:textId="77777777" w:rsidR="00E20ED7" w:rsidRPr="00266011" w:rsidRDefault="00E20ED7" w:rsidP="00E60A97">
            <w:pPr>
              <w:spacing w:line="276" w:lineRule="auto"/>
              <w:jc w:val="center"/>
              <w:rPr>
                <w:rFonts w:cstheme="minorHAnsi"/>
              </w:rPr>
            </w:pPr>
            <w:r>
              <w:rPr>
                <w:rFonts w:cstheme="minorHAnsi"/>
              </w:rPr>
              <w:fldChar w:fldCharType="begin"/>
            </w:r>
            <w:r>
              <w:rPr>
                <w:rFonts w:cstheme="minorHAnsi"/>
              </w:rPr>
              <w:instrText xml:space="preserve"> REF _Ref454186804 \h </w:instrText>
            </w:r>
            <w:r>
              <w:rPr>
                <w:rFonts w:cstheme="minorHAnsi"/>
              </w:rPr>
            </w:r>
            <w:r>
              <w:rPr>
                <w:rFonts w:cstheme="minorHAnsi"/>
              </w:rPr>
              <w:fldChar w:fldCharType="separate"/>
            </w:r>
            <w:r w:rsidR="000A0E3D" w:rsidRPr="008A0BB7">
              <w:t xml:space="preserve">Figure III. </w:t>
            </w:r>
            <w:r w:rsidR="000A0E3D">
              <w:rPr>
                <w:noProof/>
              </w:rPr>
              <w:t>3</w:t>
            </w:r>
            <w:r w:rsidR="000A0E3D">
              <w:t>.</w:t>
            </w:r>
            <w:r w:rsidR="000A0E3D">
              <w:rPr>
                <w:noProof/>
              </w:rPr>
              <w:t>19</w:t>
            </w:r>
            <w:r>
              <w:rPr>
                <w:rFonts w:cstheme="minorHAnsi"/>
              </w:rPr>
              <w:fldChar w:fldCharType="end"/>
            </w:r>
            <w:r>
              <w:rPr>
                <w:rFonts w:cstheme="minorHAnsi"/>
              </w:rPr>
              <w:t>)</w:t>
            </w:r>
          </w:p>
        </w:tc>
        <w:tc>
          <w:tcPr>
            <w:tcW w:w="0" w:type="auto"/>
            <w:tcBorders>
              <w:top w:val="single" w:sz="12" w:space="0" w:color="auto"/>
              <w:left w:val="single" w:sz="12" w:space="0" w:color="auto"/>
              <w:bottom w:val="dashed" w:sz="4" w:space="0" w:color="808080" w:themeColor="background1" w:themeShade="80"/>
              <w:right w:val="dashed" w:sz="4" w:space="0" w:color="808080" w:themeColor="background1" w:themeShade="80"/>
            </w:tcBorders>
            <w:vAlign w:val="center"/>
          </w:tcPr>
          <w:p w14:paraId="42E6743C" w14:textId="77777777" w:rsidR="00E20ED7" w:rsidRDefault="00E20ED7" w:rsidP="00E60A97">
            <w:pPr>
              <w:spacing w:line="276" w:lineRule="auto"/>
              <w:jc w:val="center"/>
              <w:rPr>
                <w:rFonts w:cstheme="minorHAnsi"/>
              </w:rPr>
            </w:pPr>
            <w:r w:rsidRPr="00266011">
              <w:rPr>
                <w:rFonts w:cstheme="minorHAnsi"/>
              </w:rPr>
              <w:t>Glycerol/Ben</w:t>
            </w:r>
            <w:r>
              <w:rPr>
                <w:rFonts w:cstheme="minorHAnsi"/>
              </w:rPr>
              <w:t>zene</w:t>
            </w:r>
          </w:p>
          <w:p w14:paraId="1E05FF16" w14:textId="77777777" w:rsidR="00E20ED7" w:rsidRPr="00266011" w:rsidRDefault="00E20ED7" w:rsidP="00E60A97">
            <w:pPr>
              <w:spacing w:line="276" w:lineRule="auto"/>
              <w:jc w:val="center"/>
              <w:rPr>
                <w:rFonts w:cstheme="minorHAnsi"/>
              </w:rPr>
            </w:pPr>
            <w:r w:rsidRPr="00266011">
              <w:rPr>
                <w:rFonts w:cstheme="minorHAnsi"/>
              </w:rPr>
              <w:t>(2.5:1)</w:t>
            </w:r>
          </w:p>
        </w:tc>
        <w:tc>
          <w:tcPr>
            <w:tcW w:w="0" w:type="auto"/>
            <w:tcBorders>
              <w:top w:val="single" w:sz="12" w:space="0" w:color="auto"/>
              <w:left w:val="dashed" w:sz="4" w:space="0" w:color="808080" w:themeColor="background1" w:themeShade="80"/>
              <w:bottom w:val="dashed" w:sz="4" w:space="0" w:color="808080" w:themeColor="background1" w:themeShade="80"/>
              <w:right w:val="dashed" w:sz="4" w:space="0" w:color="808080" w:themeColor="background1" w:themeShade="80"/>
            </w:tcBorders>
            <w:vAlign w:val="center"/>
          </w:tcPr>
          <w:p w14:paraId="6717A7F0" w14:textId="77777777" w:rsidR="00E20ED7" w:rsidRPr="00266011" w:rsidRDefault="00E20ED7" w:rsidP="00E60A97">
            <w:pPr>
              <w:spacing w:line="276" w:lineRule="auto"/>
              <w:jc w:val="center"/>
              <w:rPr>
                <w:rFonts w:cstheme="minorHAnsi"/>
              </w:rPr>
            </w:pPr>
            <w:r>
              <w:rPr>
                <w:rFonts w:cstheme="minorHAnsi"/>
              </w:rPr>
              <w:t>150</w:t>
            </w:r>
          </w:p>
        </w:tc>
        <w:tc>
          <w:tcPr>
            <w:tcW w:w="0" w:type="auto"/>
            <w:tcBorders>
              <w:top w:val="single" w:sz="12" w:space="0" w:color="auto"/>
              <w:left w:val="dashed" w:sz="4" w:space="0" w:color="808080" w:themeColor="background1" w:themeShade="80"/>
              <w:bottom w:val="dashed" w:sz="4" w:space="0" w:color="808080" w:themeColor="background1" w:themeShade="80"/>
              <w:right w:val="dashed" w:sz="4" w:space="0" w:color="808080" w:themeColor="background1" w:themeShade="80"/>
            </w:tcBorders>
            <w:vAlign w:val="center"/>
          </w:tcPr>
          <w:p w14:paraId="11927DD4" w14:textId="77777777" w:rsidR="00E20ED7" w:rsidRPr="00266011" w:rsidRDefault="00E20ED7" w:rsidP="00E60A97">
            <w:pPr>
              <w:spacing w:line="276" w:lineRule="auto"/>
              <w:jc w:val="center"/>
              <w:rPr>
                <w:rFonts w:cstheme="minorHAnsi"/>
              </w:rPr>
            </w:pPr>
            <w:r>
              <w:rPr>
                <w:rFonts w:cstheme="minorHAnsi"/>
              </w:rPr>
              <w:t>24</w:t>
            </w:r>
          </w:p>
        </w:tc>
        <w:tc>
          <w:tcPr>
            <w:tcW w:w="0" w:type="auto"/>
            <w:vMerge w:val="restart"/>
            <w:tcBorders>
              <w:top w:val="single" w:sz="12" w:space="0" w:color="auto"/>
              <w:left w:val="dashed" w:sz="4" w:space="0" w:color="808080" w:themeColor="background1" w:themeShade="80"/>
              <w:right w:val="nil"/>
            </w:tcBorders>
            <w:vAlign w:val="center"/>
          </w:tcPr>
          <w:p w14:paraId="3BF1E71D" w14:textId="77777777" w:rsidR="00E20ED7" w:rsidRPr="00266011" w:rsidRDefault="00E20ED7" w:rsidP="00E20ED7">
            <w:pPr>
              <w:spacing w:line="276" w:lineRule="auto"/>
              <w:jc w:val="center"/>
              <w:rPr>
                <w:rFonts w:cstheme="minorHAnsi"/>
              </w:rPr>
            </w:pPr>
            <w:r>
              <w:rPr>
                <w:rFonts w:cstheme="minorHAnsi"/>
              </w:rPr>
              <w:t>N/A</w:t>
            </w:r>
          </w:p>
        </w:tc>
      </w:tr>
      <w:tr w:rsidR="00E20ED7" w:rsidRPr="00266011" w14:paraId="2617D3A7" w14:textId="77777777" w:rsidTr="009F393B">
        <w:trPr>
          <w:jc w:val="center"/>
        </w:trPr>
        <w:tc>
          <w:tcPr>
            <w:tcW w:w="0" w:type="auto"/>
            <w:vMerge/>
            <w:tcBorders>
              <w:top w:val="nil"/>
              <w:left w:val="nil"/>
              <w:bottom w:val="double" w:sz="4" w:space="0" w:color="auto"/>
              <w:right w:val="single" w:sz="12" w:space="0" w:color="auto"/>
            </w:tcBorders>
            <w:vAlign w:val="center"/>
          </w:tcPr>
          <w:p w14:paraId="7BDBA49A" w14:textId="77777777" w:rsidR="00E20ED7" w:rsidRPr="00266011" w:rsidRDefault="00E20ED7" w:rsidP="00E60A97">
            <w:pPr>
              <w:spacing w:line="276" w:lineRule="auto"/>
              <w:jc w:val="center"/>
              <w:rPr>
                <w:rFonts w:cstheme="minorHAnsi"/>
              </w:rPr>
            </w:pPr>
          </w:p>
        </w:tc>
        <w:tc>
          <w:tcPr>
            <w:tcW w:w="0" w:type="auto"/>
            <w:tcBorders>
              <w:top w:val="dashed" w:sz="4" w:space="0" w:color="808080" w:themeColor="background1" w:themeShade="80"/>
              <w:left w:val="single" w:sz="12" w:space="0" w:color="auto"/>
              <w:bottom w:val="double" w:sz="4" w:space="0" w:color="auto"/>
              <w:right w:val="dashed" w:sz="4" w:space="0" w:color="808080" w:themeColor="background1" w:themeShade="80"/>
            </w:tcBorders>
            <w:vAlign w:val="center"/>
          </w:tcPr>
          <w:p w14:paraId="34469245" w14:textId="77777777" w:rsidR="00E20ED7" w:rsidRPr="00266011" w:rsidRDefault="00E20ED7" w:rsidP="00E60A97">
            <w:pPr>
              <w:spacing w:line="276" w:lineRule="auto"/>
              <w:jc w:val="center"/>
              <w:rPr>
                <w:rFonts w:cstheme="minorHAnsi"/>
              </w:rPr>
            </w:pPr>
            <w:r w:rsidRPr="00266011">
              <w:rPr>
                <w:rFonts w:cstheme="minorHAnsi"/>
              </w:rPr>
              <w:t>3-octanol</w:t>
            </w:r>
          </w:p>
        </w:tc>
        <w:tc>
          <w:tcPr>
            <w:tcW w:w="0" w:type="auto"/>
            <w:tcBorders>
              <w:top w:val="dashed" w:sz="4" w:space="0" w:color="808080" w:themeColor="background1" w:themeShade="80"/>
              <w:left w:val="dashed" w:sz="4" w:space="0" w:color="808080" w:themeColor="background1" w:themeShade="80"/>
              <w:bottom w:val="double" w:sz="4" w:space="0" w:color="auto"/>
              <w:right w:val="dashed" w:sz="4" w:space="0" w:color="808080" w:themeColor="background1" w:themeShade="80"/>
            </w:tcBorders>
            <w:vAlign w:val="center"/>
          </w:tcPr>
          <w:p w14:paraId="12663151" w14:textId="77777777" w:rsidR="00E20ED7" w:rsidRDefault="00E20ED7" w:rsidP="00E60A97">
            <w:pPr>
              <w:spacing w:line="276" w:lineRule="auto"/>
              <w:jc w:val="center"/>
              <w:rPr>
                <w:rFonts w:cstheme="minorHAnsi"/>
              </w:rPr>
            </w:pPr>
            <w:r>
              <w:rPr>
                <w:rFonts w:cstheme="minorHAnsi"/>
              </w:rPr>
              <w:t>150</w:t>
            </w:r>
          </w:p>
          <w:p w14:paraId="757EB881" w14:textId="77777777" w:rsidR="00E20ED7" w:rsidRPr="00266011" w:rsidRDefault="00E20ED7" w:rsidP="00E60A97">
            <w:pPr>
              <w:spacing w:line="276" w:lineRule="auto"/>
              <w:jc w:val="center"/>
              <w:rPr>
                <w:rFonts w:cstheme="minorHAnsi"/>
              </w:rPr>
            </w:pPr>
            <w:r>
              <w:rPr>
                <w:rFonts w:cstheme="minorHAnsi"/>
              </w:rPr>
              <w:t>170</w:t>
            </w:r>
          </w:p>
        </w:tc>
        <w:tc>
          <w:tcPr>
            <w:tcW w:w="0" w:type="auto"/>
            <w:tcBorders>
              <w:top w:val="dashed" w:sz="4" w:space="0" w:color="808080" w:themeColor="background1" w:themeShade="80"/>
              <w:left w:val="dashed" w:sz="4" w:space="0" w:color="808080" w:themeColor="background1" w:themeShade="80"/>
              <w:bottom w:val="double" w:sz="4" w:space="0" w:color="auto"/>
              <w:right w:val="dashed" w:sz="4" w:space="0" w:color="808080" w:themeColor="background1" w:themeShade="80"/>
            </w:tcBorders>
            <w:vAlign w:val="center"/>
          </w:tcPr>
          <w:p w14:paraId="19792307" w14:textId="77777777" w:rsidR="00E20ED7" w:rsidRDefault="00E20ED7" w:rsidP="00E60A97">
            <w:pPr>
              <w:spacing w:line="276" w:lineRule="auto"/>
              <w:jc w:val="center"/>
              <w:rPr>
                <w:rFonts w:cstheme="minorHAnsi"/>
              </w:rPr>
            </w:pPr>
            <w:r>
              <w:rPr>
                <w:rFonts w:cstheme="minorHAnsi"/>
              </w:rPr>
              <w:t>24</w:t>
            </w:r>
          </w:p>
          <w:p w14:paraId="57418840" w14:textId="77777777" w:rsidR="00E20ED7" w:rsidRPr="00266011" w:rsidRDefault="00E20ED7" w:rsidP="00E60A97">
            <w:pPr>
              <w:spacing w:line="276" w:lineRule="auto"/>
              <w:jc w:val="center"/>
              <w:rPr>
                <w:rFonts w:cstheme="minorHAnsi"/>
              </w:rPr>
            </w:pPr>
            <w:r>
              <w:rPr>
                <w:rFonts w:cstheme="minorHAnsi"/>
              </w:rPr>
              <w:t>1.5</w:t>
            </w:r>
          </w:p>
        </w:tc>
        <w:tc>
          <w:tcPr>
            <w:tcW w:w="0" w:type="auto"/>
            <w:vMerge/>
            <w:tcBorders>
              <w:left w:val="dashed" w:sz="4" w:space="0" w:color="808080" w:themeColor="background1" w:themeShade="80"/>
              <w:bottom w:val="double" w:sz="4" w:space="0" w:color="auto"/>
              <w:right w:val="nil"/>
            </w:tcBorders>
            <w:vAlign w:val="center"/>
          </w:tcPr>
          <w:p w14:paraId="0814EEBF" w14:textId="77777777" w:rsidR="00E20ED7" w:rsidRPr="00266011" w:rsidRDefault="00E20ED7" w:rsidP="00E60A97">
            <w:pPr>
              <w:spacing w:line="276" w:lineRule="auto"/>
              <w:jc w:val="center"/>
              <w:rPr>
                <w:rFonts w:cstheme="minorHAnsi"/>
              </w:rPr>
            </w:pPr>
          </w:p>
        </w:tc>
      </w:tr>
      <w:tr w:rsidR="00E60A97" w:rsidRPr="00266011" w14:paraId="037B62BA" w14:textId="77777777" w:rsidTr="00E60A97">
        <w:trPr>
          <w:jc w:val="center"/>
        </w:trPr>
        <w:tc>
          <w:tcPr>
            <w:tcW w:w="0" w:type="auto"/>
            <w:vMerge w:val="restart"/>
            <w:tcBorders>
              <w:top w:val="double" w:sz="4" w:space="0" w:color="auto"/>
              <w:left w:val="nil"/>
              <w:right w:val="single" w:sz="12" w:space="0" w:color="auto"/>
            </w:tcBorders>
            <w:vAlign w:val="center"/>
          </w:tcPr>
          <w:p w14:paraId="7B1F8555" w14:textId="77777777" w:rsidR="00E60A97" w:rsidRDefault="00E60A97" w:rsidP="00E60A97">
            <w:pPr>
              <w:spacing w:line="276" w:lineRule="auto"/>
              <w:jc w:val="center"/>
              <w:rPr>
                <w:rFonts w:cstheme="minorHAnsi"/>
              </w:rPr>
            </w:pPr>
            <w:r>
              <w:rPr>
                <w:rFonts w:cstheme="minorHAnsi"/>
              </w:rPr>
              <w:t>DODH/Allylation</w:t>
            </w:r>
          </w:p>
          <w:p w14:paraId="034AFBA7" w14:textId="77777777" w:rsidR="00E60A97" w:rsidRDefault="00E60A97" w:rsidP="00E60A97">
            <w:pPr>
              <w:spacing w:line="276" w:lineRule="auto"/>
              <w:jc w:val="center"/>
              <w:rPr>
                <w:rFonts w:cstheme="minorHAnsi"/>
              </w:rPr>
            </w:pPr>
            <w:r w:rsidRPr="00266011">
              <w:rPr>
                <w:rFonts w:cstheme="minorHAnsi"/>
              </w:rPr>
              <w:t>Tandem</w:t>
            </w:r>
          </w:p>
          <w:p w14:paraId="6EA4ED30" w14:textId="77777777" w:rsidR="00E60A97" w:rsidRDefault="00E60A97" w:rsidP="00E60A97">
            <w:pPr>
              <w:spacing w:line="276" w:lineRule="auto"/>
              <w:jc w:val="center"/>
              <w:rPr>
                <w:rFonts w:cstheme="minorHAnsi"/>
              </w:rPr>
            </w:pPr>
            <w:r>
              <w:rPr>
                <w:rFonts w:cstheme="minorHAnsi"/>
              </w:rPr>
              <w:t>(</w:t>
            </w:r>
            <w:r>
              <w:rPr>
                <w:rFonts w:cstheme="minorHAnsi"/>
              </w:rPr>
              <w:fldChar w:fldCharType="begin"/>
            </w:r>
            <w:r>
              <w:rPr>
                <w:rFonts w:cstheme="minorHAnsi"/>
              </w:rPr>
              <w:instrText xml:space="preserve"> REF _Ref454186866 \h </w:instrText>
            </w:r>
            <w:r>
              <w:rPr>
                <w:rFonts w:cstheme="minorHAnsi"/>
              </w:rPr>
            </w:r>
            <w:r>
              <w:rPr>
                <w:rFonts w:cstheme="minorHAnsi"/>
              </w:rPr>
              <w:fldChar w:fldCharType="separate"/>
            </w:r>
            <w:r w:rsidR="000A0E3D" w:rsidRPr="008A0BB7">
              <w:t xml:space="preserve">Figure III. </w:t>
            </w:r>
            <w:r w:rsidR="000A0E3D">
              <w:rPr>
                <w:noProof/>
              </w:rPr>
              <w:t>3</w:t>
            </w:r>
            <w:r w:rsidR="000A0E3D">
              <w:t>.</w:t>
            </w:r>
            <w:r w:rsidR="000A0E3D">
              <w:rPr>
                <w:noProof/>
              </w:rPr>
              <w:t>20</w:t>
            </w:r>
            <w:r>
              <w:rPr>
                <w:rFonts w:cstheme="minorHAnsi"/>
              </w:rPr>
              <w:fldChar w:fldCharType="end"/>
            </w:r>
            <w:r>
              <w:rPr>
                <w:rFonts w:cstheme="minorHAnsi"/>
              </w:rPr>
              <w:t>,</w:t>
            </w:r>
          </w:p>
          <w:p w14:paraId="482C3B22" w14:textId="77777777" w:rsidR="00E60A97" w:rsidRPr="00266011" w:rsidRDefault="00E60A97" w:rsidP="00E60A97">
            <w:pPr>
              <w:spacing w:line="276" w:lineRule="auto"/>
              <w:jc w:val="center"/>
              <w:rPr>
                <w:rFonts w:cstheme="minorHAnsi"/>
              </w:rPr>
            </w:pPr>
            <w:r>
              <w:rPr>
                <w:rFonts w:cstheme="minorHAnsi"/>
              </w:rPr>
              <w:fldChar w:fldCharType="begin"/>
            </w:r>
            <w:r>
              <w:rPr>
                <w:rFonts w:cstheme="minorHAnsi"/>
              </w:rPr>
              <w:instrText xml:space="preserve"> REF _Ref454187114 \h </w:instrText>
            </w:r>
            <w:r>
              <w:rPr>
                <w:rFonts w:cstheme="minorHAnsi"/>
              </w:rPr>
            </w:r>
            <w:r>
              <w:rPr>
                <w:rFonts w:cstheme="minorHAnsi"/>
              </w:rPr>
              <w:fldChar w:fldCharType="separate"/>
            </w:r>
            <w:r w:rsidR="000A0E3D" w:rsidRPr="008A0BB7">
              <w:t xml:space="preserve">Figure III. </w:t>
            </w:r>
            <w:r w:rsidR="000A0E3D">
              <w:rPr>
                <w:noProof/>
              </w:rPr>
              <w:t>3</w:t>
            </w:r>
            <w:r w:rsidR="000A0E3D">
              <w:t>.</w:t>
            </w:r>
            <w:r w:rsidR="000A0E3D">
              <w:rPr>
                <w:noProof/>
              </w:rPr>
              <w:t>21</w:t>
            </w:r>
            <w:r>
              <w:rPr>
                <w:rFonts w:cstheme="minorHAnsi"/>
              </w:rPr>
              <w:fldChar w:fldCharType="end"/>
            </w:r>
            <w:r>
              <w:rPr>
                <w:rFonts w:cstheme="minorHAnsi"/>
              </w:rPr>
              <w:t>)</w:t>
            </w:r>
          </w:p>
        </w:tc>
        <w:tc>
          <w:tcPr>
            <w:tcW w:w="0" w:type="auto"/>
            <w:tcBorders>
              <w:top w:val="double" w:sz="4" w:space="0" w:color="auto"/>
              <w:left w:val="single" w:sz="12" w:space="0" w:color="auto"/>
              <w:bottom w:val="dashed" w:sz="4" w:space="0" w:color="808080" w:themeColor="background1" w:themeShade="80"/>
              <w:right w:val="dashed" w:sz="4" w:space="0" w:color="808080" w:themeColor="background1" w:themeShade="80"/>
            </w:tcBorders>
            <w:vAlign w:val="center"/>
          </w:tcPr>
          <w:p w14:paraId="63E55919" w14:textId="77777777" w:rsidR="00E60A97" w:rsidRPr="00266011" w:rsidRDefault="00E60A97" w:rsidP="00E60A97">
            <w:pPr>
              <w:spacing w:line="276" w:lineRule="auto"/>
              <w:jc w:val="center"/>
              <w:rPr>
                <w:rFonts w:cstheme="minorHAnsi"/>
              </w:rPr>
            </w:pPr>
            <w:r>
              <w:rPr>
                <w:rFonts w:cstheme="minorHAnsi"/>
              </w:rPr>
              <w:t>3-octanol</w:t>
            </w:r>
          </w:p>
        </w:tc>
        <w:tc>
          <w:tcPr>
            <w:tcW w:w="0" w:type="auto"/>
            <w:vMerge w:val="restart"/>
            <w:tcBorders>
              <w:top w:val="double" w:sz="4" w:space="0" w:color="auto"/>
              <w:left w:val="dashed" w:sz="4" w:space="0" w:color="808080" w:themeColor="background1" w:themeShade="80"/>
              <w:right w:val="dashed" w:sz="4" w:space="0" w:color="808080" w:themeColor="background1" w:themeShade="80"/>
            </w:tcBorders>
            <w:vAlign w:val="center"/>
          </w:tcPr>
          <w:p w14:paraId="7097F470" w14:textId="77777777" w:rsidR="00E60A97" w:rsidRPr="00266011" w:rsidRDefault="00E60A97" w:rsidP="00E60A97">
            <w:pPr>
              <w:spacing w:line="276" w:lineRule="auto"/>
              <w:jc w:val="center"/>
              <w:rPr>
                <w:rFonts w:cstheme="minorHAnsi"/>
              </w:rPr>
            </w:pPr>
            <w:r>
              <w:rPr>
                <w:rFonts w:cstheme="minorHAnsi"/>
              </w:rPr>
              <w:t>150</w:t>
            </w:r>
          </w:p>
        </w:tc>
        <w:tc>
          <w:tcPr>
            <w:tcW w:w="0" w:type="auto"/>
            <w:vMerge w:val="restart"/>
            <w:tcBorders>
              <w:top w:val="double" w:sz="4" w:space="0" w:color="auto"/>
              <w:left w:val="dashed" w:sz="4" w:space="0" w:color="808080" w:themeColor="background1" w:themeShade="80"/>
              <w:right w:val="dashed" w:sz="4" w:space="0" w:color="808080" w:themeColor="background1" w:themeShade="80"/>
            </w:tcBorders>
            <w:vAlign w:val="center"/>
          </w:tcPr>
          <w:p w14:paraId="10895D28" w14:textId="77777777" w:rsidR="00E60A97" w:rsidRPr="00266011" w:rsidRDefault="00E60A97" w:rsidP="00E60A97">
            <w:pPr>
              <w:spacing w:line="276" w:lineRule="auto"/>
              <w:jc w:val="center"/>
              <w:rPr>
                <w:rFonts w:cstheme="minorHAnsi"/>
              </w:rPr>
            </w:pPr>
            <w:r>
              <w:rPr>
                <w:rFonts w:cstheme="minorHAnsi"/>
              </w:rPr>
              <w:t>24</w:t>
            </w:r>
          </w:p>
        </w:tc>
        <w:tc>
          <w:tcPr>
            <w:tcW w:w="0" w:type="auto"/>
            <w:tcBorders>
              <w:top w:val="double" w:sz="4" w:space="0" w:color="auto"/>
              <w:left w:val="dashed" w:sz="4" w:space="0" w:color="808080" w:themeColor="background1" w:themeShade="80"/>
              <w:bottom w:val="dashed" w:sz="4" w:space="0" w:color="808080" w:themeColor="background1" w:themeShade="80"/>
              <w:right w:val="nil"/>
            </w:tcBorders>
            <w:vAlign w:val="center"/>
          </w:tcPr>
          <w:p w14:paraId="00C793BD" w14:textId="77777777" w:rsidR="00E60A97" w:rsidRPr="00266011" w:rsidRDefault="00E60A97" w:rsidP="00E60A97">
            <w:pPr>
              <w:spacing w:line="276" w:lineRule="auto"/>
              <w:jc w:val="center"/>
              <w:rPr>
                <w:rFonts w:cstheme="minorHAnsi"/>
              </w:rPr>
            </w:pPr>
            <w:r>
              <w:rPr>
                <w:rFonts w:cstheme="minorHAnsi"/>
              </w:rPr>
              <w:t>solvent</w:t>
            </w:r>
          </w:p>
        </w:tc>
      </w:tr>
      <w:tr w:rsidR="00E60A97" w:rsidRPr="00266011" w14:paraId="444A30AC" w14:textId="77777777" w:rsidTr="00E60A97">
        <w:trPr>
          <w:jc w:val="center"/>
        </w:trPr>
        <w:tc>
          <w:tcPr>
            <w:tcW w:w="0" w:type="auto"/>
            <w:vMerge/>
            <w:tcBorders>
              <w:left w:val="nil"/>
              <w:right w:val="single" w:sz="12" w:space="0" w:color="auto"/>
            </w:tcBorders>
            <w:vAlign w:val="center"/>
          </w:tcPr>
          <w:p w14:paraId="2F871B5E" w14:textId="77777777" w:rsidR="00E60A97" w:rsidRPr="00266011" w:rsidRDefault="00E60A97" w:rsidP="00E60A97">
            <w:pPr>
              <w:spacing w:line="276" w:lineRule="auto"/>
              <w:jc w:val="center"/>
              <w:rPr>
                <w:rFonts w:cstheme="minorHAnsi"/>
              </w:rPr>
            </w:pPr>
          </w:p>
        </w:tc>
        <w:tc>
          <w:tcPr>
            <w:tcW w:w="0" w:type="auto"/>
            <w:tcBorders>
              <w:top w:val="dashed" w:sz="4" w:space="0" w:color="808080" w:themeColor="background1" w:themeShade="80"/>
              <w:left w:val="single" w:sz="12" w:space="0" w:color="auto"/>
              <w:bottom w:val="dashed" w:sz="4" w:space="0" w:color="808080" w:themeColor="background1" w:themeShade="80"/>
              <w:right w:val="dashed" w:sz="4" w:space="0" w:color="808080" w:themeColor="background1" w:themeShade="80"/>
            </w:tcBorders>
            <w:vAlign w:val="center"/>
          </w:tcPr>
          <w:p w14:paraId="6D31A10C" w14:textId="77777777" w:rsidR="00E60A97" w:rsidRPr="00266011" w:rsidRDefault="00E60A97" w:rsidP="00E60A97">
            <w:pPr>
              <w:spacing w:line="276" w:lineRule="auto"/>
              <w:jc w:val="center"/>
              <w:rPr>
                <w:rFonts w:cstheme="minorHAnsi"/>
              </w:rPr>
            </w:pPr>
            <w:r>
              <w:rPr>
                <w:rFonts w:cstheme="minorHAnsi"/>
              </w:rPr>
              <w:t>1-butanol</w:t>
            </w:r>
          </w:p>
        </w:tc>
        <w:tc>
          <w:tcPr>
            <w:tcW w:w="0" w:type="auto"/>
            <w:vMerge/>
            <w:tcBorders>
              <w:left w:val="dashed" w:sz="4" w:space="0" w:color="808080" w:themeColor="background1" w:themeShade="80"/>
              <w:bottom w:val="dashed" w:sz="4" w:space="0" w:color="808080" w:themeColor="background1" w:themeShade="80"/>
              <w:right w:val="dashed" w:sz="4" w:space="0" w:color="808080" w:themeColor="background1" w:themeShade="80"/>
            </w:tcBorders>
            <w:vAlign w:val="center"/>
          </w:tcPr>
          <w:p w14:paraId="23FC373E" w14:textId="77777777" w:rsidR="00E60A97" w:rsidRPr="00266011" w:rsidRDefault="00E60A97" w:rsidP="00E60A97">
            <w:pPr>
              <w:spacing w:line="276" w:lineRule="auto"/>
              <w:jc w:val="center"/>
              <w:rPr>
                <w:rFonts w:cstheme="minorHAnsi"/>
              </w:rPr>
            </w:pPr>
          </w:p>
        </w:tc>
        <w:tc>
          <w:tcPr>
            <w:tcW w:w="0" w:type="auto"/>
            <w:vMerge/>
            <w:tcBorders>
              <w:left w:val="dashed" w:sz="4" w:space="0" w:color="808080" w:themeColor="background1" w:themeShade="80"/>
              <w:bottom w:val="dashed" w:sz="4" w:space="0" w:color="808080" w:themeColor="background1" w:themeShade="80"/>
              <w:right w:val="dashed" w:sz="4" w:space="0" w:color="808080" w:themeColor="background1" w:themeShade="80"/>
            </w:tcBorders>
            <w:vAlign w:val="center"/>
          </w:tcPr>
          <w:p w14:paraId="1DE01AB8" w14:textId="77777777" w:rsidR="00E60A97" w:rsidRPr="00266011" w:rsidRDefault="00E60A97" w:rsidP="00E60A97">
            <w:pPr>
              <w:spacing w:line="276" w:lineRule="auto"/>
              <w:jc w:val="center"/>
              <w:rPr>
                <w:rFonts w:cstheme="minorHAnsi"/>
              </w:rPr>
            </w:pPr>
          </w:p>
        </w:tc>
        <w:tc>
          <w:tcPr>
            <w:tcW w:w="0" w:type="auto"/>
            <w:tcBorders>
              <w:top w:val="dashed" w:sz="4" w:space="0" w:color="808080" w:themeColor="background1" w:themeShade="80"/>
              <w:left w:val="dashed" w:sz="4" w:space="0" w:color="808080" w:themeColor="background1" w:themeShade="80"/>
              <w:bottom w:val="dashed" w:sz="4" w:space="0" w:color="808080" w:themeColor="background1" w:themeShade="80"/>
              <w:right w:val="nil"/>
            </w:tcBorders>
            <w:vAlign w:val="center"/>
          </w:tcPr>
          <w:p w14:paraId="396DCC7A" w14:textId="77777777" w:rsidR="00E60A97" w:rsidRPr="00266011" w:rsidRDefault="00E60A97" w:rsidP="00E60A97">
            <w:pPr>
              <w:spacing w:line="276" w:lineRule="auto"/>
              <w:jc w:val="center"/>
              <w:rPr>
                <w:rFonts w:cstheme="minorHAnsi"/>
              </w:rPr>
            </w:pPr>
            <w:r>
              <w:rPr>
                <w:rFonts w:cstheme="minorHAnsi"/>
              </w:rPr>
              <w:t>PhCH</w:t>
            </w:r>
            <w:r w:rsidRPr="00E60A97">
              <w:rPr>
                <w:rFonts w:cstheme="minorHAnsi"/>
                <w:vertAlign w:val="subscript"/>
              </w:rPr>
              <w:t>2</w:t>
            </w:r>
            <w:r>
              <w:rPr>
                <w:rFonts w:cstheme="minorHAnsi"/>
              </w:rPr>
              <w:t>OH</w:t>
            </w:r>
          </w:p>
        </w:tc>
      </w:tr>
      <w:tr w:rsidR="00E60A97" w:rsidRPr="00266011" w14:paraId="45C3A747" w14:textId="77777777" w:rsidTr="00E60A97">
        <w:trPr>
          <w:jc w:val="center"/>
        </w:trPr>
        <w:tc>
          <w:tcPr>
            <w:tcW w:w="0" w:type="auto"/>
            <w:vMerge/>
            <w:tcBorders>
              <w:left w:val="nil"/>
              <w:right w:val="single" w:sz="12" w:space="0" w:color="auto"/>
            </w:tcBorders>
            <w:vAlign w:val="center"/>
          </w:tcPr>
          <w:p w14:paraId="6D3A13D8" w14:textId="77777777" w:rsidR="00E60A97" w:rsidRPr="00266011" w:rsidRDefault="00E60A97" w:rsidP="00E60A97">
            <w:pPr>
              <w:spacing w:line="276" w:lineRule="auto"/>
              <w:jc w:val="center"/>
              <w:rPr>
                <w:rFonts w:cstheme="minorHAnsi"/>
              </w:rPr>
            </w:pPr>
          </w:p>
        </w:tc>
        <w:tc>
          <w:tcPr>
            <w:tcW w:w="0" w:type="auto"/>
            <w:vMerge w:val="restart"/>
            <w:tcBorders>
              <w:top w:val="dashed" w:sz="4" w:space="0" w:color="808080" w:themeColor="background1" w:themeShade="80"/>
              <w:left w:val="single" w:sz="12" w:space="0" w:color="auto"/>
              <w:right w:val="dashed" w:sz="4" w:space="0" w:color="808080" w:themeColor="background1" w:themeShade="80"/>
            </w:tcBorders>
            <w:vAlign w:val="center"/>
          </w:tcPr>
          <w:p w14:paraId="68182BBE" w14:textId="77777777" w:rsidR="00E60A97" w:rsidRPr="00266011" w:rsidRDefault="00E60A97" w:rsidP="00E60A97">
            <w:pPr>
              <w:spacing w:line="276" w:lineRule="auto"/>
              <w:jc w:val="center"/>
              <w:rPr>
                <w:rFonts w:cstheme="minorHAnsi"/>
              </w:rPr>
            </w:pPr>
            <w:r>
              <w:rPr>
                <w:rFonts w:cstheme="minorHAnsi"/>
              </w:rPr>
              <w:t>DME or</w:t>
            </w:r>
          </w:p>
          <w:p w14:paraId="025315FB" w14:textId="77777777" w:rsidR="00E60A97" w:rsidRPr="00266011" w:rsidRDefault="00E60A97" w:rsidP="00E60A97">
            <w:pPr>
              <w:spacing w:line="276" w:lineRule="auto"/>
              <w:jc w:val="center"/>
              <w:rPr>
                <w:rFonts w:cstheme="minorHAnsi"/>
              </w:rPr>
            </w:pPr>
            <w:r>
              <w:rPr>
                <w:rFonts w:cstheme="minorHAnsi"/>
              </w:rPr>
              <w:t>PEG-200</w:t>
            </w:r>
          </w:p>
        </w:tc>
        <w:tc>
          <w:tcPr>
            <w:tcW w:w="0" w:type="auto"/>
            <w:vMerge w:val="restart"/>
            <w:tcBorders>
              <w:top w:val="dashed" w:sz="4" w:space="0" w:color="808080" w:themeColor="background1" w:themeShade="80"/>
              <w:left w:val="dashed" w:sz="4" w:space="0" w:color="808080" w:themeColor="background1" w:themeShade="80"/>
              <w:right w:val="dashed" w:sz="4" w:space="0" w:color="808080" w:themeColor="background1" w:themeShade="80"/>
            </w:tcBorders>
            <w:vAlign w:val="center"/>
          </w:tcPr>
          <w:p w14:paraId="487EFE9F" w14:textId="77777777" w:rsidR="00E60A97" w:rsidRPr="00266011" w:rsidRDefault="00E60A97" w:rsidP="00E60A97">
            <w:pPr>
              <w:spacing w:line="276" w:lineRule="auto"/>
              <w:jc w:val="center"/>
              <w:rPr>
                <w:rFonts w:cstheme="minorHAnsi"/>
              </w:rPr>
            </w:pPr>
            <w:r>
              <w:rPr>
                <w:rFonts w:cstheme="minorHAnsi"/>
              </w:rPr>
              <w:t>150</w:t>
            </w:r>
          </w:p>
        </w:tc>
        <w:tc>
          <w:tcPr>
            <w:tcW w:w="0" w:type="auto"/>
            <w:vMerge w:val="restart"/>
            <w:tcBorders>
              <w:top w:val="dashed" w:sz="4" w:space="0" w:color="808080" w:themeColor="background1" w:themeShade="80"/>
              <w:left w:val="dashed" w:sz="4" w:space="0" w:color="808080" w:themeColor="background1" w:themeShade="80"/>
              <w:right w:val="dashed" w:sz="4" w:space="0" w:color="808080" w:themeColor="background1" w:themeShade="80"/>
            </w:tcBorders>
            <w:vAlign w:val="center"/>
          </w:tcPr>
          <w:p w14:paraId="4AFAFBB2" w14:textId="77777777" w:rsidR="00E60A97" w:rsidRPr="00266011" w:rsidRDefault="00E60A97" w:rsidP="00E60A97">
            <w:pPr>
              <w:spacing w:line="276" w:lineRule="auto"/>
              <w:jc w:val="center"/>
              <w:rPr>
                <w:rFonts w:cstheme="minorHAnsi"/>
              </w:rPr>
            </w:pPr>
            <w:r>
              <w:rPr>
                <w:rFonts w:cstheme="minorHAnsi"/>
              </w:rPr>
              <w:t>24</w:t>
            </w:r>
          </w:p>
        </w:tc>
        <w:tc>
          <w:tcPr>
            <w:tcW w:w="0" w:type="auto"/>
            <w:tcBorders>
              <w:top w:val="dashed" w:sz="4" w:space="0" w:color="808080" w:themeColor="background1" w:themeShade="80"/>
              <w:left w:val="dashed" w:sz="4" w:space="0" w:color="808080" w:themeColor="background1" w:themeShade="80"/>
              <w:bottom w:val="dashed" w:sz="4" w:space="0" w:color="808080" w:themeColor="background1" w:themeShade="80"/>
              <w:right w:val="nil"/>
            </w:tcBorders>
            <w:vAlign w:val="center"/>
          </w:tcPr>
          <w:p w14:paraId="1996B5A8" w14:textId="77777777" w:rsidR="00E60A97" w:rsidRPr="00266011" w:rsidRDefault="00E60A97" w:rsidP="00E60A97">
            <w:pPr>
              <w:spacing w:line="276" w:lineRule="auto"/>
              <w:jc w:val="center"/>
              <w:rPr>
                <w:rFonts w:cstheme="minorHAnsi"/>
              </w:rPr>
            </w:pPr>
            <w:r>
              <w:rPr>
                <w:rFonts w:cstheme="minorHAnsi"/>
              </w:rPr>
              <w:t>PhCH</w:t>
            </w:r>
            <w:r w:rsidRPr="00E60A97">
              <w:rPr>
                <w:rFonts w:cstheme="minorHAnsi"/>
                <w:vertAlign w:val="subscript"/>
              </w:rPr>
              <w:t>2</w:t>
            </w:r>
            <w:r>
              <w:rPr>
                <w:rFonts w:cstheme="minorHAnsi"/>
              </w:rPr>
              <w:t>OH</w:t>
            </w:r>
          </w:p>
        </w:tc>
      </w:tr>
      <w:tr w:rsidR="00E60A97" w:rsidRPr="00266011" w14:paraId="7B87DA3C" w14:textId="77777777" w:rsidTr="00E60A97">
        <w:trPr>
          <w:jc w:val="center"/>
        </w:trPr>
        <w:tc>
          <w:tcPr>
            <w:tcW w:w="0" w:type="auto"/>
            <w:vMerge/>
            <w:tcBorders>
              <w:left w:val="nil"/>
              <w:right w:val="single" w:sz="12" w:space="0" w:color="auto"/>
            </w:tcBorders>
            <w:vAlign w:val="center"/>
          </w:tcPr>
          <w:p w14:paraId="7DF51FF0" w14:textId="77777777" w:rsidR="00E60A97" w:rsidRPr="00266011" w:rsidRDefault="00E60A97" w:rsidP="00E60A97">
            <w:pPr>
              <w:spacing w:line="276" w:lineRule="auto"/>
              <w:jc w:val="center"/>
              <w:rPr>
                <w:rFonts w:cstheme="minorHAnsi"/>
              </w:rPr>
            </w:pPr>
          </w:p>
        </w:tc>
        <w:tc>
          <w:tcPr>
            <w:tcW w:w="0" w:type="auto"/>
            <w:vMerge/>
            <w:tcBorders>
              <w:left w:val="single" w:sz="12" w:space="0" w:color="auto"/>
              <w:right w:val="dashed" w:sz="4" w:space="0" w:color="808080" w:themeColor="background1" w:themeShade="80"/>
            </w:tcBorders>
            <w:vAlign w:val="center"/>
          </w:tcPr>
          <w:p w14:paraId="3FD72F87" w14:textId="77777777" w:rsidR="00E60A97" w:rsidRDefault="00E60A97" w:rsidP="00E60A97">
            <w:pPr>
              <w:spacing w:line="276" w:lineRule="auto"/>
              <w:jc w:val="center"/>
              <w:rPr>
                <w:rFonts w:cstheme="minorHAnsi"/>
              </w:rPr>
            </w:pPr>
          </w:p>
        </w:tc>
        <w:tc>
          <w:tcPr>
            <w:tcW w:w="0" w:type="auto"/>
            <w:vMerge/>
            <w:tcBorders>
              <w:left w:val="dashed" w:sz="4" w:space="0" w:color="808080" w:themeColor="background1" w:themeShade="80"/>
              <w:right w:val="dashed" w:sz="4" w:space="0" w:color="808080" w:themeColor="background1" w:themeShade="80"/>
            </w:tcBorders>
            <w:vAlign w:val="center"/>
          </w:tcPr>
          <w:p w14:paraId="3D4712E7" w14:textId="77777777" w:rsidR="00E60A97" w:rsidRPr="00266011" w:rsidRDefault="00E60A97" w:rsidP="00E60A97">
            <w:pPr>
              <w:spacing w:line="276" w:lineRule="auto"/>
              <w:jc w:val="center"/>
              <w:rPr>
                <w:rFonts w:cstheme="minorHAnsi"/>
              </w:rPr>
            </w:pPr>
          </w:p>
        </w:tc>
        <w:tc>
          <w:tcPr>
            <w:tcW w:w="0" w:type="auto"/>
            <w:vMerge/>
            <w:tcBorders>
              <w:left w:val="dashed" w:sz="4" w:space="0" w:color="808080" w:themeColor="background1" w:themeShade="80"/>
              <w:right w:val="dashed" w:sz="4" w:space="0" w:color="808080" w:themeColor="background1" w:themeShade="80"/>
            </w:tcBorders>
            <w:vAlign w:val="center"/>
          </w:tcPr>
          <w:p w14:paraId="6AACFEFB" w14:textId="77777777" w:rsidR="00E60A97" w:rsidRPr="00266011" w:rsidRDefault="00E60A97" w:rsidP="00E60A97">
            <w:pPr>
              <w:spacing w:line="276" w:lineRule="auto"/>
              <w:jc w:val="center"/>
              <w:rPr>
                <w:rFonts w:cstheme="minorHAnsi"/>
              </w:rPr>
            </w:pPr>
          </w:p>
        </w:tc>
        <w:tc>
          <w:tcPr>
            <w:tcW w:w="0" w:type="auto"/>
            <w:tcBorders>
              <w:top w:val="dashed" w:sz="4" w:space="0" w:color="808080" w:themeColor="background1" w:themeShade="80"/>
              <w:left w:val="dashed" w:sz="4" w:space="0" w:color="808080" w:themeColor="background1" w:themeShade="80"/>
              <w:bottom w:val="dashed" w:sz="4" w:space="0" w:color="808080" w:themeColor="background1" w:themeShade="80"/>
              <w:right w:val="nil"/>
            </w:tcBorders>
            <w:vAlign w:val="center"/>
          </w:tcPr>
          <w:p w14:paraId="09BEE5F0" w14:textId="77777777" w:rsidR="00E60A97" w:rsidRPr="00266011" w:rsidRDefault="00E60A97" w:rsidP="00E60A97">
            <w:pPr>
              <w:spacing w:line="276" w:lineRule="auto"/>
              <w:jc w:val="center"/>
              <w:rPr>
                <w:rFonts w:cstheme="minorHAnsi"/>
              </w:rPr>
            </w:pPr>
            <w:r>
              <w:rPr>
                <w:rFonts w:cstheme="minorHAnsi"/>
              </w:rPr>
              <w:t>SnCl</w:t>
            </w:r>
            <w:r w:rsidRPr="00E60A97">
              <w:rPr>
                <w:rFonts w:cstheme="minorHAnsi"/>
                <w:vertAlign w:val="subscript"/>
              </w:rPr>
              <w:t>2</w:t>
            </w:r>
          </w:p>
        </w:tc>
      </w:tr>
      <w:tr w:rsidR="00E60A97" w:rsidRPr="00266011" w14:paraId="19FA3049" w14:textId="77777777" w:rsidTr="00E60A97">
        <w:trPr>
          <w:jc w:val="center"/>
        </w:trPr>
        <w:tc>
          <w:tcPr>
            <w:tcW w:w="0" w:type="auto"/>
            <w:vMerge/>
            <w:tcBorders>
              <w:left w:val="nil"/>
              <w:bottom w:val="nil"/>
              <w:right w:val="single" w:sz="12" w:space="0" w:color="auto"/>
            </w:tcBorders>
            <w:vAlign w:val="center"/>
          </w:tcPr>
          <w:p w14:paraId="25CC3CE4" w14:textId="77777777" w:rsidR="00E60A97" w:rsidRPr="00266011" w:rsidRDefault="00E60A97" w:rsidP="00E60A97">
            <w:pPr>
              <w:spacing w:line="276" w:lineRule="auto"/>
              <w:jc w:val="center"/>
              <w:rPr>
                <w:rFonts w:cstheme="minorHAnsi"/>
              </w:rPr>
            </w:pPr>
          </w:p>
        </w:tc>
        <w:tc>
          <w:tcPr>
            <w:tcW w:w="0" w:type="auto"/>
            <w:vMerge/>
            <w:tcBorders>
              <w:left w:val="single" w:sz="12" w:space="0" w:color="auto"/>
              <w:bottom w:val="nil"/>
              <w:right w:val="dashed" w:sz="4" w:space="0" w:color="808080" w:themeColor="background1" w:themeShade="80"/>
            </w:tcBorders>
            <w:vAlign w:val="center"/>
          </w:tcPr>
          <w:p w14:paraId="2748AB81" w14:textId="77777777" w:rsidR="00E60A97" w:rsidRDefault="00E60A97" w:rsidP="00E60A97">
            <w:pPr>
              <w:spacing w:line="276" w:lineRule="auto"/>
              <w:jc w:val="center"/>
              <w:rPr>
                <w:rFonts w:cstheme="minorHAnsi"/>
              </w:rPr>
            </w:pPr>
          </w:p>
        </w:tc>
        <w:tc>
          <w:tcPr>
            <w:tcW w:w="0" w:type="auto"/>
            <w:vMerge/>
            <w:tcBorders>
              <w:left w:val="dashed" w:sz="4" w:space="0" w:color="808080" w:themeColor="background1" w:themeShade="80"/>
              <w:bottom w:val="nil"/>
              <w:right w:val="dashed" w:sz="4" w:space="0" w:color="808080" w:themeColor="background1" w:themeShade="80"/>
            </w:tcBorders>
            <w:vAlign w:val="center"/>
          </w:tcPr>
          <w:p w14:paraId="29E841F1" w14:textId="77777777" w:rsidR="00E60A97" w:rsidRPr="00266011" w:rsidRDefault="00E60A97" w:rsidP="00E60A97">
            <w:pPr>
              <w:spacing w:line="276" w:lineRule="auto"/>
              <w:jc w:val="center"/>
              <w:rPr>
                <w:rFonts w:cstheme="minorHAnsi"/>
              </w:rPr>
            </w:pPr>
          </w:p>
        </w:tc>
        <w:tc>
          <w:tcPr>
            <w:tcW w:w="0" w:type="auto"/>
            <w:vMerge/>
            <w:tcBorders>
              <w:left w:val="dashed" w:sz="4" w:space="0" w:color="808080" w:themeColor="background1" w:themeShade="80"/>
              <w:bottom w:val="nil"/>
              <w:right w:val="dashed" w:sz="4" w:space="0" w:color="808080" w:themeColor="background1" w:themeShade="80"/>
            </w:tcBorders>
            <w:vAlign w:val="center"/>
          </w:tcPr>
          <w:p w14:paraId="4E36785E" w14:textId="77777777" w:rsidR="00E60A97" w:rsidRPr="00266011" w:rsidRDefault="00E60A97" w:rsidP="00E60A97">
            <w:pPr>
              <w:spacing w:line="276" w:lineRule="auto"/>
              <w:jc w:val="center"/>
              <w:rPr>
                <w:rFonts w:cstheme="minorHAnsi"/>
              </w:rPr>
            </w:pPr>
          </w:p>
        </w:tc>
        <w:tc>
          <w:tcPr>
            <w:tcW w:w="0" w:type="auto"/>
            <w:tcBorders>
              <w:top w:val="dashed" w:sz="4" w:space="0" w:color="808080" w:themeColor="background1" w:themeShade="80"/>
              <w:left w:val="dashed" w:sz="4" w:space="0" w:color="808080" w:themeColor="background1" w:themeShade="80"/>
              <w:bottom w:val="nil"/>
              <w:right w:val="nil"/>
            </w:tcBorders>
            <w:vAlign w:val="center"/>
          </w:tcPr>
          <w:p w14:paraId="1AB4825F" w14:textId="77777777" w:rsidR="00E60A97" w:rsidRPr="00266011" w:rsidRDefault="00E60A97" w:rsidP="00E60A97">
            <w:pPr>
              <w:spacing w:line="276" w:lineRule="auto"/>
              <w:jc w:val="center"/>
              <w:rPr>
                <w:rFonts w:cstheme="minorHAnsi"/>
              </w:rPr>
            </w:pPr>
            <w:r>
              <w:rPr>
                <w:rFonts w:cstheme="minorHAnsi"/>
              </w:rPr>
              <w:t>PPh</w:t>
            </w:r>
            <w:r w:rsidRPr="00E60A97">
              <w:rPr>
                <w:rFonts w:cstheme="minorHAnsi"/>
                <w:vertAlign w:val="subscript"/>
              </w:rPr>
              <w:t>3</w:t>
            </w:r>
          </w:p>
        </w:tc>
      </w:tr>
    </w:tbl>
    <w:p w14:paraId="2E1B15B8" w14:textId="77777777" w:rsidR="00545E0B" w:rsidRPr="00E47369" w:rsidRDefault="00545E0B" w:rsidP="00E60A97">
      <w:pPr>
        <w:rPr>
          <w:rFonts w:cstheme="minorHAnsi"/>
          <w:b/>
        </w:rPr>
      </w:pPr>
    </w:p>
    <w:p w14:paraId="601D0C55" w14:textId="45C9FDE4" w:rsidR="00A25FD4" w:rsidRPr="00E47369" w:rsidRDefault="00A25FD4" w:rsidP="00F1056C">
      <w:pPr>
        <w:ind w:firstLine="360"/>
        <w:jc w:val="both"/>
        <w:rPr>
          <w:rFonts w:cstheme="minorHAnsi"/>
        </w:rPr>
      </w:pPr>
      <w:r w:rsidRPr="00E47369">
        <w:rPr>
          <w:rFonts w:cstheme="minorHAnsi"/>
        </w:rPr>
        <w:t>In summary we studied the potential for a tandem DODH/Masuyama allylation reaction. We found the allylation step to be possible in organic solvents under the DODH reaction conditions and to dehydrogenate. On the study of the DODH step of the reaction we found benzene : glycerol to be a suitable reaction solvent. In this solvent benzyl alcohol was found to be the primary reducing agent. We also found tin chloride to be a good reducing agent for the DODH reaction of diethyl tartrate and glycerol. The biphasic benzene : glycerol reaction solvent was found to be suitable for the allylation reaction. When the tandem was attempted in 3-octanol we obtained a cleaner reaction mixture when the reaction was run at higher temperature and a short period of time. Also we were still uncertain of the formation of homo-allylic alcohol. Variation of solvent showed the potential for DME and PEG to be suitable but it forced us to add triphenylphosphine as reducing agent in the system. For a reaction run in DME we found in the GCMS clear evidence for the formation a small amount of the desired alcohol but we also detected a large quantity of solvent derived side product. We think that this tandem reaction could have</w:t>
      </w:r>
      <w:r w:rsidR="001539C6">
        <w:rPr>
          <w:rFonts w:cstheme="minorHAnsi"/>
        </w:rPr>
        <w:t xml:space="preserve"> some potential to work </w:t>
      </w:r>
      <w:r w:rsidRPr="00E47369">
        <w:rPr>
          <w:rFonts w:cstheme="minorHAnsi"/>
        </w:rPr>
        <w:t>better if either system were studied and optimized for a common solvent system.</w:t>
      </w:r>
    </w:p>
    <w:p w14:paraId="556F0693" w14:textId="77777777" w:rsidR="00A25FD4" w:rsidRPr="00E47369" w:rsidRDefault="00A25FD4" w:rsidP="00A25FD4">
      <w:pPr>
        <w:ind w:firstLine="180"/>
        <w:jc w:val="both"/>
        <w:rPr>
          <w:rFonts w:cstheme="minorHAnsi"/>
        </w:rPr>
      </w:pPr>
    </w:p>
    <w:p w14:paraId="1F5C0C3F" w14:textId="77777777" w:rsidR="00A25FD4" w:rsidRPr="00E47369" w:rsidRDefault="00A25FD4" w:rsidP="000351A7">
      <w:pPr>
        <w:pStyle w:val="Heading3"/>
      </w:pPr>
      <w:bookmarkStart w:id="282" w:name="_Toc458938313"/>
      <w:r w:rsidRPr="00E47369">
        <w:t>Conclusions</w:t>
      </w:r>
      <w:bookmarkEnd w:id="282"/>
    </w:p>
    <w:p w14:paraId="294E945F" w14:textId="452F2286" w:rsidR="00A25FD4" w:rsidRPr="00E47369" w:rsidRDefault="00A25FD4" w:rsidP="00A25FD4">
      <w:pPr>
        <w:ind w:firstLine="360"/>
        <w:jc w:val="both"/>
        <w:rPr>
          <w:rFonts w:cstheme="minorHAnsi"/>
          <w:color w:val="000000" w:themeColor="text1"/>
        </w:rPr>
      </w:pPr>
      <w:r w:rsidRPr="00E47369">
        <w:rPr>
          <w:rFonts w:cstheme="minorHAnsi"/>
        </w:rPr>
        <w:t>We examined two different allylation reaction systems for a DODH/Allylation tandem reaction. The first one was based of the allylation reaction reported by</w:t>
      </w:r>
      <w:r w:rsidR="009E458A">
        <w:rPr>
          <w:rFonts w:cstheme="minorHAnsi"/>
        </w:rPr>
        <w:t xml:space="preserve"> the</w:t>
      </w:r>
      <w:r w:rsidRPr="00E47369">
        <w:rPr>
          <w:rFonts w:cstheme="minorHAnsi"/>
        </w:rPr>
        <w:t xml:space="preserve"> Krische group. This reaction used an iridium catalyst along with a base. The base was the major limitation for a tandem reaction as the one reported by Krische and co-worker was not compatible in the DODH reaction. We did find the DODH reaction could tolerate some specific bases, but these were not effective in the allylation step. We also studied a Masuyama allylation system. We discovered the ability of tin chloride to be reducing agent in the DODH reaction. The major limitation a tandem DODH/Masuyama allylation was found to be the solvent and reducing agent. In fact glycerol required a polar solvent. We found benzene:glyce</w:t>
      </w:r>
      <w:r w:rsidR="005403D7">
        <w:rPr>
          <w:rFonts w:cstheme="minorHAnsi"/>
        </w:rPr>
        <w:t>r</w:t>
      </w:r>
      <w:r w:rsidRPr="00E47369">
        <w:rPr>
          <w:rFonts w:cstheme="minorHAnsi"/>
        </w:rPr>
        <w:t xml:space="preserve">ol to be a suitable solvent for the DODH reaction, but not for the allylation reaction. With all the alcohol (3-octanol, 1-butanol) and diether (DME, PEG-200) solvents tested we could </w:t>
      </w:r>
      <w:r w:rsidR="005403D7">
        <w:rPr>
          <w:rFonts w:cstheme="minorHAnsi"/>
        </w:rPr>
        <w:t>detect</w:t>
      </w:r>
      <w:r w:rsidRPr="00E47369">
        <w:rPr>
          <w:rFonts w:cstheme="minorHAnsi"/>
        </w:rPr>
        <w:t xml:space="preserve"> large quantit</w:t>
      </w:r>
      <w:r w:rsidR="005403D7">
        <w:rPr>
          <w:rFonts w:cstheme="minorHAnsi"/>
        </w:rPr>
        <w:t xml:space="preserve">ies </w:t>
      </w:r>
      <w:r w:rsidRPr="00E47369">
        <w:rPr>
          <w:rFonts w:cstheme="minorHAnsi"/>
        </w:rPr>
        <w:t xml:space="preserve">of </w:t>
      </w:r>
      <w:r w:rsidR="005403D7">
        <w:rPr>
          <w:rFonts w:cstheme="minorHAnsi"/>
        </w:rPr>
        <w:t>solvent derived</w:t>
      </w:r>
      <w:r w:rsidRPr="00E47369">
        <w:rPr>
          <w:rFonts w:cstheme="minorHAnsi"/>
        </w:rPr>
        <w:t xml:space="preserve"> product</w:t>
      </w:r>
      <w:r w:rsidR="005403D7">
        <w:rPr>
          <w:rFonts w:cstheme="minorHAnsi"/>
        </w:rPr>
        <w:t>s</w:t>
      </w:r>
      <w:r w:rsidRPr="00E47369">
        <w:rPr>
          <w:rFonts w:cstheme="minorHAnsi"/>
        </w:rPr>
        <w:t xml:space="preserve">. </w:t>
      </w:r>
    </w:p>
    <w:p w14:paraId="469EBEED" w14:textId="77777777" w:rsidR="00A25FD4" w:rsidRPr="00E47369" w:rsidRDefault="00A25FD4" w:rsidP="00A25FD4">
      <w:pPr>
        <w:ind w:firstLine="360"/>
        <w:jc w:val="both"/>
        <w:rPr>
          <w:rFonts w:cstheme="minorHAnsi"/>
        </w:rPr>
      </w:pPr>
      <w:r w:rsidRPr="00E47369">
        <w:rPr>
          <w:rFonts w:cstheme="minorHAnsi"/>
          <w:color w:val="000000" w:themeColor="text1"/>
        </w:rPr>
        <w:t xml:space="preserve">The tandem DODH/allylation reaction is promising and could be further studied. </w:t>
      </w:r>
      <w:r w:rsidR="00367301">
        <w:rPr>
          <w:rFonts w:cstheme="minorHAnsi"/>
          <w:color w:val="000000" w:themeColor="text1"/>
        </w:rPr>
        <w:t>O</w:t>
      </w:r>
      <w:r w:rsidRPr="00E47369">
        <w:rPr>
          <w:rFonts w:cstheme="minorHAnsi"/>
          <w:color w:val="000000" w:themeColor="text1"/>
        </w:rPr>
        <w:t xml:space="preserve">ther base free allylation reactions could be </w:t>
      </w:r>
      <w:r w:rsidR="005403D7">
        <w:rPr>
          <w:rFonts w:cstheme="minorHAnsi"/>
          <w:color w:val="000000" w:themeColor="text1"/>
        </w:rPr>
        <w:t>studied</w:t>
      </w:r>
      <w:r w:rsidR="00367301">
        <w:rPr>
          <w:rFonts w:cstheme="minorHAnsi"/>
          <w:color w:val="000000" w:themeColor="text1"/>
        </w:rPr>
        <w:fldChar w:fldCharType="begin"/>
      </w:r>
      <w:r w:rsidR="00E028D6">
        <w:rPr>
          <w:rFonts w:cstheme="minorHAnsi"/>
          <w:color w:val="000000" w:themeColor="text1"/>
        </w:rPr>
        <w:instrText xml:space="preserve"> ADDIN ZOTERO_ITEM CSL_CITATION {"citationID":"14k072ti76","properties":{"formattedCitation":"{\\rtf \\super 136,137\\nosupersub{}}","plainCitation":"136,137"},"citationItems":[{"id":1375,"uris":["http://zotero.org/users/1624234/items/HD2NJIX9"],"uri":["http://zotero.org/users/1624234/items/HD2NJIX9"],"itemData":{"id":1375,"type":"article-journal","title":"Direct Preparation of Allylic Indium(III) Reagents from Allylic Alcohols via a Reductive Transmetalation of π-Allylnickel(II) with Indium(I) Iodide","container-title":"The Journal of Organic Chemistry","page":"5054-5059","volume":"69","issue":"15","source":"ACS Publications","abstract":"InI-mediated direct allylation of carbonyl compounds with allylic alcohols proceeded smoothly with catalytic amounts of Ni(acac)2 and PPh3 to give the corresponding homoallylic alcohols in high yields. Allylindium compounds were shown to be the real allylating agents in the present system. Substituted allylic alcohols gave branched homoallylic alcohols with syn-selectivity irrespective of the geometry of the starting allylic alcohols, whereas high anti-selectivity was observed when a bulky substituent is present in the allylic alcohols. The outcome of the diastereoselectivity is discussed on the basis of the reaction mechanism, comparing with the corresponding Pd-catalyzed version. Another distinct behavior between the Ni- and Pd-catalyzed allylation was demonstrated in the reaction of hex-1,5-diene-3,4-diol derivatives:? the Pd catalyst did not give any coupling product, whereas the Ni-catalyzed InI-mediated reaction with benzaldehyde afforded the 1:1 and 1:2 adduct diols selectively depending on the reaction conditions.","DOI":"10.1021/jo049394t","ISSN":"0022-3263","journalAbbreviation":"J. Org. Chem.","author":[{"family":"Hirashita","given":"Tsunehisa"},{"family":"Kambe","given":"Shinya"},{"family":"Tsuji","given":"Hiromitsu"},{"family":"Omori","given":"Hideki"},{"family":"Araki","given":"Shuki"}],"issued":{"date-parts":[["2004",7,1]]}}},{"id":1780,"uris":["http://zotero.org/users/1624234/items/A5SCSXFI"],"uri":["http://zotero.org/users/1624234/items/A5SCSXFI"],"itemData":{"id":1780,"type":"article-journal","title":"Investigation of the aqueous transmetalation of π-allylpalladium with indium salt: the use of the Pd(OAc)2–TPPTS catalyst","container-title":"Organic &amp; Biomolecular Chemistry","page":"1375-1380","volume":"3","issue":"8","source":"pubs.rsc.org","abstract":"π-Allylpalladium complexes could be generated in water by the palladium(0) water soluble catalyst prepared in situ from palladium acetate and TPPTS. These complexes were transmetalated with indium to react with benzaldehyde. The aqueous solution of Pd(0)(TPPTS)n could be reused without deterioration of the catalyst in the first and second recycling. The system proved to be efficient with primary and secondary allylic substrates. The stereochemical outcome of the allylation through umpolung of allylpalladium, was also studied using models with a restraint conformation.","DOI":"10.1039/B419231C","ISSN":"1477-0539","shortTitle":"Investigation of the aqueous transmetalation of π-allylpalladium with indium salt","journalAbbreviation":"Org. Biomol. Chem.","language":"en","author":[{"family":"Fontana","given":"Gianfranco"},{"family":"Lubineau","given":"André"},{"family":"Scherrmann","given":"Marie-Christine"}],"issued":{"date-parts":[["2005",4,12]]}}}],"schema":"https://github.com/citation-style-language/schema/raw/master/csl-citation.json"} </w:instrText>
      </w:r>
      <w:r w:rsidR="00367301">
        <w:rPr>
          <w:rFonts w:cstheme="minorHAnsi"/>
          <w:color w:val="000000" w:themeColor="text1"/>
        </w:rPr>
        <w:fldChar w:fldCharType="separate"/>
      </w:r>
      <w:r w:rsidR="00E028D6" w:rsidRPr="00E028D6">
        <w:rPr>
          <w:rFonts w:ascii="Times New Roman" w:hAnsi="Times New Roman"/>
          <w:vertAlign w:val="superscript"/>
        </w:rPr>
        <w:t>136,137</w:t>
      </w:r>
      <w:r w:rsidR="00367301">
        <w:rPr>
          <w:rFonts w:cstheme="minorHAnsi"/>
          <w:color w:val="000000" w:themeColor="text1"/>
        </w:rPr>
        <w:fldChar w:fldCharType="end"/>
      </w:r>
      <w:r w:rsidRPr="00E47369">
        <w:rPr>
          <w:rFonts w:cstheme="minorHAnsi"/>
          <w:color w:val="000000" w:themeColor="text1"/>
        </w:rPr>
        <w:t xml:space="preserve"> but the </w:t>
      </w:r>
      <w:r w:rsidRPr="00E47369">
        <w:rPr>
          <w:rFonts w:cstheme="minorHAnsi"/>
        </w:rPr>
        <w:t xml:space="preserve">Masuyama allylation system could work if we find a solvent that would allow the DODH reaction </w:t>
      </w:r>
      <w:r w:rsidR="005403D7">
        <w:rPr>
          <w:rFonts w:cstheme="minorHAnsi"/>
        </w:rPr>
        <w:t>of</w:t>
      </w:r>
      <w:r w:rsidRPr="00E47369">
        <w:rPr>
          <w:rFonts w:cstheme="minorHAnsi"/>
        </w:rPr>
        <w:t xml:space="preserve"> glycerol and not interfere with the reaction. On this last tandem system it would also be highly desirable to have benzyl alcohol as the reducing agent to make it an atom economical reaction.</w:t>
      </w:r>
    </w:p>
    <w:p w14:paraId="530F6FB3" w14:textId="77777777" w:rsidR="00A25FD4" w:rsidRPr="00E47369" w:rsidRDefault="00A25FD4" w:rsidP="00A25FD4">
      <w:pPr>
        <w:jc w:val="both"/>
        <w:rPr>
          <w:rFonts w:cstheme="minorHAnsi"/>
        </w:rPr>
      </w:pPr>
    </w:p>
    <w:p w14:paraId="123D0B8F" w14:textId="77777777" w:rsidR="00A25FD4" w:rsidRPr="00E47369" w:rsidRDefault="00A25FD4" w:rsidP="000351A7">
      <w:pPr>
        <w:pStyle w:val="Heading3"/>
      </w:pPr>
      <w:bookmarkStart w:id="283" w:name="_Toc458938314"/>
      <w:r w:rsidRPr="00E47369">
        <w:t>Experimental</w:t>
      </w:r>
      <w:bookmarkEnd w:id="283"/>
      <w:r w:rsidRPr="00E47369">
        <w:t xml:space="preserve"> </w:t>
      </w:r>
    </w:p>
    <w:p w14:paraId="4AF12525" w14:textId="77777777" w:rsidR="00A25FD4" w:rsidRPr="00E47369" w:rsidRDefault="00A25FD4" w:rsidP="00C36752">
      <w:pPr>
        <w:pStyle w:val="Heading41"/>
        <w:numPr>
          <w:ilvl w:val="0"/>
          <w:numId w:val="27"/>
        </w:numPr>
        <w:rPr>
          <w:rFonts w:cstheme="minorHAnsi"/>
        </w:rPr>
      </w:pPr>
      <w:r w:rsidRPr="00E47369">
        <w:rPr>
          <w:rFonts w:cstheme="minorHAnsi"/>
        </w:rPr>
        <w:t>General information: reagents and instrumentation</w:t>
      </w:r>
    </w:p>
    <w:p w14:paraId="27BE8A92" w14:textId="794BEE8A" w:rsidR="007A3E6A" w:rsidRPr="001F6AEC" w:rsidRDefault="00A25FD4" w:rsidP="001F6AEC">
      <w:pPr>
        <w:ind w:firstLine="360"/>
        <w:jc w:val="both"/>
        <w:rPr>
          <w:rFonts w:cstheme="minorHAnsi"/>
        </w:rPr>
      </w:pPr>
      <w:r w:rsidRPr="00E47369">
        <w:rPr>
          <w:rFonts w:cstheme="minorHAnsi"/>
        </w:rPr>
        <w:t xml:space="preserve">All reactants and catalysts were obtained commercially and used without further purification. All solvents were ACS grade and were used directly (unless otherwise described in the </w:t>
      </w:r>
      <w:r w:rsidRPr="00E47369">
        <w:rPr>
          <w:rFonts w:cstheme="minorHAnsi"/>
          <w:color w:val="000000" w:themeColor="text1"/>
        </w:rPr>
        <w:t xml:space="preserve">procedures). The Iridium catalyst was generously provided by Dr. Krische at the University of Texas Austin. </w:t>
      </w:r>
      <w:r w:rsidRPr="00E47369">
        <w:rPr>
          <w:rFonts w:cstheme="minorHAnsi"/>
          <w:color w:val="000000" w:themeColor="text1"/>
          <w:vertAlign w:val="superscript"/>
        </w:rPr>
        <w:t>1</w:t>
      </w:r>
      <w:r w:rsidRPr="00E47369">
        <w:rPr>
          <w:rFonts w:cstheme="minorHAnsi"/>
          <w:color w:val="000000" w:themeColor="text1"/>
        </w:rPr>
        <w:t xml:space="preserve">H and </w:t>
      </w:r>
      <w:r w:rsidRPr="00E47369">
        <w:rPr>
          <w:rFonts w:cstheme="minorHAnsi"/>
          <w:color w:val="000000" w:themeColor="text1"/>
          <w:vertAlign w:val="superscript"/>
        </w:rPr>
        <w:t>13</w:t>
      </w:r>
      <w:r w:rsidRPr="00E47369">
        <w:rPr>
          <w:rFonts w:cstheme="minorHAnsi"/>
          <w:color w:val="000000" w:themeColor="text1"/>
        </w:rPr>
        <w:t>C NMR spectra were collected on Varian VX300 MHz or VNMRS 400 MHz instruments</w:t>
      </w:r>
      <w:r w:rsidRPr="00E47369">
        <w:rPr>
          <w:rFonts w:cstheme="minorHAnsi"/>
        </w:rPr>
        <w:t>. The NMR data were processed using SpinWorks</w:t>
      </w:r>
      <w:r w:rsidR="00C6527A">
        <w:rPr>
          <w:rFonts w:cstheme="minorHAnsi"/>
        </w:rPr>
        <w:fldChar w:fldCharType="begin"/>
      </w:r>
      <w:r w:rsidR="00C6527A">
        <w:rPr>
          <w:rFonts w:cstheme="minorHAnsi"/>
        </w:rPr>
        <w:instrText xml:space="preserve"> ADDIN ZOTERO_ITEM CSL_CITATION {"citationID":"2msnjopbrd","properties":{"formattedCitation":"{\\rtf \\super 102\\nosupersub{}}","plainCitation":"102"},"citationItems":[{"id":1498,"uris":["http://zotero.org/users/1624234/items/2R52QEZC"],"uri":["http://zotero.org/users/1624234/items/2R52QEZC"],"itemData":{"id":1498,"type":"book","title":"SpinWorks 4","publisher":"University of Manitoba : Winnipeg Canada","version":"4.1.0.0","author":[{"family":"Marat","given":"K."}]}}],"schema":"https://github.com/citation-style-language/schema/raw/master/csl-citation.json"} </w:instrText>
      </w:r>
      <w:r w:rsidR="00C6527A">
        <w:rPr>
          <w:rFonts w:cstheme="minorHAnsi"/>
        </w:rPr>
        <w:fldChar w:fldCharType="separate"/>
      </w:r>
      <w:r w:rsidR="00C6527A" w:rsidRPr="00C6527A">
        <w:rPr>
          <w:rFonts w:ascii="Times New Roman" w:hAnsi="Times New Roman"/>
          <w:vertAlign w:val="superscript"/>
        </w:rPr>
        <w:t>102</w:t>
      </w:r>
      <w:r w:rsidR="00C6527A">
        <w:rPr>
          <w:rFonts w:cstheme="minorHAnsi"/>
        </w:rPr>
        <w:fldChar w:fldCharType="end"/>
      </w:r>
      <w:r w:rsidRPr="00E47369">
        <w:rPr>
          <w:rFonts w:cstheme="minorHAnsi"/>
        </w:rPr>
        <w:t xml:space="preserve"> and ACD</w:t>
      </w:r>
      <w:r w:rsidR="00C6527A">
        <w:rPr>
          <w:rFonts w:cstheme="minorHAnsi"/>
        </w:rPr>
        <w:fldChar w:fldCharType="begin"/>
      </w:r>
      <w:r w:rsidR="00C6527A">
        <w:rPr>
          <w:rFonts w:cstheme="minorHAnsi"/>
        </w:rPr>
        <w:instrText xml:space="preserve"> ADDIN ZOTERO_ITEM CSL_CITATION {"citationID":"15gvh5beeq","properties":{"formattedCitation":"{\\rtf \\super 103\\nosupersub{}}","plainCitation":"103"},"citationItems":[{"id":1512,"uris":["http://zotero.org/users/1624234/items/VJU6SH7K"],"uri":["http://zotero.org/users/1624234/items/VJU6SH7K"],"itemData":{"id":1512,"type":"book","title":"ACD/Structure Elucidator","publisher":"Advanced Chemistry Development, Inc.","version":"12.01","URL":"www.acdlabs.com","issued":{"date-parts":[["2014"]]}}}],"schema":"https://github.com/citation-style-language/schema/raw/master/csl-citation.json"} </w:instrText>
      </w:r>
      <w:r w:rsidR="00C6527A">
        <w:rPr>
          <w:rFonts w:cstheme="minorHAnsi"/>
        </w:rPr>
        <w:fldChar w:fldCharType="separate"/>
      </w:r>
      <w:r w:rsidR="00C6527A" w:rsidRPr="00C6527A">
        <w:rPr>
          <w:rFonts w:ascii="Times New Roman" w:hAnsi="Times New Roman"/>
          <w:vertAlign w:val="superscript"/>
        </w:rPr>
        <w:t>103</w:t>
      </w:r>
      <w:r w:rsidR="00C6527A">
        <w:rPr>
          <w:rFonts w:cstheme="minorHAnsi"/>
        </w:rPr>
        <w:fldChar w:fldCharType="end"/>
      </w:r>
      <w:r w:rsidRPr="00E47369">
        <w:rPr>
          <w:rFonts w:cstheme="minorHAnsi"/>
        </w:rPr>
        <w:t xml:space="preserve"> software. GC-MS-EI analyses were performed on a Thermo-Finnigan instrument using a Stabil-wax capillary column. Gas chromatograms were collected on a Shimadzu GC-2014 equipped with an AOC 20i+s auto sampler, both with 3% SE-54 packed column, FID and thermal program 40</w:t>
      </w:r>
      <w:r w:rsidRPr="00E47369">
        <w:rPr>
          <w:rFonts w:cstheme="minorHAnsi"/>
          <w:vertAlign w:val="superscript"/>
        </w:rPr>
        <w:t>o</w:t>
      </w:r>
      <w:r w:rsidRPr="00E47369">
        <w:rPr>
          <w:rFonts w:cstheme="minorHAnsi"/>
        </w:rPr>
        <w:t>C for 5 min; 20 deg/min to 250</w:t>
      </w:r>
      <w:r w:rsidRPr="00E47369">
        <w:rPr>
          <w:rFonts w:cstheme="minorHAnsi"/>
          <w:vertAlign w:val="superscript"/>
        </w:rPr>
        <w:t>o</w:t>
      </w:r>
      <w:r w:rsidRPr="00E47369">
        <w:rPr>
          <w:rFonts w:cstheme="minorHAnsi"/>
        </w:rPr>
        <w:t>C; then 7 min at 250°C.</w:t>
      </w:r>
    </w:p>
    <w:p w14:paraId="53D6C281" w14:textId="77777777" w:rsidR="00A25FD4" w:rsidRPr="00E47369" w:rsidRDefault="00A25FD4" w:rsidP="00A25FD4">
      <w:pPr>
        <w:pStyle w:val="Heading41"/>
        <w:rPr>
          <w:rFonts w:cstheme="minorHAnsi"/>
        </w:rPr>
      </w:pPr>
      <w:r w:rsidRPr="00E47369">
        <w:rPr>
          <w:rFonts w:cstheme="minorHAnsi"/>
        </w:rPr>
        <w:t>Representative procedure for DODH reactions of Glycerol monostearate</w:t>
      </w:r>
    </w:p>
    <w:p w14:paraId="70F0A2EE" w14:textId="5002B114" w:rsidR="00A25FD4" w:rsidRPr="00E47369" w:rsidRDefault="00A25FD4" w:rsidP="00A25FD4">
      <w:pPr>
        <w:ind w:firstLine="360"/>
        <w:jc w:val="both"/>
        <w:rPr>
          <w:rFonts w:cstheme="minorHAnsi"/>
        </w:rPr>
      </w:pPr>
      <w:r w:rsidRPr="00E47369">
        <w:rPr>
          <w:rFonts w:cstheme="minorHAnsi"/>
        </w:rPr>
        <w:t>Glycerol monostearate (1.00 mmol, 358 mg), NH</w:t>
      </w:r>
      <w:r w:rsidRPr="00E47369">
        <w:rPr>
          <w:rFonts w:cstheme="minorHAnsi"/>
          <w:vertAlign w:val="subscript"/>
        </w:rPr>
        <w:t>4</w:t>
      </w:r>
      <w:r w:rsidRPr="00E47369">
        <w:rPr>
          <w:rFonts w:cstheme="minorHAnsi"/>
        </w:rPr>
        <w:t>ReO</w:t>
      </w:r>
      <w:r w:rsidRPr="00E47369">
        <w:rPr>
          <w:rFonts w:cstheme="minorHAnsi"/>
          <w:vertAlign w:val="subscript"/>
        </w:rPr>
        <w:t>4</w:t>
      </w:r>
      <w:r w:rsidR="005A37AB">
        <w:rPr>
          <w:rFonts w:cstheme="minorHAnsi"/>
        </w:rPr>
        <w:t xml:space="preserve"> (0.10 mmol, 27</w:t>
      </w:r>
      <w:r w:rsidRPr="00E47369">
        <w:rPr>
          <w:rFonts w:cstheme="minorHAnsi"/>
        </w:rPr>
        <w:t xml:space="preserve"> mg), benzyl alcoho</w:t>
      </w:r>
      <w:r w:rsidR="005A37AB">
        <w:rPr>
          <w:rFonts w:cstheme="minorHAnsi"/>
        </w:rPr>
        <w:t>l (1.00 mmol, 0.11</w:t>
      </w:r>
      <w:r w:rsidRPr="00E47369">
        <w:rPr>
          <w:rFonts w:cstheme="minorHAnsi"/>
        </w:rPr>
        <w:t xml:space="preserve"> mL), and benzene (5 mL) were added to a thick-walled Ace glass reactor tube. Nitrogen was bubbled into the mixture for at least 60 sec before the Teflon seal was closed. The reactor was placed in an oil bath at 150</w:t>
      </w:r>
      <w:r w:rsidRPr="00E47369">
        <w:rPr>
          <w:rFonts w:cstheme="minorHAnsi"/>
          <w:vertAlign w:val="superscript"/>
        </w:rPr>
        <w:t>o</w:t>
      </w:r>
      <w:r w:rsidRPr="00E47369">
        <w:rPr>
          <w:rFonts w:cstheme="minorHAnsi"/>
        </w:rPr>
        <w:t>C for 24 h while stirring magnetically. After cooling to room temperature, a 100 µL aliquot of the reaction mixture was removed and added to CDCl</w:t>
      </w:r>
      <w:r w:rsidRPr="00E47369">
        <w:rPr>
          <w:rFonts w:cstheme="minorHAnsi"/>
          <w:vertAlign w:val="subscript"/>
        </w:rPr>
        <w:t>3</w:t>
      </w:r>
      <w:r w:rsidR="001F6AEC">
        <w:rPr>
          <w:rFonts w:cstheme="minorHAnsi"/>
        </w:rPr>
        <w:t xml:space="preserve"> (0.6</w:t>
      </w:r>
      <w:r w:rsidRPr="00E47369">
        <w:rPr>
          <w:rFonts w:cstheme="minorHAnsi"/>
        </w:rPr>
        <w:t xml:space="preserve"> mL) and 2.0 µL DMSO as internal standard for NMR analysis. This product and the others listed were characterized and quantified using </w:t>
      </w:r>
      <w:r w:rsidRPr="00E47369">
        <w:rPr>
          <w:rFonts w:cstheme="minorHAnsi"/>
          <w:vertAlign w:val="superscript"/>
        </w:rPr>
        <w:t>1</w:t>
      </w:r>
      <w:r w:rsidRPr="00E47369">
        <w:rPr>
          <w:rFonts w:cstheme="minorHAnsi"/>
        </w:rPr>
        <w:t xml:space="preserve">H NMR spectroscopy. </w:t>
      </w:r>
    </w:p>
    <w:p w14:paraId="5AA77D05" w14:textId="60CE2A0A" w:rsidR="00A25FD4" w:rsidRPr="00E47369" w:rsidRDefault="00A25FD4" w:rsidP="00A25FD4">
      <w:pPr>
        <w:jc w:val="both"/>
        <w:rPr>
          <w:rFonts w:cstheme="minorHAnsi"/>
        </w:rPr>
      </w:pPr>
      <w:r w:rsidRPr="00E47369">
        <w:rPr>
          <w:rFonts w:cstheme="minorHAnsi"/>
          <w:vertAlign w:val="superscript"/>
        </w:rPr>
        <w:t>1</w:t>
      </w:r>
      <w:r w:rsidRPr="00E47369">
        <w:rPr>
          <w:rFonts w:cstheme="minorHAnsi"/>
        </w:rPr>
        <w:t>H NMR (300 MHz, CDCl</w:t>
      </w:r>
      <w:r w:rsidRPr="00E47369">
        <w:rPr>
          <w:rFonts w:cstheme="minorHAnsi"/>
          <w:vertAlign w:val="subscript"/>
        </w:rPr>
        <w:t>3</w:t>
      </w:r>
      <w:r w:rsidR="005A37AB">
        <w:rPr>
          <w:rFonts w:cstheme="minorHAnsi"/>
        </w:rPr>
        <w:t>, δ): 5.9</w:t>
      </w:r>
      <w:r w:rsidRPr="00E47369">
        <w:rPr>
          <w:rFonts w:cstheme="minorHAnsi"/>
        </w:rPr>
        <w:t xml:space="preserve"> (m, 1H, CH</w:t>
      </w:r>
      <w:r w:rsidRPr="00E47369">
        <w:rPr>
          <w:rFonts w:cstheme="minorHAnsi"/>
          <w:vertAlign w:val="subscript"/>
        </w:rPr>
        <w:t>2</w:t>
      </w:r>
      <w:r w:rsidRPr="00E47369">
        <w:rPr>
          <w:rFonts w:cstheme="minorHAnsi"/>
        </w:rPr>
        <w:t>=C</w:t>
      </w:r>
      <w:r w:rsidRPr="00E47369">
        <w:rPr>
          <w:rFonts w:cstheme="minorHAnsi"/>
          <w:i/>
        </w:rPr>
        <w:t>H</w:t>
      </w:r>
      <w:r w:rsidR="005A37AB">
        <w:rPr>
          <w:rFonts w:cstheme="minorHAnsi"/>
        </w:rPr>
        <w:t>-), 5.3</w:t>
      </w:r>
      <w:r w:rsidRPr="00E47369">
        <w:rPr>
          <w:rFonts w:cstheme="minorHAnsi"/>
        </w:rPr>
        <w:t xml:space="preserve"> (d, </w:t>
      </w:r>
      <w:r w:rsidRPr="00E47369">
        <w:rPr>
          <w:rFonts w:cstheme="minorHAnsi"/>
          <w:i/>
        </w:rPr>
        <w:t>J</w:t>
      </w:r>
      <w:r w:rsidRPr="00E47369">
        <w:rPr>
          <w:rFonts w:cstheme="minorHAnsi"/>
        </w:rPr>
        <w:t>=17.4 Hz, 1H, HC</w:t>
      </w:r>
      <w:r w:rsidRPr="00E47369">
        <w:rPr>
          <w:rFonts w:cstheme="minorHAnsi"/>
          <w:i/>
        </w:rPr>
        <w:t>H</w:t>
      </w:r>
      <w:r w:rsidR="005A37AB">
        <w:rPr>
          <w:rFonts w:cstheme="minorHAnsi"/>
        </w:rPr>
        <w:t>=CH-), 5.2</w:t>
      </w:r>
      <w:r w:rsidRPr="00E47369">
        <w:rPr>
          <w:rFonts w:cstheme="minorHAnsi"/>
        </w:rPr>
        <w:t xml:space="preserve"> (d, </w:t>
      </w:r>
      <w:r w:rsidRPr="00E47369">
        <w:rPr>
          <w:rFonts w:cstheme="minorHAnsi"/>
          <w:i/>
        </w:rPr>
        <w:t>J</w:t>
      </w:r>
      <w:r w:rsidRPr="00E47369">
        <w:rPr>
          <w:rFonts w:cstheme="minorHAnsi"/>
        </w:rPr>
        <w:t xml:space="preserve">=10.6 Hz, 1H, </w:t>
      </w:r>
      <w:r w:rsidRPr="00E47369">
        <w:rPr>
          <w:rFonts w:cstheme="minorHAnsi"/>
          <w:i/>
        </w:rPr>
        <w:t>H</w:t>
      </w:r>
      <w:r w:rsidR="005A37AB">
        <w:rPr>
          <w:rFonts w:cstheme="minorHAnsi"/>
        </w:rPr>
        <w:t>CH=CH-), 4.6</w:t>
      </w:r>
      <w:r w:rsidRPr="00E47369">
        <w:rPr>
          <w:rFonts w:cstheme="minorHAnsi"/>
        </w:rPr>
        <w:t xml:space="preserve"> (d, </w:t>
      </w:r>
      <w:r w:rsidRPr="00E47369">
        <w:rPr>
          <w:rFonts w:cstheme="minorHAnsi"/>
          <w:i/>
        </w:rPr>
        <w:t>J</w:t>
      </w:r>
      <w:r w:rsidRPr="00E47369">
        <w:rPr>
          <w:rFonts w:cstheme="minorHAnsi"/>
        </w:rPr>
        <w:t>=5.0 Hz, 2H, CH</w:t>
      </w:r>
      <w:r w:rsidRPr="00E47369">
        <w:rPr>
          <w:rFonts w:cstheme="minorHAnsi"/>
          <w:vertAlign w:val="subscript"/>
        </w:rPr>
        <w:t>2</w:t>
      </w:r>
      <w:r w:rsidRPr="00E47369">
        <w:rPr>
          <w:rFonts w:cstheme="minorHAnsi"/>
        </w:rPr>
        <w:t>=CH-C</w:t>
      </w:r>
      <w:r w:rsidRPr="00E47369">
        <w:rPr>
          <w:rFonts w:cstheme="minorHAnsi"/>
          <w:i/>
        </w:rPr>
        <w:t>H</w:t>
      </w:r>
      <w:r w:rsidRPr="00E47369">
        <w:rPr>
          <w:rFonts w:cstheme="minorHAnsi"/>
          <w:i/>
          <w:vertAlign w:val="subscript"/>
        </w:rPr>
        <w:t>2</w:t>
      </w:r>
      <w:r w:rsidR="005A37AB">
        <w:rPr>
          <w:rFonts w:cstheme="minorHAnsi"/>
        </w:rPr>
        <w:t>-), 2.3</w:t>
      </w:r>
      <w:r w:rsidRPr="00E47369">
        <w:rPr>
          <w:rFonts w:cstheme="minorHAnsi"/>
        </w:rPr>
        <w:t xml:space="preserve"> (t, </w:t>
      </w:r>
      <w:r w:rsidRPr="00E47369">
        <w:rPr>
          <w:rFonts w:cstheme="minorHAnsi"/>
          <w:i/>
        </w:rPr>
        <w:t>J</w:t>
      </w:r>
      <w:r w:rsidRPr="00E47369">
        <w:rPr>
          <w:rFonts w:cstheme="minorHAnsi"/>
        </w:rPr>
        <w:t>=7.4 Hz, 2H, -O-C</w:t>
      </w:r>
      <w:r w:rsidRPr="00E47369">
        <w:rPr>
          <w:rFonts w:cstheme="minorHAnsi"/>
          <w:i/>
        </w:rPr>
        <w:t>H</w:t>
      </w:r>
      <w:r w:rsidRPr="00E47369">
        <w:rPr>
          <w:rFonts w:cstheme="minorHAnsi"/>
          <w:i/>
          <w:vertAlign w:val="subscript"/>
        </w:rPr>
        <w:t>2</w:t>
      </w:r>
      <w:r w:rsidRPr="00E47369">
        <w:rPr>
          <w:rFonts w:cstheme="minorHAnsi"/>
        </w:rPr>
        <w:t>-CH</w:t>
      </w:r>
      <w:r w:rsidRPr="00E47369">
        <w:rPr>
          <w:rFonts w:cstheme="minorHAnsi"/>
          <w:vertAlign w:val="subscript"/>
        </w:rPr>
        <w:t>2</w:t>
      </w:r>
      <w:r w:rsidR="005A37AB">
        <w:rPr>
          <w:rFonts w:cstheme="minorHAnsi"/>
        </w:rPr>
        <w:t>), 1.6</w:t>
      </w:r>
      <w:r w:rsidRPr="00E47369">
        <w:rPr>
          <w:rFonts w:cstheme="minorHAnsi"/>
        </w:rPr>
        <w:t xml:space="preserve"> (m, 4H, -O-CH</w:t>
      </w:r>
      <w:r w:rsidRPr="00E47369">
        <w:rPr>
          <w:rFonts w:cstheme="minorHAnsi"/>
          <w:vertAlign w:val="subscript"/>
        </w:rPr>
        <w:t>2</w:t>
      </w:r>
      <w:r w:rsidRPr="00E47369">
        <w:rPr>
          <w:rFonts w:cstheme="minorHAnsi"/>
        </w:rPr>
        <w:t>-C</w:t>
      </w:r>
      <w:r w:rsidRPr="00E47369">
        <w:rPr>
          <w:rFonts w:cstheme="minorHAnsi"/>
          <w:i/>
        </w:rPr>
        <w:t>H</w:t>
      </w:r>
      <w:r w:rsidRPr="00E47369">
        <w:rPr>
          <w:rFonts w:cstheme="minorHAnsi"/>
          <w:i/>
          <w:vertAlign w:val="subscript"/>
        </w:rPr>
        <w:t>2</w:t>
      </w:r>
      <w:r w:rsidRPr="00E47369">
        <w:rPr>
          <w:rFonts w:cstheme="minorHAnsi"/>
        </w:rPr>
        <w:t>-C</w:t>
      </w:r>
      <w:r w:rsidRPr="00E47369">
        <w:rPr>
          <w:rFonts w:cstheme="minorHAnsi"/>
          <w:i/>
        </w:rPr>
        <w:t>H</w:t>
      </w:r>
      <w:r w:rsidRPr="00E47369">
        <w:rPr>
          <w:rFonts w:cstheme="minorHAnsi"/>
          <w:i/>
          <w:vertAlign w:val="subscript"/>
        </w:rPr>
        <w:t>2</w:t>
      </w:r>
      <w:r w:rsidRPr="00E47369">
        <w:rPr>
          <w:rFonts w:cstheme="minorHAnsi"/>
        </w:rPr>
        <w:t xml:space="preserve">-), </w:t>
      </w:r>
      <w:r w:rsidR="005A37AB">
        <w:rPr>
          <w:rFonts w:cstheme="minorHAnsi"/>
        </w:rPr>
        <w:t>1.3</w:t>
      </w:r>
      <w:r w:rsidRPr="00E47369">
        <w:rPr>
          <w:rFonts w:cstheme="minorHAnsi"/>
        </w:rPr>
        <w:t xml:space="preserve"> (m, 30H, -CH</w:t>
      </w:r>
      <w:r w:rsidRPr="00E47369">
        <w:rPr>
          <w:rFonts w:cstheme="minorHAnsi"/>
          <w:vertAlign w:val="subscript"/>
        </w:rPr>
        <w:t>2</w:t>
      </w:r>
      <w:r w:rsidRPr="00E47369">
        <w:rPr>
          <w:rFonts w:cstheme="minorHAnsi"/>
        </w:rPr>
        <w:t>(C</w:t>
      </w:r>
      <w:r w:rsidRPr="00E47369">
        <w:rPr>
          <w:rFonts w:cstheme="minorHAnsi"/>
          <w:i/>
        </w:rPr>
        <w:t>H</w:t>
      </w:r>
      <w:r w:rsidRPr="00E47369">
        <w:rPr>
          <w:rFonts w:cstheme="minorHAnsi"/>
          <w:i/>
          <w:vertAlign w:val="subscript"/>
        </w:rPr>
        <w:t>2</w:t>
      </w:r>
      <w:r w:rsidRPr="00E47369">
        <w:rPr>
          <w:rFonts w:cstheme="minorHAnsi"/>
        </w:rPr>
        <w:t>)</w:t>
      </w:r>
      <w:r w:rsidRPr="00E47369">
        <w:rPr>
          <w:rFonts w:cstheme="minorHAnsi"/>
          <w:vertAlign w:val="subscript"/>
        </w:rPr>
        <w:t>14</w:t>
      </w:r>
      <w:r w:rsidRPr="00E47369">
        <w:rPr>
          <w:rFonts w:cstheme="minorHAnsi"/>
        </w:rPr>
        <w:t>-CH</w:t>
      </w:r>
      <w:r w:rsidRPr="00E47369">
        <w:rPr>
          <w:rFonts w:cstheme="minorHAnsi"/>
          <w:vertAlign w:val="subscript"/>
        </w:rPr>
        <w:t>3</w:t>
      </w:r>
      <w:r w:rsidR="005A37AB">
        <w:rPr>
          <w:rFonts w:cstheme="minorHAnsi"/>
        </w:rPr>
        <w:t>), 0.9</w:t>
      </w:r>
      <w:r w:rsidRPr="00E47369">
        <w:rPr>
          <w:rFonts w:cstheme="minorHAnsi"/>
        </w:rPr>
        <w:t xml:space="preserve"> (t, </w:t>
      </w:r>
      <w:r w:rsidRPr="00E47369">
        <w:rPr>
          <w:rFonts w:cstheme="minorHAnsi"/>
          <w:i/>
        </w:rPr>
        <w:t>J</w:t>
      </w:r>
      <w:r w:rsidRPr="00E47369">
        <w:rPr>
          <w:rFonts w:cstheme="minorHAnsi"/>
        </w:rPr>
        <w:t>= 6.2 Hz, 3H, (CH</w:t>
      </w:r>
      <w:r w:rsidRPr="00E47369">
        <w:rPr>
          <w:rFonts w:cstheme="minorHAnsi"/>
          <w:vertAlign w:val="subscript"/>
        </w:rPr>
        <w:t>2</w:t>
      </w:r>
      <w:r w:rsidRPr="00E47369">
        <w:rPr>
          <w:rFonts w:cstheme="minorHAnsi"/>
        </w:rPr>
        <w:t>)</w:t>
      </w:r>
      <w:r w:rsidRPr="00E47369">
        <w:rPr>
          <w:rFonts w:cstheme="minorHAnsi"/>
          <w:vertAlign w:val="subscript"/>
        </w:rPr>
        <w:t>14</w:t>
      </w:r>
      <w:r w:rsidRPr="00E47369">
        <w:rPr>
          <w:rFonts w:cstheme="minorHAnsi"/>
        </w:rPr>
        <w:t>-C</w:t>
      </w:r>
      <w:r w:rsidRPr="00E47369">
        <w:rPr>
          <w:rFonts w:cstheme="minorHAnsi"/>
          <w:i/>
        </w:rPr>
        <w:t>H</w:t>
      </w:r>
      <w:r w:rsidRPr="00E47369">
        <w:rPr>
          <w:rFonts w:cstheme="minorHAnsi"/>
          <w:i/>
          <w:vertAlign w:val="subscript"/>
        </w:rPr>
        <w:t>3</w:t>
      </w:r>
      <w:r w:rsidRPr="00E47369">
        <w:rPr>
          <w:rFonts w:cstheme="minorHAnsi"/>
        </w:rPr>
        <w:t>)</w:t>
      </w:r>
    </w:p>
    <w:p w14:paraId="0D17E760" w14:textId="2A226C1F" w:rsidR="00A25FD4" w:rsidRPr="00B32DC9" w:rsidRDefault="00A25FD4" w:rsidP="00A25FD4">
      <w:pPr>
        <w:jc w:val="both"/>
        <w:rPr>
          <w:rFonts w:cstheme="minorHAnsi"/>
        </w:rPr>
      </w:pPr>
      <w:r w:rsidRPr="00E47369">
        <w:rPr>
          <w:rFonts w:cstheme="minorHAnsi"/>
        </w:rPr>
        <w:t xml:space="preserve">In the case of the reaction run with added base one equivalent of the base was added to the tube as the diol catalyst and solvent were placed in the reactor. </w:t>
      </w:r>
    </w:p>
    <w:p w14:paraId="49A0F306" w14:textId="77777777" w:rsidR="00537311" w:rsidRPr="00E47369" w:rsidRDefault="00537311" w:rsidP="00A25FD4">
      <w:pPr>
        <w:jc w:val="both"/>
        <w:rPr>
          <w:rFonts w:cstheme="minorHAnsi"/>
          <w:color w:val="000000" w:themeColor="text1"/>
        </w:rPr>
      </w:pPr>
    </w:p>
    <w:p w14:paraId="42EE840D" w14:textId="77777777" w:rsidR="00A25FD4" w:rsidRPr="00E47369" w:rsidRDefault="00A25FD4" w:rsidP="00A25FD4">
      <w:pPr>
        <w:pStyle w:val="Heading41"/>
        <w:rPr>
          <w:rFonts w:cstheme="minorHAnsi"/>
        </w:rPr>
      </w:pPr>
      <w:r w:rsidRPr="00E47369">
        <w:rPr>
          <w:rFonts w:cstheme="minorHAnsi"/>
        </w:rPr>
        <w:t>Representative procedure for Krische’s allylation reactions</w:t>
      </w:r>
    </w:p>
    <w:p w14:paraId="534CCD4C" w14:textId="05F9A7F1" w:rsidR="00A25FD4" w:rsidRDefault="00A25FD4" w:rsidP="00A25FD4">
      <w:pPr>
        <w:ind w:firstLine="360"/>
        <w:jc w:val="both"/>
        <w:rPr>
          <w:rFonts w:cstheme="minorHAnsi"/>
        </w:rPr>
      </w:pPr>
      <w:r w:rsidRPr="00E47369">
        <w:rPr>
          <w:rFonts w:cstheme="minorHAnsi"/>
        </w:rPr>
        <w:t xml:space="preserve">Allyl </w:t>
      </w:r>
      <w:r w:rsidRPr="00E47369">
        <w:rPr>
          <w:rFonts w:cstheme="minorHAnsi"/>
          <w:color w:val="000000" w:themeColor="text1"/>
        </w:rPr>
        <w:t>acetate (1.</w:t>
      </w:r>
      <w:r w:rsidR="005A37AB">
        <w:rPr>
          <w:rFonts w:cstheme="minorHAnsi"/>
        </w:rPr>
        <w:t>00 mmol, 0.11</w:t>
      </w:r>
      <w:r w:rsidRPr="00E47369">
        <w:rPr>
          <w:rFonts w:cstheme="minorHAnsi"/>
        </w:rPr>
        <w:t xml:space="preserve"> mL), </w:t>
      </w:r>
      <w:r w:rsidR="005A37AB">
        <w:rPr>
          <w:rFonts w:cstheme="minorHAnsi"/>
        </w:rPr>
        <w:t>benzyl alcohol (1.00 mmol, 0.11</w:t>
      </w:r>
      <w:r w:rsidRPr="00E47369">
        <w:rPr>
          <w:rFonts w:cstheme="minorHAnsi"/>
        </w:rPr>
        <w:t xml:space="preserve"> mL), </w:t>
      </w:r>
      <w:r w:rsidR="005A37AB">
        <w:rPr>
          <w:rFonts w:cstheme="minorHAnsi"/>
        </w:rPr>
        <w:t>benzylaldehyde (1.00 mmol, 0.11</w:t>
      </w:r>
      <w:r w:rsidRPr="00E47369">
        <w:rPr>
          <w:rFonts w:cstheme="minorHAnsi"/>
        </w:rPr>
        <w:t xml:space="preserve"> mL), 4-</w:t>
      </w:r>
      <w:r w:rsidR="005A37AB">
        <w:rPr>
          <w:rFonts w:cstheme="minorHAnsi"/>
        </w:rPr>
        <w:t>nitrobenzoic acid (10 mol%, 17</w:t>
      </w:r>
      <w:r w:rsidRPr="00E47369">
        <w:rPr>
          <w:rFonts w:cstheme="minorHAnsi"/>
        </w:rPr>
        <w:t xml:space="preserve"> mg), </w:t>
      </w:r>
      <w:r w:rsidR="005403D7">
        <w:rPr>
          <w:rFonts w:cstheme="minorHAnsi"/>
        </w:rPr>
        <w:t xml:space="preserve">iridium complex </w:t>
      </w:r>
      <w:r w:rsidRPr="00E47369">
        <w:rPr>
          <w:rFonts w:cstheme="minorHAnsi"/>
        </w:rPr>
        <w:t>(S)-I (5 mol%, 50 mg) and dioxane (5 mL) were added to a thick-walled Ace glass reactor tube. A N</w:t>
      </w:r>
      <w:r w:rsidRPr="00E47369">
        <w:rPr>
          <w:rFonts w:cstheme="minorHAnsi"/>
          <w:vertAlign w:val="subscript"/>
        </w:rPr>
        <w:t>2</w:t>
      </w:r>
      <w:r w:rsidRPr="00E47369">
        <w:rPr>
          <w:rFonts w:cstheme="minorHAnsi"/>
        </w:rPr>
        <w:t xml:space="preserve"> flow was bubbled into the mixture for at least 60 sec before the Teflon seal was closed. The reactor was placed in an oil bath at 105</w:t>
      </w:r>
      <w:r w:rsidRPr="00E47369">
        <w:rPr>
          <w:rFonts w:cstheme="minorHAnsi"/>
          <w:vertAlign w:val="superscript"/>
        </w:rPr>
        <w:t>o</w:t>
      </w:r>
      <w:r w:rsidRPr="00E47369">
        <w:rPr>
          <w:rFonts w:cstheme="minorHAnsi"/>
        </w:rPr>
        <w:t>C for 24 h while stirring magnetically. After cooling to room temperature, a 100 µL aliquot of the reaction mixture was removed and added to CDCl</w:t>
      </w:r>
      <w:r w:rsidRPr="00E47369">
        <w:rPr>
          <w:rFonts w:cstheme="minorHAnsi"/>
          <w:vertAlign w:val="subscript"/>
        </w:rPr>
        <w:t>3</w:t>
      </w:r>
      <w:r w:rsidRPr="00E47369">
        <w:rPr>
          <w:rFonts w:cstheme="minorHAnsi"/>
        </w:rPr>
        <w:t xml:space="preserve"> (0.600 mL) and 2.0 µL DMSO as internal standard for NMR analysis. This product and the others listed were characterized and quantified using </w:t>
      </w:r>
      <w:r w:rsidRPr="00E47369">
        <w:rPr>
          <w:rFonts w:cstheme="minorHAnsi"/>
          <w:vertAlign w:val="superscript"/>
        </w:rPr>
        <w:t>1</w:t>
      </w:r>
      <w:r w:rsidRPr="00E47369">
        <w:rPr>
          <w:rFonts w:cstheme="minorHAnsi"/>
        </w:rPr>
        <w:t xml:space="preserve">H NMR spectroscopy. </w:t>
      </w:r>
    </w:p>
    <w:p w14:paraId="55AC7B5A" w14:textId="77777777" w:rsidR="005A37AB" w:rsidRPr="00E47369" w:rsidRDefault="005A37AB" w:rsidP="00A25FD4">
      <w:pPr>
        <w:ind w:firstLine="360"/>
        <w:jc w:val="both"/>
        <w:rPr>
          <w:rFonts w:cstheme="minorHAnsi"/>
        </w:rPr>
      </w:pPr>
    </w:p>
    <w:p w14:paraId="446CD000" w14:textId="77777777" w:rsidR="00A25FD4" w:rsidRPr="00E47369" w:rsidRDefault="00A25FD4" w:rsidP="00A25FD4">
      <w:pPr>
        <w:pStyle w:val="Caption"/>
        <w:spacing w:line="480" w:lineRule="auto"/>
        <w:rPr>
          <w:rFonts w:cstheme="minorHAnsi"/>
          <w:i/>
        </w:rPr>
      </w:pPr>
      <w:r w:rsidRPr="00E47369">
        <w:rPr>
          <w:rFonts w:cstheme="minorHAnsi"/>
          <w:b w:val="0"/>
          <w:i/>
        </w:rPr>
        <w:t>Allylation on allyl acetate</w:t>
      </w:r>
    </w:p>
    <w:p w14:paraId="1D745F5A" w14:textId="77777777" w:rsidR="00A25FD4" w:rsidRDefault="00A25FD4" w:rsidP="00A25FD4">
      <w:pPr>
        <w:ind w:firstLine="360"/>
        <w:jc w:val="center"/>
        <w:rPr>
          <w:rFonts w:cstheme="minorHAnsi"/>
        </w:rPr>
      </w:pPr>
      <w:r w:rsidRPr="00E47369">
        <w:rPr>
          <w:rFonts w:cstheme="minorHAnsi"/>
          <w:noProof/>
          <w:lang w:bidi="ar-SA"/>
        </w:rPr>
        <w:drawing>
          <wp:inline distT="0" distB="0" distL="0" distR="0" wp14:anchorId="6FC08684" wp14:editId="1A498341">
            <wp:extent cx="4114800" cy="2491599"/>
            <wp:effectExtent l="0" t="0" r="0" b="4445"/>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rotWithShape="1">
                    <a:blip r:embed="rId271" cstate="print">
                      <a:extLst>
                        <a:ext uri="{28A0092B-C50C-407E-A947-70E740481C1C}">
                          <a14:useLocalDpi xmlns:a14="http://schemas.microsoft.com/office/drawing/2010/main" val="0"/>
                        </a:ext>
                      </a:extLst>
                    </a:blip>
                    <a:srcRect t="9238" b="12241"/>
                    <a:stretch/>
                  </pic:blipFill>
                  <pic:spPr bwMode="auto">
                    <a:xfrm>
                      <a:off x="0" y="0"/>
                      <a:ext cx="4114800" cy="2491599"/>
                    </a:xfrm>
                    <a:prstGeom prst="rect">
                      <a:avLst/>
                    </a:prstGeom>
                    <a:noFill/>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3593CACB" w14:textId="77777777" w:rsidR="00537311" w:rsidRPr="00E47369" w:rsidRDefault="00537311" w:rsidP="001F6AEC">
      <w:pPr>
        <w:rPr>
          <w:rFonts w:cstheme="minorHAnsi"/>
        </w:rPr>
      </w:pPr>
    </w:p>
    <w:p w14:paraId="147AC0E3" w14:textId="77777777" w:rsidR="00A25FD4" w:rsidRPr="00E47369" w:rsidRDefault="00A25FD4" w:rsidP="00A25FD4">
      <w:pPr>
        <w:pStyle w:val="Caption"/>
        <w:spacing w:line="480" w:lineRule="auto"/>
        <w:rPr>
          <w:rFonts w:cstheme="minorHAnsi"/>
          <w:b w:val="0"/>
          <w:i/>
        </w:rPr>
      </w:pPr>
      <w:r w:rsidRPr="00E47369">
        <w:rPr>
          <w:rFonts w:cstheme="minorHAnsi"/>
          <w:b w:val="0"/>
          <w:i/>
        </w:rPr>
        <w:t>Allylation on allyl monosterate</w:t>
      </w:r>
    </w:p>
    <w:p w14:paraId="444678FD" w14:textId="77777777" w:rsidR="00A25FD4" w:rsidRPr="00E47369" w:rsidRDefault="00A25FD4" w:rsidP="00A25FD4">
      <w:pPr>
        <w:ind w:firstLine="360"/>
        <w:jc w:val="center"/>
        <w:rPr>
          <w:rFonts w:cstheme="minorHAnsi"/>
        </w:rPr>
      </w:pPr>
      <w:r w:rsidRPr="00E47369">
        <w:rPr>
          <w:rFonts w:cstheme="minorHAnsi"/>
          <w:noProof/>
          <w:lang w:bidi="ar-SA"/>
        </w:rPr>
        <w:drawing>
          <wp:inline distT="0" distB="0" distL="0" distR="0" wp14:anchorId="2C24EC7D" wp14:editId="582556ED">
            <wp:extent cx="4114800" cy="2516704"/>
            <wp:effectExtent l="0" t="0" r="0"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272" cstate="print">
                      <a:extLst>
                        <a:ext uri="{28A0092B-C50C-407E-A947-70E740481C1C}">
                          <a14:useLocalDpi xmlns:a14="http://schemas.microsoft.com/office/drawing/2010/main" val="0"/>
                        </a:ext>
                      </a:extLst>
                    </a:blip>
                    <a:srcRect t="8424" b="11972"/>
                    <a:stretch/>
                  </pic:blipFill>
                  <pic:spPr bwMode="auto">
                    <a:xfrm>
                      <a:off x="0" y="0"/>
                      <a:ext cx="4114800" cy="2516704"/>
                    </a:xfrm>
                    <a:prstGeom prst="rect">
                      <a:avLst/>
                    </a:prstGeom>
                    <a:noFill/>
                    <a:ln>
                      <a:noFill/>
                    </a:ln>
                    <a:extLst>
                      <a:ext uri="{53640926-AAD7-44D8-BBD7-CCE9431645EC}">
                        <a14:shadowObscured xmlns:a14="http://schemas.microsoft.com/office/drawing/2010/main"/>
                      </a:ex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4E8ECC6B" w14:textId="77777777" w:rsidR="001539C6" w:rsidRPr="00E47369" w:rsidRDefault="001539C6" w:rsidP="001539C6">
      <w:pPr>
        <w:rPr>
          <w:rFonts w:cstheme="minorHAnsi"/>
        </w:rPr>
      </w:pPr>
    </w:p>
    <w:p w14:paraId="315E7091" w14:textId="77777777" w:rsidR="00A25FD4" w:rsidRPr="00E47369" w:rsidRDefault="00A25FD4" w:rsidP="00A25FD4">
      <w:pPr>
        <w:pStyle w:val="Heading41"/>
        <w:rPr>
          <w:rFonts w:cstheme="minorHAnsi"/>
        </w:rPr>
      </w:pPr>
      <w:r w:rsidRPr="00E47369">
        <w:rPr>
          <w:rFonts w:cstheme="minorHAnsi"/>
        </w:rPr>
        <w:t>Synthesis of the benzaldehyde allylation product</w:t>
      </w:r>
    </w:p>
    <w:p w14:paraId="0F113E26" w14:textId="1250383E" w:rsidR="00A25FD4" w:rsidRPr="00E47369" w:rsidRDefault="00A25FD4" w:rsidP="00A25FD4">
      <w:pPr>
        <w:ind w:firstLine="360"/>
        <w:jc w:val="both"/>
        <w:rPr>
          <w:rFonts w:cstheme="minorHAnsi"/>
        </w:rPr>
      </w:pPr>
      <w:r w:rsidRPr="00E47369">
        <w:rPr>
          <w:rFonts w:cstheme="minorHAnsi"/>
        </w:rPr>
        <w:t>Following a literature procedure a solution of benzaldehyde (1.0 equiv</w:t>
      </w:r>
      <w:r w:rsidR="005403D7">
        <w:rPr>
          <w:rFonts w:cstheme="minorHAnsi"/>
        </w:rPr>
        <w:t>.) in anhydrous tetrahydrofuran</w:t>
      </w:r>
      <w:r w:rsidRPr="00E47369">
        <w:rPr>
          <w:rFonts w:cstheme="minorHAnsi"/>
        </w:rPr>
        <w:t xml:space="preserve"> was added slowly to the Grignard reagent, allyl magnesium bromide (0.1 M in THF, 2</w:t>
      </w:r>
      <w:r w:rsidR="001F6AEC">
        <w:rPr>
          <w:rFonts w:cstheme="minorHAnsi"/>
        </w:rPr>
        <w:t xml:space="preserve"> </w:t>
      </w:r>
      <w:r w:rsidRPr="00E47369">
        <w:rPr>
          <w:rFonts w:cstheme="minorHAnsi"/>
        </w:rPr>
        <w:t>equiv.) at 0</w:t>
      </w:r>
      <w:r w:rsidRPr="00E47369">
        <w:rPr>
          <w:rFonts w:cstheme="minorHAnsi"/>
          <w:vertAlign w:val="superscript"/>
        </w:rPr>
        <w:t>o</w:t>
      </w:r>
      <w:r w:rsidRPr="00E47369">
        <w:rPr>
          <w:rFonts w:cstheme="minorHAnsi"/>
        </w:rPr>
        <w:t>C.</w:t>
      </w:r>
      <w:r w:rsidRPr="00E47369">
        <w:rPr>
          <w:rFonts w:cstheme="minorHAnsi"/>
        </w:rPr>
        <w:fldChar w:fldCharType="begin"/>
      </w:r>
      <w:r w:rsidR="00E028D6">
        <w:rPr>
          <w:rFonts w:cstheme="minorHAnsi"/>
        </w:rPr>
        <w:instrText xml:space="preserve"> ADDIN ZOTERO_ITEM CSL_CITATION {"citationID":"Xjy8PKR2","properties":{"formattedCitation":"{\\rtf \\super 138\\nosupersub{}}","plainCitation":"138"},"citationItems":[{"id":374,"uris":["http://zotero.org/users/1624234/items/QU8X7K2P"],"uri":["http://zotero.org/users/1624234/items/QU8X7K2P"],"itemData":{"id":374,"type":"article-journal","title":"Synthesis and biological evaluation of α,β-unsaturated lactones as potent immunosuppressive agents","container-title":"Bioorganic &amp; Medicinal Chemistry Letters","page":"5726-5729","volume":"21","issue":"19","source":"ScienceDirect","abstract":"Compounds having α,β-unsaturated lactones display a variety of biological activities. Many research groups have tested both natural and unnatural α,β-unsaturated lactones for as-yet undiscovered biological properties. We synthesized α,β-unsaturated lactones with various substituents at the δ-position and studied their immunosuppressive effects, that is, the inhibition of Interleukin-2 (IL-2) production. Among the compounds synthesized, the benzofuran-substituted α,β-unsaturated lactone 4h showed the best inhibitory activity toward IL-2 production in Jurkat e6-1 T lymphocytes (IC50 = 66.9 nM) without cytotoxicity at 10 μM. The results indicated that 4h may be useful as a potent immunosuppressive agent, as well as in IL-2-related studies.","DOI":"10.1016/j.bmcl.2011.08.020","ISSN":"0960-894X","journalAbbreviation":"Bioorganic &amp; Medicinal Chemistry Letters","author":[{"family":"Lee","given":"Sun-Mi"},{"family":"Lee","given":"Won-Gil"},{"family":"Kim","given":"Young-Chul"},{"family":"Ko","given":"Hyojin"}],"issued":{"date-parts":[["2011",10,1]]}}}],"schema":"https://github.com/citation-style-language/schema/raw/master/csl-citation.json"} </w:instrText>
      </w:r>
      <w:r w:rsidRPr="00E47369">
        <w:rPr>
          <w:rFonts w:cstheme="minorHAnsi"/>
        </w:rPr>
        <w:fldChar w:fldCharType="separate"/>
      </w:r>
      <w:r w:rsidR="00E028D6" w:rsidRPr="00E028D6">
        <w:rPr>
          <w:rFonts w:ascii="Times New Roman" w:hAnsi="Times New Roman"/>
          <w:vertAlign w:val="superscript"/>
        </w:rPr>
        <w:t>138</w:t>
      </w:r>
      <w:r w:rsidRPr="00E47369">
        <w:rPr>
          <w:rFonts w:cstheme="minorHAnsi"/>
        </w:rPr>
        <w:fldChar w:fldCharType="end"/>
      </w:r>
      <w:r w:rsidRPr="00E47369">
        <w:rPr>
          <w:rFonts w:cstheme="minorHAnsi"/>
        </w:rPr>
        <w:t xml:space="preserve"> </w:t>
      </w:r>
      <w:r w:rsidRPr="00E47369">
        <w:rPr>
          <w:rFonts w:cstheme="minorHAnsi"/>
          <w:iCs/>
        </w:rPr>
        <w:t>The reaction mixture was warmed to room temperature and stirred for 2–12 h. Saturated NH</w:t>
      </w:r>
      <w:r w:rsidRPr="00E47369">
        <w:rPr>
          <w:rFonts w:cstheme="minorHAnsi"/>
          <w:iCs/>
          <w:vertAlign w:val="subscript"/>
        </w:rPr>
        <w:t>4</w:t>
      </w:r>
      <w:r w:rsidRPr="00E47369">
        <w:rPr>
          <w:rFonts w:cstheme="minorHAnsi"/>
          <w:iCs/>
        </w:rPr>
        <w:t>Cl aqueous solution was added to the mixture and it was poured into ethyl acetate and extracted with ethyl acetate 2 times. The combined organic layers were washed with brine, dried with Na</w:t>
      </w:r>
      <w:r w:rsidRPr="00E47369">
        <w:rPr>
          <w:rFonts w:cstheme="minorHAnsi"/>
          <w:iCs/>
          <w:vertAlign w:val="subscript"/>
        </w:rPr>
        <w:t>2</w:t>
      </w:r>
      <w:r w:rsidRPr="00E47369">
        <w:rPr>
          <w:rFonts w:cstheme="minorHAnsi"/>
          <w:iCs/>
        </w:rPr>
        <w:t>SO</w:t>
      </w:r>
      <w:r w:rsidRPr="00E47369">
        <w:rPr>
          <w:rFonts w:cstheme="minorHAnsi"/>
          <w:iCs/>
          <w:vertAlign w:val="subscript"/>
        </w:rPr>
        <w:t>4</w:t>
      </w:r>
      <w:r w:rsidRPr="00E47369">
        <w:rPr>
          <w:rFonts w:cstheme="minorHAnsi"/>
          <w:iCs/>
        </w:rPr>
        <w:t xml:space="preserve">, filtered, and concentrated. </w:t>
      </w:r>
      <w:r w:rsidRPr="00E47369">
        <w:rPr>
          <w:rFonts w:cstheme="minorHAnsi"/>
        </w:rPr>
        <w:t>The resulting mixture was treated with sodium bisulfate solution (0.4g in 1 mL o</w:t>
      </w:r>
      <w:r w:rsidR="005403D7">
        <w:rPr>
          <w:rFonts w:cstheme="minorHAnsi"/>
        </w:rPr>
        <w:t>f water and 0.11 mL of ethanol) extracted and filtered</w:t>
      </w:r>
      <w:r w:rsidRPr="00E47369">
        <w:rPr>
          <w:rFonts w:cstheme="minorHAnsi"/>
        </w:rPr>
        <w:t xml:space="preserve"> in order to remove any left over benzaldehyde.</w:t>
      </w:r>
      <w:r w:rsidRPr="00E47369">
        <w:rPr>
          <w:rFonts w:cstheme="minorHAnsi"/>
        </w:rPr>
        <w:fldChar w:fldCharType="begin"/>
      </w:r>
      <w:r w:rsidR="00E028D6">
        <w:rPr>
          <w:rFonts w:cstheme="minorHAnsi"/>
        </w:rPr>
        <w:instrText xml:space="preserve"> ADDIN ZOTERO_ITEM CSL_CITATION {"citationID":"2kfjile71t","properties":{"formattedCitation":"{\\rtf \\super 139\\uc0\\u8211{}141\\nosupersub{}}","plainCitation":"139–141"},"citationItems":[{"id":474,"uris":["http://zotero.org/users/1624234/items/XSVRKA3W"],"uri":["http://zotero.org/users/1624234/items/XSVRKA3W"],"itemData":{"id":474,"type":"article-journal","title":"Aldehyde-bisulfite adducts: prediction of some of their thermodynamic and kinetic properties","container-title":"Environmental Science &amp; Technology","page":"92-99","volume":"22","issue":"1","source":"ACS Publications","DOI":"10.1021/es00166a010","ISSN":"0013-936X","shortTitle":"Aldehyde-bisulfite adducts","journalAbbreviation":"Environ. Sci. Technol.","author":[{"family":"Betterton","given":"Eric A."},{"family":"Erel","given":"Yigal."},{"family":"Hoffmann","given":"Michael R."}],"issued":{"date-parts":[["1988"]]}},"label":"page"},{"id":451,"uris":["http://zotero.org/users/1624234/items/WW269TD5"],"uri":["http://zotero.org/users/1624234/items/WW269TD5"],"itemData":{"id":451,"type":"article-journal","title":"A Novel, Nonaqueous Method for Regeneration of Aldehydes from Bisulfite Adducts","container-title":"The Journal of Organic Chemistry","page":"5722-5724","volume":"64","issue":"15","source":"ACS Publications","DOI":"10.1021/jo990543v","ISSN":"0022-3263","journalAbbreviation":"J. Org. Chem.","author":[{"family":"Kjell","given":"Douglas P."},{"family":"Slattery","given":"Brian J."},{"family":"Semo","given":"Michael J."}],"issued":{"date-parts":[["1999"]]}},"label":"page"},{"id":215,"uris":["http://zotero.org/users/1624234/items/EKAZ5WD7"],"uri":["http://zotero.org/users/1624234/items/EKAZ5WD7"],"itemData":{"id":215,"type":"article-journal","title":"Expedient Reductive Amination of Aldehyde Bisulfite Adducts","container-title":"Synthesis","page":"4032-4036","volume":"2009","issue":"23","source":"CrossRef","DOI":"10.1055/s-0029-1217050","ISSN":"0039-7881, 1437-210X","language":"en","author":[{"family":"Pandit","given":"Chennagiri"},{"family":"Mani","given":"Neelakandha"}],"issued":{"date-parts":[["2009",12]]}},"label":"page"}],"schema":"https://github.com/citation-style-language/schema/raw/master/csl-citation.json"} </w:instrText>
      </w:r>
      <w:r w:rsidRPr="00E47369">
        <w:rPr>
          <w:rFonts w:cstheme="minorHAnsi"/>
        </w:rPr>
        <w:fldChar w:fldCharType="separate"/>
      </w:r>
      <w:r w:rsidR="00E028D6" w:rsidRPr="00E028D6">
        <w:rPr>
          <w:rFonts w:ascii="Times New Roman" w:hAnsi="Times New Roman"/>
          <w:vertAlign w:val="superscript"/>
        </w:rPr>
        <w:t>139–141</w:t>
      </w:r>
      <w:r w:rsidRPr="00E47369">
        <w:rPr>
          <w:rFonts w:cstheme="minorHAnsi"/>
        </w:rPr>
        <w:fldChar w:fldCharType="end"/>
      </w:r>
      <w:r w:rsidRPr="00E47369">
        <w:rPr>
          <w:rFonts w:cstheme="minorHAnsi"/>
        </w:rPr>
        <w:t xml:space="preserve"> </w:t>
      </w:r>
      <w:r w:rsidRPr="00E47369">
        <w:rPr>
          <w:rFonts w:cstheme="minorHAnsi"/>
          <w:iCs/>
        </w:rPr>
        <w:t xml:space="preserve">The residue was purified by silica gel column chromatography (hexane/ethyl acetate). </w:t>
      </w:r>
      <w:r w:rsidRPr="00E47369">
        <w:rPr>
          <w:rFonts w:cstheme="minorHAnsi"/>
        </w:rPr>
        <w:t>GC analysis (3% SE-54 packed column, thermal program 40</w:t>
      </w:r>
      <w:r w:rsidRPr="00E47369">
        <w:rPr>
          <w:rFonts w:cstheme="minorHAnsi"/>
          <w:vertAlign w:val="superscript"/>
        </w:rPr>
        <w:t>o</w:t>
      </w:r>
      <w:r w:rsidRPr="00E47369">
        <w:rPr>
          <w:rFonts w:cstheme="minorHAnsi"/>
        </w:rPr>
        <w:t>C for 5 min; 20 deg/min to 250</w:t>
      </w:r>
      <w:r w:rsidRPr="00E47369">
        <w:rPr>
          <w:rFonts w:cstheme="minorHAnsi"/>
          <w:vertAlign w:val="superscript"/>
        </w:rPr>
        <w:t>o</w:t>
      </w:r>
      <w:r w:rsidRPr="00E47369">
        <w:rPr>
          <w:rFonts w:cstheme="minorHAnsi"/>
        </w:rPr>
        <w:t xml:space="preserve">C; then 7 min at 250°C.) of the product showed a retention time of 11.0 min. </w:t>
      </w:r>
    </w:p>
    <w:p w14:paraId="2389F89F" w14:textId="3E7FF84C" w:rsidR="00A25FD4" w:rsidRPr="00E47369" w:rsidRDefault="00A25FD4" w:rsidP="00A25FD4">
      <w:pPr>
        <w:jc w:val="both"/>
        <w:rPr>
          <w:rFonts w:cstheme="minorHAnsi"/>
          <w:color w:val="000000" w:themeColor="text1"/>
        </w:rPr>
      </w:pPr>
      <w:r w:rsidRPr="00E47369">
        <w:rPr>
          <w:rFonts w:cstheme="minorHAnsi"/>
          <w:color w:val="000000" w:themeColor="text1"/>
          <w:vertAlign w:val="superscript"/>
        </w:rPr>
        <w:t>1</w:t>
      </w:r>
      <w:r w:rsidRPr="00E47369">
        <w:rPr>
          <w:rFonts w:cstheme="minorHAnsi"/>
          <w:color w:val="000000" w:themeColor="text1"/>
        </w:rPr>
        <w:t>H NMR (300 MHz, CDCl</w:t>
      </w:r>
      <w:r w:rsidRPr="00E47369">
        <w:rPr>
          <w:rFonts w:cstheme="minorHAnsi"/>
          <w:color w:val="000000" w:themeColor="text1"/>
          <w:vertAlign w:val="subscript"/>
        </w:rPr>
        <w:t>3</w:t>
      </w:r>
      <w:r w:rsidR="005A37AB">
        <w:rPr>
          <w:rFonts w:cstheme="minorHAnsi"/>
          <w:color w:val="000000" w:themeColor="text1"/>
        </w:rPr>
        <w:t>): 2.4</w:t>
      </w:r>
      <w:r w:rsidRPr="00E47369">
        <w:rPr>
          <w:rFonts w:cstheme="minorHAnsi"/>
          <w:color w:val="000000" w:themeColor="text1"/>
        </w:rPr>
        <w:t xml:space="preserve"> </w:t>
      </w:r>
      <w:r w:rsidRPr="00E47369">
        <w:rPr>
          <w:rFonts w:cstheme="minorHAnsi"/>
        </w:rPr>
        <w:t>(t, J = 6.6 Hz</w:t>
      </w:r>
      <w:r w:rsidRPr="00E47369">
        <w:rPr>
          <w:rFonts w:cstheme="minorHAnsi"/>
          <w:color w:val="000000" w:themeColor="text1"/>
        </w:rPr>
        <w:t>, 2H, C</w:t>
      </w:r>
      <w:r w:rsidRPr="00E47369">
        <w:rPr>
          <w:rFonts w:cstheme="minorHAnsi"/>
          <w:i/>
          <w:color w:val="000000" w:themeColor="text1"/>
        </w:rPr>
        <w:t>H</w:t>
      </w:r>
      <w:r w:rsidRPr="00E47369">
        <w:rPr>
          <w:rFonts w:cstheme="minorHAnsi"/>
          <w:i/>
          <w:color w:val="000000" w:themeColor="text1"/>
          <w:vertAlign w:val="subscript"/>
        </w:rPr>
        <w:t>2</w:t>
      </w:r>
      <w:r w:rsidR="005A37AB">
        <w:rPr>
          <w:rFonts w:cstheme="minorHAnsi"/>
          <w:color w:val="000000" w:themeColor="text1"/>
        </w:rPr>
        <w:t>), 4.6</w:t>
      </w:r>
      <w:r w:rsidRPr="00E47369">
        <w:rPr>
          <w:rFonts w:cstheme="minorHAnsi"/>
          <w:color w:val="000000" w:themeColor="text1"/>
        </w:rPr>
        <w:t xml:space="preserve"> (t, J </w:t>
      </w:r>
      <w:r w:rsidRPr="00E47369">
        <w:rPr>
          <w:rFonts w:cstheme="minorHAnsi"/>
        </w:rPr>
        <w:t>= 6.6 Hz</w:t>
      </w:r>
      <w:r w:rsidRPr="00E47369">
        <w:rPr>
          <w:rFonts w:cstheme="minorHAnsi"/>
          <w:color w:val="000000" w:themeColor="text1"/>
        </w:rPr>
        <w:t>, 1H, C</w:t>
      </w:r>
      <w:r w:rsidRPr="00E47369">
        <w:rPr>
          <w:rFonts w:cstheme="minorHAnsi"/>
          <w:i/>
          <w:color w:val="000000" w:themeColor="text1"/>
        </w:rPr>
        <w:t>H</w:t>
      </w:r>
      <w:r w:rsidR="005A37AB">
        <w:rPr>
          <w:rFonts w:cstheme="minorHAnsi"/>
          <w:color w:val="000000" w:themeColor="text1"/>
        </w:rPr>
        <w:t>OH), 5.0</w:t>
      </w:r>
      <w:r w:rsidRPr="00E47369">
        <w:rPr>
          <w:rFonts w:cstheme="minorHAnsi"/>
          <w:color w:val="000000" w:themeColor="text1"/>
        </w:rPr>
        <w:t xml:space="preserve"> (m, 2H, =C</w:t>
      </w:r>
      <w:r w:rsidRPr="00E47369">
        <w:rPr>
          <w:rFonts w:cstheme="minorHAnsi"/>
          <w:i/>
          <w:color w:val="000000" w:themeColor="text1"/>
        </w:rPr>
        <w:t>H</w:t>
      </w:r>
      <w:r w:rsidRPr="00E47369">
        <w:rPr>
          <w:rFonts w:cstheme="minorHAnsi"/>
          <w:i/>
          <w:color w:val="000000" w:themeColor="text1"/>
          <w:vertAlign w:val="subscript"/>
        </w:rPr>
        <w:t>2</w:t>
      </w:r>
      <w:r w:rsidR="005A37AB">
        <w:rPr>
          <w:rFonts w:cstheme="minorHAnsi"/>
          <w:color w:val="000000" w:themeColor="text1"/>
        </w:rPr>
        <w:t>), 5.7</w:t>
      </w:r>
      <w:r w:rsidRPr="00E47369">
        <w:rPr>
          <w:rFonts w:cstheme="minorHAnsi"/>
          <w:color w:val="000000" w:themeColor="text1"/>
        </w:rPr>
        <w:t xml:space="preserve"> (m, 1H, =C</w:t>
      </w:r>
      <w:r w:rsidRPr="00E47369">
        <w:rPr>
          <w:rFonts w:cstheme="minorHAnsi"/>
          <w:i/>
          <w:color w:val="000000" w:themeColor="text1"/>
        </w:rPr>
        <w:t>H</w:t>
      </w:r>
      <w:r w:rsidR="005A37AB">
        <w:rPr>
          <w:rFonts w:cstheme="minorHAnsi"/>
          <w:color w:val="000000" w:themeColor="text1"/>
        </w:rPr>
        <w:t>), 7.3-7.7</w:t>
      </w:r>
      <w:r w:rsidRPr="00E47369">
        <w:rPr>
          <w:rFonts w:cstheme="minorHAnsi"/>
          <w:color w:val="000000" w:themeColor="text1"/>
        </w:rPr>
        <w:t xml:space="preserve"> (m, 5H, C</w:t>
      </w:r>
      <w:r w:rsidRPr="00E47369">
        <w:rPr>
          <w:rFonts w:cstheme="minorHAnsi"/>
          <w:color w:val="000000" w:themeColor="text1"/>
          <w:vertAlign w:val="subscript"/>
        </w:rPr>
        <w:t>6</w:t>
      </w:r>
      <w:r w:rsidRPr="00E47369">
        <w:rPr>
          <w:rFonts w:cstheme="minorHAnsi"/>
          <w:i/>
          <w:color w:val="000000" w:themeColor="text1"/>
        </w:rPr>
        <w:t>H</w:t>
      </w:r>
      <w:r w:rsidRPr="00E47369">
        <w:rPr>
          <w:rFonts w:cstheme="minorHAnsi"/>
          <w:i/>
          <w:color w:val="000000" w:themeColor="text1"/>
          <w:vertAlign w:val="subscript"/>
        </w:rPr>
        <w:t>5</w:t>
      </w:r>
      <w:r w:rsidRPr="00E47369">
        <w:rPr>
          <w:rFonts w:cstheme="minorHAnsi"/>
          <w:color w:val="000000" w:themeColor="text1"/>
        </w:rPr>
        <w:t xml:space="preserve">); </w:t>
      </w:r>
    </w:p>
    <w:p w14:paraId="2F8010F2" w14:textId="1B547A46" w:rsidR="00A25FD4" w:rsidRDefault="00443010" w:rsidP="001539C6">
      <w:pPr>
        <w:jc w:val="center"/>
        <w:rPr>
          <w:rFonts w:cstheme="minorHAnsi"/>
          <w:color w:val="000000" w:themeColor="text1"/>
        </w:rPr>
      </w:pPr>
      <w:r>
        <w:rPr>
          <w:rFonts w:cstheme="minorHAnsi"/>
          <w:noProof/>
        </w:rPr>
        <w:object w:dxaOrig="0" w:dyaOrig="0" w14:anchorId="21579EEC">
          <v:shape id="_x0000_s1178" type="#_x0000_t75" style="position:absolute;left:0;text-align:left;margin-left:289.75pt;margin-top:2.65pt;width:57.35pt;height:37.45pt;z-index:251655680">
            <v:imagedata r:id="rId273" o:title=""/>
          </v:shape>
          <o:OLEObject Type="Embed" ProgID="ChemDraw.Document.6.0" ShapeID="_x0000_s1178" DrawAspect="Content" ObjectID="_1532785067" r:id="rId274"/>
        </w:object>
      </w:r>
      <w:r w:rsidR="00A25FD4" w:rsidRPr="00E47369">
        <w:rPr>
          <w:rFonts w:cstheme="minorHAnsi"/>
          <w:noProof/>
          <w:color w:val="000000" w:themeColor="text1"/>
          <w:lang w:bidi="ar-SA"/>
        </w:rPr>
        <w:drawing>
          <wp:inline distT="0" distB="0" distL="0" distR="0" wp14:anchorId="397878C9" wp14:editId="11EBBA3D">
            <wp:extent cx="4114800" cy="2528824"/>
            <wp:effectExtent l="0" t="0" r="0" b="508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75" cstate="print">
                      <a:extLst>
                        <a:ext uri="{28A0092B-C50C-407E-A947-70E740481C1C}">
                          <a14:useLocalDpi xmlns:a14="http://schemas.microsoft.com/office/drawing/2010/main" val="0"/>
                        </a:ext>
                      </a:extLst>
                    </a:blip>
                    <a:srcRect t="8807" b="11219"/>
                    <a:stretch/>
                  </pic:blipFill>
                  <pic:spPr bwMode="auto">
                    <a:xfrm>
                      <a:off x="0" y="0"/>
                      <a:ext cx="4114800" cy="2528824"/>
                    </a:xfrm>
                    <a:prstGeom prst="rect">
                      <a:avLst/>
                    </a:prstGeom>
                    <a:noFill/>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3E981C27" w14:textId="77777777" w:rsidR="00537311" w:rsidRPr="00E47369" w:rsidRDefault="00537311" w:rsidP="001539C6">
      <w:pPr>
        <w:jc w:val="center"/>
        <w:rPr>
          <w:rFonts w:cstheme="minorHAnsi"/>
          <w:color w:val="000000" w:themeColor="text1"/>
        </w:rPr>
      </w:pPr>
    </w:p>
    <w:p w14:paraId="5F16D82C" w14:textId="77777777" w:rsidR="00A25FD4" w:rsidRPr="00E47369" w:rsidRDefault="00A25FD4" w:rsidP="00A25FD4">
      <w:pPr>
        <w:pStyle w:val="Heading41"/>
        <w:rPr>
          <w:rFonts w:cstheme="minorHAnsi"/>
        </w:rPr>
      </w:pPr>
      <w:r w:rsidRPr="00E47369">
        <w:rPr>
          <w:rFonts w:cstheme="minorHAnsi"/>
        </w:rPr>
        <w:t>Synthesis of the 1-BOC derivative of glycerol for DODH/ Krische’s Allylation</w:t>
      </w:r>
    </w:p>
    <w:p w14:paraId="0A6FFC09" w14:textId="4EA711BD" w:rsidR="00A25FD4" w:rsidRPr="00E47369" w:rsidRDefault="00A25FD4" w:rsidP="00A25FD4">
      <w:pPr>
        <w:ind w:firstLine="360"/>
        <w:jc w:val="both"/>
        <w:rPr>
          <w:rFonts w:cstheme="minorHAnsi"/>
          <w:i/>
        </w:rPr>
      </w:pPr>
      <w:r w:rsidRPr="00E47369">
        <w:rPr>
          <w:rFonts w:cstheme="minorHAnsi"/>
        </w:rPr>
        <w:t>The synthesis of the BOC derivative of glycerol was carried out on a 5 mmol scale using DMAP (10 mol%) and di-tert butyl carbonate (2 equiv.) in a solvent mixture of THF/CH</w:t>
      </w:r>
      <w:r w:rsidRPr="00E47369">
        <w:rPr>
          <w:rFonts w:cstheme="minorHAnsi"/>
          <w:vertAlign w:val="subscript"/>
        </w:rPr>
        <w:t>2</w:t>
      </w:r>
      <w:r w:rsidRPr="00E47369">
        <w:rPr>
          <w:rFonts w:cstheme="minorHAnsi"/>
        </w:rPr>
        <w:t>Cl</w:t>
      </w:r>
      <w:r w:rsidRPr="00E47369">
        <w:rPr>
          <w:rFonts w:cstheme="minorHAnsi"/>
          <w:vertAlign w:val="subscript"/>
        </w:rPr>
        <w:t>2</w:t>
      </w:r>
      <w:r w:rsidRPr="00E47369">
        <w:rPr>
          <w:rFonts w:cstheme="minorHAnsi"/>
        </w:rPr>
        <w:t xml:space="preserve"> (1:2 ratio) at room temperature. After stirring the reaction mixture overnight an equal volume of a saturated aqueous solution of bicarbonate was added at 0</w:t>
      </w:r>
      <w:r w:rsidRPr="00E47369">
        <w:rPr>
          <w:rFonts w:cstheme="minorHAnsi"/>
          <w:vertAlign w:val="superscript"/>
        </w:rPr>
        <w:t>o</w:t>
      </w:r>
      <w:r w:rsidRPr="00E47369">
        <w:rPr>
          <w:rFonts w:cstheme="minorHAnsi"/>
        </w:rPr>
        <w:t xml:space="preserve">C. The product was then extracted three times with 15 mL of ether and the solvent was removed under reduced pressure. The resulting boc-glycerol is a </w:t>
      </w:r>
      <w:r w:rsidR="005403D7">
        <w:rPr>
          <w:rFonts w:cstheme="minorHAnsi"/>
        </w:rPr>
        <w:t>viscous</w:t>
      </w:r>
      <w:r w:rsidR="008633A9">
        <w:rPr>
          <w:rFonts w:cstheme="minorHAnsi"/>
        </w:rPr>
        <w:t xml:space="preserve"> colorless liquid; 0.79</w:t>
      </w:r>
      <w:r w:rsidRPr="00E47369">
        <w:rPr>
          <w:rFonts w:cstheme="minorHAnsi"/>
        </w:rPr>
        <w:t xml:space="preserve"> g, 83% yield</w:t>
      </w:r>
      <w:r w:rsidRPr="00E47369">
        <w:rPr>
          <w:rFonts w:cstheme="minorHAnsi"/>
          <w:color w:val="000000" w:themeColor="text1"/>
        </w:rPr>
        <w:t>.</w:t>
      </w:r>
    </w:p>
    <w:p w14:paraId="052495E7" w14:textId="3E415643" w:rsidR="00A25FD4" w:rsidRPr="00E47369" w:rsidRDefault="00A25FD4" w:rsidP="00A25FD4">
      <w:pPr>
        <w:jc w:val="both"/>
        <w:rPr>
          <w:rFonts w:cstheme="minorHAnsi"/>
          <w:color w:val="000000" w:themeColor="text1"/>
        </w:rPr>
      </w:pPr>
      <w:r w:rsidRPr="00E47369">
        <w:rPr>
          <w:rFonts w:cstheme="minorHAnsi"/>
          <w:color w:val="000000" w:themeColor="text1"/>
          <w:vertAlign w:val="superscript"/>
        </w:rPr>
        <w:t>1</w:t>
      </w:r>
      <w:r w:rsidRPr="00E47369">
        <w:rPr>
          <w:rFonts w:cstheme="minorHAnsi"/>
          <w:color w:val="000000" w:themeColor="text1"/>
        </w:rPr>
        <w:t>H NMR (</w:t>
      </w:r>
      <w:r w:rsidRPr="00E47369">
        <w:rPr>
          <w:rFonts w:cstheme="minorHAnsi"/>
        </w:rPr>
        <w:t xml:space="preserve">300MHz, </w:t>
      </w:r>
      <w:r w:rsidRPr="00E47369">
        <w:rPr>
          <w:rFonts w:cstheme="minorHAnsi"/>
          <w:i/>
        </w:rPr>
        <w:t>d</w:t>
      </w:r>
      <w:r w:rsidRPr="00E47369">
        <w:rPr>
          <w:rFonts w:cstheme="minorHAnsi"/>
          <w:i/>
          <w:vertAlign w:val="superscript"/>
        </w:rPr>
        <w:t>6</w:t>
      </w:r>
      <w:r w:rsidRPr="00E47369">
        <w:rPr>
          <w:rFonts w:cstheme="minorHAnsi"/>
          <w:i/>
        </w:rPr>
        <w:t>-</w:t>
      </w:r>
      <w:r w:rsidR="005A37AB">
        <w:rPr>
          <w:rFonts w:cstheme="minorHAnsi"/>
        </w:rPr>
        <w:t>DMSO): 1.4</w:t>
      </w:r>
      <w:r w:rsidRPr="00E47369">
        <w:rPr>
          <w:rFonts w:cstheme="minorHAnsi"/>
        </w:rPr>
        <w:t xml:space="preserve"> (s, 9H</w:t>
      </w:r>
      <w:r w:rsidRPr="00E47369">
        <w:rPr>
          <w:rFonts w:cstheme="minorHAnsi"/>
          <w:color w:val="000000" w:themeColor="text1"/>
        </w:rPr>
        <w:t>, C</w:t>
      </w:r>
      <w:r w:rsidRPr="00E47369">
        <w:rPr>
          <w:rFonts w:cstheme="minorHAnsi"/>
          <w:i/>
          <w:color w:val="000000" w:themeColor="text1"/>
        </w:rPr>
        <w:t>H</w:t>
      </w:r>
      <w:r w:rsidRPr="00E47369">
        <w:rPr>
          <w:rFonts w:cstheme="minorHAnsi"/>
          <w:i/>
          <w:color w:val="000000" w:themeColor="text1"/>
          <w:vertAlign w:val="subscript"/>
        </w:rPr>
        <w:t>3</w:t>
      </w:r>
      <w:r w:rsidR="005A37AB">
        <w:rPr>
          <w:rFonts w:cstheme="minorHAnsi"/>
          <w:color w:val="000000" w:themeColor="text1"/>
        </w:rPr>
        <w:t>), 4.0</w:t>
      </w:r>
      <w:r w:rsidRPr="00E47369">
        <w:rPr>
          <w:rFonts w:cstheme="minorHAnsi"/>
          <w:color w:val="000000" w:themeColor="text1"/>
        </w:rPr>
        <w:t xml:space="preserve"> (dd, J = 6.6 Hz, 2H, C</w:t>
      </w:r>
      <w:r w:rsidRPr="00E47369">
        <w:rPr>
          <w:rFonts w:cstheme="minorHAnsi"/>
          <w:i/>
          <w:color w:val="000000" w:themeColor="text1"/>
        </w:rPr>
        <w:t>H</w:t>
      </w:r>
      <w:r w:rsidRPr="00E47369">
        <w:rPr>
          <w:rFonts w:cstheme="minorHAnsi"/>
          <w:i/>
          <w:color w:val="000000" w:themeColor="text1"/>
          <w:vertAlign w:val="subscript"/>
        </w:rPr>
        <w:t>2</w:t>
      </w:r>
      <w:r w:rsidR="005A37AB">
        <w:rPr>
          <w:rFonts w:cstheme="minorHAnsi"/>
          <w:color w:val="000000" w:themeColor="text1"/>
        </w:rPr>
        <w:t>OH), 4.3</w:t>
      </w:r>
      <w:r w:rsidRPr="00E47369">
        <w:rPr>
          <w:rFonts w:cstheme="minorHAnsi"/>
          <w:color w:val="000000" w:themeColor="text1"/>
        </w:rPr>
        <w:t xml:space="preserve"> (m</w:t>
      </w:r>
      <w:r w:rsidRPr="00E47369">
        <w:rPr>
          <w:rFonts w:cstheme="minorHAnsi"/>
        </w:rPr>
        <w:t>, 2</w:t>
      </w:r>
      <w:r w:rsidRPr="00E47369">
        <w:rPr>
          <w:rFonts w:cstheme="minorHAnsi"/>
          <w:color w:val="000000" w:themeColor="text1"/>
        </w:rPr>
        <w:t>H, C</w:t>
      </w:r>
      <w:r w:rsidRPr="00E47369">
        <w:rPr>
          <w:rFonts w:cstheme="minorHAnsi"/>
          <w:i/>
          <w:color w:val="000000" w:themeColor="text1"/>
        </w:rPr>
        <w:t>H</w:t>
      </w:r>
      <w:r w:rsidRPr="00E47369">
        <w:rPr>
          <w:rFonts w:cstheme="minorHAnsi"/>
          <w:i/>
          <w:color w:val="000000" w:themeColor="text1"/>
          <w:vertAlign w:val="subscript"/>
        </w:rPr>
        <w:t>2</w:t>
      </w:r>
      <w:r w:rsidR="005A37AB">
        <w:rPr>
          <w:rFonts w:cstheme="minorHAnsi"/>
          <w:color w:val="000000" w:themeColor="text1"/>
        </w:rPr>
        <w:t>O), 4.9</w:t>
      </w:r>
      <w:r w:rsidRPr="00E47369">
        <w:rPr>
          <w:rFonts w:cstheme="minorHAnsi"/>
          <w:color w:val="000000" w:themeColor="text1"/>
        </w:rPr>
        <w:t xml:space="preserve"> (m, 1H, C</w:t>
      </w:r>
      <w:r w:rsidRPr="00E47369">
        <w:rPr>
          <w:rFonts w:cstheme="minorHAnsi"/>
          <w:i/>
          <w:color w:val="000000" w:themeColor="text1"/>
        </w:rPr>
        <w:t>H</w:t>
      </w:r>
      <w:r w:rsidRPr="00E47369">
        <w:rPr>
          <w:rFonts w:cstheme="minorHAnsi"/>
          <w:color w:val="000000" w:themeColor="text1"/>
        </w:rPr>
        <w:t xml:space="preserve">OH); </w:t>
      </w:r>
      <w:r w:rsidRPr="00E47369">
        <w:rPr>
          <w:rFonts w:cstheme="minorHAnsi"/>
          <w:color w:val="000000" w:themeColor="text1"/>
          <w:vertAlign w:val="superscript"/>
        </w:rPr>
        <w:t>13</w:t>
      </w:r>
      <w:r w:rsidRPr="00E47369">
        <w:rPr>
          <w:rFonts w:cstheme="minorHAnsi"/>
          <w:color w:val="000000" w:themeColor="text1"/>
        </w:rPr>
        <w:t>C NMR (</w:t>
      </w:r>
      <w:r w:rsidRPr="00E47369">
        <w:rPr>
          <w:rFonts w:cstheme="minorHAnsi"/>
        </w:rPr>
        <w:t xml:space="preserve">300MHz, </w:t>
      </w:r>
      <w:r w:rsidRPr="00E47369">
        <w:rPr>
          <w:rFonts w:cstheme="minorHAnsi"/>
          <w:i/>
        </w:rPr>
        <w:t>d</w:t>
      </w:r>
      <w:r w:rsidRPr="00E47369">
        <w:rPr>
          <w:rFonts w:cstheme="minorHAnsi"/>
          <w:i/>
          <w:vertAlign w:val="superscript"/>
        </w:rPr>
        <w:t>6</w:t>
      </w:r>
      <w:r w:rsidRPr="00E47369">
        <w:rPr>
          <w:rFonts w:cstheme="minorHAnsi"/>
          <w:i/>
        </w:rPr>
        <w:t>-</w:t>
      </w:r>
      <w:r w:rsidRPr="00E47369">
        <w:rPr>
          <w:rFonts w:cstheme="minorHAnsi"/>
        </w:rPr>
        <w:t>DMSO</w:t>
      </w:r>
      <w:r w:rsidR="001F6AEC">
        <w:rPr>
          <w:rFonts w:cstheme="minorHAnsi"/>
          <w:color w:val="000000" w:themeColor="text1"/>
        </w:rPr>
        <w:t>): 154, 72, 65</w:t>
      </w:r>
      <w:r w:rsidR="005A37AB">
        <w:rPr>
          <w:rFonts w:cstheme="minorHAnsi"/>
          <w:color w:val="000000" w:themeColor="text1"/>
        </w:rPr>
        <w:t>, 2</w:t>
      </w:r>
      <w:r w:rsidRPr="00E47369">
        <w:rPr>
          <w:rFonts w:cstheme="minorHAnsi"/>
          <w:color w:val="000000" w:themeColor="text1"/>
        </w:rPr>
        <w:t>8.</w:t>
      </w:r>
    </w:p>
    <w:p w14:paraId="67976DF9" w14:textId="77777777" w:rsidR="00A25FD4" w:rsidRPr="00E47369" w:rsidRDefault="00443010" w:rsidP="00A25FD4">
      <w:pPr>
        <w:jc w:val="center"/>
        <w:rPr>
          <w:rFonts w:cstheme="minorHAnsi"/>
          <w:color w:val="000000" w:themeColor="text1"/>
        </w:rPr>
      </w:pPr>
      <w:r>
        <w:rPr>
          <w:rFonts w:cstheme="minorHAnsi"/>
          <w:noProof/>
        </w:rPr>
        <w:object w:dxaOrig="0" w:dyaOrig="0" w14:anchorId="707DB3F9">
          <v:shape id="_x0000_s1177" type="#_x0000_t75" style="position:absolute;left:0;text-align:left;margin-left:81.1pt;margin-top:26pt;width:92.15pt;height:38.75pt;z-index:251656704">
            <v:imagedata r:id="rId276" o:title=""/>
          </v:shape>
          <o:OLEObject Type="Embed" ProgID="ChemDraw.Document.6.0" ShapeID="_x0000_s1177" DrawAspect="Content" ObjectID="_1532785068" r:id="rId277"/>
        </w:object>
      </w:r>
      <w:r w:rsidR="00A25FD4" w:rsidRPr="00E47369">
        <w:rPr>
          <w:rFonts w:cstheme="minorHAnsi"/>
          <w:noProof/>
          <w:color w:val="000000" w:themeColor="text1"/>
          <w:lang w:bidi="ar-SA"/>
        </w:rPr>
        <w:drawing>
          <wp:inline distT="0" distB="0" distL="0" distR="0" wp14:anchorId="216E53EA" wp14:editId="2096069C">
            <wp:extent cx="3657600" cy="2193374"/>
            <wp:effectExtent l="0" t="0" r="0"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78" cstate="print">
                      <a:extLst>
                        <a:ext uri="{28A0092B-C50C-407E-A947-70E740481C1C}">
                          <a14:useLocalDpi xmlns:a14="http://schemas.microsoft.com/office/drawing/2010/main" val="0"/>
                        </a:ext>
                      </a:extLst>
                    </a:blip>
                    <a:srcRect t="9641" b="12323"/>
                    <a:stretch/>
                  </pic:blipFill>
                  <pic:spPr bwMode="auto">
                    <a:xfrm>
                      <a:off x="0" y="0"/>
                      <a:ext cx="3657600" cy="2193374"/>
                    </a:xfrm>
                    <a:prstGeom prst="rect">
                      <a:avLst/>
                    </a:prstGeom>
                    <a:noFill/>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r w:rsidR="00A25FD4" w:rsidRPr="00E47369">
        <w:rPr>
          <w:rFonts w:cstheme="minorHAnsi"/>
          <w:noProof/>
          <w:color w:val="000000" w:themeColor="text1"/>
          <w:lang w:bidi="ar-SA"/>
        </w:rPr>
        <w:drawing>
          <wp:inline distT="0" distB="0" distL="0" distR="0" wp14:anchorId="368856E7" wp14:editId="17E57E5F">
            <wp:extent cx="3657458" cy="1890834"/>
            <wp:effectExtent l="0" t="0" r="635" b="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279" cstate="print">
                      <a:extLst>
                        <a:ext uri="{28A0092B-C50C-407E-A947-70E740481C1C}">
                          <a14:useLocalDpi xmlns:a14="http://schemas.microsoft.com/office/drawing/2010/main" val="0"/>
                        </a:ext>
                      </a:extLst>
                    </a:blip>
                    <a:srcRect t="19801" b="12926"/>
                    <a:stretch/>
                  </pic:blipFill>
                  <pic:spPr bwMode="auto">
                    <a:xfrm>
                      <a:off x="0" y="0"/>
                      <a:ext cx="3657600" cy="1890907"/>
                    </a:xfrm>
                    <a:prstGeom prst="rect">
                      <a:avLst/>
                    </a:prstGeom>
                    <a:noFill/>
                    <a:ln>
                      <a:noFill/>
                    </a:ln>
                    <a:extLst>
                      <a:ext uri="{53640926-AAD7-44D8-BBD7-CCE9431645EC}">
                        <a14:shadowObscured xmlns:a14="http://schemas.microsoft.com/office/drawing/2010/main"/>
                      </a:ex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3762C5FF" w14:textId="77777777" w:rsidR="00A25FD4" w:rsidRPr="00E47369" w:rsidRDefault="00A25FD4" w:rsidP="00A25FD4">
      <w:pPr>
        <w:jc w:val="center"/>
        <w:rPr>
          <w:rFonts w:cstheme="minorHAnsi"/>
          <w:color w:val="000000" w:themeColor="text1"/>
        </w:rPr>
      </w:pPr>
    </w:p>
    <w:p w14:paraId="635287A0" w14:textId="77777777" w:rsidR="00A25FD4" w:rsidRPr="00E47369" w:rsidRDefault="00A25FD4" w:rsidP="00A25FD4">
      <w:pPr>
        <w:pStyle w:val="Heading41"/>
        <w:rPr>
          <w:rFonts w:cstheme="minorHAnsi"/>
        </w:rPr>
      </w:pPr>
      <w:r w:rsidRPr="00E47369">
        <w:rPr>
          <w:rFonts w:cstheme="minorHAnsi"/>
        </w:rPr>
        <w:t>Representative procedure for DODH reactions of BOC derivative of Glycerol</w:t>
      </w:r>
    </w:p>
    <w:p w14:paraId="7029E39B" w14:textId="6F439044" w:rsidR="00A25FD4" w:rsidRPr="00E47369" w:rsidRDefault="00C36267" w:rsidP="00A25FD4">
      <w:pPr>
        <w:ind w:firstLine="360"/>
        <w:jc w:val="both"/>
        <w:rPr>
          <w:rFonts w:cstheme="minorHAnsi"/>
        </w:rPr>
      </w:pPr>
      <w:r>
        <w:rPr>
          <w:rFonts w:cstheme="minorHAnsi"/>
        </w:rPr>
        <w:t>1-Boc derivative of g</w:t>
      </w:r>
      <w:r w:rsidR="00A25FD4" w:rsidRPr="00E47369">
        <w:rPr>
          <w:rFonts w:cstheme="minorHAnsi"/>
        </w:rPr>
        <w:t>lycerol (1.00 mmol, 192 mg), NH</w:t>
      </w:r>
      <w:r w:rsidR="00A25FD4" w:rsidRPr="00E47369">
        <w:rPr>
          <w:rFonts w:cstheme="minorHAnsi"/>
          <w:vertAlign w:val="subscript"/>
        </w:rPr>
        <w:t>4</w:t>
      </w:r>
      <w:r w:rsidR="00A25FD4" w:rsidRPr="00E47369">
        <w:rPr>
          <w:rFonts w:cstheme="minorHAnsi"/>
        </w:rPr>
        <w:t>ReO</w:t>
      </w:r>
      <w:r w:rsidR="00A25FD4" w:rsidRPr="00E47369">
        <w:rPr>
          <w:rFonts w:cstheme="minorHAnsi"/>
          <w:vertAlign w:val="subscript"/>
        </w:rPr>
        <w:t>4</w:t>
      </w:r>
      <w:r w:rsidR="001F6AEC">
        <w:rPr>
          <w:rFonts w:cstheme="minorHAnsi"/>
        </w:rPr>
        <w:t xml:space="preserve"> (0.10 mmol, 27</w:t>
      </w:r>
      <w:r w:rsidR="00A25FD4" w:rsidRPr="00E47369">
        <w:rPr>
          <w:rFonts w:cstheme="minorHAnsi"/>
        </w:rPr>
        <w:t xml:space="preserve"> mg), benzyl alcohol (1.00 mmo</w:t>
      </w:r>
      <w:r w:rsidR="008633A9">
        <w:rPr>
          <w:rFonts w:cstheme="minorHAnsi"/>
        </w:rPr>
        <w:t>l, 0.11</w:t>
      </w:r>
      <w:r w:rsidR="00A25FD4" w:rsidRPr="00E47369">
        <w:rPr>
          <w:rFonts w:cstheme="minorHAnsi"/>
        </w:rPr>
        <w:t xml:space="preserve"> mL), and benzene (5 mL) were added to a thick-walled Ace glass reactor tube. A N</w:t>
      </w:r>
      <w:r w:rsidR="00A25FD4" w:rsidRPr="00E47369">
        <w:rPr>
          <w:rFonts w:cstheme="minorHAnsi"/>
          <w:vertAlign w:val="subscript"/>
        </w:rPr>
        <w:t>2</w:t>
      </w:r>
      <w:r w:rsidR="00A25FD4" w:rsidRPr="00E47369">
        <w:rPr>
          <w:rFonts w:cstheme="minorHAnsi"/>
        </w:rPr>
        <w:t xml:space="preserve"> </w:t>
      </w:r>
      <w:r w:rsidR="00BA5329">
        <w:rPr>
          <w:rFonts w:cstheme="minorHAnsi"/>
        </w:rPr>
        <w:t>stream</w:t>
      </w:r>
      <w:r w:rsidR="00A25FD4" w:rsidRPr="00E47369">
        <w:rPr>
          <w:rFonts w:cstheme="minorHAnsi"/>
        </w:rPr>
        <w:t xml:space="preserve"> was bubbled into the mixture for at least 60 sec before the Teflon seal was closed. The reactor was placed in an oil bath at 150</w:t>
      </w:r>
      <w:r w:rsidR="00A25FD4" w:rsidRPr="00E47369">
        <w:rPr>
          <w:rFonts w:cstheme="minorHAnsi"/>
          <w:vertAlign w:val="superscript"/>
        </w:rPr>
        <w:t>o</w:t>
      </w:r>
      <w:r w:rsidR="00A25FD4" w:rsidRPr="00E47369">
        <w:rPr>
          <w:rFonts w:cstheme="minorHAnsi"/>
        </w:rPr>
        <w:t xml:space="preserve">C for 24 h while stirring magnetically. </w:t>
      </w:r>
      <w:r w:rsidR="00A25FD4" w:rsidRPr="00E47369">
        <w:rPr>
          <w:rFonts w:cstheme="minorHAnsi"/>
          <w:color w:val="000000" w:themeColor="text1"/>
        </w:rPr>
        <w:t>After cooling to room temperature, a 100 µL aliquot of the reaction mixture was removed and added to CDCl</w:t>
      </w:r>
      <w:r w:rsidR="00A25FD4" w:rsidRPr="00E47369">
        <w:rPr>
          <w:rFonts w:cstheme="minorHAnsi"/>
          <w:color w:val="000000" w:themeColor="text1"/>
          <w:vertAlign w:val="subscript"/>
        </w:rPr>
        <w:t>3</w:t>
      </w:r>
      <w:r w:rsidR="00A25FD4" w:rsidRPr="00E47369">
        <w:rPr>
          <w:rFonts w:cstheme="minorHAnsi"/>
          <w:color w:val="000000" w:themeColor="text1"/>
        </w:rPr>
        <w:t xml:space="preserve"> (0.600 mL) and </w:t>
      </w:r>
      <w:r w:rsidR="00A25FD4" w:rsidRPr="00E47369">
        <w:rPr>
          <w:rFonts w:cstheme="minorHAnsi"/>
        </w:rPr>
        <w:t xml:space="preserve">2.0 µL DMSO as internal standard for NMR analysis. </w:t>
      </w:r>
    </w:p>
    <w:p w14:paraId="120DB363" w14:textId="77777777" w:rsidR="00A25FD4" w:rsidRPr="00E47369" w:rsidRDefault="00A25FD4" w:rsidP="00A25FD4">
      <w:pPr>
        <w:pStyle w:val="Heading41"/>
        <w:rPr>
          <w:rFonts w:cstheme="minorHAnsi"/>
        </w:rPr>
      </w:pPr>
      <w:r w:rsidRPr="00E47369">
        <w:rPr>
          <w:rFonts w:cstheme="minorHAnsi"/>
        </w:rPr>
        <w:t xml:space="preserve">Procedure for Masuyama’s allylation reaction </w:t>
      </w:r>
    </w:p>
    <w:p w14:paraId="32A79D08" w14:textId="77777777" w:rsidR="00A25FD4" w:rsidRPr="00E47369" w:rsidRDefault="00A25FD4" w:rsidP="00C36752">
      <w:pPr>
        <w:pStyle w:val="ListParagraph"/>
        <w:numPr>
          <w:ilvl w:val="0"/>
          <w:numId w:val="23"/>
        </w:numPr>
        <w:spacing w:after="200"/>
        <w:jc w:val="both"/>
        <w:rPr>
          <w:rFonts w:cstheme="minorHAnsi"/>
        </w:rPr>
      </w:pPr>
      <w:r w:rsidRPr="00E47369">
        <w:rPr>
          <w:rFonts w:cstheme="minorHAnsi"/>
        </w:rPr>
        <w:t>Benzene as solvent</w:t>
      </w:r>
    </w:p>
    <w:p w14:paraId="633FFAFE" w14:textId="21D41286" w:rsidR="00A25FD4" w:rsidRDefault="00A25FD4" w:rsidP="00A25FD4">
      <w:pPr>
        <w:ind w:firstLine="360"/>
        <w:jc w:val="both"/>
        <w:rPr>
          <w:rFonts w:cstheme="minorHAnsi"/>
        </w:rPr>
      </w:pPr>
      <w:r w:rsidRPr="00E47369">
        <w:rPr>
          <w:rFonts w:cstheme="minorHAnsi"/>
        </w:rPr>
        <w:t xml:space="preserve">Allyl </w:t>
      </w:r>
      <w:r w:rsidR="008633A9">
        <w:rPr>
          <w:rFonts w:cstheme="minorHAnsi"/>
        </w:rPr>
        <w:t>alcohol (1.00 mmol, 0.07</w:t>
      </w:r>
      <w:r w:rsidRPr="00E47369">
        <w:rPr>
          <w:rFonts w:cstheme="minorHAnsi"/>
        </w:rPr>
        <w:t xml:space="preserve"> mL)</w:t>
      </w:r>
      <w:r w:rsidR="008633A9">
        <w:rPr>
          <w:rFonts w:cstheme="minorHAnsi"/>
        </w:rPr>
        <w:t>, benzaldehyde (0.50 mmol, 0.05</w:t>
      </w:r>
      <w:r w:rsidRPr="00E47369">
        <w:rPr>
          <w:rFonts w:cstheme="minorHAnsi"/>
        </w:rPr>
        <w:t xml:space="preserve"> mL), tin (II) chloride (1.00 mmol, 190 mg), palladium bis-chloride (0.05 mmol, 9 mg) and 2.5 mL benzene or 3.3 mL 3-octanol were added to a thick-walled Ace glass reactor tube. A N</w:t>
      </w:r>
      <w:r w:rsidRPr="00E47369">
        <w:rPr>
          <w:rFonts w:cstheme="minorHAnsi"/>
          <w:vertAlign w:val="subscript"/>
        </w:rPr>
        <w:t>2</w:t>
      </w:r>
      <w:r w:rsidRPr="00E47369">
        <w:rPr>
          <w:rFonts w:cstheme="minorHAnsi"/>
        </w:rPr>
        <w:t xml:space="preserve"> </w:t>
      </w:r>
      <w:r w:rsidR="00BA5329">
        <w:rPr>
          <w:rFonts w:cstheme="minorHAnsi"/>
        </w:rPr>
        <w:t>stream</w:t>
      </w:r>
      <w:r w:rsidRPr="00E47369">
        <w:rPr>
          <w:rFonts w:cstheme="minorHAnsi"/>
        </w:rPr>
        <w:t xml:space="preserve"> was bubbled into the mixture for at least 60 sec before the Teflon seal was closed. The reactor was placed in an oil bath at 150</w:t>
      </w:r>
      <w:r w:rsidRPr="00E47369">
        <w:rPr>
          <w:rFonts w:cstheme="minorHAnsi"/>
          <w:vertAlign w:val="superscript"/>
        </w:rPr>
        <w:t>o</w:t>
      </w:r>
      <w:r w:rsidRPr="00E47369">
        <w:rPr>
          <w:rFonts w:cstheme="minorHAnsi"/>
        </w:rPr>
        <w:t xml:space="preserve">C for 20 h while stirring magnetically. </w:t>
      </w:r>
      <w:r w:rsidRPr="00E47369">
        <w:rPr>
          <w:rFonts w:cstheme="minorHAnsi"/>
          <w:color w:val="000000" w:themeColor="text1"/>
        </w:rPr>
        <w:t>After cooling to room temperature, a 100 µL aliquot of the reaction mixture was removed and added to CDCl</w:t>
      </w:r>
      <w:r w:rsidRPr="00E47369">
        <w:rPr>
          <w:rFonts w:cstheme="minorHAnsi"/>
          <w:color w:val="000000" w:themeColor="text1"/>
          <w:vertAlign w:val="subscript"/>
        </w:rPr>
        <w:t>3</w:t>
      </w:r>
      <w:r w:rsidR="008633A9">
        <w:rPr>
          <w:rFonts w:cstheme="minorHAnsi"/>
          <w:color w:val="000000" w:themeColor="text1"/>
        </w:rPr>
        <w:t xml:space="preserve"> (0.6</w:t>
      </w:r>
      <w:r w:rsidRPr="00E47369">
        <w:rPr>
          <w:rFonts w:cstheme="minorHAnsi"/>
          <w:color w:val="000000" w:themeColor="text1"/>
        </w:rPr>
        <w:t xml:space="preserve"> mL) and </w:t>
      </w:r>
      <w:r w:rsidRPr="00E47369">
        <w:rPr>
          <w:rFonts w:cstheme="minorHAnsi"/>
        </w:rPr>
        <w:t xml:space="preserve">2.0 µL DMSO as internal standard for NMR analysis. This product and the others listed were characterized and quantified using </w:t>
      </w:r>
      <w:r w:rsidRPr="00E47369">
        <w:rPr>
          <w:rFonts w:cstheme="minorHAnsi"/>
          <w:vertAlign w:val="superscript"/>
        </w:rPr>
        <w:t>1</w:t>
      </w:r>
      <w:r w:rsidRPr="00E47369">
        <w:rPr>
          <w:rFonts w:cstheme="minorHAnsi"/>
        </w:rPr>
        <w:t xml:space="preserve">H NMR spectroscopy. </w:t>
      </w:r>
    </w:p>
    <w:p w14:paraId="5FD75095" w14:textId="77777777" w:rsidR="008633A9" w:rsidRPr="00E47369" w:rsidRDefault="008633A9" w:rsidP="00A25FD4">
      <w:pPr>
        <w:ind w:firstLine="360"/>
        <w:jc w:val="both"/>
        <w:rPr>
          <w:rFonts w:cstheme="minorHAnsi"/>
        </w:rPr>
      </w:pPr>
    </w:p>
    <w:p w14:paraId="288CE03B" w14:textId="77777777" w:rsidR="00A25FD4" w:rsidRPr="00E47369" w:rsidRDefault="00A25FD4" w:rsidP="00A25FD4">
      <w:pPr>
        <w:jc w:val="both"/>
        <w:rPr>
          <w:rFonts w:cstheme="minorHAnsi"/>
          <w:i/>
        </w:rPr>
      </w:pPr>
      <w:r w:rsidRPr="00E47369">
        <w:rPr>
          <w:rFonts w:cstheme="minorHAnsi"/>
          <w:i/>
        </w:rPr>
        <w:t>In Benzene</w:t>
      </w:r>
    </w:p>
    <w:p w14:paraId="3F82F7DF" w14:textId="77777777" w:rsidR="00A25FD4" w:rsidRPr="00E47369" w:rsidRDefault="00A25FD4" w:rsidP="00A25FD4">
      <w:pPr>
        <w:jc w:val="center"/>
        <w:rPr>
          <w:rFonts w:cstheme="minorHAnsi"/>
          <w:i/>
        </w:rPr>
      </w:pPr>
      <w:r w:rsidRPr="00E47369">
        <w:rPr>
          <w:rFonts w:cstheme="minorHAnsi"/>
          <w:i/>
          <w:noProof/>
          <w:lang w:bidi="ar-SA"/>
        </w:rPr>
        <w:drawing>
          <wp:inline distT="0" distB="0" distL="0" distR="0" wp14:anchorId="2A311E6D" wp14:editId="1A3DBE80">
            <wp:extent cx="4114800" cy="2513962"/>
            <wp:effectExtent l="0" t="0" r="0" b="127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80" cstate="print">
                      <a:extLst>
                        <a:ext uri="{28A0092B-C50C-407E-A947-70E740481C1C}">
                          <a14:useLocalDpi xmlns:a14="http://schemas.microsoft.com/office/drawing/2010/main" val="0"/>
                        </a:ext>
                      </a:extLst>
                    </a:blip>
                    <a:srcRect t="8350" b="12132"/>
                    <a:stretch/>
                  </pic:blipFill>
                  <pic:spPr bwMode="auto">
                    <a:xfrm>
                      <a:off x="0" y="0"/>
                      <a:ext cx="4114800" cy="2513962"/>
                    </a:xfrm>
                    <a:prstGeom prst="rect">
                      <a:avLst/>
                    </a:prstGeom>
                    <a:noFill/>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3D91CF5F" w14:textId="77777777" w:rsidR="001539C6" w:rsidRDefault="001539C6" w:rsidP="00A25FD4">
      <w:pPr>
        <w:jc w:val="center"/>
        <w:rPr>
          <w:rFonts w:cstheme="minorHAnsi"/>
          <w:i/>
        </w:rPr>
      </w:pPr>
    </w:p>
    <w:p w14:paraId="1DCD44DC" w14:textId="77777777" w:rsidR="001539C6" w:rsidRPr="00E47369" w:rsidRDefault="001539C6" w:rsidP="00A25FD4">
      <w:pPr>
        <w:jc w:val="center"/>
        <w:rPr>
          <w:rFonts w:cstheme="minorHAnsi"/>
          <w:i/>
        </w:rPr>
      </w:pPr>
    </w:p>
    <w:p w14:paraId="317991E7" w14:textId="77777777" w:rsidR="00A25FD4" w:rsidRPr="00E47369" w:rsidRDefault="00A25FD4" w:rsidP="00A25FD4">
      <w:pPr>
        <w:rPr>
          <w:rFonts w:cstheme="minorHAnsi"/>
          <w:i/>
        </w:rPr>
      </w:pPr>
      <w:r w:rsidRPr="00E47369">
        <w:rPr>
          <w:rFonts w:cstheme="minorHAnsi"/>
          <w:i/>
        </w:rPr>
        <w:t>In 3-octanol</w:t>
      </w:r>
    </w:p>
    <w:p w14:paraId="1FDF0D3B" w14:textId="77777777" w:rsidR="00A25FD4" w:rsidRDefault="00A25FD4" w:rsidP="00A25FD4">
      <w:pPr>
        <w:jc w:val="center"/>
        <w:rPr>
          <w:rFonts w:cstheme="minorHAnsi"/>
          <w:i/>
        </w:rPr>
      </w:pPr>
      <w:r w:rsidRPr="00E47369">
        <w:rPr>
          <w:rFonts w:cstheme="minorHAnsi"/>
          <w:i/>
          <w:noProof/>
          <w:lang w:bidi="ar-SA"/>
        </w:rPr>
        <w:drawing>
          <wp:inline distT="0" distB="0" distL="0" distR="0" wp14:anchorId="0BF8A2F0" wp14:editId="089900E8">
            <wp:extent cx="4114800" cy="2514754"/>
            <wp:effectExtent l="0" t="0" r="0"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81" cstate="print">
                      <a:extLst>
                        <a:ext uri="{28A0092B-C50C-407E-A947-70E740481C1C}">
                          <a14:useLocalDpi xmlns:a14="http://schemas.microsoft.com/office/drawing/2010/main" val="0"/>
                        </a:ext>
                      </a:extLst>
                    </a:blip>
                    <a:srcRect t="7666" b="12791"/>
                    <a:stretch/>
                  </pic:blipFill>
                  <pic:spPr bwMode="auto">
                    <a:xfrm>
                      <a:off x="0" y="0"/>
                      <a:ext cx="4114800" cy="2514754"/>
                    </a:xfrm>
                    <a:prstGeom prst="rect">
                      <a:avLst/>
                    </a:prstGeom>
                    <a:noFill/>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70C480E5" w14:textId="77777777" w:rsidR="001539C6" w:rsidRPr="001539C6" w:rsidRDefault="001539C6" w:rsidP="00A25FD4">
      <w:pPr>
        <w:jc w:val="center"/>
        <w:rPr>
          <w:rFonts w:cstheme="minorHAnsi"/>
        </w:rPr>
      </w:pPr>
    </w:p>
    <w:p w14:paraId="4B0B60C2" w14:textId="77777777" w:rsidR="00A25FD4" w:rsidRPr="00E47369" w:rsidRDefault="00A25FD4" w:rsidP="00C36752">
      <w:pPr>
        <w:pStyle w:val="ListParagraph"/>
        <w:numPr>
          <w:ilvl w:val="0"/>
          <w:numId w:val="22"/>
        </w:numPr>
        <w:spacing w:after="200"/>
        <w:jc w:val="both"/>
        <w:rPr>
          <w:rFonts w:cstheme="minorHAnsi"/>
        </w:rPr>
      </w:pPr>
      <w:r w:rsidRPr="00E47369">
        <w:rPr>
          <w:rFonts w:cstheme="minorHAnsi"/>
        </w:rPr>
        <w:t>Benzene : Glycerol as solvent</w:t>
      </w:r>
    </w:p>
    <w:p w14:paraId="0E8BC187" w14:textId="0E663512" w:rsidR="00A25FD4" w:rsidRPr="00E47369" w:rsidRDefault="00A25FD4" w:rsidP="00A25FD4">
      <w:pPr>
        <w:ind w:firstLine="360"/>
        <w:jc w:val="both"/>
        <w:rPr>
          <w:rFonts w:cstheme="minorHAnsi"/>
        </w:rPr>
      </w:pPr>
      <w:r w:rsidRPr="00E47369">
        <w:rPr>
          <w:rFonts w:cstheme="minorHAnsi"/>
        </w:rPr>
        <w:t>Glycerol (1.0 mL), NH</w:t>
      </w:r>
      <w:r w:rsidRPr="00E47369">
        <w:rPr>
          <w:rFonts w:cstheme="minorHAnsi"/>
          <w:vertAlign w:val="subscript"/>
        </w:rPr>
        <w:t>4</w:t>
      </w:r>
      <w:r w:rsidRPr="00E47369">
        <w:rPr>
          <w:rFonts w:cstheme="minorHAnsi"/>
        </w:rPr>
        <w:t>ReO</w:t>
      </w:r>
      <w:r w:rsidRPr="00E47369">
        <w:rPr>
          <w:rFonts w:cstheme="minorHAnsi"/>
          <w:vertAlign w:val="subscript"/>
        </w:rPr>
        <w:t>4</w:t>
      </w:r>
      <w:r w:rsidRPr="00E47369">
        <w:rPr>
          <w:rFonts w:cstheme="minorHAnsi"/>
        </w:rPr>
        <w:t xml:space="preserve"> (0.05 mmol, 13.4 mg),</w:t>
      </w:r>
      <w:r w:rsidR="008633A9">
        <w:rPr>
          <w:rFonts w:cstheme="minorHAnsi"/>
        </w:rPr>
        <w:t xml:space="preserve"> benzaldehyhde (0.50 mmol, 0.05</w:t>
      </w:r>
      <w:r w:rsidRPr="00E47369">
        <w:rPr>
          <w:rFonts w:cstheme="minorHAnsi"/>
        </w:rPr>
        <w:t xml:space="preserve"> mL), tin (II) chloride (1.00 mmol, 190 mg), and benzene (2.5 mL) were added to a thick-walled Ace glass reactor tube. Nitrogen was bubbled into the mixture for at least 60 sec before the Teflon seal was closed. The reactor was placed in an oil bath at 150</w:t>
      </w:r>
      <w:r w:rsidRPr="00E47369">
        <w:rPr>
          <w:rFonts w:cstheme="minorHAnsi"/>
          <w:vertAlign w:val="superscript"/>
        </w:rPr>
        <w:t>o</w:t>
      </w:r>
      <w:r w:rsidRPr="00E47369">
        <w:rPr>
          <w:rFonts w:cstheme="minorHAnsi"/>
        </w:rPr>
        <w:t xml:space="preserve">C for 24 h while stirring magnetically. </w:t>
      </w:r>
      <w:r w:rsidRPr="00E47369">
        <w:rPr>
          <w:rFonts w:cstheme="minorHAnsi"/>
          <w:color w:val="000000" w:themeColor="text1"/>
        </w:rPr>
        <w:t>After cooling to room temperature, a 100 µL aliquot of the benzene phase of the reaction mixture was removed and added to CDCl</w:t>
      </w:r>
      <w:r w:rsidRPr="00E47369">
        <w:rPr>
          <w:rFonts w:cstheme="minorHAnsi"/>
          <w:color w:val="000000" w:themeColor="text1"/>
          <w:vertAlign w:val="subscript"/>
        </w:rPr>
        <w:t>3</w:t>
      </w:r>
      <w:r w:rsidR="001F6AEC">
        <w:rPr>
          <w:rFonts w:cstheme="minorHAnsi"/>
          <w:color w:val="000000" w:themeColor="text1"/>
        </w:rPr>
        <w:t xml:space="preserve"> (0.6</w:t>
      </w:r>
      <w:r w:rsidRPr="00E47369">
        <w:rPr>
          <w:rFonts w:cstheme="minorHAnsi"/>
          <w:color w:val="000000" w:themeColor="text1"/>
        </w:rPr>
        <w:t xml:space="preserve"> mL) and </w:t>
      </w:r>
      <w:r w:rsidRPr="00E47369">
        <w:rPr>
          <w:rFonts w:cstheme="minorHAnsi"/>
        </w:rPr>
        <w:t xml:space="preserve">2.0 µL DMF as internal standard for NMR analysis. </w:t>
      </w:r>
    </w:p>
    <w:p w14:paraId="228C23B9" w14:textId="77777777" w:rsidR="00A25FD4" w:rsidRPr="00E47369" w:rsidRDefault="00A25FD4" w:rsidP="00A25FD4">
      <w:pPr>
        <w:jc w:val="center"/>
        <w:rPr>
          <w:rFonts w:cstheme="minorHAnsi"/>
        </w:rPr>
      </w:pPr>
      <w:r w:rsidRPr="00E47369">
        <w:rPr>
          <w:rFonts w:cstheme="minorHAnsi"/>
          <w:noProof/>
          <w:lang w:bidi="ar-SA"/>
        </w:rPr>
        <w:drawing>
          <wp:inline distT="0" distB="0" distL="0" distR="0" wp14:anchorId="081248BF" wp14:editId="5A941223">
            <wp:extent cx="4114800" cy="2497761"/>
            <wp:effectExtent l="0" t="0" r="0"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282" cstate="print">
                      <a:extLst>
                        <a:ext uri="{28A0092B-C50C-407E-A947-70E740481C1C}">
                          <a14:useLocalDpi xmlns:a14="http://schemas.microsoft.com/office/drawing/2010/main" val="0"/>
                        </a:ext>
                      </a:extLst>
                    </a:blip>
                    <a:srcRect t="8759" b="12235"/>
                    <a:stretch/>
                  </pic:blipFill>
                  <pic:spPr bwMode="auto">
                    <a:xfrm>
                      <a:off x="0" y="0"/>
                      <a:ext cx="4114800" cy="2497761"/>
                    </a:xfrm>
                    <a:prstGeom prst="rect">
                      <a:avLst/>
                    </a:prstGeom>
                    <a:noFill/>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75433537" w14:textId="77777777" w:rsidR="00A25FD4" w:rsidRPr="00E47369" w:rsidRDefault="00A25FD4" w:rsidP="00A25FD4">
      <w:pPr>
        <w:jc w:val="center"/>
        <w:rPr>
          <w:rFonts w:cstheme="minorHAnsi"/>
        </w:rPr>
      </w:pPr>
    </w:p>
    <w:p w14:paraId="2E5D63FC" w14:textId="77777777" w:rsidR="00A25FD4" w:rsidRPr="00E47369" w:rsidRDefault="00A25FD4" w:rsidP="00A25FD4">
      <w:pPr>
        <w:pStyle w:val="Heading41"/>
        <w:rPr>
          <w:rFonts w:cstheme="minorHAnsi"/>
        </w:rPr>
      </w:pPr>
      <w:r w:rsidRPr="00E47369">
        <w:rPr>
          <w:rFonts w:cstheme="minorHAnsi"/>
        </w:rPr>
        <w:t xml:space="preserve">Representative procedure for DODH reactions of Glycerol in Benzene : Glycerol </w:t>
      </w:r>
    </w:p>
    <w:p w14:paraId="4FD18EB1" w14:textId="631FC3F8" w:rsidR="00A25FD4" w:rsidRPr="00E47369" w:rsidRDefault="00A25FD4" w:rsidP="00A25FD4">
      <w:pPr>
        <w:ind w:firstLine="360"/>
        <w:jc w:val="both"/>
        <w:rPr>
          <w:rFonts w:cstheme="minorHAnsi"/>
        </w:rPr>
      </w:pPr>
      <w:r w:rsidRPr="00E47369">
        <w:rPr>
          <w:rFonts w:cstheme="minorHAnsi"/>
        </w:rPr>
        <w:t>Glycerol (1.0 mL), NH</w:t>
      </w:r>
      <w:r w:rsidRPr="00E47369">
        <w:rPr>
          <w:rFonts w:cstheme="minorHAnsi"/>
          <w:vertAlign w:val="subscript"/>
        </w:rPr>
        <w:t>4</w:t>
      </w:r>
      <w:r w:rsidRPr="00E47369">
        <w:rPr>
          <w:rFonts w:cstheme="minorHAnsi"/>
        </w:rPr>
        <w:t>ReO</w:t>
      </w:r>
      <w:r w:rsidRPr="00E47369">
        <w:rPr>
          <w:rFonts w:cstheme="minorHAnsi"/>
          <w:vertAlign w:val="subscript"/>
        </w:rPr>
        <w:t>4</w:t>
      </w:r>
      <w:r w:rsidR="008633A9">
        <w:rPr>
          <w:rFonts w:cstheme="minorHAnsi"/>
        </w:rPr>
        <w:t xml:space="preserve"> (0.05 mmol, 13</w:t>
      </w:r>
      <w:r w:rsidRPr="00E47369">
        <w:rPr>
          <w:rFonts w:cstheme="minorHAnsi"/>
        </w:rPr>
        <w:t xml:space="preserve"> mg), reduc</w:t>
      </w:r>
      <w:r w:rsidR="008633A9">
        <w:rPr>
          <w:rFonts w:cstheme="minorHAnsi"/>
        </w:rPr>
        <w:t>ing agent {benzyl alcohol (</w:t>
      </w:r>
      <w:r w:rsidRPr="00E47369">
        <w:rPr>
          <w:rFonts w:cstheme="minorHAnsi"/>
        </w:rPr>
        <w:t>1.00 mmol</w:t>
      </w:r>
      <w:r w:rsidR="008633A9">
        <w:rPr>
          <w:rFonts w:cstheme="minorHAnsi"/>
        </w:rPr>
        <w:t>, 0.11</w:t>
      </w:r>
      <w:r w:rsidR="008633A9" w:rsidRPr="00E47369">
        <w:rPr>
          <w:rFonts w:cstheme="minorHAnsi"/>
        </w:rPr>
        <w:t xml:space="preserve"> mL</w:t>
      </w:r>
      <w:r w:rsidR="008633A9">
        <w:rPr>
          <w:rFonts w:cstheme="minorHAnsi"/>
        </w:rPr>
        <w:t>), tin (II) chloride (189</w:t>
      </w:r>
      <w:r w:rsidRPr="00E47369">
        <w:rPr>
          <w:rFonts w:cstheme="minorHAnsi"/>
        </w:rPr>
        <w:t xml:space="preserve"> mg), or none}, and benzene (2.5 mL) were added to a thick-walled Ace glass reactor tube. Nitrogen was bubbled into the mixture for at least 60 sec before the Teflon seal was closed. The reactor was placed in an oil bath at 150</w:t>
      </w:r>
      <w:r w:rsidRPr="00E47369">
        <w:rPr>
          <w:rFonts w:cstheme="minorHAnsi"/>
          <w:vertAlign w:val="superscript"/>
        </w:rPr>
        <w:t>o</w:t>
      </w:r>
      <w:r w:rsidRPr="00E47369">
        <w:rPr>
          <w:rFonts w:cstheme="minorHAnsi"/>
        </w:rPr>
        <w:t>C for 24 h while stirring magnetically. After cooling to room temperature, a 100 µL aliquot of the benzene phase of the reaction mixture was removed and added to CDCl</w:t>
      </w:r>
      <w:r w:rsidRPr="00E47369">
        <w:rPr>
          <w:rFonts w:cstheme="minorHAnsi"/>
          <w:vertAlign w:val="subscript"/>
        </w:rPr>
        <w:t>3</w:t>
      </w:r>
      <w:r w:rsidR="008633A9">
        <w:rPr>
          <w:rFonts w:cstheme="minorHAnsi"/>
        </w:rPr>
        <w:t xml:space="preserve"> (0.6 mL) and 2</w:t>
      </w:r>
      <w:r w:rsidRPr="00E47369">
        <w:rPr>
          <w:rFonts w:cstheme="minorHAnsi"/>
        </w:rPr>
        <w:t xml:space="preserve"> µL DMF as internal standard for NMR analysis. A 0.5 mL aliquot of the benzene phase of the reaction mixture was removed and filtered through a little silica plug to remove left over glycerol and particles before being submitted to gas chromatography analysis.</w:t>
      </w:r>
    </w:p>
    <w:p w14:paraId="355BF577" w14:textId="77777777" w:rsidR="007A3E6A" w:rsidRDefault="007A3E6A" w:rsidP="00A25FD4">
      <w:pPr>
        <w:ind w:firstLine="360"/>
        <w:jc w:val="both"/>
        <w:rPr>
          <w:rFonts w:cstheme="minorHAnsi"/>
        </w:rPr>
      </w:pPr>
    </w:p>
    <w:p w14:paraId="7D88AE8A" w14:textId="77777777" w:rsidR="001539C6" w:rsidRPr="00E47369" w:rsidRDefault="001539C6" w:rsidP="00A25FD4">
      <w:pPr>
        <w:ind w:firstLine="360"/>
        <w:jc w:val="both"/>
        <w:rPr>
          <w:rFonts w:cstheme="minorHAnsi"/>
        </w:rPr>
      </w:pPr>
    </w:p>
    <w:p w14:paraId="23E4B5EA" w14:textId="77777777" w:rsidR="00A25FD4" w:rsidRPr="00E47369" w:rsidRDefault="00A25FD4" w:rsidP="00A25FD4">
      <w:pPr>
        <w:jc w:val="both"/>
        <w:rPr>
          <w:rFonts w:cstheme="minorHAnsi"/>
          <w:i/>
        </w:rPr>
      </w:pPr>
      <w:r w:rsidRPr="00E47369">
        <w:rPr>
          <w:rFonts w:cstheme="minorHAnsi"/>
          <w:i/>
        </w:rPr>
        <w:t>No reducing agent</w:t>
      </w:r>
    </w:p>
    <w:p w14:paraId="1823AA20" w14:textId="77777777" w:rsidR="00A25FD4" w:rsidRDefault="00A25FD4" w:rsidP="00A25FD4">
      <w:pPr>
        <w:jc w:val="center"/>
        <w:rPr>
          <w:rFonts w:cstheme="minorHAnsi"/>
        </w:rPr>
      </w:pPr>
      <w:r w:rsidRPr="00E47369">
        <w:rPr>
          <w:rFonts w:cstheme="minorHAnsi"/>
          <w:noProof/>
          <w:lang w:bidi="ar-SA"/>
        </w:rPr>
        <w:drawing>
          <wp:inline distT="0" distB="0" distL="0" distR="0" wp14:anchorId="27471453" wp14:editId="6D85DA64">
            <wp:extent cx="4114800" cy="2514462"/>
            <wp:effectExtent l="0" t="0" r="0" b="635"/>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283" cstate="print">
                      <a:extLst>
                        <a:ext uri="{28A0092B-C50C-407E-A947-70E740481C1C}">
                          <a14:useLocalDpi xmlns:a14="http://schemas.microsoft.com/office/drawing/2010/main" val="0"/>
                        </a:ext>
                      </a:extLst>
                    </a:blip>
                    <a:srcRect t="7802" b="12664"/>
                    <a:stretch/>
                  </pic:blipFill>
                  <pic:spPr bwMode="auto">
                    <a:xfrm>
                      <a:off x="0" y="0"/>
                      <a:ext cx="4114800" cy="2514462"/>
                    </a:xfrm>
                    <a:prstGeom prst="rect">
                      <a:avLst/>
                    </a:prstGeom>
                    <a:noFill/>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26A7F252" w14:textId="77777777" w:rsidR="001539C6" w:rsidRPr="00E47369" w:rsidRDefault="001539C6" w:rsidP="00A25FD4">
      <w:pPr>
        <w:jc w:val="center"/>
        <w:rPr>
          <w:rFonts w:cstheme="minorHAnsi"/>
        </w:rPr>
      </w:pPr>
    </w:p>
    <w:p w14:paraId="2B42587B" w14:textId="77777777" w:rsidR="00A25FD4" w:rsidRPr="00E47369" w:rsidRDefault="00A25FD4" w:rsidP="00A25FD4">
      <w:pPr>
        <w:jc w:val="both"/>
        <w:rPr>
          <w:rFonts w:cstheme="minorHAnsi"/>
          <w:i/>
        </w:rPr>
      </w:pPr>
      <w:r w:rsidRPr="00E47369">
        <w:rPr>
          <w:rFonts w:cstheme="minorHAnsi"/>
          <w:i/>
        </w:rPr>
        <w:t>SnCl</w:t>
      </w:r>
      <w:r w:rsidRPr="00E47369">
        <w:rPr>
          <w:rFonts w:cstheme="minorHAnsi"/>
          <w:i/>
          <w:vertAlign w:val="subscript"/>
        </w:rPr>
        <w:t>2</w:t>
      </w:r>
      <w:r w:rsidRPr="00E47369">
        <w:rPr>
          <w:rFonts w:cstheme="minorHAnsi"/>
          <w:i/>
        </w:rPr>
        <w:t xml:space="preserve"> reducing agent</w:t>
      </w:r>
    </w:p>
    <w:p w14:paraId="2B492BC5" w14:textId="77777777" w:rsidR="00A25FD4" w:rsidRPr="00E47369" w:rsidRDefault="00A25FD4" w:rsidP="00A25FD4">
      <w:pPr>
        <w:jc w:val="center"/>
        <w:rPr>
          <w:rFonts w:cstheme="minorHAnsi"/>
        </w:rPr>
      </w:pPr>
      <w:r w:rsidRPr="00E47369">
        <w:rPr>
          <w:rFonts w:cstheme="minorHAnsi"/>
          <w:noProof/>
          <w:lang w:bidi="ar-SA"/>
        </w:rPr>
        <w:drawing>
          <wp:inline distT="0" distB="0" distL="0" distR="0" wp14:anchorId="6C6FCD1F" wp14:editId="17A817DB">
            <wp:extent cx="4114800" cy="2522577"/>
            <wp:effectExtent l="0" t="0" r="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284" cstate="print">
                      <a:extLst>
                        <a:ext uri="{28A0092B-C50C-407E-A947-70E740481C1C}">
                          <a14:useLocalDpi xmlns:a14="http://schemas.microsoft.com/office/drawing/2010/main" val="0"/>
                        </a:ext>
                      </a:extLst>
                    </a:blip>
                    <a:srcRect t="8214" b="11995"/>
                    <a:stretch/>
                  </pic:blipFill>
                  <pic:spPr bwMode="auto">
                    <a:xfrm>
                      <a:off x="0" y="0"/>
                      <a:ext cx="4114800" cy="2522577"/>
                    </a:xfrm>
                    <a:prstGeom prst="rect">
                      <a:avLst/>
                    </a:prstGeom>
                    <a:noFill/>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3120EA2D" w14:textId="77777777" w:rsidR="00A25FD4" w:rsidRDefault="00A25FD4" w:rsidP="00A25FD4">
      <w:pPr>
        <w:jc w:val="both"/>
        <w:rPr>
          <w:rFonts w:cstheme="minorHAnsi"/>
        </w:rPr>
      </w:pPr>
    </w:p>
    <w:p w14:paraId="7E7D12E6" w14:textId="77777777" w:rsidR="005D4B4F" w:rsidRDefault="005D4B4F" w:rsidP="00A25FD4">
      <w:pPr>
        <w:jc w:val="both"/>
        <w:rPr>
          <w:rFonts w:cstheme="minorHAnsi"/>
        </w:rPr>
      </w:pPr>
    </w:p>
    <w:p w14:paraId="1F4AEF07" w14:textId="77777777" w:rsidR="005D4B4F" w:rsidRDefault="005D4B4F" w:rsidP="00A25FD4">
      <w:pPr>
        <w:jc w:val="both"/>
        <w:rPr>
          <w:rFonts w:cstheme="minorHAnsi"/>
        </w:rPr>
      </w:pPr>
    </w:p>
    <w:p w14:paraId="18C0A18F" w14:textId="77777777" w:rsidR="005D4B4F" w:rsidRDefault="005D4B4F" w:rsidP="00A25FD4">
      <w:pPr>
        <w:jc w:val="both"/>
        <w:rPr>
          <w:rFonts w:cstheme="minorHAnsi"/>
        </w:rPr>
      </w:pPr>
    </w:p>
    <w:p w14:paraId="31B68E5E" w14:textId="77777777" w:rsidR="005D4B4F" w:rsidRPr="00E47369" w:rsidRDefault="005D4B4F" w:rsidP="00A25FD4">
      <w:pPr>
        <w:jc w:val="both"/>
        <w:rPr>
          <w:rFonts w:cstheme="minorHAnsi"/>
        </w:rPr>
      </w:pPr>
    </w:p>
    <w:p w14:paraId="56C4905F" w14:textId="77777777" w:rsidR="00A25FD4" w:rsidRPr="00E47369" w:rsidRDefault="00A25FD4" w:rsidP="00A25FD4">
      <w:pPr>
        <w:jc w:val="both"/>
        <w:rPr>
          <w:rFonts w:cstheme="minorHAnsi"/>
          <w:i/>
        </w:rPr>
      </w:pPr>
      <w:r w:rsidRPr="00E47369">
        <w:rPr>
          <w:rFonts w:cstheme="minorHAnsi"/>
          <w:i/>
        </w:rPr>
        <w:t>Benzyl alcohol reducing agent</w:t>
      </w:r>
    </w:p>
    <w:p w14:paraId="4DE3660D" w14:textId="77777777" w:rsidR="00A25FD4" w:rsidRPr="00E47369" w:rsidRDefault="00A25FD4" w:rsidP="00A25FD4">
      <w:pPr>
        <w:jc w:val="center"/>
        <w:rPr>
          <w:rFonts w:cstheme="minorHAnsi"/>
        </w:rPr>
      </w:pPr>
      <w:r w:rsidRPr="00E47369">
        <w:rPr>
          <w:rFonts w:cstheme="minorHAnsi"/>
          <w:noProof/>
          <w:lang w:bidi="ar-SA"/>
        </w:rPr>
        <w:drawing>
          <wp:inline distT="0" distB="0" distL="0" distR="0" wp14:anchorId="2E43A2B5" wp14:editId="52D71136">
            <wp:extent cx="4114800" cy="2517251"/>
            <wp:effectExtent l="0" t="0" r="0" b="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285" cstate="print">
                      <a:extLst>
                        <a:ext uri="{28A0092B-C50C-407E-A947-70E740481C1C}">
                          <a14:useLocalDpi xmlns:a14="http://schemas.microsoft.com/office/drawing/2010/main" val="0"/>
                        </a:ext>
                      </a:extLst>
                    </a:blip>
                    <a:srcRect t="8763" b="11616"/>
                    <a:stretch/>
                  </pic:blipFill>
                  <pic:spPr bwMode="auto">
                    <a:xfrm>
                      <a:off x="0" y="0"/>
                      <a:ext cx="4114800" cy="2517251"/>
                    </a:xfrm>
                    <a:prstGeom prst="rect">
                      <a:avLst/>
                    </a:prstGeom>
                    <a:noFill/>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27CEDCE3" w14:textId="77777777" w:rsidR="00A25FD4" w:rsidRPr="00E47369" w:rsidRDefault="00A25FD4" w:rsidP="00A25FD4">
      <w:pPr>
        <w:jc w:val="center"/>
        <w:rPr>
          <w:rFonts w:cstheme="minorHAnsi"/>
        </w:rPr>
      </w:pPr>
    </w:p>
    <w:p w14:paraId="45FCB3FA" w14:textId="77777777" w:rsidR="00A25FD4" w:rsidRPr="00E47369" w:rsidRDefault="00A25FD4" w:rsidP="00A25FD4">
      <w:pPr>
        <w:pStyle w:val="Heading41"/>
        <w:rPr>
          <w:rFonts w:cstheme="minorHAnsi"/>
        </w:rPr>
      </w:pPr>
      <w:r w:rsidRPr="00E47369">
        <w:rPr>
          <w:rFonts w:cstheme="minorHAnsi"/>
        </w:rPr>
        <w:t>Representative procedure for DODH/ Masuyama’s allylation tandem reaction</w:t>
      </w:r>
    </w:p>
    <w:p w14:paraId="0A914A8D" w14:textId="77777777" w:rsidR="00A25FD4" w:rsidRPr="00E47369" w:rsidRDefault="00A25FD4" w:rsidP="00C36752">
      <w:pPr>
        <w:pStyle w:val="ListParagraph"/>
        <w:numPr>
          <w:ilvl w:val="0"/>
          <w:numId w:val="22"/>
        </w:numPr>
        <w:spacing w:after="200"/>
        <w:jc w:val="both"/>
        <w:rPr>
          <w:rFonts w:cstheme="minorHAnsi"/>
        </w:rPr>
      </w:pPr>
      <w:r w:rsidRPr="00E47369">
        <w:rPr>
          <w:rFonts w:cstheme="minorHAnsi"/>
        </w:rPr>
        <w:t>3-octanol as solvent</w:t>
      </w:r>
    </w:p>
    <w:p w14:paraId="02E5B6B4" w14:textId="1BCE9F9B" w:rsidR="00A25FD4" w:rsidRPr="00E47369" w:rsidRDefault="00A25FD4" w:rsidP="00BA5329">
      <w:pPr>
        <w:ind w:firstLine="360"/>
        <w:jc w:val="both"/>
        <w:rPr>
          <w:rFonts w:cstheme="minorHAnsi"/>
        </w:rPr>
      </w:pPr>
      <w:r w:rsidRPr="00E47369">
        <w:rPr>
          <w:rFonts w:cstheme="minorHAnsi"/>
        </w:rPr>
        <w:t>Glycerol (92 mg, 1.0</w:t>
      </w:r>
      <w:r w:rsidR="008633A9">
        <w:rPr>
          <w:rFonts w:cstheme="minorHAnsi"/>
        </w:rPr>
        <w:t>0</w:t>
      </w:r>
      <w:r w:rsidRPr="00E47369">
        <w:rPr>
          <w:rFonts w:cstheme="minorHAnsi"/>
        </w:rPr>
        <w:t xml:space="preserve"> mmol), MeReO</w:t>
      </w:r>
      <w:r w:rsidRPr="00E47369">
        <w:rPr>
          <w:rFonts w:cstheme="minorHAnsi"/>
          <w:vertAlign w:val="subscript"/>
        </w:rPr>
        <w:t>3</w:t>
      </w:r>
      <w:r w:rsidRPr="00E47369">
        <w:rPr>
          <w:rFonts w:cstheme="minorHAnsi"/>
        </w:rPr>
        <w:t xml:space="preserve"> (0.10 mmol, 25 mg), and 3-octanol (3.3 mL) were added to a thick-walled Ace glass reactor tube. Nitrogen was bubbled into the mixture for at least 60 sec before the Teflon seal was closed. The reactor was placed in an oil bath at 150</w:t>
      </w:r>
      <w:r w:rsidRPr="00E47369">
        <w:rPr>
          <w:rFonts w:cstheme="minorHAnsi"/>
          <w:vertAlign w:val="superscript"/>
        </w:rPr>
        <w:t>o</w:t>
      </w:r>
      <w:r w:rsidRPr="00E47369">
        <w:rPr>
          <w:rFonts w:cstheme="minorHAnsi"/>
        </w:rPr>
        <w:t>C for 24 h or 170</w:t>
      </w:r>
      <w:r w:rsidRPr="00E47369">
        <w:rPr>
          <w:rFonts w:cstheme="minorHAnsi"/>
          <w:vertAlign w:val="superscript"/>
        </w:rPr>
        <w:t>o</w:t>
      </w:r>
      <w:r w:rsidRPr="00E47369">
        <w:rPr>
          <w:rFonts w:cstheme="minorHAnsi"/>
        </w:rPr>
        <w:t>C for 1.5h while stirring magnetically. After cooling to room temperature, a 100 µL aliquot of the benzene phase of the reaction mixture was removed and added to CDCl</w:t>
      </w:r>
      <w:r w:rsidRPr="00E47369">
        <w:rPr>
          <w:rFonts w:cstheme="minorHAnsi"/>
          <w:vertAlign w:val="subscript"/>
        </w:rPr>
        <w:t>3</w:t>
      </w:r>
      <w:r w:rsidR="008633A9">
        <w:rPr>
          <w:rFonts w:cstheme="minorHAnsi"/>
        </w:rPr>
        <w:t xml:space="preserve"> (0.6</w:t>
      </w:r>
      <w:r w:rsidRPr="00E47369">
        <w:rPr>
          <w:rFonts w:cstheme="minorHAnsi"/>
        </w:rPr>
        <w:t xml:space="preserve"> mL) and 2.0 µL DMF as internal standard for NMR analysis. A 0.5 mL aliquot of the benzene phase of the reaction mixture was removed and filtered through a silica plug to remove left over glycerol and particles before to be submitted </w:t>
      </w:r>
      <w:r w:rsidR="00BA5329">
        <w:rPr>
          <w:rFonts w:cstheme="minorHAnsi"/>
        </w:rPr>
        <w:t>to gas chromatography analysis.</w:t>
      </w:r>
    </w:p>
    <w:p w14:paraId="419EC2B3" w14:textId="77777777" w:rsidR="00A25FD4" w:rsidRPr="00E47369" w:rsidRDefault="00A25FD4" w:rsidP="00A25FD4">
      <w:pPr>
        <w:jc w:val="both"/>
        <w:rPr>
          <w:rFonts w:cstheme="minorHAnsi"/>
        </w:rPr>
      </w:pPr>
    </w:p>
    <w:p w14:paraId="02A0266C" w14:textId="77777777" w:rsidR="00A25FD4" w:rsidRPr="00E47369" w:rsidRDefault="00A25FD4" w:rsidP="00A25FD4">
      <w:pPr>
        <w:jc w:val="both"/>
        <w:rPr>
          <w:rFonts w:cstheme="minorHAnsi"/>
          <w:i/>
        </w:rPr>
      </w:pPr>
      <w:r w:rsidRPr="00E47369">
        <w:rPr>
          <w:rFonts w:cstheme="minorHAnsi"/>
          <w:i/>
        </w:rPr>
        <w:t>At 170</w:t>
      </w:r>
      <w:r w:rsidRPr="00E47369">
        <w:rPr>
          <w:rFonts w:cstheme="minorHAnsi"/>
          <w:i/>
          <w:vertAlign w:val="superscript"/>
        </w:rPr>
        <w:t>o</w:t>
      </w:r>
      <w:r w:rsidRPr="00E47369">
        <w:rPr>
          <w:rFonts w:cstheme="minorHAnsi"/>
          <w:i/>
        </w:rPr>
        <w:t>C for 1.5 h</w:t>
      </w:r>
    </w:p>
    <w:p w14:paraId="54EEBC19" w14:textId="77777777" w:rsidR="00A25FD4" w:rsidRPr="00E47369" w:rsidRDefault="00A25FD4" w:rsidP="00A25FD4">
      <w:pPr>
        <w:jc w:val="center"/>
        <w:rPr>
          <w:rFonts w:cstheme="minorHAnsi"/>
        </w:rPr>
      </w:pPr>
      <w:r w:rsidRPr="00E47369">
        <w:rPr>
          <w:rFonts w:cstheme="minorHAnsi"/>
          <w:noProof/>
          <w:lang w:bidi="ar-SA"/>
        </w:rPr>
        <w:drawing>
          <wp:inline distT="0" distB="0" distL="0" distR="0" wp14:anchorId="02D293C1" wp14:editId="7E5004BC">
            <wp:extent cx="4114800" cy="2532882"/>
            <wp:effectExtent l="0" t="0" r="0" b="127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286" cstate="print">
                      <a:extLst>
                        <a:ext uri="{28A0092B-C50C-407E-A947-70E740481C1C}">
                          <a14:useLocalDpi xmlns:a14="http://schemas.microsoft.com/office/drawing/2010/main" val="0"/>
                        </a:ext>
                      </a:extLst>
                    </a:blip>
                    <a:srcRect t="7761" b="12124"/>
                    <a:stretch/>
                  </pic:blipFill>
                  <pic:spPr bwMode="auto">
                    <a:xfrm>
                      <a:off x="0" y="0"/>
                      <a:ext cx="4114800" cy="2532882"/>
                    </a:xfrm>
                    <a:prstGeom prst="rect">
                      <a:avLst/>
                    </a:prstGeom>
                    <a:noFill/>
                    <a:ln>
                      <a:noFill/>
                    </a:ln>
                    <a:extLst>
                      <a:ext uri="{53640926-AAD7-44D8-BBD7-CCE9431645EC}">
                        <a14:shadowObscured xmlns:a14="http://schemas.microsoft.com/office/drawing/2010/main"/>
                      </a:ext>
                    </a:extLst>
                  </pic:spPr>
                </pic:pic>
              </a:graphicData>
            </a:graphic>
          </wp:inline>
        </w:drawing>
      </w:r>
    </w:p>
    <w:p w14:paraId="65B2F422" w14:textId="77777777" w:rsidR="00A25FD4" w:rsidRPr="00E47369" w:rsidRDefault="00A25FD4" w:rsidP="00A25FD4">
      <w:pPr>
        <w:jc w:val="center"/>
        <w:rPr>
          <w:rFonts w:cstheme="minorHAnsi"/>
        </w:rPr>
      </w:pPr>
    </w:p>
    <w:p w14:paraId="1D4CA029" w14:textId="77777777" w:rsidR="00A25FD4" w:rsidRPr="00E47369" w:rsidRDefault="00A25FD4" w:rsidP="00C36752">
      <w:pPr>
        <w:pStyle w:val="ListParagraph"/>
        <w:numPr>
          <w:ilvl w:val="0"/>
          <w:numId w:val="21"/>
        </w:numPr>
        <w:spacing w:after="200"/>
        <w:jc w:val="both"/>
        <w:rPr>
          <w:rFonts w:cstheme="minorHAnsi"/>
        </w:rPr>
      </w:pPr>
      <w:r w:rsidRPr="00E47369">
        <w:rPr>
          <w:rFonts w:cstheme="minorHAnsi"/>
        </w:rPr>
        <w:t>DME or PEG as solvent</w:t>
      </w:r>
    </w:p>
    <w:p w14:paraId="1FA8F646" w14:textId="68209B0C" w:rsidR="00A25FD4" w:rsidRPr="00E47369" w:rsidRDefault="00123839" w:rsidP="00A25FD4">
      <w:pPr>
        <w:ind w:firstLine="360"/>
        <w:jc w:val="both"/>
        <w:rPr>
          <w:rFonts w:cstheme="minorHAnsi"/>
        </w:rPr>
      </w:pPr>
      <w:r>
        <w:rPr>
          <w:rFonts w:cstheme="minorHAnsi"/>
        </w:rPr>
        <w:t>Glycerol (92 mg, 1.0 mmol</w:t>
      </w:r>
      <w:r w:rsidR="00A25FD4" w:rsidRPr="00E47369">
        <w:rPr>
          <w:rFonts w:cstheme="minorHAnsi"/>
        </w:rPr>
        <w:t>), NH</w:t>
      </w:r>
      <w:r w:rsidR="00A25FD4" w:rsidRPr="00E47369">
        <w:rPr>
          <w:rFonts w:cstheme="minorHAnsi"/>
          <w:vertAlign w:val="subscript"/>
        </w:rPr>
        <w:t>4</w:t>
      </w:r>
      <w:r w:rsidR="00A25FD4" w:rsidRPr="00E47369">
        <w:rPr>
          <w:rFonts w:cstheme="minorHAnsi"/>
        </w:rPr>
        <w:t>ReO</w:t>
      </w:r>
      <w:r w:rsidR="00A25FD4" w:rsidRPr="00E47369">
        <w:rPr>
          <w:rFonts w:cstheme="minorHAnsi"/>
          <w:vertAlign w:val="subscript"/>
        </w:rPr>
        <w:t>4</w:t>
      </w:r>
      <w:r w:rsidR="00A25FD4" w:rsidRPr="00E47369">
        <w:rPr>
          <w:rFonts w:cstheme="minorHAnsi"/>
        </w:rPr>
        <w:t xml:space="preserve"> (0.10 mmol, 27 mg), reducing agent {</w:t>
      </w:r>
      <w:r w:rsidR="008633A9">
        <w:rPr>
          <w:rFonts w:cstheme="minorHAnsi"/>
        </w:rPr>
        <w:t>1.00 mmol; benzyl alcohol (0.11 mL) or tin (II) chloride (189</w:t>
      </w:r>
      <w:r w:rsidR="00A25FD4" w:rsidRPr="00E47369">
        <w:rPr>
          <w:rFonts w:cstheme="minorHAnsi"/>
        </w:rPr>
        <w:t xml:space="preserve"> mg) or triphenylphosphine (262 mg)}, and solvent (2.5 mL; benzene or 1-butanol or DME or PEG-200) were added to a thick-walled Ace glass reactor tube. Nitrogen was bubbled into the mixture for at least 60 sec before the Teflon seal was closed. The reactor was placed in an oil bath at 150</w:t>
      </w:r>
      <w:r w:rsidR="00A25FD4" w:rsidRPr="00E47369">
        <w:rPr>
          <w:rFonts w:cstheme="minorHAnsi"/>
          <w:vertAlign w:val="superscript"/>
        </w:rPr>
        <w:t>o</w:t>
      </w:r>
      <w:r w:rsidR="00A25FD4" w:rsidRPr="00E47369">
        <w:rPr>
          <w:rFonts w:cstheme="minorHAnsi"/>
        </w:rPr>
        <w:t xml:space="preserve">C for 24 h while stirring magnetically. </w:t>
      </w:r>
      <w:r w:rsidR="00A25FD4" w:rsidRPr="00E47369">
        <w:rPr>
          <w:rFonts w:cstheme="minorHAnsi"/>
          <w:color w:val="000000" w:themeColor="text1"/>
        </w:rPr>
        <w:t>After cooling to room temperature, a 100 µL aliquot of the benzene phase of the reaction mixture was removed and added to CDCl</w:t>
      </w:r>
      <w:r w:rsidR="00A25FD4" w:rsidRPr="00E47369">
        <w:rPr>
          <w:rFonts w:cstheme="minorHAnsi"/>
          <w:color w:val="000000" w:themeColor="text1"/>
          <w:vertAlign w:val="subscript"/>
        </w:rPr>
        <w:t>3</w:t>
      </w:r>
      <w:r w:rsidR="008633A9">
        <w:rPr>
          <w:rFonts w:cstheme="minorHAnsi"/>
          <w:color w:val="000000" w:themeColor="text1"/>
        </w:rPr>
        <w:t xml:space="preserve"> (0.6</w:t>
      </w:r>
      <w:r w:rsidR="00A25FD4" w:rsidRPr="00E47369">
        <w:rPr>
          <w:rFonts w:cstheme="minorHAnsi"/>
          <w:color w:val="000000" w:themeColor="text1"/>
        </w:rPr>
        <w:t xml:space="preserve"> mL) and </w:t>
      </w:r>
      <w:r w:rsidR="00A25FD4" w:rsidRPr="00E47369">
        <w:rPr>
          <w:rFonts w:cstheme="minorHAnsi"/>
        </w:rPr>
        <w:t>2.0 µL DMF as internal standard for NMR analysis. A 0.5 mL aliquot of the benzene phase of the reaction mixture was collected and filtered on a little silica plug to remove left over glycerol and particles before to be submitted to gas chromatography analysis.</w:t>
      </w:r>
    </w:p>
    <w:p w14:paraId="4380707C" w14:textId="77777777" w:rsidR="005D4B4F" w:rsidRDefault="005D4B4F" w:rsidP="001539C6">
      <w:pPr>
        <w:jc w:val="both"/>
        <w:rPr>
          <w:rFonts w:cstheme="minorHAnsi"/>
        </w:rPr>
      </w:pPr>
    </w:p>
    <w:p w14:paraId="45E8FA71" w14:textId="77777777" w:rsidR="008633A9" w:rsidRPr="00E47369" w:rsidRDefault="008633A9" w:rsidP="001539C6">
      <w:pPr>
        <w:jc w:val="both"/>
        <w:rPr>
          <w:rFonts w:cstheme="minorHAnsi"/>
        </w:rPr>
      </w:pPr>
    </w:p>
    <w:p w14:paraId="0B0B1D87" w14:textId="77777777" w:rsidR="00A25FD4" w:rsidRPr="00E47369" w:rsidRDefault="00A25FD4" w:rsidP="00A25FD4">
      <w:pPr>
        <w:jc w:val="both"/>
        <w:rPr>
          <w:rFonts w:cstheme="minorHAnsi"/>
          <w:i/>
        </w:rPr>
      </w:pPr>
      <w:r w:rsidRPr="00E47369">
        <w:rPr>
          <w:rFonts w:cstheme="minorHAnsi"/>
          <w:i/>
        </w:rPr>
        <w:t>In DME</w:t>
      </w:r>
    </w:p>
    <w:p w14:paraId="447887C7" w14:textId="77777777" w:rsidR="00A25FD4" w:rsidRPr="00E47369" w:rsidRDefault="00A25FD4" w:rsidP="00A25FD4">
      <w:pPr>
        <w:jc w:val="center"/>
        <w:rPr>
          <w:rFonts w:cstheme="minorHAnsi"/>
        </w:rPr>
      </w:pPr>
      <w:r w:rsidRPr="00E47369">
        <w:rPr>
          <w:rFonts w:cstheme="minorHAnsi"/>
          <w:noProof/>
          <w:lang w:bidi="ar-SA"/>
        </w:rPr>
        <w:drawing>
          <wp:inline distT="0" distB="0" distL="0" distR="0" wp14:anchorId="021A5C23" wp14:editId="750A5EE4">
            <wp:extent cx="4114800" cy="2512458"/>
            <wp:effectExtent l="0" t="0" r="0" b="254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287" cstate="print">
                      <a:extLst>
                        <a:ext uri="{28A0092B-C50C-407E-A947-70E740481C1C}">
                          <a14:useLocalDpi xmlns:a14="http://schemas.microsoft.com/office/drawing/2010/main" val="0"/>
                        </a:ext>
                      </a:extLst>
                    </a:blip>
                    <a:srcRect t="8075" b="12454"/>
                    <a:stretch/>
                  </pic:blipFill>
                  <pic:spPr bwMode="auto">
                    <a:xfrm>
                      <a:off x="0" y="0"/>
                      <a:ext cx="4114800" cy="2512458"/>
                    </a:xfrm>
                    <a:prstGeom prst="rect">
                      <a:avLst/>
                    </a:prstGeom>
                    <a:noFill/>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5EFDBEEC" w14:textId="77777777" w:rsidR="00A25FD4" w:rsidRPr="00E47369" w:rsidRDefault="00BA5329" w:rsidP="00BA5329">
      <w:pPr>
        <w:spacing w:line="240" w:lineRule="auto"/>
        <w:rPr>
          <w:rFonts w:cstheme="minorHAnsi"/>
        </w:rPr>
      </w:pPr>
      <w:r>
        <w:rPr>
          <w:rFonts w:cstheme="minorHAnsi"/>
        </w:rPr>
        <w:br w:type="page"/>
      </w:r>
    </w:p>
    <w:p w14:paraId="47925793" w14:textId="65B174BB" w:rsidR="00FF749E" w:rsidRPr="00E47369" w:rsidRDefault="00FF749E" w:rsidP="00BA0582">
      <w:pPr>
        <w:pStyle w:val="Heading2"/>
      </w:pPr>
      <w:bookmarkStart w:id="284" w:name="_Toc458938315"/>
      <w:r w:rsidRPr="00E47369">
        <w:t xml:space="preserve">DODH / “Base-free catalytic” Wittig </w:t>
      </w:r>
      <w:r w:rsidR="00D717AF" w:rsidRPr="00E47369">
        <w:t xml:space="preserve">Tandem </w:t>
      </w:r>
      <w:r w:rsidR="00D717AF">
        <w:t>Reaction</w:t>
      </w:r>
      <w:bookmarkEnd w:id="284"/>
    </w:p>
    <w:p w14:paraId="54367532" w14:textId="77777777" w:rsidR="00FF749E" w:rsidRPr="00E47369" w:rsidRDefault="00FF749E" w:rsidP="000351A7">
      <w:pPr>
        <w:pStyle w:val="Heading3"/>
        <w:numPr>
          <w:ilvl w:val="0"/>
          <w:numId w:val="20"/>
        </w:numPr>
      </w:pPr>
      <w:bookmarkStart w:id="285" w:name="_Toc458938316"/>
      <w:r w:rsidRPr="00E47369">
        <w:t>Introduction</w:t>
      </w:r>
      <w:bookmarkEnd w:id="285"/>
    </w:p>
    <w:p w14:paraId="483AF45A" w14:textId="77777777" w:rsidR="00FF749E" w:rsidRDefault="00FF749E" w:rsidP="00F61C82">
      <w:pPr>
        <w:ind w:firstLine="360"/>
        <w:jc w:val="both"/>
        <w:rPr>
          <w:rFonts w:cstheme="minorHAnsi"/>
          <w:color w:val="000000" w:themeColor="text1"/>
        </w:rPr>
      </w:pPr>
      <w:r w:rsidRPr="00E47369">
        <w:rPr>
          <w:rFonts w:cstheme="minorHAnsi"/>
          <w:color w:val="000000" w:themeColor="text1"/>
        </w:rPr>
        <w:t>First discovered in 1954 the Wittig reaction is widely used in organic synthesis.</w:t>
      </w:r>
      <w:r w:rsidRPr="00E47369">
        <w:rPr>
          <w:rFonts w:cstheme="minorHAnsi"/>
          <w:color w:val="000000" w:themeColor="text1"/>
        </w:rPr>
        <w:fldChar w:fldCharType="begin"/>
      </w:r>
      <w:r w:rsidR="00E028D6">
        <w:rPr>
          <w:rFonts w:cstheme="minorHAnsi"/>
          <w:color w:val="000000" w:themeColor="text1"/>
        </w:rPr>
        <w:instrText xml:space="preserve"> ADDIN ZOTERO_ITEM CSL_CITATION {"citationID":"md3phoq3v","properties":{"formattedCitation":"{\\rtf \\super 142\\nosupersub{}}","plainCitation":"142"},"citationItems":[{"id":1620,"uris":["http://zotero.org/users/1624234/items/SZW54SXW"],"uri":["http://zotero.org/users/1624234/items/SZW54SXW"],"itemData":{"id":1620,"type":"article-journal","title":"Über Triphenyl-phosphin-methylene als olefinbildende Reagenzien (I. Mitteil.","container-title":"Chemische Berichte","page":"1318-1330","volume":"87","issue":"9","source":"Wiley Online Library","abstract":"Bei der Umsetzung von Triphenyl-phosphin-methylen und seinen in der Methylengruppe substituierten Derivaten mit Aldehyden und Ketonen wird der doppelt gebundene Sauerstoff gegen die Methylenreste ausgetauscht, wobei Triphenyl-phosphinoxyd und die entsprechenden ungesättigten Verbindungen entstehen. Der mit dieser neuen Methode sich abzeichnende präparative Fortschritt liegt darin, daβ die C=C–Bindung ohne Verschiebung am Ort der ursprünglichen C=O–Bindung ausgebildet wird.","DOI":"10.1002/cber.19540870919","ISSN":"1099-0682","journalAbbreviation":"Chem. Ber.","language":"en","author":[{"family":"Wittig","given":"Georg"},{"family":"Schöllkopf","given":"Ulrich"}],"issued":{"date-parts":[["1954",9,1]]}}}],"schema":"https://github.com/citation-style-language/schema/raw/master/csl-citation.json"} </w:instrText>
      </w:r>
      <w:r w:rsidRPr="00E47369">
        <w:rPr>
          <w:rFonts w:cstheme="minorHAnsi"/>
          <w:color w:val="000000" w:themeColor="text1"/>
        </w:rPr>
        <w:fldChar w:fldCharType="separate"/>
      </w:r>
      <w:r w:rsidR="00E028D6" w:rsidRPr="00E028D6">
        <w:rPr>
          <w:rFonts w:ascii="Times New Roman" w:hAnsi="Times New Roman"/>
          <w:vertAlign w:val="superscript"/>
        </w:rPr>
        <w:t>142</w:t>
      </w:r>
      <w:r w:rsidRPr="00E47369">
        <w:rPr>
          <w:rFonts w:cstheme="minorHAnsi"/>
          <w:color w:val="000000" w:themeColor="text1"/>
        </w:rPr>
        <w:fldChar w:fldCharType="end"/>
      </w:r>
      <w:r w:rsidRPr="00E47369">
        <w:rPr>
          <w:rFonts w:cstheme="minorHAnsi"/>
          <w:color w:val="000000" w:themeColor="text1"/>
        </w:rPr>
        <w:t xml:space="preserve"> In a Wittig reaction the pre-formed ylid (equation a, </w:t>
      </w:r>
      <w:r w:rsidRPr="00E47369">
        <w:rPr>
          <w:rFonts w:cstheme="minorHAnsi"/>
          <w:color w:val="000000" w:themeColor="text1"/>
        </w:rPr>
        <w:fldChar w:fldCharType="begin"/>
      </w:r>
      <w:r w:rsidRPr="00E47369">
        <w:rPr>
          <w:rFonts w:cstheme="minorHAnsi"/>
          <w:color w:val="000000" w:themeColor="text1"/>
        </w:rPr>
        <w:instrText xml:space="preserve"> REF _Ref453708628 \h </w:instrText>
      </w:r>
      <w:r w:rsidR="00F61C82" w:rsidRPr="00E47369">
        <w:rPr>
          <w:rFonts w:cstheme="minorHAnsi"/>
          <w:color w:val="000000" w:themeColor="text1"/>
        </w:rPr>
        <w:instrText xml:space="preserve"> \* MERGEFORMAT </w:instrText>
      </w:r>
      <w:r w:rsidRPr="00E47369">
        <w:rPr>
          <w:rFonts w:cstheme="minorHAnsi"/>
          <w:color w:val="000000" w:themeColor="text1"/>
        </w:rPr>
      </w:r>
      <w:r w:rsidRPr="00E47369">
        <w:rPr>
          <w:rFonts w:cstheme="minorHAnsi"/>
          <w:color w:val="000000" w:themeColor="text1"/>
        </w:rPr>
        <w:fldChar w:fldCharType="separate"/>
      </w:r>
      <w:r w:rsidR="000A0E3D" w:rsidRPr="000A0E3D">
        <w:rPr>
          <w:rFonts w:cstheme="minorHAnsi"/>
        </w:rPr>
        <w:t xml:space="preserve">Figure III. </w:t>
      </w:r>
      <w:r w:rsidR="000A0E3D" w:rsidRPr="000A0E3D">
        <w:rPr>
          <w:rFonts w:cstheme="minorHAnsi"/>
          <w:noProof/>
        </w:rPr>
        <w:t>4.1</w:t>
      </w:r>
      <w:r w:rsidRPr="00E47369">
        <w:rPr>
          <w:rFonts w:cstheme="minorHAnsi"/>
          <w:color w:val="000000" w:themeColor="text1"/>
        </w:rPr>
        <w:fldChar w:fldCharType="end"/>
      </w:r>
      <w:r w:rsidRPr="00E47369">
        <w:rPr>
          <w:rFonts w:cstheme="minorHAnsi"/>
          <w:color w:val="000000" w:themeColor="text1"/>
        </w:rPr>
        <w:t xml:space="preserve">) serves as the nucleophile and attacks the aldehyde (equation b, </w:t>
      </w:r>
      <w:r w:rsidRPr="00E47369">
        <w:rPr>
          <w:rFonts w:cstheme="minorHAnsi"/>
          <w:color w:val="000000" w:themeColor="text1"/>
        </w:rPr>
        <w:fldChar w:fldCharType="begin"/>
      </w:r>
      <w:r w:rsidRPr="00E47369">
        <w:rPr>
          <w:rFonts w:cstheme="minorHAnsi"/>
          <w:color w:val="000000" w:themeColor="text1"/>
        </w:rPr>
        <w:instrText xml:space="preserve"> REF _Ref453708628 \h </w:instrText>
      </w:r>
      <w:r w:rsidR="00F61C82" w:rsidRPr="00E47369">
        <w:rPr>
          <w:rFonts w:cstheme="minorHAnsi"/>
          <w:color w:val="000000" w:themeColor="text1"/>
        </w:rPr>
        <w:instrText xml:space="preserve"> \* MERGEFORMAT </w:instrText>
      </w:r>
      <w:r w:rsidRPr="00E47369">
        <w:rPr>
          <w:rFonts w:cstheme="minorHAnsi"/>
          <w:color w:val="000000" w:themeColor="text1"/>
        </w:rPr>
      </w:r>
      <w:r w:rsidRPr="00E47369">
        <w:rPr>
          <w:rFonts w:cstheme="minorHAnsi"/>
          <w:color w:val="000000" w:themeColor="text1"/>
        </w:rPr>
        <w:fldChar w:fldCharType="separate"/>
      </w:r>
      <w:r w:rsidR="000A0E3D" w:rsidRPr="000A0E3D">
        <w:rPr>
          <w:rFonts w:cstheme="minorHAnsi"/>
        </w:rPr>
        <w:t xml:space="preserve">Figure III. </w:t>
      </w:r>
      <w:r w:rsidR="000A0E3D" w:rsidRPr="000A0E3D">
        <w:rPr>
          <w:rFonts w:cstheme="minorHAnsi"/>
          <w:noProof/>
        </w:rPr>
        <w:t>4.1</w:t>
      </w:r>
      <w:r w:rsidRPr="00E47369">
        <w:rPr>
          <w:rFonts w:cstheme="minorHAnsi"/>
          <w:color w:val="000000" w:themeColor="text1"/>
        </w:rPr>
        <w:fldChar w:fldCharType="end"/>
      </w:r>
      <w:r w:rsidRPr="00E47369">
        <w:rPr>
          <w:rFonts w:cstheme="minorHAnsi"/>
          <w:color w:val="000000" w:themeColor="text1"/>
        </w:rPr>
        <w:t>).</w:t>
      </w:r>
      <w:r w:rsidRPr="00E47369">
        <w:rPr>
          <w:rFonts w:cstheme="minorHAnsi"/>
          <w:color w:val="000000" w:themeColor="text1"/>
        </w:rPr>
        <w:fldChar w:fldCharType="begin"/>
      </w:r>
      <w:r w:rsidR="00E028D6">
        <w:rPr>
          <w:rFonts w:cstheme="minorHAnsi"/>
          <w:color w:val="000000" w:themeColor="text1"/>
        </w:rPr>
        <w:instrText xml:space="preserve"> ADDIN ZOTERO_ITEM CSL_CITATION {"citationID":"qhn57ddqh","properties":{"formattedCitation":"{\\rtf \\super 143\\nosupersub{}}","plainCitation":"143"},"citationItems":[{"id":263,"uris":["http://zotero.org/users/1624234/items/I76EP2KZ"],"uri":["http://zotero.org/users/1624234/items/I76EP2KZ"],"itemData":{"id":263,"type":"article-journal","title":"From Diyls to Ylides to my Idyll","container-title":"Nobel Lecture","URL":"http://www.nobelprize.org/nobel_prizes/chemistry/laureates/1979/wittig-lecture.pdf","author":[{"family":"Wittig","given":"Georg"}],"issued":{"date-parts":[["1979"]]},"accessed":{"date-parts":[["2013",11,24]]}}}],"schema":"https://github.com/citation-style-language/schema/raw/master/csl-citation.json"} </w:instrText>
      </w:r>
      <w:r w:rsidRPr="00E47369">
        <w:rPr>
          <w:rFonts w:cstheme="minorHAnsi"/>
          <w:color w:val="000000" w:themeColor="text1"/>
        </w:rPr>
        <w:fldChar w:fldCharType="separate"/>
      </w:r>
      <w:r w:rsidR="00E028D6" w:rsidRPr="00E028D6">
        <w:rPr>
          <w:rFonts w:ascii="Times New Roman" w:hAnsi="Times New Roman"/>
          <w:vertAlign w:val="superscript"/>
        </w:rPr>
        <w:t>143</w:t>
      </w:r>
      <w:r w:rsidRPr="00E47369">
        <w:rPr>
          <w:rFonts w:cstheme="minorHAnsi"/>
          <w:color w:val="000000" w:themeColor="text1"/>
        </w:rPr>
        <w:fldChar w:fldCharType="end"/>
      </w:r>
      <w:r w:rsidRPr="00E47369">
        <w:rPr>
          <w:rFonts w:cstheme="minorHAnsi"/>
          <w:color w:val="000000" w:themeColor="text1"/>
        </w:rPr>
        <w:t xml:space="preserve"> More recently several studies have attempted to make the Wittig reaction catalytic in phosphine.</w:t>
      </w:r>
    </w:p>
    <w:p w14:paraId="020EA525" w14:textId="77777777" w:rsidR="001F6AEC" w:rsidRPr="00E47369" w:rsidRDefault="001F6AEC" w:rsidP="00F61C82">
      <w:pPr>
        <w:ind w:firstLine="360"/>
        <w:jc w:val="both"/>
        <w:rPr>
          <w:rFonts w:cstheme="minorHAnsi"/>
          <w:color w:val="000000" w:themeColor="text1"/>
        </w:rPr>
      </w:pPr>
    </w:p>
    <w:p w14:paraId="18BCFDD5" w14:textId="77777777" w:rsidR="00FF749E" w:rsidRPr="00E47369" w:rsidRDefault="00FF749E" w:rsidP="00F61C82">
      <w:pPr>
        <w:jc w:val="center"/>
        <w:rPr>
          <w:rFonts w:cstheme="minorHAnsi"/>
        </w:rPr>
      </w:pPr>
      <w:r w:rsidRPr="00E47369">
        <w:rPr>
          <w:rFonts w:cstheme="minorHAnsi"/>
        </w:rPr>
        <w:object w:dxaOrig="3947" w:dyaOrig="866" w14:anchorId="5AC473BE">
          <v:shape id="_x0000_i1126" type="#_x0000_t75" style="width:174.85pt;height:41.15pt" o:ole="">
            <v:imagedata r:id="rId288" o:title=""/>
          </v:shape>
          <o:OLEObject Type="Embed" ProgID="ChemDraw.Document.6.0" ShapeID="_x0000_i1126" DrawAspect="Content" ObjectID="_1532784967" r:id="rId289"/>
        </w:object>
      </w:r>
    </w:p>
    <w:p w14:paraId="2562A5C1" w14:textId="77777777" w:rsidR="00FF749E" w:rsidRPr="00E47369" w:rsidRDefault="00FF749E" w:rsidP="00F61C82">
      <w:pPr>
        <w:keepNext/>
        <w:jc w:val="center"/>
        <w:rPr>
          <w:rFonts w:cstheme="minorHAnsi"/>
        </w:rPr>
      </w:pPr>
      <w:r w:rsidRPr="00E47369">
        <w:rPr>
          <w:rFonts w:cstheme="minorHAnsi"/>
        </w:rPr>
        <w:object w:dxaOrig="6626" w:dyaOrig="864" w14:anchorId="3D991EF5">
          <v:shape id="_x0000_i1127" type="#_x0000_t75" style="width:293.55pt;height:35.6pt" o:ole="">
            <v:imagedata r:id="rId290" o:title=""/>
          </v:shape>
          <o:OLEObject Type="Embed" ProgID="ChemDraw.Document.6.0" ShapeID="_x0000_i1127" DrawAspect="Content" ObjectID="_1532784968" r:id="rId291"/>
        </w:object>
      </w:r>
    </w:p>
    <w:p w14:paraId="547D9AA1" w14:textId="77777777" w:rsidR="00FF749E" w:rsidRPr="008A0BB7" w:rsidRDefault="00FF749E" w:rsidP="008A0BB7">
      <w:pPr>
        <w:pStyle w:val="Caption"/>
      </w:pPr>
      <w:bookmarkStart w:id="286" w:name="_Ref453708628"/>
      <w:bookmarkStart w:id="287" w:name="_Toc457670740"/>
      <w:r w:rsidRPr="008A0BB7">
        <w:t xml:space="preserve">Figure III. </w:t>
      </w:r>
      <w:r w:rsidR="00443010">
        <w:fldChar w:fldCharType="begin"/>
      </w:r>
      <w:r w:rsidR="00443010">
        <w:instrText xml:space="preserve"> STYLEREF 2 \s </w:instrText>
      </w:r>
      <w:r w:rsidR="00443010">
        <w:fldChar w:fldCharType="separate"/>
      </w:r>
      <w:r w:rsidR="000A0E3D">
        <w:rPr>
          <w:noProof/>
        </w:rPr>
        <w:t>4</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1</w:t>
      </w:r>
      <w:r w:rsidR="00443010">
        <w:rPr>
          <w:noProof/>
        </w:rPr>
        <w:fldChar w:fldCharType="end"/>
      </w:r>
      <w:bookmarkEnd w:id="286"/>
      <w:r w:rsidRPr="008A0BB7">
        <w:t xml:space="preserve"> Formation of the phosphorus ylide and Wittig general scheme</w:t>
      </w:r>
      <w:bookmarkEnd w:id="287"/>
    </w:p>
    <w:p w14:paraId="71A1F132" w14:textId="77777777" w:rsidR="00FF749E" w:rsidRPr="00E47369" w:rsidRDefault="00FF749E" w:rsidP="00F61C82">
      <w:pPr>
        <w:jc w:val="center"/>
        <w:rPr>
          <w:rFonts w:cstheme="minorHAnsi"/>
        </w:rPr>
      </w:pPr>
    </w:p>
    <w:p w14:paraId="6CAEFBC7" w14:textId="2650F44C" w:rsidR="00FF749E" w:rsidRPr="00E47369" w:rsidRDefault="001539C6" w:rsidP="00F61C82">
      <w:pPr>
        <w:keepNext/>
        <w:jc w:val="center"/>
        <w:rPr>
          <w:rFonts w:cstheme="minorHAnsi"/>
        </w:rPr>
      </w:pPr>
      <w:r w:rsidRPr="00E47369">
        <w:rPr>
          <w:rFonts w:cstheme="minorHAnsi"/>
        </w:rPr>
        <w:object w:dxaOrig="6732" w:dyaOrig="1197" w14:anchorId="36457C2A">
          <v:shape id="_x0000_i1128" type="#_x0000_t75" style="width:316.5pt;height:57.75pt" o:ole="">
            <v:imagedata r:id="rId292" o:title=""/>
          </v:shape>
          <o:OLEObject Type="Embed" ProgID="ChemDraw.Document.6.0" ShapeID="_x0000_i1128" DrawAspect="Content" ObjectID="_1532784969" r:id="rId293"/>
        </w:object>
      </w:r>
    </w:p>
    <w:p w14:paraId="0FFE01CC" w14:textId="77777777" w:rsidR="00FF749E" w:rsidRPr="008A0BB7" w:rsidRDefault="00FF749E" w:rsidP="008A0BB7">
      <w:pPr>
        <w:pStyle w:val="Caption"/>
      </w:pPr>
      <w:bookmarkStart w:id="288" w:name="_Ref453708663"/>
      <w:bookmarkStart w:id="289" w:name="_Toc457670741"/>
      <w:r w:rsidRPr="008A0BB7">
        <w:t xml:space="preserve">Figure III. </w:t>
      </w:r>
      <w:r w:rsidR="00443010">
        <w:fldChar w:fldCharType="begin"/>
      </w:r>
      <w:r w:rsidR="00443010">
        <w:instrText xml:space="preserve"> STYLEREF 2 \s </w:instrText>
      </w:r>
      <w:r w:rsidR="00443010">
        <w:fldChar w:fldCharType="separate"/>
      </w:r>
      <w:r w:rsidR="000A0E3D">
        <w:rPr>
          <w:noProof/>
        </w:rPr>
        <w:t>4</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2</w:t>
      </w:r>
      <w:r w:rsidR="00443010">
        <w:rPr>
          <w:noProof/>
        </w:rPr>
        <w:fldChar w:fldCharType="end"/>
      </w:r>
      <w:bookmarkEnd w:id="288"/>
      <w:r w:rsidRPr="008A0BB7">
        <w:t xml:space="preserve"> Werner’s base-free catalytic Wittig reaction</w:t>
      </w:r>
      <w:bookmarkEnd w:id="289"/>
    </w:p>
    <w:p w14:paraId="1E97B65E" w14:textId="77777777" w:rsidR="00FF749E" w:rsidRPr="00E47369" w:rsidRDefault="00FF749E" w:rsidP="00F61C82">
      <w:pPr>
        <w:jc w:val="center"/>
        <w:rPr>
          <w:rFonts w:cstheme="minorHAnsi"/>
        </w:rPr>
      </w:pPr>
    </w:p>
    <w:p w14:paraId="3D3C0406" w14:textId="77777777" w:rsidR="00FF749E" w:rsidRDefault="00FF749E" w:rsidP="00BA5329">
      <w:pPr>
        <w:ind w:firstLine="360"/>
        <w:jc w:val="both"/>
        <w:rPr>
          <w:rFonts w:cstheme="minorHAnsi"/>
        </w:rPr>
      </w:pPr>
      <w:r w:rsidRPr="00E47369">
        <w:rPr>
          <w:rFonts w:cstheme="minorHAnsi"/>
          <w:color w:val="000000" w:themeColor="text1"/>
        </w:rPr>
        <w:t>A report published in May 2015 caught our attention. In this letter, T. Werner’s group describes a “base-free catalytic Wittig reaction”.</w:t>
      </w:r>
      <w:r w:rsidRPr="00E47369">
        <w:rPr>
          <w:rFonts w:cstheme="minorHAnsi"/>
          <w:color w:val="000000" w:themeColor="text1"/>
        </w:rPr>
        <w:fldChar w:fldCharType="begin"/>
      </w:r>
      <w:r w:rsidR="00E028D6">
        <w:rPr>
          <w:rFonts w:cstheme="minorHAnsi"/>
          <w:color w:val="000000" w:themeColor="text1"/>
        </w:rPr>
        <w:instrText xml:space="preserve"> ADDIN ZOTERO_ITEM CSL_CITATION {"citationID":"yGapcFYb","properties":{"formattedCitation":"{\\rtf \\super 144\\nosupersub{}}","plainCitation":"144"},"citationItems":[{"id":1687,"uris":["http://zotero.org/users/1624234/items/SJRZ55SS"],"uri":["http://zotero.org/users/1624234/items/SJRZ55SS"],"itemData":{"id":1687,"type":"article-journal","title":"First Base-Free Catalytic Wittig Reaction","container-title":"Organic Letters","page":"3078-3081","volume":"17","issue":"12","source":"ACS Publications","abstract":"The first base-free catalytic Wittig reaction utilizing readily available Bu3P (5 mol %) as an organocatalyst is reported. The initial Michael addition of the phosphine to a suitable acceptor substituted alkene ultimately results in the formation of an ylide which is subsequently converted with an aldehyde. The presented 1H NMR studies actually reveal evidence for the Michael addition and proposed ylide formation. Under the optimized reaction conditions various maleates and fumarates were converted with aromatic, heteroaromatic, and aliphatic aldehydes to evaluate the scope and limitations of this unprecedented reaction. Notably, maleates and fumarates react in a stereoconvergent fashion. The corresponding products were obtained in up to 95% isolated yield and E/Z-selectivities up to 99:1.","DOI":"10.1021/acs.orglett.5b01352","ISSN":"1523-7060","journalAbbreviation":"Org. Lett.","author":[{"family":"Schirmer","given":"Marie-Luis"},{"family":"Adomeit","given":"Sven"},{"family":"Werner","given":"Thomas"}],"issued":{"date-parts":[["2015",6,19]]}}}],"schema":"https://github.com/citation-style-language/schema/raw/master/csl-citation.json"} </w:instrText>
      </w:r>
      <w:r w:rsidRPr="00E47369">
        <w:rPr>
          <w:rFonts w:cstheme="minorHAnsi"/>
          <w:color w:val="000000" w:themeColor="text1"/>
        </w:rPr>
        <w:fldChar w:fldCharType="separate"/>
      </w:r>
      <w:r w:rsidR="00E028D6" w:rsidRPr="00E028D6">
        <w:rPr>
          <w:rFonts w:ascii="Times New Roman" w:hAnsi="Times New Roman"/>
          <w:vertAlign w:val="superscript"/>
        </w:rPr>
        <w:t>144</w:t>
      </w:r>
      <w:r w:rsidRPr="00E47369">
        <w:rPr>
          <w:rFonts w:cstheme="minorHAnsi"/>
          <w:color w:val="000000" w:themeColor="text1"/>
        </w:rPr>
        <w:fldChar w:fldCharType="end"/>
      </w:r>
      <w:r w:rsidRPr="00E47369">
        <w:rPr>
          <w:rFonts w:cstheme="minorHAnsi"/>
          <w:color w:val="000000" w:themeColor="text1"/>
        </w:rPr>
        <w:t xml:space="preserve"> Their system condenses a benzylic aldehyde with diethyl maleate using a catalytic quantity of phosphine and stoichiometric quantity of silane (</w:t>
      </w:r>
      <w:r w:rsidRPr="00E47369">
        <w:rPr>
          <w:rFonts w:cstheme="minorHAnsi"/>
          <w:color w:val="000000" w:themeColor="text1"/>
        </w:rPr>
        <w:fldChar w:fldCharType="begin"/>
      </w:r>
      <w:r w:rsidRPr="00E47369">
        <w:rPr>
          <w:rFonts w:cstheme="minorHAnsi"/>
          <w:color w:val="000000" w:themeColor="text1"/>
        </w:rPr>
        <w:instrText xml:space="preserve"> REF _Ref453708663 \h </w:instrText>
      </w:r>
      <w:r w:rsidR="00F61C82" w:rsidRPr="00E47369">
        <w:rPr>
          <w:rFonts w:cstheme="minorHAnsi"/>
          <w:color w:val="000000" w:themeColor="text1"/>
        </w:rPr>
        <w:instrText xml:space="preserve"> \* MERGEFORMAT </w:instrText>
      </w:r>
      <w:r w:rsidRPr="00E47369">
        <w:rPr>
          <w:rFonts w:cstheme="minorHAnsi"/>
          <w:color w:val="000000" w:themeColor="text1"/>
        </w:rPr>
      </w:r>
      <w:r w:rsidRPr="00E47369">
        <w:rPr>
          <w:rFonts w:cstheme="minorHAnsi"/>
          <w:color w:val="000000" w:themeColor="text1"/>
        </w:rPr>
        <w:fldChar w:fldCharType="separate"/>
      </w:r>
      <w:r w:rsidR="000A0E3D" w:rsidRPr="000A0E3D">
        <w:rPr>
          <w:rFonts w:cstheme="minorHAnsi"/>
        </w:rPr>
        <w:t xml:space="preserve">Figure III. </w:t>
      </w:r>
      <w:r w:rsidR="000A0E3D" w:rsidRPr="000A0E3D">
        <w:rPr>
          <w:rFonts w:cstheme="minorHAnsi"/>
          <w:noProof/>
        </w:rPr>
        <w:t>4.2</w:t>
      </w:r>
      <w:r w:rsidRPr="00E47369">
        <w:rPr>
          <w:rFonts w:cstheme="minorHAnsi"/>
          <w:color w:val="000000" w:themeColor="text1"/>
        </w:rPr>
        <w:fldChar w:fldCharType="end"/>
      </w:r>
      <w:r w:rsidRPr="00E47369">
        <w:rPr>
          <w:rFonts w:cstheme="minorHAnsi"/>
          <w:color w:val="000000" w:themeColor="text1"/>
        </w:rPr>
        <w:t xml:space="preserve">). Werner et al. speculated on the possible catalytic cycle of this reaction: Phosphine adds to the alkene via a Michael addition, this intermediate can form the ylid by a hydrogen shift. The ylid can then react with the aldehyde in a Wittig </w:t>
      </w:r>
      <w:r w:rsidRPr="00E47369">
        <w:rPr>
          <w:rFonts w:cstheme="minorHAnsi"/>
        </w:rPr>
        <w:t>transformation releasing the product and phosphine oxide. The silane can then reduce the phosphine oxide back to phosphine</w:t>
      </w:r>
      <w:r w:rsidR="00267DE7" w:rsidRPr="00E47369">
        <w:rPr>
          <w:rFonts w:cstheme="minorHAnsi"/>
        </w:rPr>
        <w:t xml:space="preserve"> (</w:t>
      </w:r>
      <w:r w:rsidR="00267DE7" w:rsidRPr="00E47369">
        <w:rPr>
          <w:rFonts w:cstheme="minorHAnsi"/>
        </w:rPr>
        <w:fldChar w:fldCharType="begin"/>
      </w:r>
      <w:r w:rsidR="00267DE7" w:rsidRPr="00E47369">
        <w:rPr>
          <w:rFonts w:cstheme="minorHAnsi"/>
        </w:rPr>
        <w:instrText xml:space="preserve"> REF _Ref453708845 \h </w:instrText>
      </w:r>
      <w:r w:rsidR="00F61C82" w:rsidRPr="00E47369">
        <w:rPr>
          <w:rFonts w:cstheme="minorHAnsi"/>
        </w:rPr>
        <w:instrText xml:space="preserve"> \* MERGEFORMAT </w:instrText>
      </w:r>
      <w:r w:rsidR="00267DE7" w:rsidRPr="00E47369">
        <w:rPr>
          <w:rFonts w:cstheme="minorHAnsi"/>
        </w:rPr>
      </w:r>
      <w:r w:rsidR="00267DE7" w:rsidRPr="00E47369">
        <w:rPr>
          <w:rFonts w:cstheme="minorHAnsi"/>
        </w:rPr>
        <w:fldChar w:fldCharType="separate"/>
      </w:r>
      <w:r w:rsidR="000A0E3D" w:rsidRPr="000A0E3D">
        <w:rPr>
          <w:rFonts w:cstheme="minorHAnsi"/>
        </w:rPr>
        <w:t xml:space="preserve">Figure III. </w:t>
      </w:r>
      <w:r w:rsidR="000A0E3D" w:rsidRPr="000A0E3D">
        <w:rPr>
          <w:rFonts w:cstheme="minorHAnsi"/>
          <w:noProof/>
        </w:rPr>
        <w:t>4.3</w:t>
      </w:r>
      <w:r w:rsidR="00267DE7" w:rsidRPr="00E47369">
        <w:rPr>
          <w:rFonts w:cstheme="minorHAnsi"/>
        </w:rPr>
        <w:fldChar w:fldCharType="end"/>
      </w:r>
      <w:r w:rsidR="00267DE7" w:rsidRPr="00E47369">
        <w:rPr>
          <w:rFonts w:cstheme="minorHAnsi"/>
        </w:rPr>
        <w:t>)</w:t>
      </w:r>
      <w:r w:rsidRPr="00E47369">
        <w:rPr>
          <w:rFonts w:cstheme="minorHAnsi"/>
        </w:rPr>
        <w:t xml:space="preserve">. The other interesting feature of the </w:t>
      </w:r>
      <w:r w:rsidR="00BA5329">
        <w:rPr>
          <w:rFonts w:cstheme="minorHAnsi"/>
        </w:rPr>
        <w:t>reaction</w:t>
      </w:r>
      <w:r w:rsidRPr="00E47369">
        <w:rPr>
          <w:rFonts w:cstheme="minorHAnsi"/>
        </w:rPr>
        <w:t xml:space="preserve"> is the favored E selectivity in the product.</w:t>
      </w:r>
    </w:p>
    <w:p w14:paraId="427325C8" w14:textId="77777777" w:rsidR="000A5739" w:rsidRPr="00E47369" w:rsidRDefault="000A5739" w:rsidP="00F61C82">
      <w:pPr>
        <w:ind w:firstLine="720"/>
        <w:jc w:val="both"/>
        <w:rPr>
          <w:rFonts w:cstheme="minorHAnsi"/>
        </w:rPr>
      </w:pPr>
    </w:p>
    <w:p w14:paraId="567D4E0F" w14:textId="77777777" w:rsidR="00FF749E" w:rsidRPr="00E47369" w:rsidRDefault="00FF749E" w:rsidP="00F61C82">
      <w:pPr>
        <w:keepNext/>
        <w:jc w:val="center"/>
        <w:rPr>
          <w:rFonts w:cstheme="minorHAnsi"/>
        </w:rPr>
      </w:pPr>
      <w:r w:rsidRPr="00E47369">
        <w:rPr>
          <w:rFonts w:cstheme="minorHAnsi"/>
        </w:rPr>
        <w:object w:dxaOrig="6045" w:dyaOrig="3996" w14:anchorId="22B924F6">
          <v:shape id="_x0000_i1129" type="#_x0000_t75" style="width:246.85pt;height:164.55pt" o:ole="">
            <v:imagedata r:id="rId294" o:title=""/>
          </v:shape>
          <o:OLEObject Type="Embed" ProgID="ChemDraw.Document.6.0" ShapeID="_x0000_i1129" DrawAspect="Content" ObjectID="_1532784970" r:id="rId295"/>
        </w:object>
      </w:r>
    </w:p>
    <w:p w14:paraId="20287E93" w14:textId="77777777" w:rsidR="00FF749E" w:rsidRPr="008A0BB7" w:rsidRDefault="00FF749E" w:rsidP="008A0BB7">
      <w:pPr>
        <w:pStyle w:val="Caption"/>
      </w:pPr>
      <w:bookmarkStart w:id="290" w:name="_Ref453708845"/>
      <w:bookmarkStart w:id="291" w:name="_Toc457670742"/>
      <w:r w:rsidRPr="008A0BB7">
        <w:t xml:space="preserve">Figure III. </w:t>
      </w:r>
      <w:r w:rsidR="00443010">
        <w:fldChar w:fldCharType="begin"/>
      </w:r>
      <w:r w:rsidR="00443010">
        <w:instrText xml:space="preserve"> STYLEREF 2 \s </w:instrText>
      </w:r>
      <w:r w:rsidR="00443010">
        <w:fldChar w:fldCharType="separate"/>
      </w:r>
      <w:r w:rsidR="000A0E3D">
        <w:rPr>
          <w:noProof/>
        </w:rPr>
        <w:t>4</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3</w:t>
      </w:r>
      <w:r w:rsidR="00443010">
        <w:rPr>
          <w:noProof/>
        </w:rPr>
        <w:fldChar w:fldCharType="end"/>
      </w:r>
      <w:bookmarkEnd w:id="290"/>
      <w:r w:rsidRPr="008A0BB7">
        <w:t xml:space="preserve"> Proposed mechanism for reaction</w:t>
      </w:r>
      <w:bookmarkEnd w:id="291"/>
    </w:p>
    <w:p w14:paraId="4C8CA12C" w14:textId="77777777" w:rsidR="00FF749E" w:rsidRPr="00E47369" w:rsidRDefault="00FF749E" w:rsidP="00F61C82">
      <w:pPr>
        <w:jc w:val="center"/>
        <w:rPr>
          <w:rFonts w:cstheme="minorHAnsi"/>
        </w:rPr>
      </w:pPr>
    </w:p>
    <w:p w14:paraId="0FBCEE51" w14:textId="0BB0E710" w:rsidR="00537311" w:rsidRPr="00E47369" w:rsidRDefault="00FF749E" w:rsidP="00537311">
      <w:pPr>
        <w:ind w:firstLine="360"/>
        <w:jc w:val="both"/>
        <w:rPr>
          <w:rFonts w:cstheme="minorHAnsi"/>
        </w:rPr>
      </w:pPr>
      <w:r w:rsidRPr="00E47369">
        <w:rPr>
          <w:rFonts w:cstheme="minorHAnsi"/>
          <w:color w:val="000000" w:themeColor="text1"/>
        </w:rPr>
        <w:t>Although it is debatable whether this reaction can be call</w:t>
      </w:r>
      <w:r w:rsidR="007268E7">
        <w:rPr>
          <w:rFonts w:cstheme="minorHAnsi"/>
          <w:color w:val="000000" w:themeColor="text1"/>
        </w:rPr>
        <w:t>ed</w:t>
      </w:r>
      <w:r w:rsidRPr="00E47369">
        <w:rPr>
          <w:rFonts w:cstheme="minorHAnsi"/>
          <w:color w:val="000000" w:themeColor="text1"/>
        </w:rPr>
        <w:t xml:space="preserve"> a Wittig reaction or not, we could see in this system the potential for tandemizing it with our DODH system. In fact, in 2012, we conducted a study of benzyl alcohol as </w:t>
      </w:r>
      <w:r w:rsidR="007268E7">
        <w:rPr>
          <w:rFonts w:cstheme="minorHAnsi"/>
          <w:color w:val="000000" w:themeColor="text1"/>
        </w:rPr>
        <w:t xml:space="preserve">DODH </w:t>
      </w:r>
      <w:r w:rsidRPr="00E47369">
        <w:rPr>
          <w:rFonts w:cstheme="minorHAnsi"/>
          <w:color w:val="000000" w:themeColor="text1"/>
        </w:rPr>
        <w:t>reducing agent.</w:t>
      </w:r>
      <w:r w:rsidRPr="00E47369">
        <w:rPr>
          <w:rFonts w:cstheme="minorHAnsi"/>
          <w:color w:val="000000" w:themeColor="text1"/>
        </w:rPr>
        <w:fldChar w:fldCharType="begin"/>
      </w:r>
      <w:r w:rsidRPr="00E47369">
        <w:rPr>
          <w:rFonts w:cstheme="minorHAnsi"/>
          <w:color w:val="000000" w:themeColor="text1"/>
        </w:rPr>
        <w:instrText xml:space="preserve"> ADDIN ZOTERO_ITEM CSL_CITATION {"citationID":"2n2c81od3i","properties":{"formattedCitation":"{\\rtf \\super 46\\nosupersub{}}","plainCitation":"46"},"citationItems":[{"id":435,"uris":["http://zotero.org/users/1624234/items/VS4SE8DS"],"uri":["http://zotero.org/users/1624234/items/VS4SE8DS"],"itemData":{"id":435,"type":"article-journal","title":"Catalytic Deoxydehydration of Glycols with Alcohol Reductants","container-title":"ChemSusChem","page":"597-599","volume":"6","issue":"4","source":"CrossRef","DOI":"10.1002/cssc.201200781","ISSN":"18645631","author":[{"family":"Boucher-Jacobs","given":"Camille"},{"family":"Nicholas","given":"Kenneth M."}],"issued":{"date-parts":[["2013",4]]}}}],"schema":"https://github.com/citation-style-language/schema/raw/master/csl-citation.json"} </w:instrText>
      </w:r>
      <w:r w:rsidRPr="00E47369">
        <w:rPr>
          <w:rFonts w:cstheme="minorHAnsi"/>
          <w:color w:val="000000" w:themeColor="text1"/>
        </w:rPr>
        <w:fldChar w:fldCharType="separate"/>
      </w:r>
      <w:r w:rsidRPr="00E47369">
        <w:rPr>
          <w:rFonts w:cstheme="minorHAnsi"/>
          <w:vertAlign w:val="superscript"/>
        </w:rPr>
        <w:t>46</w:t>
      </w:r>
      <w:r w:rsidRPr="00E47369">
        <w:rPr>
          <w:rFonts w:cstheme="minorHAnsi"/>
          <w:color w:val="000000" w:themeColor="text1"/>
        </w:rPr>
        <w:fldChar w:fldCharType="end"/>
      </w:r>
      <w:r w:rsidRPr="00E47369">
        <w:rPr>
          <w:rFonts w:cstheme="minorHAnsi"/>
          <w:color w:val="000000" w:themeColor="text1"/>
        </w:rPr>
        <w:t xml:space="preserve"> One of the diols used in this study was diethyl tartrate (and provided a very high yield in diethyl fumarate (99%). The reaction conditions for our DODH system, benzene, 150</w:t>
      </w:r>
      <w:r w:rsidRPr="00E47369">
        <w:rPr>
          <w:rFonts w:cstheme="minorHAnsi"/>
          <w:color w:val="000000" w:themeColor="text1"/>
          <w:vertAlign w:val="superscript"/>
        </w:rPr>
        <w:t>o</w:t>
      </w:r>
      <w:r w:rsidRPr="00E47369">
        <w:rPr>
          <w:rFonts w:cstheme="minorHAnsi"/>
          <w:color w:val="000000" w:themeColor="text1"/>
        </w:rPr>
        <w:t>C, 24h are really similar those repo</w:t>
      </w:r>
      <w:r w:rsidR="007268E7">
        <w:rPr>
          <w:rFonts w:cstheme="minorHAnsi"/>
          <w:color w:val="000000" w:themeColor="text1"/>
        </w:rPr>
        <w:t>rted by Werner for his reaction</w:t>
      </w:r>
      <w:r w:rsidRPr="00E47369">
        <w:rPr>
          <w:rFonts w:cstheme="minorHAnsi"/>
          <w:color w:val="000000" w:themeColor="text1"/>
        </w:rPr>
        <w:t>. We therefore planned to develop a DODH/Werner-Wittig tandem r</w:t>
      </w:r>
      <w:r w:rsidRPr="00E47369">
        <w:rPr>
          <w:rFonts w:cstheme="minorHAnsi"/>
        </w:rPr>
        <w:t>eaction.</w:t>
      </w:r>
    </w:p>
    <w:p w14:paraId="60B72168" w14:textId="77777777" w:rsidR="00FF749E" w:rsidRPr="00E47369" w:rsidRDefault="00FF749E" w:rsidP="00F61C82">
      <w:pPr>
        <w:keepNext/>
        <w:jc w:val="center"/>
        <w:rPr>
          <w:rFonts w:cstheme="minorHAnsi"/>
        </w:rPr>
      </w:pPr>
      <w:r w:rsidRPr="00E47369">
        <w:rPr>
          <w:rFonts w:cstheme="minorHAnsi"/>
        </w:rPr>
        <w:object w:dxaOrig="7510" w:dyaOrig="2589" w14:anchorId="33CBB2B5">
          <v:shape id="_x0000_i1130" type="#_x0000_t75" style="width:293.55pt;height:102.85pt" o:ole="">
            <v:imagedata r:id="rId296" o:title=""/>
          </v:shape>
          <o:OLEObject Type="Embed" ProgID="ChemDraw.Document.6.0" ShapeID="_x0000_i1130" DrawAspect="Content" ObjectID="_1532784971" r:id="rId297"/>
        </w:object>
      </w:r>
    </w:p>
    <w:p w14:paraId="744EA56C" w14:textId="021C38D5" w:rsidR="00FF749E" w:rsidRPr="00537311" w:rsidRDefault="00FF749E" w:rsidP="00537311">
      <w:pPr>
        <w:pStyle w:val="Caption"/>
      </w:pPr>
      <w:bookmarkStart w:id="292" w:name="_Ref453708770"/>
      <w:bookmarkStart w:id="293" w:name="_Toc457670743"/>
      <w:r w:rsidRPr="00A40A97">
        <w:t xml:space="preserve">Figure III. </w:t>
      </w:r>
      <w:r w:rsidR="00443010">
        <w:fldChar w:fldCharType="begin"/>
      </w:r>
      <w:r w:rsidR="00443010">
        <w:instrText xml:space="preserve"> STYLEREF 2 \s </w:instrText>
      </w:r>
      <w:r w:rsidR="00443010">
        <w:fldChar w:fldCharType="separate"/>
      </w:r>
      <w:r w:rsidR="000A0E3D">
        <w:rPr>
          <w:noProof/>
        </w:rPr>
        <w:t>4</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4</w:t>
      </w:r>
      <w:r w:rsidR="00443010">
        <w:rPr>
          <w:noProof/>
        </w:rPr>
        <w:fldChar w:fldCharType="end"/>
      </w:r>
      <w:bookmarkEnd w:id="292"/>
      <w:r w:rsidRPr="00A40A97">
        <w:t xml:space="preserve"> DODH/ “base free catalytic” Wittig tandem reaction concept</w:t>
      </w:r>
      <w:bookmarkEnd w:id="293"/>
    </w:p>
    <w:p w14:paraId="082D2623" w14:textId="3B13C709" w:rsidR="00FF749E" w:rsidRPr="00E47369" w:rsidRDefault="00FF749E" w:rsidP="000351A7">
      <w:pPr>
        <w:pStyle w:val="Heading3"/>
      </w:pPr>
      <w:bookmarkStart w:id="294" w:name="_Toc458938317"/>
      <w:r w:rsidRPr="00E47369">
        <w:t xml:space="preserve">Study of the tandem </w:t>
      </w:r>
      <w:r w:rsidR="002F0E0A">
        <w:t>s</w:t>
      </w:r>
      <w:r w:rsidRPr="00E47369">
        <w:t>ystem</w:t>
      </w:r>
      <w:bookmarkEnd w:id="294"/>
    </w:p>
    <w:p w14:paraId="471CB09B" w14:textId="77777777" w:rsidR="00FF749E" w:rsidRDefault="00FF749E" w:rsidP="00F61C82">
      <w:pPr>
        <w:ind w:firstLine="360"/>
        <w:jc w:val="both"/>
        <w:rPr>
          <w:rFonts w:cstheme="minorHAnsi"/>
        </w:rPr>
      </w:pPr>
      <w:r w:rsidRPr="00E47369">
        <w:rPr>
          <w:rFonts w:cstheme="minorHAnsi"/>
          <w:color w:val="000000" w:themeColor="text1"/>
        </w:rPr>
        <w:t xml:space="preserve">Because this tandem system would require mixing several reagents and since the compatibility of these was uncertain, we took a step-by-step approach. </w:t>
      </w:r>
      <w:r w:rsidR="007268E7">
        <w:rPr>
          <w:rFonts w:cstheme="minorHAnsi"/>
          <w:color w:val="000000" w:themeColor="text1"/>
        </w:rPr>
        <w:t>O</w:t>
      </w:r>
      <w:r w:rsidRPr="00E47369">
        <w:rPr>
          <w:rFonts w:cstheme="minorHAnsi"/>
          <w:color w:val="000000" w:themeColor="text1"/>
        </w:rPr>
        <w:t>ur first experiment was conducted at the concentration and temperature of the DODH reaction. It consisted of taking a portion of the DODH reaction mixture (99% yield of diethyl fumarate and 85% in benzaldehyd</w:t>
      </w:r>
      <w:r w:rsidRPr="00E47369">
        <w:rPr>
          <w:rFonts w:cstheme="minorHAnsi"/>
        </w:rPr>
        <w:t xml:space="preserve">e) without any treatment and adding to it the phosphine reagent for </w:t>
      </w:r>
      <w:r w:rsidRPr="00E47369">
        <w:rPr>
          <w:rFonts w:cstheme="minorHAnsi"/>
          <w:color w:val="000000" w:themeColor="text1"/>
        </w:rPr>
        <w:t>Werner’s reaction in stoichiometric quantity (</w:t>
      </w:r>
      <w:r w:rsidR="00267DE7" w:rsidRPr="00E47369">
        <w:rPr>
          <w:rFonts w:cstheme="minorHAnsi"/>
          <w:color w:val="000000" w:themeColor="text1"/>
        </w:rPr>
        <w:fldChar w:fldCharType="begin"/>
      </w:r>
      <w:r w:rsidR="00267DE7" w:rsidRPr="00E47369">
        <w:rPr>
          <w:rFonts w:cstheme="minorHAnsi"/>
          <w:color w:val="000000" w:themeColor="text1"/>
        </w:rPr>
        <w:instrText xml:space="preserve"> REF _Ref453708910 \h </w:instrText>
      </w:r>
      <w:r w:rsidR="00F61C82" w:rsidRPr="00E47369">
        <w:rPr>
          <w:rFonts w:cstheme="minorHAnsi"/>
          <w:color w:val="000000" w:themeColor="text1"/>
        </w:rPr>
        <w:instrText xml:space="preserve"> \* MERGEFORMAT </w:instrText>
      </w:r>
      <w:r w:rsidR="00267DE7" w:rsidRPr="00E47369">
        <w:rPr>
          <w:rFonts w:cstheme="minorHAnsi"/>
          <w:color w:val="000000" w:themeColor="text1"/>
        </w:rPr>
      </w:r>
      <w:r w:rsidR="00267DE7" w:rsidRPr="00E47369">
        <w:rPr>
          <w:rFonts w:cstheme="minorHAnsi"/>
          <w:color w:val="000000" w:themeColor="text1"/>
        </w:rPr>
        <w:fldChar w:fldCharType="separate"/>
      </w:r>
      <w:r w:rsidR="000A0E3D" w:rsidRPr="000A0E3D">
        <w:rPr>
          <w:rFonts w:cstheme="minorHAnsi"/>
        </w:rPr>
        <w:t xml:space="preserve">Figure III. </w:t>
      </w:r>
      <w:r w:rsidR="000A0E3D" w:rsidRPr="000A0E3D">
        <w:rPr>
          <w:rFonts w:cstheme="minorHAnsi"/>
          <w:noProof/>
        </w:rPr>
        <w:t>4.5</w:t>
      </w:r>
      <w:r w:rsidR="00267DE7" w:rsidRPr="00E47369">
        <w:rPr>
          <w:rFonts w:cstheme="minorHAnsi"/>
          <w:color w:val="000000" w:themeColor="text1"/>
        </w:rPr>
        <w:fldChar w:fldCharType="end"/>
      </w:r>
      <w:r w:rsidRPr="00E47369">
        <w:rPr>
          <w:rFonts w:cstheme="minorHAnsi"/>
          <w:color w:val="000000" w:themeColor="text1"/>
        </w:rPr>
        <w:t xml:space="preserve">). This reaction was a success and gave 84% </w:t>
      </w:r>
      <w:r w:rsidR="007268E7">
        <w:rPr>
          <w:rFonts w:cstheme="minorHAnsi"/>
          <w:color w:val="000000" w:themeColor="text1"/>
        </w:rPr>
        <w:t xml:space="preserve">yield in the desired product </w:t>
      </w:r>
      <w:r w:rsidR="00267DE7" w:rsidRPr="00E47369">
        <w:rPr>
          <w:rFonts w:cstheme="minorHAnsi"/>
          <w:b/>
          <w:color w:val="000000" w:themeColor="text1"/>
        </w:rPr>
        <w:t>1</w:t>
      </w:r>
      <w:r w:rsidRPr="00E47369">
        <w:rPr>
          <w:rFonts w:cstheme="minorHAnsi"/>
          <w:color w:val="000000" w:themeColor="text1"/>
        </w:rPr>
        <w:t xml:space="preserve"> </w:t>
      </w:r>
      <w:r w:rsidR="00F03D56">
        <w:rPr>
          <w:rFonts w:cstheme="minorHAnsi"/>
          <w:color w:val="000000" w:themeColor="text1"/>
        </w:rPr>
        <w:t>,</w:t>
      </w:r>
      <w:r w:rsidR="00267DE7" w:rsidRPr="00E47369">
        <w:rPr>
          <w:rFonts w:cstheme="minorHAnsi"/>
          <w:color w:val="000000" w:themeColor="text1"/>
        </w:rPr>
        <w:fldChar w:fldCharType="begin"/>
      </w:r>
      <w:r w:rsidR="00267DE7" w:rsidRPr="00E47369">
        <w:rPr>
          <w:rFonts w:cstheme="minorHAnsi"/>
          <w:color w:val="000000" w:themeColor="text1"/>
        </w:rPr>
        <w:instrText xml:space="preserve"> REF _Ref453708910 \h </w:instrText>
      </w:r>
      <w:r w:rsidR="00F61C82" w:rsidRPr="00E47369">
        <w:rPr>
          <w:rFonts w:cstheme="minorHAnsi"/>
          <w:color w:val="000000" w:themeColor="text1"/>
        </w:rPr>
        <w:instrText xml:space="preserve"> \* MERGEFORMAT </w:instrText>
      </w:r>
      <w:r w:rsidR="00267DE7" w:rsidRPr="00E47369">
        <w:rPr>
          <w:rFonts w:cstheme="minorHAnsi"/>
          <w:color w:val="000000" w:themeColor="text1"/>
        </w:rPr>
      </w:r>
      <w:r w:rsidR="00267DE7" w:rsidRPr="00E47369">
        <w:rPr>
          <w:rFonts w:cstheme="minorHAnsi"/>
          <w:color w:val="000000" w:themeColor="text1"/>
        </w:rPr>
        <w:fldChar w:fldCharType="separate"/>
      </w:r>
      <w:r w:rsidR="000A0E3D" w:rsidRPr="000A0E3D">
        <w:rPr>
          <w:rFonts w:cstheme="minorHAnsi"/>
        </w:rPr>
        <w:t xml:space="preserve">Figure III. </w:t>
      </w:r>
      <w:r w:rsidR="000A0E3D" w:rsidRPr="000A0E3D">
        <w:rPr>
          <w:rFonts w:cstheme="minorHAnsi"/>
          <w:noProof/>
        </w:rPr>
        <w:t>4.5</w:t>
      </w:r>
      <w:r w:rsidR="00267DE7" w:rsidRPr="00E47369">
        <w:rPr>
          <w:rFonts w:cstheme="minorHAnsi"/>
          <w:color w:val="000000" w:themeColor="text1"/>
        </w:rPr>
        <w:fldChar w:fldCharType="end"/>
      </w:r>
      <w:r w:rsidR="00F03D56">
        <w:rPr>
          <w:rFonts w:cstheme="minorHAnsi"/>
          <w:color w:val="000000" w:themeColor="text1"/>
        </w:rPr>
        <w:t>,</w:t>
      </w:r>
      <w:r w:rsidRPr="00E47369">
        <w:rPr>
          <w:rFonts w:cstheme="minorHAnsi"/>
          <w:color w:val="000000" w:themeColor="text1"/>
        </w:rPr>
        <w:t xml:space="preserve"> and 99% conversion of the benzaldehyde </w:t>
      </w:r>
      <w:r w:rsidRPr="00E47369">
        <w:rPr>
          <w:rFonts w:cstheme="minorHAnsi"/>
        </w:rPr>
        <w:t>present in the DODH reaction mixture. (Conversion determined by NMR)</w:t>
      </w:r>
    </w:p>
    <w:p w14:paraId="32B00460" w14:textId="77777777" w:rsidR="00A40A97" w:rsidRPr="00E47369" w:rsidRDefault="00A40A97" w:rsidP="00F61C82">
      <w:pPr>
        <w:ind w:firstLine="360"/>
        <w:jc w:val="both"/>
        <w:rPr>
          <w:rFonts w:cstheme="minorHAnsi"/>
        </w:rPr>
      </w:pPr>
    </w:p>
    <w:p w14:paraId="25A49717" w14:textId="77777777" w:rsidR="00267DE7" w:rsidRPr="00E47369" w:rsidRDefault="00267DE7" w:rsidP="00F61C82">
      <w:pPr>
        <w:keepNext/>
        <w:jc w:val="center"/>
        <w:rPr>
          <w:rFonts w:cstheme="minorHAnsi"/>
        </w:rPr>
      </w:pPr>
      <w:r w:rsidRPr="00E47369">
        <w:rPr>
          <w:rFonts w:cstheme="minorHAnsi"/>
        </w:rPr>
        <w:object w:dxaOrig="6736" w:dyaOrig="1881" w14:anchorId="28938C38">
          <v:shape id="_x0000_i1131" type="#_x0000_t75" style="width:292.75pt;height:82.3pt" o:ole="">
            <v:imagedata r:id="rId298" o:title=""/>
          </v:shape>
          <o:OLEObject Type="Embed" ProgID="ChemDraw.Document.6.0" ShapeID="_x0000_i1131" DrawAspect="Content" ObjectID="_1532784972" r:id="rId299"/>
        </w:object>
      </w:r>
    </w:p>
    <w:p w14:paraId="36451A62" w14:textId="77777777" w:rsidR="00FF749E" w:rsidRPr="00A40A97" w:rsidRDefault="00267DE7" w:rsidP="00A40A97">
      <w:pPr>
        <w:pStyle w:val="Caption"/>
      </w:pPr>
      <w:bookmarkStart w:id="295" w:name="_Ref453708910"/>
      <w:bookmarkStart w:id="296" w:name="_Toc457670744"/>
      <w:r w:rsidRPr="00A40A97">
        <w:t xml:space="preserve">Figure III. </w:t>
      </w:r>
      <w:r w:rsidR="00443010">
        <w:fldChar w:fldCharType="begin"/>
      </w:r>
      <w:r w:rsidR="00443010">
        <w:instrText xml:space="preserve"> STYLEREF 2 \s </w:instrText>
      </w:r>
      <w:r w:rsidR="00443010">
        <w:fldChar w:fldCharType="separate"/>
      </w:r>
      <w:r w:rsidR="000A0E3D">
        <w:rPr>
          <w:noProof/>
        </w:rPr>
        <w:t>4</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5</w:t>
      </w:r>
      <w:r w:rsidR="00443010">
        <w:rPr>
          <w:noProof/>
        </w:rPr>
        <w:fldChar w:fldCharType="end"/>
      </w:r>
      <w:bookmarkEnd w:id="295"/>
      <w:r w:rsidRPr="00A40A97">
        <w:t xml:space="preserve"> </w:t>
      </w:r>
      <w:r w:rsidR="00FF749E" w:rsidRPr="00A40A97">
        <w:t>Compatibility test of Bu</w:t>
      </w:r>
      <w:r w:rsidR="00FF749E" w:rsidRPr="00A40A97">
        <w:rPr>
          <w:vertAlign w:val="subscript"/>
        </w:rPr>
        <w:t>3</w:t>
      </w:r>
      <w:r w:rsidR="00FF749E" w:rsidRPr="00A40A97">
        <w:t>P with DODH mixture</w:t>
      </w:r>
      <w:bookmarkEnd w:id="296"/>
    </w:p>
    <w:p w14:paraId="1411F0F4" w14:textId="77777777" w:rsidR="00FF749E" w:rsidRPr="00E47369" w:rsidRDefault="00FF749E" w:rsidP="00F61C82">
      <w:pPr>
        <w:jc w:val="center"/>
        <w:rPr>
          <w:rFonts w:cstheme="minorHAnsi"/>
        </w:rPr>
      </w:pPr>
    </w:p>
    <w:p w14:paraId="0F5581D5" w14:textId="77777777" w:rsidR="00FF749E" w:rsidRPr="00E47369" w:rsidRDefault="00FF749E" w:rsidP="00223470">
      <w:pPr>
        <w:ind w:firstLine="360"/>
        <w:jc w:val="both"/>
        <w:rPr>
          <w:rFonts w:cstheme="minorHAnsi"/>
        </w:rPr>
      </w:pPr>
      <w:r w:rsidRPr="00E47369">
        <w:rPr>
          <w:rFonts w:cstheme="minorHAnsi"/>
          <w:color w:val="000000" w:themeColor="text1"/>
        </w:rPr>
        <w:t>We concluded that the DODH products and left over catalyst didn’t interfere with the Werner-Wittig reaction. Our follow up experiment was to run the tandem reaction starting from diethyl tartrate using the phosphine reagent stoichiometrically along with the DODH reactants and catalyst. This reactio</w:t>
      </w:r>
      <w:r w:rsidR="00F03D56">
        <w:rPr>
          <w:rFonts w:cstheme="minorHAnsi"/>
          <w:color w:val="000000" w:themeColor="text1"/>
        </w:rPr>
        <w:t xml:space="preserve">n produced no coupling product </w:t>
      </w:r>
      <w:r w:rsidRPr="00E47369">
        <w:rPr>
          <w:rFonts w:cstheme="minorHAnsi"/>
          <w:b/>
          <w:color w:val="000000" w:themeColor="text1"/>
        </w:rPr>
        <w:t>1</w:t>
      </w:r>
      <w:r w:rsidRPr="00E47369">
        <w:rPr>
          <w:rFonts w:cstheme="minorHAnsi"/>
          <w:color w:val="000000" w:themeColor="text1"/>
        </w:rPr>
        <w:t xml:space="preserve">, </w:t>
      </w:r>
      <w:r w:rsidR="00ED5CD1" w:rsidRPr="00E47369">
        <w:rPr>
          <w:rFonts w:cstheme="minorHAnsi"/>
          <w:color w:val="000000" w:themeColor="text1"/>
        </w:rPr>
        <w:fldChar w:fldCharType="begin"/>
      </w:r>
      <w:r w:rsidR="00ED5CD1" w:rsidRPr="00E47369">
        <w:rPr>
          <w:rFonts w:cstheme="minorHAnsi"/>
          <w:color w:val="000000" w:themeColor="text1"/>
        </w:rPr>
        <w:instrText xml:space="preserve"> REF _Ref453745517 \h </w:instrText>
      </w:r>
      <w:r w:rsidR="00F61C82" w:rsidRPr="00E47369">
        <w:rPr>
          <w:rFonts w:cstheme="minorHAnsi"/>
          <w:color w:val="000000" w:themeColor="text1"/>
        </w:rPr>
        <w:instrText xml:space="preserve"> \* MERGEFORMAT </w:instrText>
      </w:r>
      <w:r w:rsidR="00ED5CD1" w:rsidRPr="00E47369">
        <w:rPr>
          <w:rFonts w:cstheme="minorHAnsi"/>
          <w:color w:val="000000" w:themeColor="text1"/>
        </w:rPr>
      </w:r>
      <w:r w:rsidR="00ED5CD1" w:rsidRPr="00E47369">
        <w:rPr>
          <w:rFonts w:cstheme="minorHAnsi"/>
          <w:color w:val="000000" w:themeColor="text1"/>
        </w:rPr>
        <w:fldChar w:fldCharType="separate"/>
      </w:r>
      <w:r w:rsidR="000A0E3D" w:rsidRPr="000A0E3D">
        <w:rPr>
          <w:rFonts w:cstheme="minorHAnsi"/>
        </w:rPr>
        <w:t xml:space="preserve">Figure III. </w:t>
      </w:r>
      <w:r w:rsidR="000A0E3D" w:rsidRPr="000A0E3D">
        <w:rPr>
          <w:rFonts w:cstheme="minorHAnsi"/>
          <w:noProof/>
        </w:rPr>
        <w:t>4.6</w:t>
      </w:r>
      <w:r w:rsidR="00ED5CD1" w:rsidRPr="00E47369">
        <w:rPr>
          <w:rFonts w:cstheme="minorHAnsi"/>
          <w:color w:val="000000" w:themeColor="text1"/>
        </w:rPr>
        <w:fldChar w:fldCharType="end"/>
      </w:r>
      <w:r w:rsidRPr="00E47369">
        <w:rPr>
          <w:rFonts w:cstheme="minorHAnsi"/>
          <w:color w:val="000000" w:themeColor="text1"/>
        </w:rPr>
        <w:t xml:space="preserve">, no benzaldehyde, and a very small amount of the fumarate product. From the </w:t>
      </w:r>
      <w:r w:rsidRPr="00E47369">
        <w:rPr>
          <w:rFonts w:cstheme="minorHAnsi"/>
          <w:color w:val="000000" w:themeColor="text1"/>
          <w:vertAlign w:val="superscript"/>
        </w:rPr>
        <w:t>1</w:t>
      </w:r>
      <w:r w:rsidRPr="00E47369">
        <w:rPr>
          <w:rFonts w:cstheme="minorHAnsi"/>
          <w:color w:val="000000" w:themeColor="text1"/>
        </w:rPr>
        <w:t>H NMR spectrum we concluded that the presence of a large quantity of PBu</w:t>
      </w:r>
      <w:r w:rsidRPr="00E47369">
        <w:rPr>
          <w:rFonts w:cstheme="minorHAnsi"/>
          <w:color w:val="000000" w:themeColor="text1"/>
          <w:vertAlign w:val="subscript"/>
        </w:rPr>
        <w:t>3</w:t>
      </w:r>
      <w:r w:rsidRPr="00E47369">
        <w:rPr>
          <w:rFonts w:cstheme="minorHAnsi"/>
          <w:color w:val="000000" w:themeColor="text1"/>
        </w:rPr>
        <w:t xml:space="preserve"> had pr</w:t>
      </w:r>
      <w:r w:rsidRPr="00E47369">
        <w:rPr>
          <w:rFonts w:cstheme="minorHAnsi"/>
        </w:rPr>
        <w:t xml:space="preserve">omoted trans-esterification of the tartrate starting material and the benzyl alcohol. </w:t>
      </w:r>
    </w:p>
    <w:p w14:paraId="5E627CE7" w14:textId="77777777" w:rsidR="00ED5CD1" w:rsidRPr="00E47369" w:rsidRDefault="00ED5CD1" w:rsidP="00F61C82">
      <w:pPr>
        <w:keepNext/>
        <w:jc w:val="center"/>
        <w:rPr>
          <w:rFonts w:cstheme="minorHAnsi"/>
        </w:rPr>
      </w:pPr>
      <w:r w:rsidRPr="00E47369">
        <w:rPr>
          <w:rFonts w:cstheme="minorHAnsi"/>
        </w:rPr>
        <w:object w:dxaOrig="10663" w:dyaOrig="1433" w14:anchorId="3F76F83E">
          <v:shape id="_x0000_i1132" type="#_x0000_t75" style="width:396.4pt;height:51.45pt" o:ole="">
            <v:imagedata r:id="rId300" o:title=""/>
          </v:shape>
          <o:OLEObject Type="Embed" ProgID="ChemDraw.Document.6.0" ShapeID="_x0000_i1132" DrawAspect="Content" ObjectID="_1532784973" r:id="rId301"/>
        </w:object>
      </w:r>
    </w:p>
    <w:p w14:paraId="035E906D" w14:textId="77777777" w:rsidR="00FF749E" w:rsidRPr="00A40A97" w:rsidRDefault="00ED5CD1" w:rsidP="00A40A97">
      <w:pPr>
        <w:pStyle w:val="Caption"/>
      </w:pPr>
      <w:bookmarkStart w:id="297" w:name="_Ref453745517"/>
      <w:bookmarkStart w:id="298" w:name="_Toc457670745"/>
      <w:r w:rsidRPr="00A40A97">
        <w:t xml:space="preserve">Figure III. </w:t>
      </w:r>
      <w:r w:rsidR="00443010">
        <w:fldChar w:fldCharType="begin"/>
      </w:r>
      <w:r w:rsidR="00443010">
        <w:instrText xml:space="preserve"> STYLEREF 2 \s </w:instrText>
      </w:r>
      <w:r w:rsidR="00443010">
        <w:fldChar w:fldCharType="separate"/>
      </w:r>
      <w:r w:rsidR="000A0E3D">
        <w:rPr>
          <w:noProof/>
        </w:rPr>
        <w:t>4</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6</w:t>
      </w:r>
      <w:r w:rsidR="00443010">
        <w:rPr>
          <w:noProof/>
        </w:rPr>
        <w:fldChar w:fldCharType="end"/>
      </w:r>
      <w:bookmarkEnd w:id="297"/>
      <w:r w:rsidRPr="00A40A97">
        <w:t xml:space="preserve"> </w:t>
      </w:r>
      <w:r w:rsidR="00FF749E" w:rsidRPr="00A40A97">
        <w:t xml:space="preserve">Tandem reaction </w:t>
      </w:r>
      <w:r w:rsidRPr="00A40A97">
        <w:t>us</w:t>
      </w:r>
      <w:r w:rsidR="00FF749E" w:rsidRPr="00A40A97">
        <w:t>ing Bu</w:t>
      </w:r>
      <w:r w:rsidR="00FF749E" w:rsidRPr="00A40A97">
        <w:rPr>
          <w:vertAlign w:val="subscript"/>
        </w:rPr>
        <w:t>3</w:t>
      </w:r>
      <w:r w:rsidR="00FF749E" w:rsidRPr="00A40A97">
        <w:t>P as stoichiometric reagent</w:t>
      </w:r>
      <w:bookmarkEnd w:id="298"/>
    </w:p>
    <w:p w14:paraId="5DD7454A" w14:textId="77777777" w:rsidR="00FF749E" w:rsidRPr="00E47369" w:rsidRDefault="00FF749E" w:rsidP="00F61C82">
      <w:pPr>
        <w:jc w:val="center"/>
        <w:rPr>
          <w:rFonts w:cstheme="minorHAnsi"/>
        </w:rPr>
      </w:pPr>
    </w:p>
    <w:p w14:paraId="268A21B8" w14:textId="77777777" w:rsidR="00FF749E" w:rsidRPr="00E47369" w:rsidRDefault="00FF749E" w:rsidP="00223470">
      <w:pPr>
        <w:ind w:firstLine="360"/>
        <w:jc w:val="both"/>
        <w:rPr>
          <w:rFonts w:cstheme="minorHAnsi"/>
        </w:rPr>
      </w:pPr>
      <w:r w:rsidRPr="00E47369">
        <w:rPr>
          <w:rFonts w:cstheme="minorHAnsi"/>
          <w:color w:val="000000" w:themeColor="text1"/>
        </w:rPr>
        <w:t xml:space="preserve">Since the phosphine should be used only in a catalytic amount when using silane stoichiometrically, we decided to continue the study and ran an experiment using a portion of a DODH product mixture as in </w:t>
      </w:r>
      <w:r w:rsidR="00ED5CD1" w:rsidRPr="00E47369">
        <w:rPr>
          <w:rFonts w:cstheme="minorHAnsi"/>
          <w:color w:val="000000" w:themeColor="text1"/>
        </w:rPr>
        <w:fldChar w:fldCharType="begin"/>
      </w:r>
      <w:r w:rsidR="00ED5CD1" w:rsidRPr="00E47369">
        <w:rPr>
          <w:rFonts w:cstheme="minorHAnsi"/>
          <w:color w:val="000000" w:themeColor="text1"/>
        </w:rPr>
        <w:instrText xml:space="preserve"> REF _Ref453708910 \h </w:instrText>
      </w:r>
      <w:r w:rsidR="00F61C82" w:rsidRPr="00E47369">
        <w:rPr>
          <w:rFonts w:cstheme="minorHAnsi"/>
          <w:color w:val="000000" w:themeColor="text1"/>
        </w:rPr>
        <w:instrText xml:space="preserve"> \* MERGEFORMAT </w:instrText>
      </w:r>
      <w:r w:rsidR="00ED5CD1" w:rsidRPr="00E47369">
        <w:rPr>
          <w:rFonts w:cstheme="minorHAnsi"/>
          <w:color w:val="000000" w:themeColor="text1"/>
        </w:rPr>
      </w:r>
      <w:r w:rsidR="00ED5CD1" w:rsidRPr="00E47369">
        <w:rPr>
          <w:rFonts w:cstheme="minorHAnsi"/>
          <w:color w:val="000000" w:themeColor="text1"/>
        </w:rPr>
        <w:fldChar w:fldCharType="separate"/>
      </w:r>
      <w:r w:rsidR="000A0E3D" w:rsidRPr="000A0E3D">
        <w:rPr>
          <w:rFonts w:cstheme="minorHAnsi"/>
        </w:rPr>
        <w:t xml:space="preserve">Figure III. </w:t>
      </w:r>
      <w:r w:rsidR="000A0E3D" w:rsidRPr="000A0E3D">
        <w:rPr>
          <w:rFonts w:cstheme="minorHAnsi"/>
          <w:noProof/>
        </w:rPr>
        <w:t>4.5</w:t>
      </w:r>
      <w:r w:rsidR="00ED5CD1" w:rsidRPr="00E47369">
        <w:rPr>
          <w:rFonts w:cstheme="minorHAnsi"/>
          <w:color w:val="000000" w:themeColor="text1"/>
        </w:rPr>
        <w:fldChar w:fldCharType="end"/>
      </w:r>
      <w:r w:rsidRPr="00E47369">
        <w:rPr>
          <w:rFonts w:cstheme="minorHAnsi"/>
          <w:color w:val="000000" w:themeColor="text1"/>
        </w:rPr>
        <w:t xml:space="preserve">, but this time we used only 5 mol% of the phosphine and one equivalent of phenyl silane. This reaction worked less efficiently than the previous one, which used a stoichiometric amount of tributyl phosphine, giving a 37% yield of the tandem product </w:t>
      </w:r>
      <w:r w:rsidRPr="00E47369">
        <w:rPr>
          <w:rFonts w:cstheme="minorHAnsi"/>
          <w:b/>
          <w:color w:val="000000" w:themeColor="text1"/>
        </w:rPr>
        <w:t>1</w:t>
      </w:r>
      <w:r w:rsidRPr="00E47369">
        <w:rPr>
          <w:rFonts w:cstheme="minorHAnsi"/>
          <w:color w:val="000000" w:themeColor="text1"/>
        </w:rPr>
        <w:t xml:space="preserve">. This last result shows some compatibility of the silane to the DODH products and catalyst. As previously, we ran the tandem reaction starting from the diol and the alcohol. NMR analysis of the reaction mixture showed no tandem product </w:t>
      </w:r>
      <w:r w:rsidRPr="00E47369">
        <w:rPr>
          <w:rFonts w:cstheme="minorHAnsi"/>
          <w:b/>
          <w:color w:val="000000" w:themeColor="text1"/>
        </w:rPr>
        <w:t>1</w:t>
      </w:r>
      <w:r w:rsidRPr="00E47369">
        <w:rPr>
          <w:rFonts w:cstheme="minorHAnsi"/>
          <w:color w:val="000000" w:themeColor="text1"/>
        </w:rPr>
        <w:t>, but indicated an 84% yield of the fumarate DODH product along with a 57% yield of benzaldehyde (</w:t>
      </w:r>
      <w:r w:rsidR="00ED5CD1" w:rsidRPr="00E47369">
        <w:rPr>
          <w:rFonts w:cstheme="minorHAnsi"/>
          <w:color w:val="000000" w:themeColor="text1"/>
        </w:rPr>
        <w:fldChar w:fldCharType="begin"/>
      </w:r>
      <w:r w:rsidR="00ED5CD1" w:rsidRPr="00E47369">
        <w:rPr>
          <w:rFonts w:cstheme="minorHAnsi"/>
          <w:color w:val="000000" w:themeColor="text1"/>
        </w:rPr>
        <w:instrText xml:space="preserve"> REF _Ref453745517 \h </w:instrText>
      </w:r>
      <w:r w:rsidR="00F61C82" w:rsidRPr="00E47369">
        <w:rPr>
          <w:rFonts w:cstheme="minorHAnsi"/>
          <w:color w:val="000000" w:themeColor="text1"/>
        </w:rPr>
        <w:instrText xml:space="preserve"> \* MERGEFORMAT </w:instrText>
      </w:r>
      <w:r w:rsidR="00ED5CD1" w:rsidRPr="00E47369">
        <w:rPr>
          <w:rFonts w:cstheme="minorHAnsi"/>
          <w:color w:val="000000" w:themeColor="text1"/>
        </w:rPr>
      </w:r>
      <w:r w:rsidR="00ED5CD1" w:rsidRPr="00E47369">
        <w:rPr>
          <w:rFonts w:cstheme="minorHAnsi"/>
          <w:color w:val="000000" w:themeColor="text1"/>
        </w:rPr>
        <w:fldChar w:fldCharType="separate"/>
      </w:r>
      <w:r w:rsidR="000A0E3D" w:rsidRPr="000A0E3D">
        <w:rPr>
          <w:rFonts w:cstheme="minorHAnsi"/>
        </w:rPr>
        <w:t xml:space="preserve">Figure III. </w:t>
      </w:r>
      <w:r w:rsidR="000A0E3D" w:rsidRPr="000A0E3D">
        <w:rPr>
          <w:rFonts w:cstheme="minorHAnsi"/>
          <w:noProof/>
        </w:rPr>
        <w:t>4.6</w:t>
      </w:r>
      <w:r w:rsidR="00ED5CD1" w:rsidRPr="00E47369">
        <w:rPr>
          <w:rFonts w:cstheme="minorHAnsi"/>
          <w:color w:val="000000" w:themeColor="text1"/>
        </w:rPr>
        <w:fldChar w:fldCharType="end"/>
      </w:r>
      <w:r w:rsidRPr="00E47369">
        <w:rPr>
          <w:rFonts w:cstheme="minorHAnsi"/>
          <w:color w:val="000000" w:themeColor="text1"/>
        </w:rPr>
        <w:t>). The DODH reaction then was not much affected by the addition of PBu</w:t>
      </w:r>
      <w:r w:rsidRPr="00E47369">
        <w:rPr>
          <w:rFonts w:cstheme="minorHAnsi"/>
          <w:color w:val="000000" w:themeColor="text1"/>
          <w:vertAlign w:val="subscript"/>
        </w:rPr>
        <w:t>3</w:t>
      </w:r>
      <w:r w:rsidRPr="00E47369">
        <w:rPr>
          <w:rFonts w:cstheme="minorHAnsi"/>
        </w:rPr>
        <w:t xml:space="preserve">. Although </w:t>
      </w:r>
      <w:r w:rsidR="00223470">
        <w:rPr>
          <w:rFonts w:cstheme="minorHAnsi"/>
        </w:rPr>
        <w:t>this reagent</w:t>
      </w:r>
      <w:r w:rsidRPr="00E47369">
        <w:rPr>
          <w:rFonts w:cstheme="minorHAnsi"/>
        </w:rPr>
        <w:t xml:space="preserve"> did not react to form any tandem product </w:t>
      </w:r>
      <w:r w:rsidRPr="00E47369">
        <w:rPr>
          <w:rFonts w:cstheme="minorHAnsi"/>
          <w:b/>
        </w:rPr>
        <w:t>1</w:t>
      </w:r>
      <w:r w:rsidRPr="00E47369">
        <w:rPr>
          <w:rFonts w:cstheme="minorHAnsi"/>
        </w:rPr>
        <w:t xml:space="preserve">. This means that </w:t>
      </w:r>
      <w:r w:rsidR="00223470">
        <w:rPr>
          <w:rFonts w:cstheme="minorHAnsi"/>
        </w:rPr>
        <w:t xml:space="preserve">in </w:t>
      </w:r>
      <w:r w:rsidRPr="00E47369">
        <w:rPr>
          <w:rFonts w:cstheme="minorHAnsi"/>
        </w:rPr>
        <w:t xml:space="preserve">the DODH reaction </w:t>
      </w:r>
      <w:r w:rsidR="00223470">
        <w:rPr>
          <w:rFonts w:cstheme="minorHAnsi"/>
        </w:rPr>
        <w:t>this reagent was used in a side reaction</w:t>
      </w:r>
      <w:r w:rsidRPr="00E47369">
        <w:rPr>
          <w:rFonts w:cstheme="minorHAnsi"/>
        </w:rPr>
        <w:t xml:space="preserve"> making </w:t>
      </w:r>
      <w:r w:rsidR="00223470">
        <w:rPr>
          <w:rFonts w:cstheme="minorHAnsi"/>
        </w:rPr>
        <w:t>it</w:t>
      </w:r>
      <w:r w:rsidRPr="00E47369">
        <w:rPr>
          <w:rFonts w:cstheme="minorHAnsi"/>
        </w:rPr>
        <w:t xml:space="preserve"> unavailable for the second reaction. We can </w:t>
      </w:r>
      <w:r w:rsidRPr="00E47369">
        <w:rPr>
          <w:rFonts w:cstheme="minorHAnsi"/>
          <w:color w:val="000000" w:themeColor="text1"/>
        </w:rPr>
        <w:t xml:space="preserve">speculate that </w:t>
      </w:r>
      <w:r w:rsidR="00223470">
        <w:rPr>
          <w:rFonts w:cstheme="minorHAnsi"/>
          <w:color w:val="000000" w:themeColor="text1"/>
        </w:rPr>
        <w:t>this reagent</w:t>
      </w:r>
      <w:r w:rsidRPr="00E47369">
        <w:rPr>
          <w:rFonts w:cstheme="minorHAnsi"/>
          <w:color w:val="000000" w:themeColor="text1"/>
        </w:rPr>
        <w:t xml:space="preserve"> could be a reducing agent during the DODH reaction. This could explain the lower yield of benzaldehyde compared to the yield of fumarate as well as the unavailability of these for the tandem reaction. We noticed also a small amount of free ethanol in the </w:t>
      </w:r>
      <w:r w:rsidRPr="00E47369">
        <w:rPr>
          <w:rFonts w:cstheme="minorHAnsi"/>
          <w:color w:val="000000" w:themeColor="text1"/>
          <w:vertAlign w:val="superscript"/>
        </w:rPr>
        <w:t>1</w:t>
      </w:r>
      <w:r w:rsidRPr="00E47369">
        <w:rPr>
          <w:rFonts w:cstheme="minorHAnsi"/>
          <w:color w:val="000000" w:themeColor="text1"/>
        </w:rPr>
        <w:t xml:space="preserve">H NMR spectrum, which showed that some </w:t>
      </w:r>
      <w:r w:rsidRPr="00E47369">
        <w:rPr>
          <w:rFonts w:cstheme="minorHAnsi"/>
        </w:rPr>
        <w:t>trans-esterification reaction may have taken place as well.</w:t>
      </w:r>
    </w:p>
    <w:p w14:paraId="1C3C50A9" w14:textId="77777777" w:rsidR="00ED5CD1" w:rsidRPr="00E47369" w:rsidRDefault="00FF749E" w:rsidP="00F61C82">
      <w:pPr>
        <w:keepNext/>
        <w:jc w:val="center"/>
        <w:rPr>
          <w:rFonts w:cstheme="minorHAnsi"/>
        </w:rPr>
      </w:pPr>
      <w:r w:rsidRPr="00E47369">
        <w:rPr>
          <w:rFonts w:cstheme="minorHAnsi"/>
        </w:rPr>
        <w:object w:dxaOrig="7219" w:dyaOrig="1392" w14:anchorId="521E2954">
          <v:shape id="_x0000_i1133" type="#_x0000_t75" style="width:292.75pt;height:56.95pt" o:ole="">
            <v:imagedata r:id="rId302" o:title=""/>
          </v:shape>
          <o:OLEObject Type="Embed" ProgID="ChemDraw.Document.6.0" ShapeID="_x0000_i1133" DrawAspect="Content" ObjectID="_1532784974" r:id="rId303"/>
        </w:object>
      </w:r>
    </w:p>
    <w:p w14:paraId="50EF1B71" w14:textId="77777777" w:rsidR="00FF749E" w:rsidRPr="00A40A97" w:rsidRDefault="00ED5CD1" w:rsidP="00A40A97">
      <w:pPr>
        <w:pStyle w:val="Caption"/>
      </w:pPr>
      <w:bookmarkStart w:id="299" w:name="_Ref453745645"/>
      <w:bookmarkStart w:id="300" w:name="_Toc457670746"/>
      <w:r w:rsidRPr="00A40A97">
        <w:t xml:space="preserve">Figure III. </w:t>
      </w:r>
      <w:r w:rsidR="00443010">
        <w:fldChar w:fldCharType="begin"/>
      </w:r>
      <w:r w:rsidR="00443010">
        <w:instrText xml:space="preserve"> STYLEREF 2 \s </w:instrText>
      </w:r>
      <w:r w:rsidR="00443010">
        <w:fldChar w:fldCharType="separate"/>
      </w:r>
      <w:r w:rsidR="000A0E3D">
        <w:rPr>
          <w:noProof/>
        </w:rPr>
        <w:t>4</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7</w:t>
      </w:r>
      <w:r w:rsidR="00443010">
        <w:rPr>
          <w:noProof/>
        </w:rPr>
        <w:fldChar w:fldCharType="end"/>
      </w:r>
      <w:bookmarkEnd w:id="299"/>
      <w:r w:rsidRPr="00A40A97">
        <w:t xml:space="preserve"> </w:t>
      </w:r>
      <w:r w:rsidR="00FF749E" w:rsidRPr="00A40A97">
        <w:t>Tandem DODH/ catalytic Wittig</w:t>
      </w:r>
      <w:bookmarkEnd w:id="300"/>
    </w:p>
    <w:p w14:paraId="7FFC92CB" w14:textId="77777777" w:rsidR="00FF749E" w:rsidRPr="00E47369" w:rsidRDefault="00FF749E" w:rsidP="00F61C82">
      <w:pPr>
        <w:jc w:val="center"/>
        <w:rPr>
          <w:rFonts w:cstheme="minorHAnsi"/>
        </w:rPr>
      </w:pPr>
    </w:p>
    <w:p w14:paraId="1798604C" w14:textId="77777777" w:rsidR="00FF749E" w:rsidRPr="00E47369" w:rsidRDefault="00FF749E" w:rsidP="00223470">
      <w:pPr>
        <w:ind w:firstLine="360"/>
        <w:jc w:val="both"/>
        <w:rPr>
          <w:rFonts w:cstheme="minorHAnsi"/>
          <w:color w:val="000000" w:themeColor="text1"/>
        </w:rPr>
      </w:pPr>
      <w:r w:rsidRPr="00E47369">
        <w:rPr>
          <w:rFonts w:cstheme="minorHAnsi"/>
          <w:color w:val="000000" w:themeColor="text1"/>
        </w:rPr>
        <w:t>In order to understand where the incom</w:t>
      </w:r>
      <w:r w:rsidR="00ED5CD1" w:rsidRPr="00E47369">
        <w:rPr>
          <w:rFonts w:cstheme="minorHAnsi"/>
          <w:color w:val="000000" w:themeColor="text1"/>
        </w:rPr>
        <w:t>patibilities are in this system</w:t>
      </w:r>
      <w:r w:rsidRPr="00E47369">
        <w:rPr>
          <w:rFonts w:cstheme="minorHAnsi"/>
          <w:color w:val="000000" w:themeColor="text1"/>
        </w:rPr>
        <w:t xml:space="preserve"> we </w:t>
      </w:r>
      <w:r w:rsidR="00223470">
        <w:rPr>
          <w:rFonts w:cstheme="minorHAnsi"/>
          <w:color w:val="000000" w:themeColor="text1"/>
        </w:rPr>
        <w:t>tried</w:t>
      </w:r>
      <w:r w:rsidRPr="00E47369">
        <w:rPr>
          <w:rFonts w:cstheme="minorHAnsi"/>
          <w:color w:val="000000" w:themeColor="text1"/>
        </w:rPr>
        <w:t xml:space="preserve"> </w:t>
      </w:r>
      <w:r w:rsidR="00223470">
        <w:rPr>
          <w:rFonts w:cstheme="minorHAnsi"/>
          <w:color w:val="000000" w:themeColor="text1"/>
        </w:rPr>
        <w:t>the</w:t>
      </w:r>
      <w:r w:rsidRPr="00E47369">
        <w:rPr>
          <w:rFonts w:cstheme="minorHAnsi"/>
          <w:color w:val="000000" w:themeColor="text1"/>
        </w:rPr>
        <w:t xml:space="preserve"> tandem reaction using PBu</w:t>
      </w:r>
      <w:r w:rsidRPr="00E47369">
        <w:rPr>
          <w:rFonts w:cstheme="minorHAnsi"/>
          <w:color w:val="000000" w:themeColor="text1"/>
          <w:vertAlign w:val="subscript"/>
        </w:rPr>
        <w:t>3</w:t>
      </w:r>
      <w:r w:rsidRPr="00E47369">
        <w:rPr>
          <w:rFonts w:cstheme="minorHAnsi"/>
          <w:color w:val="000000" w:themeColor="text1"/>
        </w:rPr>
        <w:t xml:space="preserve"> as both reducing agent for the DODH and reagent for the Werner-Wittig reaction, </w:t>
      </w:r>
      <w:r w:rsidR="00ED5CD1" w:rsidRPr="00E47369">
        <w:rPr>
          <w:rFonts w:cstheme="minorHAnsi"/>
          <w:color w:val="000000" w:themeColor="text1"/>
        </w:rPr>
        <w:fldChar w:fldCharType="begin"/>
      </w:r>
      <w:r w:rsidR="00ED5CD1" w:rsidRPr="00E47369">
        <w:rPr>
          <w:rFonts w:cstheme="minorHAnsi"/>
          <w:color w:val="000000" w:themeColor="text1"/>
        </w:rPr>
        <w:instrText xml:space="preserve"> REF _Ref453745645 \h </w:instrText>
      </w:r>
      <w:r w:rsidR="00F61C82" w:rsidRPr="00E47369">
        <w:rPr>
          <w:rFonts w:cstheme="minorHAnsi"/>
          <w:color w:val="000000" w:themeColor="text1"/>
        </w:rPr>
        <w:instrText xml:space="preserve"> \* MERGEFORMAT </w:instrText>
      </w:r>
      <w:r w:rsidR="00ED5CD1" w:rsidRPr="00E47369">
        <w:rPr>
          <w:rFonts w:cstheme="minorHAnsi"/>
          <w:color w:val="000000" w:themeColor="text1"/>
        </w:rPr>
      </w:r>
      <w:r w:rsidR="00ED5CD1" w:rsidRPr="00E47369">
        <w:rPr>
          <w:rFonts w:cstheme="minorHAnsi"/>
          <w:color w:val="000000" w:themeColor="text1"/>
        </w:rPr>
        <w:fldChar w:fldCharType="separate"/>
      </w:r>
      <w:r w:rsidR="000A0E3D" w:rsidRPr="000A0E3D">
        <w:rPr>
          <w:rFonts w:cstheme="minorHAnsi"/>
        </w:rPr>
        <w:t xml:space="preserve">Figure III. </w:t>
      </w:r>
      <w:r w:rsidR="000A0E3D" w:rsidRPr="000A0E3D">
        <w:rPr>
          <w:rFonts w:cstheme="minorHAnsi"/>
          <w:noProof/>
        </w:rPr>
        <w:t>4.7</w:t>
      </w:r>
      <w:r w:rsidR="00ED5CD1" w:rsidRPr="00E47369">
        <w:rPr>
          <w:rFonts w:cstheme="minorHAnsi"/>
          <w:color w:val="000000" w:themeColor="text1"/>
        </w:rPr>
        <w:fldChar w:fldCharType="end"/>
      </w:r>
      <w:r w:rsidRPr="00E47369">
        <w:rPr>
          <w:rFonts w:cstheme="minorHAnsi"/>
          <w:color w:val="000000" w:themeColor="text1"/>
        </w:rPr>
        <w:t xml:space="preserve">. In this experiment an equivalent of benzaldehyde </w:t>
      </w:r>
      <w:r w:rsidR="00223470">
        <w:rPr>
          <w:rFonts w:cstheme="minorHAnsi"/>
          <w:color w:val="000000" w:themeColor="text1"/>
        </w:rPr>
        <w:t xml:space="preserve">was added </w:t>
      </w:r>
      <w:r w:rsidRPr="00E47369">
        <w:rPr>
          <w:rFonts w:cstheme="minorHAnsi"/>
          <w:color w:val="000000" w:themeColor="text1"/>
        </w:rPr>
        <w:t xml:space="preserve">for the second step. This reaction was successful. We were able to have both the DODH and stoichiometric Werner-Wittig work in a single pot giving a high yield of 90% of </w:t>
      </w:r>
      <w:r w:rsidRPr="00E47369">
        <w:rPr>
          <w:rFonts w:cstheme="minorHAnsi"/>
          <w:b/>
          <w:color w:val="000000" w:themeColor="text1"/>
        </w:rPr>
        <w:t>1</w:t>
      </w:r>
      <w:r w:rsidRPr="00E47369">
        <w:rPr>
          <w:rFonts w:cstheme="minorHAnsi"/>
          <w:color w:val="000000" w:themeColor="text1"/>
        </w:rPr>
        <w:t>. This proves the viability of the concept, but the use of a stoichiometric quantity of phosphine for each of the steps is a drawback as this is an expensive and toxic reagent.</w:t>
      </w:r>
    </w:p>
    <w:p w14:paraId="4BB30279" w14:textId="5B3C99EE" w:rsidR="00FF749E" w:rsidRDefault="00FF749E" w:rsidP="001539C6">
      <w:pPr>
        <w:ind w:firstLine="360"/>
        <w:jc w:val="both"/>
        <w:rPr>
          <w:rFonts w:cstheme="minorHAnsi"/>
          <w:color w:val="000000" w:themeColor="text1"/>
        </w:rPr>
      </w:pPr>
      <w:r w:rsidRPr="00E47369">
        <w:rPr>
          <w:rFonts w:cstheme="minorHAnsi"/>
          <w:color w:val="000000" w:themeColor="text1"/>
        </w:rPr>
        <w:t xml:space="preserve">We tested then if phenyl silane could be used as a regenerative reagent for the phosphine in both the DODH and Werner-Wittig reactions. We attempted to use </w:t>
      </w:r>
      <w:r w:rsidR="00223470">
        <w:rPr>
          <w:rFonts w:cstheme="minorHAnsi"/>
          <w:color w:val="000000" w:themeColor="text1"/>
        </w:rPr>
        <w:t xml:space="preserve">catalytic </w:t>
      </w:r>
      <w:r w:rsidR="00223470" w:rsidRPr="00E47369">
        <w:rPr>
          <w:rFonts w:cstheme="minorHAnsi"/>
          <w:color w:val="000000" w:themeColor="text1"/>
        </w:rPr>
        <w:t xml:space="preserve">phosphine </w:t>
      </w:r>
      <w:r w:rsidR="00223470">
        <w:rPr>
          <w:rFonts w:cstheme="minorHAnsi"/>
          <w:color w:val="000000" w:themeColor="text1"/>
        </w:rPr>
        <w:t xml:space="preserve">in the </w:t>
      </w:r>
      <w:r w:rsidRPr="00E47369">
        <w:rPr>
          <w:rFonts w:cstheme="minorHAnsi"/>
          <w:color w:val="000000" w:themeColor="text1"/>
        </w:rPr>
        <w:t>DODH/ Werner-Wittig reaction tandem reaction</w:t>
      </w:r>
      <w:r w:rsidR="001539C6">
        <w:rPr>
          <w:rFonts w:cstheme="minorHAnsi"/>
          <w:color w:val="000000" w:themeColor="text1"/>
        </w:rPr>
        <w:t>. We ran this reaction</w:t>
      </w:r>
      <w:r w:rsidRPr="00E47369">
        <w:rPr>
          <w:rFonts w:cstheme="minorHAnsi"/>
          <w:color w:val="000000" w:themeColor="text1"/>
        </w:rPr>
        <w:t xml:space="preserve"> with PBu</w:t>
      </w:r>
      <w:r w:rsidRPr="00E47369">
        <w:rPr>
          <w:rFonts w:cstheme="minorHAnsi"/>
          <w:color w:val="000000" w:themeColor="text1"/>
          <w:vertAlign w:val="subscript"/>
        </w:rPr>
        <w:t>3</w:t>
      </w:r>
      <w:r w:rsidRPr="00E47369">
        <w:rPr>
          <w:rFonts w:cstheme="minorHAnsi"/>
          <w:color w:val="000000" w:themeColor="text1"/>
        </w:rPr>
        <w:t xml:space="preserve"> (10 mol%), 2.2 equivalents of the silane and an equivalent of benzaldehyde (</w:t>
      </w:r>
      <w:r w:rsidR="00ED5CD1" w:rsidRPr="00E47369">
        <w:rPr>
          <w:rFonts w:cstheme="minorHAnsi"/>
          <w:color w:val="000000" w:themeColor="text1"/>
        </w:rPr>
        <w:fldChar w:fldCharType="begin"/>
      </w:r>
      <w:r w:rsidR="00ED5CD1" w:rsidRPr="00E47369">
        <w:rPr>
          <w:rFonts w:cstheme="minorHAnsi"/>
          <w:color w:val="000000" w:themeColor="text1"/>
        </w:rPr>
        <w:instrText xml:space="preserve"> REF _Ref453745739 \h </w:instrText>
      </w:r>
      <w:r w:rsidR="00F61C82" w:rsidRPr="00E47369">
        <w:rPr>
          <w:rFonts w:cstheme="minorHAnsi"/>
          <w:color w:val="000000" w:themeColor="text1"/>
        </w:rPr>
        <w:instrText xml:space="preserve"> \* MERGEFORMAT </w:instrText>
      </w:r>
      <w:r w:rsidR="00ED5CD1" w:rsidRPr="00E47369">
        <w:rPr>
          <w:rFonts w:cstheme="minorHAnsi"/>
          <w:color w:val="000000" w:themeColor="text1"/>
        </w:rPr>
      </w:r>
      <w:r w:rsidR="00ED5CD1" w:rsidRPr="00E47369">
        <w:rPr>
          <w:rFonts w:cstheme="minorHAnsi"/>
          <w:color w:val="000000" w:themeColor="text1"/>
        </w:rPr>
        <w:fldChar w:fldCharType="separate"/>
      </w:r>
      <w:r w:rsidR="000A0E3D" w:rsidRPr="000A0E3D">
        <w:rPr>
          <w:rFonts w:cstheme="minorHAnsi"/>
        </w:rPr>
        <w:t xml:space="preserve">Figure III. </w:t>
      </w:r>
      <w:r w:rsidR="000A0E3D" w:rsidRPr="000A0E3D">
        <w:rPr>
          <w:rFonts w:cstheme="minorHAnsi"/>
          <w:noProof/>
        </w:rPr>
        <w:t>4.8</w:t>
      </w:r>
      <w:r w:rsidR="00ED5CD1" w:rsidRPr="00E47369">
        <w:rPr>
          <w:rFonts w:cstheme="minorHAnsi"/>
          <w:color w:val="000000" w:themeColor="text1"/>
        </w:rPr>
        <w:fldChar w:fldCharType="end"/>
      </w:r>
      <w:r w:rsidRPr="00E47369">
        <w:rPr>
          <w:rFonts w:cstheme="minorHAnsi"/>
          <w:color w:val="000000" w:themeColor="text1"/>
        </w:rPr>
        <w:t xml:space="preserve">). The </w:t>
      </w:r>
      <w:r w:rsidRPr="00E47369">
        <w:rPr>
          <w:rFonts w:cstheme="minorHAnsi"/>
          <w:color w:val="000000" w:themeColor="text1"/>
          <w:vertAlign w:val="superscript"/>
        </w:rPr>
        <w:t>1</w:t>
      </w:r>
      <w:r w:rsidR="001539C6">
        <w:rPr>
          <w:rFonts w:cstheme="minorHAnsi"/>
          <w:color w:val="000000" w:themeColor="text1"/>
        </w:rPr>
        <w:t>H NMR of the reaction mixture</w:t>
      </w:r>
      <w:r w:rsidRPr="00E47369">
        <w:rPr>
          <w:rFonts w:cstheme="minorHAnsi"/>
          <w:color w:val="000000" w:themeColor="text1"/>
        </w:rPr>
        <w:t xml:space="preserve"> did not show any desired tande</w:t>
      </w:r>
      <w:r w:rsidRPr="00E47369">
        <w:rPr>
          <w:rFonts w:cstheme="minorHAnsi"/>
        </w:rPr>
        <w:t xml:space="preserve">m product, </w:t>
      </w:r>
      <w:r w:rsidRPr="00E47369">
        <w:rPr>
          <w:rFonts w:cstheme="minorHAnsi"/>
          <w:b/>
        </w:rPr>
        <w:t>1</w:t>
      </w:r>
      <w:r w:rsidRPr="00E47369">
        <w:rPr>
          <w:rFonts w:cstheme="minorHAnsi"/>
        </w:rPr>
        <w:t xml:space="preserve">. </w:t>
      </w:r>
      <w:r w:rsidR="005A0E70">
        <w:rPr>
          <w:rFonts w:cstheme="minorHAnsi"/>
        </w:rPr>
        <w:t>We did observe</w:t>
      </w:r>
      <w:r w:rsidRPr="00E47369">
        <w:rPr>
          <w:rFonts w:cstheme="minorHAnsi"/>
        </w:rPr>
        <w:t xml:space="preserve"> a large quantity of the DODH product (&gt;80% yield). This demonstrated </w:t>
      </w:r>
      <w:r w:rsidR="005A0E70">
        <w:rPr>
          <w:rFonts w:cstheme="minorHAnsi"/>
        </w:rPr>
        <w:t>that</w:t>
      </w:r>
      <w:r w:rsidRPr="00E47369">
        <w:rPr>
          <w:rFonts w:cstheme="minorHAnsi"/>
        </w:rPr>
        <w:t xml:space="preserve"> DODH reaction </w:t>
      </w:r>
      <w:r w:rsidR="005A0E70">
        <w:rPr>
          <w:rFonts w:cstheme="minorHAnsi"/>
        </w:rPr>
        <w:t>occurred</w:t>
      </w:r>
      <w:r w:rsidRPr="00E47369">
        <w:rPr>
          <w:rFonts w:cstheme="minorHAnsi"/>
        </w:rPr>
        <w:t xml:space="preserve"> in the presence of the phosphine and si</w:t>
      </w:r>
      <w:r w:rsidR="001539C6">
        <w:rPr>
          <w:rFonts w:cstheme="minorHAnsi"/>
        </w:rPr>
        <w:t>lane. In this reaction</w:t>
      </w:r>
      <w:r w:rsidRPr="00E47369">
        <w:rPr>
          <w:rFonts w:cstheme="minorHAnsi"/>
        </w:rPr>
        <w:t xml:space="preserve"> we noticed an unusual pressure release when opening the reactor. </w:t>
      </w:r>
      <w:r w:rsidR="005A0E70">
        <w:rPr>
          <w:rFonts w:cstheme="minorHAnsi"/>
        </w:rPr>
        <w:t xml:space="preserve">Suspecting that hydrogen was being produced </w:t>
      </w:r>
      <w:r w:rsidR="00123839">
        <w:rPr>
          <w:rFonts w:cstheme="minorHAnsi"/>
        </w:rPr>
        <w:t xml:space="preserve">by the silane reaction with </w:t>
      </w:r>
      <w:r w:rsidR="005A0E70">
        <w:rPr>
          <w:rFonts w:cstheme="minorHAnsi"/>
        </w:rPr>
        <w:t>H</w:t>
      </w:r>
      <w:r w:rsidR="005A0E70" w:rsidRPr="005A0E70">
        <w:rPr>
          <w:rFonts w:cstheme="minorHAnsi"/>
          <w:vertAlign w:val="subscript"/>
        </w:rPr>
        <w:t>2</w:t>
      </w:r>
      <w:r w:rsidR="005A0E70">
        <w:rPr>
          <w:rFonts w:cstheme="minorHAnsi"/>
        </w:rPr>
        <w:t xml:space="preserve">O </w:t>
      </w:r>
      <w:r w:rsidR="00123839">
        <w:rPr>
          <w:rFonts w:cstheme="minorHAnsi"/>
        </w:rPr>
        <w:t>form in the</w:t>
      </w:r>
      <w:r w:rsidR="005A0E70">
        <w:rPr>
          <w:rFonts w:cstheme="minorHAnsi"/>
        </w:rPr>
        <w:t xml:space="preserve"> DODH </w:t>
      </w:r>
      <w:r w:rsidR="00CF62BD">
        <w:rPr>
          <w:rFonts w:cstheme="minorHAnsi"/>
        </w:rPr>
        <w:t xml:space="preserve">reaction </w:t>
      </w:r>
      <w:r w:rsidRPr="00E47369">
        <w:rPr>
          <w:rFonts w:cstheme="minorHAnsi"/>
          <w:color w:val="000000" w:themeColor="text1"/>
        </w:rPr>
        <w:t xml:space="preserve">we ran the DODH/Werner-Wittig tandem reaction with </w:t>
      </w:r>
      <w:r w:rsidR="005A0E70">
        <w:rPr>
          <w:rFonts w:cstheme="minorHAnsi"/>
          <w:color w:val="000000" w:themeColor="text1"/>
        </w:rPr>
        <w:t>added</w:t>
      </w:r>
      <w:r w:rsidRPr="00E47369">
        <w:rPr>
          <w:rFonts w:cstheme="minorHAnsi"/>
          <w:color w:val="000000" w:themeColor="text1"/>
        </w:rPr>
        <w:t xml:space="preserve"> of activated molecular sieves 4Å powder. In this reaction again we could detect a large quantity of DODH product (diethyl fumarate) but no Wittig product </w:t>
      </w:r>
      <w:r w:rsidRPr="00E47369">
        <w:rPr>
          <w:rFonts w:cstheme="minorHAnsi"/>
          <w:b/>
          <w:color w:val="000000" w:themeColor="text1"/>
        </w:rPr>
        <w:t>1</w:t>
      </w:r>
      <w:r w:rsidRPr="00E47369">
        <w:rPr>
          <w:rFonts w:cstheme="minorHAnsi"/>
          <w:color w:val="000000" w:themeColor="text1"/>
        </w:rPr>
        <w:t xml:space="preserve">. We can then conclude that silane is reacting with </w:t>
      </w:r>
      <w:r w:rsidR="005A0E70">
        <w:rPr>
          <w:rFonts w:cstheme="minorHAnsi"/>
          <w:color w:val="000000" w:themeColor="text1"/>
        </w:rPr>
        <w:t xml:space="preserve">something else in the reaction. </w:t>
      </w:r>
      <w:r w:rsidRPr="00E47369">
        <w:rPr>
          <w:rFonts w:cstheme="minorHAnsi"/>
          <w:color w:val="000000" w:themeColor="text1"/>
        </w:rPr>
        <w:t>In consequence the tandem reaction using a catalytic amount of phosphine reagent would not be possible until we find a wa</w:t>
      </w:r>
      <w:r w:rsidR="00CF62BD">
        <w:rPr>
          <w:rFonts w:cstheme="minorHAnsi"/>
          <w:color w:val="000000" w:themeColor="text1"/>
        </w:rPr>
        <w:t>y</w:t>
      </w:r>
      <w:r w:rsidRPr="00E47369">
        <w:rPr>
          <w:rFonts w:cstheme="minorHAnsi"/>
          <w:color w:val="000000" w:themeColor="text1"/>
        </w:rPr>
        <w:t xml:space="preserve"> to efficiently remove </w:t>
      </w:r>
      <w:r w:rsidR="005A0E70">
        <w:rPr>
          <w:rFonts w:cstheme="minorHAnsi"/>
          <w:color w:val="000000" w:themeColor="text1"/>
        </w:rPr>
        <w:t>this side reaction involving the silane</w:t>
      </w:r>
      <w:r w:rsidRPr="00E47369">
        <w:rPr>
          <w:rFonts w:cstheme="minorHAnsi"/>
          <w:color w:val="000000" w:themeColor="text1"/>
        </w:rPr>
        <w:t>.</w:t>
      </w:r>
    </w:p>
    <w:p w14:paraId="084A5C5F" w14:textId="77777777" w:rsidR="001539C6" w:rsidRDefault="001539C6" w:rsidP="001539C6">
      <w:pPr>
        <w:ind w:firstLine="360"/>
        <w:jc w:val="both"/>
        <w:rPr>
          <w:rFonts w:cstheme="minorHAnsi"/>
          <w:color w:val="000000" w:themeColor="text1"/>
        </w:rPr>
      </w:pPr>
    </w:p>
    <w:p w14:paraId="2D72C502" w14:textId="4D81D161" w:rsidR="00ED5CD1" w:rsidRPr="001539C6" w:rsidRDefault="001539C6" w:rsidP="001539C6">
      <w:pPr>
        <w:jc w:val="center"/>
        <w:rPr>
          <w:rFonts w:cstheme="minorHAnsi"/>
          <w:color w:val="000000" w:themeColor="text1"/>
        </w:rPr>
      </w:pPr>
      <w:r w:rsidRPr="001539C6">
        <w:rPr>
          <w:rFonts w:cstheme="minorHAnsi"/>
          <w:color w:val="000000" w:themeColor="text1"/>
        </w:rPr>
        <w:object w:dxaOrig="7706" w:dyaOrig="1670" w14:anchorId="7F07E046">
          <v:shape id="_x0000_i1547" type="#_x0000_t75" style="width:332.3pt;height:1in" o:ole="">
            <v:imagedata r:id="rId304" o:title=""/>
          </v:shape>
          <o:OLEObject Type="Embed" ProgID="ChemDraw.Document.6.0" ShapeID="_x0000_i1547" DrawAspect="Content" ObjectID="_1532784975" r:id="rId305"/>
        </w:object>
      </w:r>
    </w:p>
    <w:p w14:paraId="26FCAA88" w14:textId="77777777" w:rsidR="00FF749E" w:rsidRDefault="00ED5CD1" w:rsidP="00317102">
      <w:pPr>
        <w:pStyle w:val="Caption"/>
      </w:pPr>
      <w:bookmarkStart w:id="301" w:name="_Ref453745739"/>
      <w:bookmarkStart w:id="302" w:name="_Toc457670747"/>
      <w:r w:rsidRPr="00A40A97">
        <w:t xml:space="preserve">Figure III. </w:t>
      </w:r>
      <w:r w:rsidR="00443010">
        <w:fldChar w:fldCharType="begin"/>
      </w:r>
      <w:r w:rsidR="00443010">
        <w:instrText xml:space="preserve"> STYLEREF 2 \s </w:instrText>
      </w:r>
      <w:r w:rsidR="00443010">
        <w:fldChar w:fldCharType="separate"/>
      </w:r>
      <w:r w:rsidR="000A0E3D">
        <w:rPr>
          <w:noProof/>
        </w:rPr>
        <w:t>4</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8</w:t>
      </w:r>
      <w:r w:rsidR="00443010">
        <w:rPr>
          <w:noProof/>
        </w:rPr>
        <w:fldChar w:fldCharType="end"/>
      </w:r>
      <w:bookmarkEnd w:id="301"/>
      <w:r w:rsidRPr="00A40A97">
        <w:t xml:space="preserve"> </w:t>
      </w:r>
      <w:r w:rsidR="00FF749E" w:rsidRPr="00A40A97">
        <w:t>Tandem DODH/Werner-Wittig and Werner-Wittig reaction using catalytic phosphine</w:t>
      </w:r>
      <w:bookmarkEnd w:id="302"/>
    </w:p>
    <w:p w14:paraId="713063A0" w14:textId="77777777" w:rsidR="005D4B4F" w:rsidRPr="005D4B4F" w:rsidRDefault="005D4B4F" w:rsidP="005D4B4F"/>
    <w:p w14:paraId="4626DDDA" w14:textId="77777777" w:rsidR="00FF749E" w:rsidRPr="00E47369" w:rsidRDefault="00FF749E" w:rsidP="000351A7">
      <w:pPr>
        <w:pStyle w:val="Heading3"/>
      </w:pPr>
      <w:bookmarkStart w:id="303" w:name="_Toc458938318"/>
      <w:r w:rsidRPr="00E47369">
        <w:t>Conclusions</w:t>
      </w:r>
      <w:bookmarkEnd w:id="303"/>
    </w:p>
    <w:p w14:paraId="5C19C1BF" w14:textId="3C4C42F9" w:rsidR="00FF749E" w:rsidRDefault="00FF749E" w:rsidP="00F1056C">
      <w:pPr>
        <w:ind w:firstLine="360"/>
        <w:jc w:val="both"/>
        <w:rPr>
          <w:rFonts w:cstheme="minorHAnsi"/>
          <w:color w:val="000000" w:themeColor="text1"/>
        </w:rPr>
      </w:pPr>
      <w:r w:rsidRPr="00E47369">
        <w:rPr>
          <w:rFonts w:cstheme="minorHAnsi"/>
        </w:rPr>
        <w:t xml:space="preserve">In summary, we were able to obtain a </w:t>
      </w:r>
      <w:r w:rsidR="005A0E70">
        <w:rPr>
          <w:rFonts w:cstheme="minorHAnsi"/>
        </w:rPr>
        <w:t>high yielding tandem</w:t>
      </w:r>
      <w:r w:rsidRPr="00E47369">
        <w:rPr>
          <w:rFonts w:cstheme="minorHAnsi"/>
        </w:rPr>
        <w:t xml:space="preserve"> DODH / “base free” Wittig reaction using phosphine as stoich</w:t>
      </w:r>
      <w:r w:rsidR="005A0E70">
        <w:rPr>
          <w:rFonts w:cstheme="minorHAnsi"/>
        </w:rPr>
        <w:t>iometric reagent</w:t>
      </w:r>
      <w:r w:rsidRPr="00E47369">
        <w:rPr>
          <w:rFonts w:cstheme="minorHAnsi"/>
        </w:rPr>
        <w:t>. This is the first efficient and selective DODH / C-C bond formation tandem reaction not involving a Diels-Alder cycloaddition and proves the actual concept of this tandem system. We have discovered the compatibility of the oxo</w:t>
      </w:r>
      <w:r w:rsidR="005A0E70">
        <w:rPr>
          <w:rFonts w:cstheme="minorHAnsi"/>
        </w:rPr>
        <w:t>-rhenium DODH catalyst with tributyl</w:t>
      </w:r>
      <w:r w:rsidRPr="00E47369">
        <w:rPr>
          <w:rFonts w:cstheme="minorHAnsi"/>
        </w:rPr>
        <w:t xml:space="preserve">phosphine. </w:t>
      </w:r>
      <w:r w:rsidR="005A0E70">
        <w:rPr>
          <w:rFonts w:cstheme="minorHAnsi"/>
        </w:rPr>
        <w:t>T</w:t>
      </w:r>
      <w:r w:rsidRPr="00E47369">
        <w:rPr>
          <w:rFonts w:cstheme="minorHAnsi"/>
        </w:rPr>
        <w:t xml:space="preserve">he use of the </w:t>
      </w:r>
      <w:r w:rsidRPr="00E47369">
        <w:rPr>
          <w:rFonts w:cstheme="minorHAnsi"/>
          <w:color w:val="000000" w:themeColor="text1"/>
        </w:rPr>
        <w:t xml:space="preserve">silane looks to be incompatible with the DODH reaction. </w:t>
      </w:r>
      <w:r w:rsidR="00F1056C">
        <w:rPr>
          <w:rFonts w:cstheme="minorHAnsi"/>
        </w:rPr>
        <w:t>With t</w:t>
      </w:r>
      <w:r w:rsidRPr="00E47369">
        <w:rPr>
          <w:rFonts w:cstheme="minorHAnsi"/>
        </w:rPr>
        <w:t xml:space="preserve">he limited scope </w:t>
      </w:r>
      <w:r w:rsidRPr="00E47369">
        <w:rPr>
          <w:rFonts w:cstheme="minorHAnsi"/>
          <w:color w:val="000000" w:themeColor="text1"/>
        </w:rPr>
        <w:t>of this tandem reaction</w:t>
      </w:r>
      <w:r w:rsidR="00F1056C">
        <w:rPr>
          <w:rFonts w:cstheme="minorHAnsi"/>
          <w:color w:val="000000" w:themeColor="text1"/>
        </w:rPr>
        <w:t xml:space="preserve"> and</w:t>
      </w:r>
      <w:r w:rsidRPr="00E47369">
        <w:rPr>
          <w:rFonts w:cstheme="minorHAnsi"/>
          <w:color w:val="000000" w:themeColor="text1"/>
        </w:rPr>
        <w:t xml:space="preserve"> the use of </w:t>
      </w:r>
      <w:r w:rsidR="005A0E70">
        <w:rPr>
          <w:rFonts w:cstheme="minorHAnsi"/>
          <w:color w:val="000000" w:themeColor="text1"/>
        </w:rPr>
        <w:t xml:space="preserve">stoichiometric </w:t>
      </w:r>
      <w:r w:rsidRPr="00E47369">
        <w:rPr>
          <w:rFonts w:cstheme="minorHAnsi"/>
          <w:color w:val="000000" w:themeColor="text1"/>
        </w:rPr>
        <w:t>phosphine</w:t>
      </w:r>
      <w:r w:rsidR="00F1056C">
        <w:rPr>
          <w:rFonts w:cstheme="minorHAnsi"/>
          <w:color w:val="000000" w:themeColor="text1"/>
        </w:rPr>
        <w:t xml:space="preserve"> the tandem reaction was not </w:t>
      </w:r>
      <w:r w:rsidRPr="00E47369">
        <w:rPr>
          <w:rFonts w:cstheme="minorHAnsi"/>
          <w:color w:val="000000" w:themeColor="text1"/>
        </w:rPr>
        <w:t>stud</w:t>
      </w:r>
      <w:r w:rsidR="00F1056C">
        <w:rPr>
          <w:rFonts w:cstheme="minorHAnsi"/>
          <w:color w:val="000000" w:themeColor="text1"/>
        </w:rPr>
        <w:t>ied further</w:t>
      </w:r>
      <w:r w:rsidRPr="00E47369">
        <w:rPr>
          <w:rFonts w:cstheme="minorHAnsi"/>
          <w:color w:val="000000" w:themeColor="text1"/>
        </w:rPr>
        <w:t xml:space="preserve">. </w:t>
      </w:r>
    </w:p>
    <w:p w14:paraId="632A9626" w14:textId="77777777" w:rsidR="00A40A97" w:rsidRPr="00E47369" w:rsidRDefault="00A40A97" w:rsidP="00F61C82">
      <w:pPr>
        <w:ind w:firstLine="360"/>
        <w:jc w:val="both"/>
        <w:rPr>
          <w:rFonts w:cstheme="minorHAnsi"/>
          <w:color w:val="000000" w:themeColor="text1"/>
        </w:rPr>
      </w:pPr>
    </w:p>
    <w:p w14:paraId="73CF20DE" w14:textId="77777777" w:rsidR="00ED5CD1" w:rsidRPr="00E47369" w:rsidRDefault="00FF749E" w:rsidP="005D4B4F">
      <w:pPr>
        <w:keepNext/>
        <w:jc w:val="center"/>
        <w:rPr>
          <w:rFonts w:cstheme="minorHAnsi"/>
        </w:rPr>
      </w:pPr>
      <w:r w:rsidRPr="00E47369">
        <w:rPr>
          <w:rFonts w:cstheme="minorHAnsi"/>
        </w:rPr>
        <w:object w:dxaOrig="6977" w:dyaOrig="2938" w14:anchorId="12A88AAB">
          <v:shape id="_x0000_i1135" type="#_x0000_t75" style="width:303.8pt;height:128.2pt" o:ole="">
            <v:imagedata r:id="rId306" o:title=""/>
          </v:shape>
          <o:OLEObject Type="Embed" ProgID="ChemDraw.Document.6.0" ShapeID="_x0000_i1135" DrawAspect="Content" ObjectID="_1532784976" r:id="rId307"/>
        </w:object>
      </w:r>
    </w:p>
    <w:p w14:paraId="6C2CE885" w14:textId="77777777" w:rsidR="00FF749E" w:rsidRPr="00A40A97" w:rsidRDefault="00ED5CD1" w:rsidP="00A40A97">
      <w:pPr>
        <w:pStyle w:val="Caption"/>
      </w:pPr>
      <w:bookmarkStart w:id="304" w:name="_Ref453745811"/>
      <w:bookmarkStart w:id="305" w:name="_Toc457670748"/>
      <w:r w:rsidRPr="00A40A97">
        <w:t xml:space="preserve">Figure III. </w:t>
      </w:r>
      <w:r w:rsidR="00443010">
        <w:fldChar w:fldCharType="begin"/>
      </w:r>
      <w:r w:rsidR="00443010">
        <w:instrText xml:space="preserve"> STYLEREF 2 \s </w:instrText>
      </w:r>
      <w:r w:rsidR="00443010">
        <w:fldChar w:fldCharType="separate"/>
      </w:r>
      <w:r w:rsidR="000A0E3D">
        <w:rPr>
          <w:noProof/>
        </w:rPr>
        <w:t>4</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9</w:t>
      </w:r>
      <w:r w:rsidR="00443010">
        <w:rPr>
          <w:noProof/>
        </w:rPr>
        <w:fldChar w:fldCharType="end"/>
      </w:r>
      <w:bookmarkEnd w:id="304"/>
      <w:r w:rsidRPr="00A40A97">
        <w:t xml:space="preserve"> </w:t>
      </w:r>
      <w:r w:rsidR="00FF749E" w:rsidRPr="00A40A97">
        <w:t>Potential intramolecular DODH / “base free” Wittig</w:t>
      </w:r>
      <w:bookmarkEnd w:id="305"/>
      <w:r w:rsidR="00FF749E" w:rsidRPr="00A40A97">
        <w:t xml:space="preserve"> </w:t>
      </w:r>
    </w:p>
    <w:p w14:paraId="11E12A89" w14:textId="77777777" w:rsidR="00FF749E" w:rsidRPr="00E47369" w:rsidRDefault="00FF749E" w:rsidP="00F61C82">
      <w:pPr>
        <w:ind w:firstLine="360"/>
        <w:jc w:val="both"/>
        <w:rPr>
          <w:rFonts w:cstheme="minorHAnsi"/>
          <w:color w:val="000000" w:themeColor="text1"/>
        </w:rPr>
      </w:pPr>
    </w:p>
    <w:p w14:paraId="062972C2" w14:textId="77777777" w:rsidR="00FF749E" w:rsidRDefault="00FF749E" w:rsidP="00F61C82">
      <w:pPr>
        <w:ind w:firstLine="360"/>
        <w:jc w:val="both"/>
        <w:rPr>
          <w:rFonts w:cstheme="minorHAnsi"/>
        </w:rPr>
      </w:pPr>
      <w:r w:rsidRPr="00E47369">
        <w:rPr>
          <w:rFonts w:cstheme="minorHAnsi"/>
        </w:rPr>
        <w:t xml:space="preserve">This DODH / “base free” Wittig could have some applications in the synthesis of succinate derivatives. Succinates </w:t>
      </w:r>
      <w:r w:rsidR="00F1056C">
        <w:rPr>
          <w:rFonts w:cstheme="minorHAnsi"/>
        </w:rPr>
        <w:t>are</w:t>
      </w:r>
      <w:r w:rsidRPr="00E47369">
        <w:rPr>
          <w:rFonts w:cstheme="minorHAnsi"/>
        </w:rPr>
        <w:t xml:space="preserve"> be used as polymer building block and for drugs synthesis. This system could be made more attractive by finding the right reagents t</w:t>
      </w:r>
      <w:r w:rsidR="00F1056C">
        <w:rPr>
          <w:rFonts w:cstheme="minorHAnsi"/>
        </w:rPr>
        <w:t>o make it catalytic in phosphine</w:t>
      </w:r>
      <w:r w:rsidRPr="00E47369">
        <w:rPr>
          <w:rFonts w:cstheme="minorHAnsi"/>
        </w:rPr>
        <w:t>. In addition this system would be greener if the benzaldehyde used in the Wittig step was formed in the DODH reaction by using benzyl alcohol as reducing agent. One strategy could be to have a benzyl alcohol unit on ester of the tartrate derivative making it more reactive as a reducing agent in the DODH reaction</w:t>
      </w:r>
      <w:r w:rsidR="00ED5CD1" w:rsidRPr="00E47369">
        <w:rPr>
          <w:rFonts w:cstheme="minorHAnsi"/>
        </w:rPr>
        <w:t xml:space="preserve"> (</w:t>
      </w:r>
      <w:r w:rsidR="00ED5CD1" w:rsidRPr="00E47369">
        <w:rPr>
          <w:rFonts w:cstheme="minorHAnsi"/>
        </w:rPr>
        <w:fldChar w:fldCharType="begin"/>
      </w:r>
      <w:r w:rsidR="00ED5CD1" w:rsidRPr="00E47369">
        <w:rPr>
          <w:rFonts w:cstheme="minorHAnsi"/>
        </w:rPr>
        <w:instrText xml:space="preserve"> REF _Ref453745811 \h </w:instrText>
      </w:r>
      <w:r w:rsidR="00F61C82" w:rsidRPr="00E47369">
        <w:rPr>
          <w:rFonts w:cstheme="minorHAnsi"/>
        </w:rPr>
        <w:instrText xml:space="preserve"> \* MERGEFORMAT </w:instrText>
      </w:r>
      <w:r w:rsidR="00ED5CD1" w:rsidRPr="00E47369">
        <w:rPr>
          <w:rFonts w:cstheme="minorHAnsi"/>
        </w:rPr>
      </w:r>
      <w:r w:rsidR="00ED5CD1" w:rsidRPr="00E47369">
        <w:rPr>
          <w:rFonts w:cstheme="minorHAnsi"/>
        </w:rPr>
        <w:fldChar w:fldCharType="separate"/>
      </w:r>
      <w:r w:rsidR="000A0E3D" w:rsidRPr="000A0E3D">
        <w:rPr>
          <w:rFonts w:cstheme="minorHAnsi"/>
        </w:rPr>
        <w:t xml:space="preserve">Figure III. </w:t>
      </w:r>
      <w:r w:rsidR="000A0E3D" w:rsidRPr="000A0E3D">
        <w:rPr>
          <w:rFonts w:cstheme="minorHAnsi"/>
          <w:noProof/>
        </w:rPr>
        <w:t>4.9</w:t>
      </w:r>
      <w:r w:rsidR="00ED5CD1" w:rsidRPr="00E47369">
        <w:rPr>
          <w:rFonts w:cstheme="minorHAnsi"/>
        </w:rPr>
        <w:fldChar w:fldCharType="end"/>
      </w:r>
      <w:r w:rsidR="00ED5CD1" w:rsidRPr="00E47369">
        <w:rPr>
          <w:rFonts w:cstheme="minorHAnsi"/>
        </w:rPr>
        <w:t>)</w:t>
      </w:r>
      <w:r w:rsidRPr="00E47369">
        <w:rPr>
          <w:rFonts w:cstheme="minorHAnsi"/>
        </w:rPr>
        <w:t>. This will then make the Wittig reaction intramolecular. Variations in the diol and/or in the starting alcohol (reducing agent) could also be considered to open the tandem reaction to a more applications (</w:t>
      </w:r>
      <w:r w:rsidR="00ED5CD1" w:rsidRPr="00E47369">
        <w:rPr>
          <w:rFonts w:cstheme="minorHAnsi"/>
        </w:rPr>
        <w:fldChar w:fldCharType="begin"/>
      </w:r>
      <w:r w:rsidR="00ED5CD1" w:rsidRPr="00E47369">
        <w:rPr>
          <w:rFonts w:cstheme="minorHAnsi"/>
        </w:rPr>
        <w:instrText xml:space="preserve"> REF _Ref453745868 \h </w:instrText>
      </w:r>
      <w:r w:rsidR="00F61C82" w:rsidRPr="00E47369">
        <w:rPr>
          <w:rFonts w:cstheme="minorHAnsi"/>
        </w:rPr>
        <w:instrText xml:space="preserve"> \* MERGEFORMAT </w:instrText>
      </w:r>
      <w:r w:rsidR="00ED5CD1" w:rsidRPr="00E47369">
        <w:rPr>
          <w:rFonts w:cstheme="minorHAnsi"/>
        </w:rPr>
      </w:r>
      <w:r w:rsidR="00ED5CD1" w:rsidRPr="00E47369">
        <w:rPr>
          <w:rFonts w:cstheme="minorHAnsi"/>
        </w:rPr>
        <w:fldChar w:fldCharType="separate"/>
      </w:r>
      <w:r w:rsidR="000A0E3D" w:rsidRPr="000A0E3D">
        <w:rPr>
          <w:rFonts w:cstheme="minorHAnsi"/>
        </w:rPr>
        <w:t xml:space="preserve">Figure III. </w:t>
      </w:r>
      <w:r w:rsidR="000A0E3D" w:rsidRPr="000A0E3D">
        <w:rPr>
          <w:rFonts w:cstheme="minorHAnsi"/>
          <w:noProof/>
        </w:rPr>
        <w:t>4.10</w:t>
      </w:r>
      <w:r w:rsidR="00ED5CD1" w:rsidRPr="00E47369">
        <w:rPr>
          <w:rFonts w:cstheme="minorHAnsi"/>
        </w:rPr>
        <w:fldChar w:fldCharType="end"/>
      </w:r>
      <w:r w:rsidRPr="00E47369">
        <w:rPr>
          <w:rFonts w:cstheme="minorHAnsi"/>
        </w:rPr>
        <w:t>).</w:t>
      </w:r>
    </w:p>
    <w:p w14:paraId="7F243DA9" w14:textId="77777777" w:rsidR="00A40A97" w:rsidRPr="00E47369" w:rsidRDefault="00A40A97" w:rsidP="00F61C82">
      <w:pPr>
        <w:ind w:firstLine="360"/>
        <w:jc w:val="both"/>
        <w:rPr>
          <w:rFonts w:cstheme="minorHAnsi"/>
        </w:rPr>
      </w:pPr>
    </w:p>
    <w:p w14:paraId="2C5E7DA6" w14:textId="77777777" w:rsidR="00ED5CD1" w:rsidRPr="00E47369" w:rsidRDefault="00FF749E" w:rsidP="00F61C82">
      <w:pPr>
        <w:keepNext/>
        <w:jc w:val="center"/>
        <w:rPr>
          <w:rFonts w:cstheme="minorHAnsi"/>
        </w:rPr>
      </w:pPr>
      <w:r w:rsidRPr="00E47369">
        <w:rPr>
          <w:rFonts w:cstheme="minorHAnsi"/>
        </w:rPr>
        <w:object w:dxaOrig="9233" w:dyaOrig="6017" w14:anchorId="66DC7DE9">
          <v:shape id="_x0000_i1136" type="#_x0000_t75" style="width:365.55pt;height:236.55pt" o:ole="">
            <v:imagedata r:id="rId308" o:title=""/>
          </v:shape>
          <o:OLEObject Type="Embed" ProgID="ChemDraw.Document.6.0" ShapeID="_x0000_i1136" DrawAspect="Content" ObjectID="_1532784977" r:id="rId309"/>
        </w:object>
      </w:r>
    </w:p>
    <w:p w14:paraId="40070985" w14:textId="77777777" w:rsidR="00FF749E" w:rsidRPr="00A40A97" w:rsidRDefault="00ED5CD1" w:rsidP="00A40A97">
      <w:pPr>
        <w:pStyle w:val="Caption"/>
      </w:pPr>
      <w:bookmarkStart w:id="306" w:name="_Ref453745868"/>
      <w:bookmarkStart w:id="307" w:name="_Toc457670749"/>
      <w:r w:rsidRPr="00A40A97">
        <w:t xml:space="preserve">Figure III. </w:t>
      </w:r>
      <w:r w:rsidR="00443010">
        <w:fldChar w:fldCharType="begin"/>
      </w:r>
      <w:r w:rsidR="00443010">
        <w:instrText xml:space="preserve"> STYLEREF 2 \s </w:instrText>
      </w:r>
      <w:r w:rsidR="00443010">
        <w:fldChar w:fldCharType="separate"/>
      </w:r>
      <w:r w:rsidR="000A0E3D">
        <w:rPr>
          <w:noProof/>
        </w:rPr>
        <w:t>4</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10</w:t>
      </w:r>
      <w:r w:rsidR="00443010">
        <w:rPr>
          <w:noProof/>
        </w:rPr>
        <w:fldChar w:fldCharType="end"/>
      </w:r>
      <w:bookmarkEnd w:id="306"/>
      <w:r w:rsidRPr="00A40A97">
        <w:t xml:space="preserve"> </w:t>
      </w:r>
      <w:r w:rsidR="00FF749E" w:rsidRPr="00A40A97">
        <w:t>Variations in the diol and/or alcohol reducing agent</w:t>
      </w:r>
      <w:bookmarkEnd w:id="307"/>
    </w:p>
    <w:p w14:paraId="69050057" w14:textId="77777777" w:rsidR="00FF749E" w:rsidRPr="00E47369" w:rsidRDefault="00FF749E" w:rsidP="00F61C82">
      <w:pPr>
        <w:jc w:val="center"/>
        <w:rPr>
          <w:rFonts w:cstheme="minorHAnsi"/>
          <w:b/>
        </w:rPr>
      </w:pPr>
    </w:p>
    <w:p w14:paraId="7FEAFF50" w14:textId="77777777" w:rsidR="00FF749E" w:rsidRPr="00E47369" w:rsidRDefault="00FF749E" w:rsidP="000351A7">
      <w:pPr>
        <w:pStyle w:val="Heading3"/>
      </w:pPr>
      <w:bookmarkStart w:id="308" w:name="_Toc458938319"/>
      <w:r w:rsidRPr="00E47369">
        <w:t>Experimental</w:t>
      </w:r>
      <w:bookmarkEnd w:id="308"/>
    </w:p>
    <w:p w14:paraId="7551ADF9" w14:textId="77777777" w:rsidR="00FF749E" w:rsidRPr="00E47369" w:rsidRDefault="00FF749E" w:rsidP="00C36752">
      <w:pPr>
        <w:pStyle w:val="Heading41"/>
        <w:numPr>
          <w:ilvl w:val="0"/>
          <w:numId w:val="28"/>
        </w:numPr>
        <w:rPr>
          <w:rFonts w:cstheme="minorHAnsi"/>
        </w:rPr>
      </w:pPr>
      <w:r w:rsidRPr="00E47369">
        <w:rPr>
          <w:rFonts w:cstheme="minorHAnsi"/>
        </w:rPr>
        <w:t>General information: reagents and instruments</w:t>
      </w:r>
    </w:p>
    <w:p w14:paraId="598C2ADB" w14:textId="4606E62A" w:rsidR="00FF749E" w:rsidRPr="00E47369" w:rsidRDefault="00FF749E" w:rsidP="00DB4547">
      <w:pPr>
        <w:ind w:firstLine="360"/>
        <w:jc w:val="both"/>
        <w:rPr>
          <w:rFonts w:cstheme="minorHAnsi"/>
        </w:rPr>
      </w:pPr>
      <w:r w:rsidRPr="00E47369">
        <w:rPr>
          <w:rFonts w:cstheme="minorHAnsi"/>
        </w:rPr>
        <w:t xml:space="preserve">All reactants and catalysts were obtained commercially and used without further purification. All solvents were ACS grade and were used directly (unless otherwise described in the procedures). </w:t>
      </w:r>
      <w:r w:rsidRPr="00E47369">
        <w:rPr>
          <w:rFonts w:cstheme="minorHAnsi"/>
          <w:vertAlign w:val="superscript"/>
        </w:rPr>
        <w:t>1</w:t>
      </w:r>
      <w:r w:rsidR="008633A9">
        <w:rPr>
          <w:rFonts w:cstheme="minorHAnsi"/>
        </w:rPr>
        <w:t>H</w:t>
      </w:r>
      <w:r w:rsidRPr="00E47369">
        <w:rPr>
          <w:rFonts w:cstheme="minorHAnsi"/>
        </w:rPr>
        <w:t xml:space="preserve"> and </w:t>
      </w:r>
      <w:r w:rsidRPr="00E47369">
        <w:rPr>
          <w:rFonts w:cstheme="minorHAnsi"/>
          <w:color w:val="000000" w:themeColor="text1"/>
          <w:vertAlign w:val="superscript"/>
        </w:rPr>
        <w:t>13</w:t>
      </w:r>
      <w:r w:rsidRPr="00E47369">
        <w:rPr>
          <w:rFonts w:cstheme="minorHAnsi"/>
          <w:color w:val="000000" w:themeColor="text1"/>
        </w:rPr>
        <w:t>C</w:t>
      </w:r>
      <w:r w:rsidRPr="00E47369">
        <w:rPr>
          <w:rFonts w:cstheme="minorHAnsi"/>
        </w:rPr>
        <w:t xml:space="preserve"> NMR spectra were collected on Varian VX300 MHz or VNMRS 400 MHz instruments. The NMR data were processed using SpinWorks</w:t>
      </w:r>
      <w:r w:rsidRPr="00E47369">
        <w:rPr>
          <w:rFonts w:cstheme="minorHAnsi"/>
        </w:rPr>
        <w:fldChar w:fldCharType="begin"/>
      </w:r>
      <w:r w:rsidRPr="00E47369">
        <w:rPr>
          <w:rFonts w:cstheme="minorHAnsi"/>
        </w:rPr>
        <w:instrText xml:space="preserve"> ADDIN ZOTERO_ITEM CSL_CITATION {"citationID":"KSoj4Y8d","properties":{"formattedCitation":"{\\rtf \\super 102\\nosupersub{}}","plainCitation":"102"},"citationItems":[{"id":1498,"uris":["http://zotero.org/users/1624234/items/2R52QEZC"],"uri":["http://zotero.org/users/1624234/items/2R52QEZC"],"itemData":{"id":1498,"type":"book","title":"SpinWorks 4","publisher":"University of Manitoba : Winnipeg Canada","version":"4.1.0.0","author":[{"family":"Marat","given":"K."}]}}],"schema":"https://github.com/citation-style-language/schema/raw/master/csl-citation.json"} </w:instrText>
      </w:r>
      <w:r w:rsidRPr="00E47369">
        <w:rPr>
          <w:rFonts w:cstheme="minorHAnsi"/>
        </w:rPr>
        <w:fldChar w:fldCharType="separate"/>
      </w:r>
      <w:r w:rsidRPr="00E47369">
        <w:rPr>
          <w:rFonts w:cstheme="minorHAnsi"/>
          <w:vertAlign w:val="superscript"/>
        </w:rPr>
        <w:t>102</w:t>
      </w:r>
      <w:r w:rsidRPr="00E47369">
        <w:rPr>
          <w:rFonts w:cstheme="minorHAnsi"/>
        </w:rPr>
        <w:fldChar w:fldCharType="end"/>
      </w:r>
      <w:r w:rsidRPr="00E47369">
        <w:rPr>
          <w:rFonts w:cstheme="minorHAnsi"/>
        </w:rPr>
        <w:t xml:space="preserve"> and ACD</w:t>
      </w:r>
      <w:r w:rsidRPr="00E47369">
        <w:rPr>
          <w:rFonts w:cstheme="minorHAnsi"/>
        </w:rPr>
        <w:fldChar w:fldCharType="begin"/>
      </w:r>
      <w:r w:rsidRPr="00E47369">
        <w:rPr>
          <w:rFonts w:cstheme="minorHAnsi"/>
        </w:rPr>
        <w:instrText xml:space="preserve"> ADDIN ZOTERO_ITEM CSL_CITATION {"citationID":"2uUYgH5r","properties":{"formattedCitation":"{\\rtf \\super 103\\nosupersub{}}","plainCitation":"103"},"citationItems":[{"id":1512,"uris":["http://zotero.org/users/1624234/items/VJU6SH7K"],"uri":["http://zotero.org/users/1624234/items/VJU6SH7K"],"itemData":{"id":1512,"type":"book","title":"ACD/Structure Elucidator","publisher":"Advanced Chemistry Development, Inc.","version":"12.01","URL":"www.acdlabs.com","issued":{"date-parts":[["2014"]]}}}],"schema":"https://github.com/citation-style-language/schema/raw/master/csl-citation.json"} </w:instrText>
      </w:r>
      <w:r w:rsidRPr="00E47369">
        <w:rPr>
          <w:rFonts w:cstheme="minorHAnsi"/>
        </w:rPr>
        <w:fldChar w:fldCharType="separate"/>
      </w:r>
      <w:r w:rsidRPr="00E47369">
        <w:rPr>
          <w:rFonts w:cstheme="minorHAnsi"/>
          <w:vertAlign w:val="superscript"/>
        </w:rPr>
        <w:t>103</w:t>
      </w:r>
      <w:r w:rsidRPr="00E47369">
        <w:rPr>
          <w:rFonts w:cstheme="minorHAnsi"/>
        </w:rPr>
        <w:fldChar w:fldCharType="end"/>
      </w:r>
      <w:r w:rsidRPr="00E47369">
        <w:rPr>
          <w:rFonts w:cstheme="minorHAnsi"/>
        </w:rPr>
        <w:t xml:space="preserve"> software. </w:t>
      </w:r>
    </w:p>
    <w:p w14:paraId="7BCC812F" w14:textId="77777777" w:rsidR="00CF62BD" w:rsidRPr="00E47369" w:rsidRDefault="00CF62BD" w:rsidP="00F61C82">
      <w:pPr>
        <w:jc w:val="both"/>
        <w:rPr>
          <w:rFonts w:cstheme="minorHAnsi"/>
        </w:rPr>
      </w:pPr>
    </w:p>
    <w:p w14:paraId="6F84D684" w14:textId="77777777" w:rsidR="00FF749E" w:rsidRPr="00E47369" w:rsidRDefault="00FF749E" w:rsidP="00F61C82">
      <w:pPr>
        <w:pStyle w:val="Heading41"/>
        <w:rPr>
          <w:rFonts w:cstheme="minorHAnsi"/>
        </w:rPr>
      </w:pPr>
      <w:r w:rsidRPr="00E47369">
        <w:rPr>
          <w:rFonts w:cstheme="minorHAnsi"/>
        </w:rPr>
        <w:t>Procedure for DODH / catalytic Wittig reaction from DODH reaction mixture</w:t>
      </w:r>
    </w:p>
    <w:p w14:paraId="56267C44" w14:textId="76932210" w:rsidR="00FF749E" w:rsidRPr="00E47369" w:rsidRDefault="00FF749E" w:rsidP="00DB4547">
      <w:pPr>
        <w:ind w:firstLine="360"/>
        <w:jc w:val="both"/>
        <w:rPr>
          <w:rFonts w:cstheme="minorHAnsi"/>
        </w:rPr>
      </w:pPr>
      <w:r w:rsidRPr="00E47369">
        <w:rPr>
          <w:rFonts w:cstheme="minorHAnsi"/>
        </w:rPr>
        <w:t xml:space="preserve">Diethyl </w:t>
      </w:r>
      <w:r w:rsidR="008633A9">
        <w:rPr>
          <w:rFonts w:cstheme="minorHAnsi"/>
          <w:color w:val="000000" w:themeColor="text1"/>
        </w:rPr>
        <w:t>tartrate (2.00 mmol, 0.34</w:t>
      </w:r>
      <w:r w:rsidRPr="00E47369">
        <w:rPr>
          <w:rFonts w:cstheme="minorHAnsi"/>
          <w:color w:val="000000" w:themeColor="text1"/>
        </w:rPr>
        <w:t xml:space="preserve"> mL), NH</w:t>
      </w:r>
      <w:r w:rsidRPr="00E47369">
        <w:rPr>
          <w:rFonts w:cstheme="minorHAnsi"/>
          <w:color w:val="000000" w:themeColor="text1"/>
          <w:vertAlign w:val="subscript"/>
        </w:rPr>
        <w:t>4</w:t>
      </w:r>
      <w:r w:rsidRPr="00E47369">
        <w:rPr>
          <w:rFonts w:cstheme="minorHAnsi"/>
          <w:color w:val="000000" w:themeColor="text1"/>
        </w:rPr>
        <w:t>ReO</w:t>
      </w:r>
      <w:r w:rsidRPr="00E47369">
        <w:rPr>
          <w:rFonts w:cstheme="minorHAnsi"/>
          <w:color w:val="000000" w:themeColor="text1"/>
          <w:vertAlign w:val="subscript"/>
        </w:rPr>
        <w:t>4</w:t>
      </w:r>
      <w:r w:rsidR="008633A9">
        <w:rPr>
          <w:rFonts w:cstheme="minorHAnsi"/>
          <w:color w:val="000000" w:themeColor="text1"/>
        </w:rPr>
        <w:t xml:space="preserve"> (0.20 mmol, 54</w:t>
      </w:r>
      <w:r w:rsidRPr="00E47369">
        <w:rPr>
          <w:rFonts w:cstheme="minorHAnsi"/>
          <w:color w:val="000000" w:themeColor="text1"/>
        </w:rPr>
        <w:t xml:space="preserve"> mg), </w:t>
      </w:r>
      <w:r w:rsidR="008633A9">
        <w:rPr>
          <w:rFonts w:cstheme="minorHAnsi"/>
          <w:color w:val="000000" w:themeColor="text1"/>
        </w:rPr>
        <w:t>benzyl alcohol (1.00 mmol, 0.20</w:t>
      </w:r>
      <w:r w:rsidRPr="00E47369">
        <w:rPr>
          <w:rFonts w:cstheme="minorHAnsi"/>
          <w:color w:val="000000" w:themeColor="text1"/>
        </w:rPr>
        <w:t xml:space="preserve"> mL) and benzene (10 mL) were added to a thick-walled </w:t>
      </w:r>
      <w:r w:rsidR="00DB4547">
        <w:rPr>
          <w:rFonts w:cstheme="minorHAnsi"/>
          <w:color w:val="000000" w:themeColor="text1"/>
        </w:rPr>
        <w:t>Ace glass reactor tube. Nitrogen</w:t>
      </w:r>
      <w:r w:rsidRPr="00E47369">
        <w:rPr>
          <w:rFonts w:cstheme="minorHAnsi"/>
          <w:color w:val="000000" w:themeColor="text1"/>
        </w:rPr>
        <w:t xml:space="preserve"> </w:t>
      </w:r>
      <w:r w:rsidRPr="00E47369">
        <w:rPr>
          <w:rFonts w:cstheme="minorHAnsi"/>
        </w:rPr>
        <w:t>was bubbled into the mixture for at least 60 sec before the Teflon seal was closed. The reactor was placed in an oil bath at 150</w:t>
      </w:r>
      <w:r w:rsidRPr="00E47369">
        <w:rPr>
          <w:rFonts w:cstheme="minorHAnsi"/>
          <w:vertAlign w:val="superscript"/>
        </w:rPr>
        <w:t>o</w:t>
      </w:r>
      <w:r w:rsidRPr="00E47369">
        <w:rPr>
          <w:rFonts w:cstheme="minorHAnsi"/>
        </w:rPr>
        <w:t xml:space="preserve">C for 24 h while stirring magnetically. After cooling to room temperature, 5 mL of the reaction mixture was mixed </w:t>
      </w:r>
      <w:r w:rsidRPr="00E47369">
        <w:rPr>
          <w:rFonts w:cstheme="minorHAnsi"/>
          <w:color w:val="000000" w:themeColor="text1"/>
        </w:rPr>
        <w:t>with trib</w:t>
      </w:r>
      <w:r w:rsidR="008633A9">
        <w:rPr>
          <w:rFonts w:cstheme="minorHAnsi"/>
          <w:color w:val="000000" w:themeColor="text1"/>
        </w:rPr>
        <w:t xml:space="preserve">utyl phosphine (1.00 mmol, 0.25 </w:t>
      </w:r>
      <w:r w:rsidRPr="00E47369">
        <w:rPr>
          <w:rFonts w:cstheme="minorHAnsi"/>
          <w:color w:val="000000" w:themeColor="text1"/>
        </w:rPr>
        <w:t>mL). A N</w:t>
      </w:r>
      <w:r w:rsidRPr="00E47369">
        <w:rPr>
          <w:rFonts w:cstheme="minorHAnsi"/>
          <w:color w:val="000000" w:themeColor="text1"/>
          <w:vertAlign w:val="subscript"/>
        </w:rPr>
        <w:t>2</w:t>
      </w:r>
      <w:r w:rsidRPr="00E47369">
        <w:rPr>
          <w:rFonts w:cstheme="minorHAnsi"/>
          <w:color w:val="000000" w:themeColor="text1"/>
        </w:rPr>
        <w:t xml:space="preserve"> flow </w:t>
      </w:r>
      <w:r w:rsidRPr="00E47369">
        <w:rPr>
          <w:rFonts w:cstheme="minorHAnsi"/>
        </w:rPr>
        <w:t>was bubbled into the mixture for at least 60 sec before the Teflon seal was closed. The reactor was placed again in an oil bath at 150</w:t>
      </w:r>
      <w:r w:rsidRPr="00E47369">
        <w:rPr>
          <w:rFonts w:cstheme="minorHAnsi"/>
          <w:vertAlign w:val="superscript"/>
        </w:rPr>
        <w:t>o</w:t>
      </w:r>
      <w:r w:rsidRPr="00E47369">
        <w:rPr>
          <w:rFonts w:cstheme="minorHAnsi"/>
        </w:rPr>
        <w:t>C for 24 h while stirring magnetically. After cooling to room temperature, 100 µL of the reaction mixture was removed and added to CDCl</w:t>
      </w:r>
      <w:r w:rsidRPr="00E47369">
        <w:rPr>
          <w:rFonts w:cstheme="minorHAnsi"/>
          <w:vertAlign w:val="subscript"/>
        </w:rPr>
        <w:t>3</w:t>
      </w:r>
      <w:r w:rsidRPr="00E47369">
        <w:rPr>
          <w:rFonts w:cstheme="minorHAnsi"/>
        </w:rPr>
        <w:t xml:space="preserve"> (0.5</w:t>
      </w:r>
      <w:r w:rsidR="008633A9">
        <w:rPr>
          <w:rFonts w:cstheme="minorHAnsi"/>
        </w:rPr>
        <w:t xml:space="preserve"> </w:t>
      </w:r>
      <w:r w:rsidRPr="00E47369">
        <w:rPr>
          <w:rFonts w:cstheme="minorHAnsi"/>
        </w:rPr>
        <w:t xml:space="preserve">mL) and 2.0 µL DMSO as internal standard for </w:t>
      </w:r>
      <w:r w:rsidRPr="00E47369">
        <w:rPr>
          <w:rFonts w:cstheme="minorHAnsi"/>
          <w:vertAlign w:val="superscript"/>
        </w:rPr>
        <w:t>1</w:t>
      </w:r>
      <w:r w:rsidRPr="00E47369">
        <w:rPr>
          <w:rFonts w:cstheme="minorHAnsi"/>
        </w:rPr>
        <w:t>H NMR analysis.</w:t>
      </w:r>
    </w:p>
    <w:p w14:paraId="1D7A0F5A" w14:textId="77777777" w:rsidR="00FF749E" w:rsidRPr="00E47369" w:rsidRDefault="00FF749E" w:rsidP="00F61C82">
      <w:pPr>
        <w:ind w:firstLine="720"/>
        <w:jc w:val="both"/>
        <w:rPr>
          <w:rFonts w:cstheme="minorHAnsi"/>
        </w:rPr>
      </w:pPr>
    </w:p>
    <w:p w14:paraId="6EABB095" w14:textId="77777777" w:rsidR="00FF749E" w:rsidRPr="00E47369" w:rsidRDefault="00FF749E" w:rsidP="00F61C82">
      <w:pPr>
        <w:pStyle w:val="Heading41"/>
        <w:rPr>
          <w:rFonts w:cstheme="minorHAnsi"/>
        </w:rPr>
      </w:pPr>
      <w:r w:rsidRPr="00E47369">
        <w:rPr>
          <w:rFonts w:cstheme="minorHAnsi"/>
        </w:rPr>
        <w:t>Procedure for DODH / catalytic Wittig reaction using PBu</w:t>
      </w:r>
      <w:r w:rsidRPr="00E47369">
        <w:rPr>
          <w:rFonts w:cstheme="minorHAnsi"/>
          <w:vertAlign w:val="subscript"/>
        </w:rPr>
        <w:t>3</w:t>
      </w:r>
      <w:r w:rsidRPr="00E47369">
        <w:rPr>
          <w:rFonts w:cstheme="minorHAnsi"/>
        </w:rPr>
        <w:t xml:space="preserve"> as reducing agent and stoichiometric Wittig reagent (</w:t>
      </w:r>
      <w:r w:rsidR="00661D64" w:rsidRPr="00E47369">
        <w:rPr>
          <w:rFonts w:cstheme="minorHAnsi"/>
        </w:rPr>
        <w:fldChar w:fldCharType="begin"/>
      </w:r>
      <w:r w:rsidR="00661D64" w:rsidRPr="00E47369">
        <w:rPr>
          <w:rFonts w:cstheme="minorHAnsi"/>
        </w:rPr>
        <w:instrText xml:space="preserve"> REF _Ref453745517 \h </w:instrText>
      </w:r>
      <w:r w:rsidR="00F61C82" w:rsidRPr="00E47369">
        <w:rPr>
          <w:rFonts w:cstheme="minorHAnsi"/>
        </w:rPr>
        <w:instrText xml:space="preserve"> \* MERGEFORMAT </w:instrText>
      </w:r>
      <w:r w:rsidR="00661D64" w:rsidRPr="00E47369">
        <w:rPr>
          <w:rFonts w:cstheme="minorHAnsi"/>
        </w:rPr>
      </w:r>
      <w:r w:rsidR="00661D64" w:rsidRPr="00E47369">
        <w:rPr>
          <w:rFonts w:cstheme="minorHAnsi"/>
        </w:rPr>
        <w:fldChar w:fldCharType="separate"/>
      </w:r>
      <w:r w:rsidR="000A0E3D" w:rsidRPr="000A0E3D">
        <w:rPr>
          <w:rFonts w:cstheme="minorHAnsi"/>
        </w:rPr>
        <w:t xml:space="preserve">Figure III. </w:t>
      </w:r>
      <w:r w:rsidR="000A0E3D" w:rsidRPr="000A0E3D">
        <w:rPr>
          <w:rFonts w:cstheme="minorHAnsi"/>
          <w:noProof/>
        </w:rPr>
        <w:t>4.6</w:t>
      </w:r>
      <w:r w:rsidR="00661D64" w:rsidRPr="00E47369">
        <w:rPr>
          <w:rFonts w:cstheme="minorHAnsi"/>
        </w:rPr>
        <w:fldChar w:fldCharType="end"/>
      </w:r>
      <w:r w:rsidRPr="00E47369">
        <w:rPr>
          <w:rFonts w:cstheme="minorHAnsi"/>
        </w:rPr>
        <w:t xml:space="preserve"> and </w:t>
      </w:r>
      <w:r w:rsidR="00661D64" w:rsidRPr="00E47369">
        <w:rPr>
          <w:rFonts w:cstheme="minorHAnsi"/>
        </w:rPr>
        <w:fldChar w:fldCharType="begin"/>
      </w:r>
      <w:r w:rsidR="00661D64" w:rsidRPr="00E47369">
        <w:rPr>
          <w:rFonts w:cstheme="minorHAnsi"/>
        </w:rPr>
        <w:instrText xml:space="preserve"> REF _Ref453745645 \h </w:instrText>
      </w:r>
      <w:r w:rsidR="00F61C82" w:rsidRPr="00E47369">
        <w:rPr>
          <w:rFonts w:cstheme="minorHAnsi"/>
        </w:rPr>
        <w:instrText xml:space="preserve"> \* MERGEFORMAT </w:instrText>
      </w:r>
      <w:r w:rsidR="00661D64" w:rsidRPr="00E47369">
        <w:rPr>
          <w:rFonts w:cstheme="minorHAnsi"/>
        </w:rPr>
      </w:r>
      <w:r w:rsidR="00661D64" w:rsidRPr="00E47369">
        <w:rPr>
          <w:rFonts w:cstheme="minorHAnsi"/>
        </w:rPr>
        <w:fldChar w:fldCharType="separate"/>
      </w:r>
      <w:r w:rsidR="000A0E3D" w:rsidRPr="000A0E3D">
        <w:rPr>
          <w:rFonts w:cstheme="minorHAnsi"/>
        </w:rPr>
        <w:t xml:space="preserve">Figure III. </w:t>
      </w:r>
      <w:r w:rsidR="000A0E3D" w:rsidRPr="000A0E3D">
        <w:rPr>
          <w:rFonts w:cstheme="minorHAnsi"/>
          <w:noProof/>
        </w:rPr>
        <w:t>4.7</w:t>
      </w:r>
      <w:r w:rsidR="00661D64" w:rsidRPr="00E47369">
        <w:rPr>
          <w:rFonts w:cstheme="minorHAnsi"/>
        </w:rPr>
        <w:fldChar w:fldCharType="end"/>
      </w:r>
      <w:r w:rsidRPr="00E47369">
        <w:rPr>
          <w:rFonts w:cstheme="minorHAnsi"/>
        </w:rPr>
        <w:t>)</w:t>
      </w:r>
    </w:p>
    <w:p w14:paraId="4BA22982" w14:textId="1E4893B2" w:rsidR="00FF749E" w:rsidRPr="00E47369" w:rsidRDefault="00FF749E" w:rsidP="00DB4547">
      <w:pPr>
        <w:ind w:firstLine="360"/>
        <w:jc w:val="both"/>
        <w:rPr>
          <w:rFonts w:cstheme="minorHAnsi"/>
        </w:rPr>
      </w:pPr>
      <w:r w:rsidRPr="00E47369">
        <w:rPr>
          <w:rFonts w:cstheme="minorHAnsi"/>
        </w:rPr>
        <w:t xml:space="preserve">Diethyl </w:t>
      </w:r>
      <w:r w:rsidRPr="00E47369">
        <w:rPr>
          <w:rFonts w:cstheme="minorHAnsi"/>
          <w:color w:val="000000" w:themeColor="text1"/>
        </w:rPr>
        <w:t>tartrate (1.00 mmol, 0.17 mL), NH</w:t>
      </w:r>
      <w:r w:rsidRPr="00E47369">
        <w:rPr>
          <w:rFonts w:cstheme="minorHAnsi"/>
          <w:color w:val="000000" w:themeColor="text1"/>
          <w:vertAlign w:val="subscript"/>
        </w:rPr>
        <w:t>4</w:t>
      </w:r>
      <w:r w:rsidRPr="00E47369">
        <w:rPr>
          <w:rFonts w:cstheme="minorHAnsi"/>
          <w:color w:val="000000" w:themeColor="text1"/>
        </w:rPr>
        <w:t>ReO</w:t>
      </w:r>
      <w:r w:rsidRPr="00E47369">
        <w:rPr>
          <w:rFonts w:cstheme="minorHAnsi"/>
          <w:color w:val="000000" w:themeColor="text1"/>
          <w:vertAlign w:val="subscript"/>
        </w:rPr>
        <w:t>4</w:t>
      </w:r>
      <w:r w:rsidR="008633A9">
        <w:rPr>
          <w:rFonts w:cstheme="minorHAnsi"/>
          <w:color w:val="000000" w:themeColor="text1"/>
        </w:rPr>
        <w:t xml:space="preserve"> (0.10 mmol, 27</w:t>
      </w:r>
      <w:r w:rsidRPr="00E47369">
        <w:rPr>
          <w:rFonts w:cstheme="minorHAnsi"/>
          <w:color w:val="000000" w:themeColor="text1"/>
        </w:rPr>
        <w:t xml:space="preserve"> mg)</w:t>
      </w:r>
      <w:r w:rsidR="008633A9">
        <w:rPr>
          <w:rFonts w:cstheme="minorHAnsi"/>
          <w:color w:val="000000" w:themeColor="text1"/>
        </w:rPr>
        <w:t>, benzaldehyde (1.00 mmol, 0.10</w:t>
      </w:r>
      <w:r w:rsidRPr="00E47369">
        <w:rPr>
          <w:rFonts w:cstheme="minorHAnsi"/>
          <w:color w:val="000000" w:themeColor="text1"/>
        </w:rPr>
        <w:t xml:space="preserve"> mL), tribu</w:t>
      </w:r>
      <w:r w:rsidR="008633A9">
        <w:rPr>
          <w:rFonts w:cstheme="minorHAnsi"/>
          <w:color w:val="000000" w:themeColor="text1"/>
        </w:rPr>
        <w:t xml:space="preserve">tyl phosphine (1.00 mmol, 0.20 mL or 2.00 mmol, 0.49 </w:t>
      </w:r>
      <w:r w:rsidRPr="00E47369">
        <w:rPr>
          <w:rFonts w:cstheme="minorHAnsi"/>
          <w:color w:val="000000" w:themeColor="text1"/>
        </w:rPr>
        <w:t>mL) and benzene (5 mL) were added to a thick-walled Ace glass reactor tube. A N</w:t>
      </w:r>
      <w:r w:rsidRPr="00E47369">
        <w:rPr>
          <w:rFonts w:cstheme="minorHAnsi"/>
          <w:color w:val="000000" w:themeColor="text1"/>
          <w:vertAlign w:val="subscript"/>
        </w:rPr>
        <w:t>2</w:t>
      </w:r>
      <w:r w:rsidRPr="00E47369">
        <w:rPr>
          <w:rFonts w:cstheme="minorHAnsi"/>
          <w:color w:val="000000" w:themeColor="text1"/>
        </w:rPr>
        <w:t xml:space="preserve"> flow </w:t>
      </w:r>
      <w:r w:rsidRPr="00E47369">
        <w:rPr>
          <w:rFonts w:cstheme="minorHAnsi"/>
        </w:rPr>
        <w:t>was bubbled into the mixture for at least 60 sec before the Teflon seal was closed. The reactor was placed in an oil bath at 150</w:t>
      </w:r>
      <w:r w:rsidRPr="00E47369">
        <w:rPr>
          <w:rFonts w:cstheme="minorHAnsi"/>
          <w:vertAlign w:val="superscript"/>
        </w:rPr>
        <w:t>o</w:t>
      </w:r>
      <w:r w:rsidRPr="00E47369">
        <w:rPr>
          <w:rFonts w:cstheme="minorHAnsi"/>
        </w:rPr>
        <w:t>C for 24 h while stirring magnetically. After cooling to room temperature, a 100 µL aliquot of the reaction mixture was removed and added to CDCl</w:t>
      </w:r>
      <w:r w:rsidRPr="00E47369">
        <w:rPr>
          <w:rFonts w:cstheme="minorHAnsi"/>
          <w:vertAlign w:val="subscript"/>
        </w:rPr>
        <w:t>3</w:t>
      </w:r>
      <w:r w:rsidRPr="00E47369">
        <w:rPr>
          <w:rFonts w:cstheme="minorHAnsi"/>
        </w:rPr>
        <w:t xml:space="preserve"> (0.5</w:t>
      </w:r>
      <w:r w:rsidR="008633A9">
        <w:rPr>
          <w:rFonts w:cstheme="minorHAnsi"/>
        </w:rPr>
        <w:t xml:space="preserve"> </w:t>
      </w:r>
      <w:r w:rsidRPr="00E47369">
        <w:rPr>
          <w:rFonts w:cstheme="minorHAnsi"/>
        </w:rPr>
        <w:t xml:space="preserve">mL) and 2.0 µL DMSO as internal standard for </w:t>
      </w:r>
      <w:r w:rsidRPr="00E47369">
        <w:rPr>
          <w:rFonts w:cstheme="minorHAnsi"/>
          <w:vertAlign w:val="superscript"/>
        </w:rPr>
        <w:t>1</w:t>
      </w:r>
      <w:r w:rsidRPr="00E47369">
        <w:rPr>
          <w:rFonts w:cstheme="minorHAnsi"/>
        </w:rPr>
        <w:t xml:space="preserve">H NMR analysis. </w:t>
      </w:r>
    </w:p>
    <w:p w14:paraId="271F30ED" w14:textId="77777777" w:rsidR="00FF749E" w:rsidRPr="00E47369" w:rsidRDefault="00FF749E" w:rsidP="00A40A97">
      <w:pPr>
        <w:jc w:val="center"/>
        <w:rPr>
          <w:rFonts w:cstheme="minorHAnsi"/>
        </w:rPr>
      </w:pPr>
      <w:r w:rsidRPr="00E47369">
        <w:rPr>
          <w:rFonts w:cstheme="minorHAnsi"/>
          <w:noProof/>
          <w:lang w:bidi="ar-SA"/>
        </w:rPr>
        <w:drawing>
          <wp:inline distT="0" distB="0" distL="0" distR="0" wp14:anchorId="33D751E6" wp14:editId="666DC0DD">
            <wp:extent cx="4572000" cy="282043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10" cstate="print">
                      <a:extLst>
                        <a:ext uri="{28A0092B-C50C-407E-A947-70E740481C1C}">
                          <a14:useLocalDpi xmlns:a14="http://schemas.microsoft.com/office/drawing/2010/main" val="0"/>
                        </a:ext>
                      </a:extLst>
                    </a:blip>
                    <a:srcRect t="7276" b="12285"/>
                    <a:stretch/>
                  </pic:blipFill>
                  <pic:spPr bwMode="auto">
                    <a:xfrm>
                      <a:off x="0" y="0"/>
                      <a:ext cx="4572000" cy="2820435"/>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72A4BF9F" w14:textId="77777777" w:rsidR="00FF749E" w:rsidRPr="00E47369" w:rsidRDefault="00FF749E" w:rsidP="00F61C82">
      <w:pPr>
        <w:jc w:val="both"/>
        <w:rPr>
          <w:rFonts w:cstheme="minorHAnsi"/>
          <w:i/>
        </w:rPr>
      </w:pPr>
      <w:r w:rsidRPr="00E47369">
        <w:rPr>
          <w:rFonts w:cstheme="minorHAnsi"/>
          <w:i/>
        </w:rPr>
        <w:t xml:space="preserve">NMR spectrum of the reaction on </w:t>
      </w:r>
      <w:r w:rsidR="00ED5CD1" w:rsidRPr="00E47369">
        <w:rPr>
          <w:rFonts w:cstheme="minorHAnsi"/>
          <w:i/>
        </w:rPr>
        <w:fldChar w:fldCharType="begin"/>
      </w:r>
      <w:r w:rsidR="00ED5CD1" w:rsidRPr="00E47369">
        <w:rPr>
          <w:rFonts w:cstheme="minorHAnsi"/>
          <w:i/>
        </w:rPr>
        <w:instrText xml:space="preserve"> REF _Ref453745517 \h </w:instrText>
      </w:r>
      <w:r w:rsidR="000C1BF3" w:rsidRPr="00E47369">
        <w:rPr>
          <w:rFonts w:cstheme="minorHAnsi"/>
          <w:i/>
        </w:rPr>
        <w:instrText xml:space="preserve"> \* MERGEFORMAT </w:instrText>
      </w:r>
      <w:r w:rsidR="00ED5CD1" w:rsidRPr="00E47369">
        <w:rPr>
          <w:rFonts w:cstheme="minorHAnsi"/>
          <w:i/>
        </w:rPr>
      </w:r>
      <w:r w:rsidR="00ED5CD1" w:rsidRPr="00E47369">
        <w:rPr>
          <w:rFonts w:cstheme="minorHAnsi"/>
          <w:i/>
        </w:rPr>
        <w:fldChar w:fldCharType="separate"/>
      </w:r>
      <w:r w:rsidR="000A0E3D" w:rsidRPr="000A0E3D">
        <w:rPr>
          <w:rFonts w:cstheme="minorHAnsi"/>
          <w:i/>
        </w:rPr>
        <w:t xml:space="preserve">Figure III. </w:t>
      </w:r>
      <w:r w:rsidR="000A0E3D" w:rsidRPr="000A0E3D">
        <w:rPr>
          <w:rFonts w:cstheme="minorHAnsi"/>
          <w:i/>
          <w:noProof/>
        </w:rPr>
        <w:t>4.6</w:t>
      </w:r>
      <w:r w:rsidR="00ED5CD1" w:rsidRPr="00E47369">
        <w:rPr>
          <w:rFonts w:cstheme="minorHAnsi"/>
          <w:i/>
        </w:rPr>
        <w:fldChar w:fldCharType="end"/>
      </w:r>
    </w:p>
    <w:p w14:paraId="35583A90" w14:textId="77777777" w:rsidR="000C1BF3" w:rsidRPr="00E47369" w:rsidRDefault="000C1BF3" w:rsidP="00F61C82">
      <w:pPr>
        <w:jc w:val="both"/>
        <w:rPr>
          <w:rFonts w:cstheme="minorHAnsi"/>
          <w:i/>
        </w:rPr>
      </w:pPr>
    </w:p>
    <w:p w14:paraId="14CB6D46" w14:textId="77777777" w:rsidR="00FF749E" w:rsidRPr="00E47369" w:rsidRDefault="00FF749E" w:rsidP="00F61C82">
      <w:pPr>
        <w:pStyle w:val="Heading41"/>
        <w:rPr>
          <w:rFonts w:cstheme="minorHAnsi"/>
        </w:rPr>
      </w:pPr>
      <w:r w:rsidRPr="00E47369">
        <w:rPr>
          <w:rFonts w:cstheme="minorHAnsi"/>
        </w:rPr>
        <w:t>Procedure for DODH / catalytic Wittig reaction using PBu</w:t>
      </w:r>
      <w:r w:rsidRPr="00E47369">
        <w:rPr>
          <w:rFonts w:cstheme="minorHAnsi"/>
          <w:vertAlign w:val="subscript"/>
        </w:rPr>
        <w:t>3</w:t>
      </w:r>
      <w:r w:rsidRPr="00E47369">
        <w:rPr>
          <w:rFonts w:cstheme="minorHAnsi"/>
        </w:rPr>
        <w:t xml:space="preserve"> as a catalyst with diphenyl silane</w:t>
      </w:r>
    </w:p>
    <w:p w14:paraId="5B2BCA6E" w14:textId="3D1BA0B9" w:rsidR="008E0FF3" w:rsidRPr="00E47369" w:rsidRDefault="00FF749E" w:rsidP="00DB4547">
      <w:pPr>
        <w:ind w:firstLine="360"/>
        <w:jc w:val="both"/>
        <w:rPr>
          <w:rFonts w:cstheme="minorHAnsi"/>
        </w:rPr>
      </w:pPr>
      <w:r w:rsidRPr="00E47369">
        <w:rPr>
          <w:rFonts w:cstheme="minorHAnsi"/>
        </w:rPr>
        <w:t xml:space="preserve">Diethyl </w:t>
      </w:r>
      <w:r w:rsidRPr="00E47369">
        <w:rPr>
          <w:rFonts w:cstheme="minorHAnsi"/>
          <w:color w:val="000000" w:themeColor="text1"/>
        </w:rPr>
        <w:t>tartrate (1.00 mmol, 0.17 mL), NH</w:t>
      </w:r>
      <w:r w:rsidRPr="00E47369">
        <w:rPr>
          <w:rFonts w:cstheme="minorHAnsi"/>
          <w:color w:val="000000" w:themeColor="text1"/>
          <w:vertAlign w:val="subscript"/>
        </w:rPr>
        <w:t>4</w:t>
      </w:r>
      <w:r w:rsidRPr="00E47369">
        <w:rPr>
          <w:rFonts w:cstheme="minorHAnsi"/>
          <w:color w:val="000000" w:themeColor="text1"/>
        </w:rPr>
        <w:t>ReO</w:t>
      </w:r>
      <w:r w:rsidRPr="00E47369">
        <w:rPr>
          <w:rFonts w:cstheme="minorHAnsi"/>
          <w:color w:val="000000" w:themeColor="text1"/>
          <w:vertAlign w:val="subscript"/>
        </w:rPr>
        <w:t>4</w:t>
      </w:r>
      <w:r w:rsidR="008633A9">
        <w:rPr>
          <w:rFonts w:cstheme="minorHAnsi"/>
          <w:color w:val="000000" w:themeColor="text1"/>
        </w:rPr>
        <w:t xml:space="preserve"> (0.10 mmol, 27</w:t>
      </w:r>
      <w:r w:rsidRPr="00E47369">
        <w:rPr>
          <w:rFonts w:cstheme="minorHAnsi"/>
          <w:color w:val="000000" w:themeColor="text1"/>
        </w:rPr>
        <w:t xml:space="preserve"> mg)</w:t>
      </w:r>
      <w:r w:rsidR="008633A9">
        <w:rPr>
          <w:rFonts w:cstheme="minorHAnsi"/>
          <w:color w:val="000000" w:themeColor="text1"/>
        </w:rPr>
        <w:t>, benzaldehyde (1.00 mmol, 0.10</w:t>
      </w:r>
      <w:r w:rsidRPr="00E47369">
        <w:rPr>
          <w:rFonts w:cstheme="minorHAnsi"/>
          <w:color w:val="000000" w:themeColor="text1"/>
        </w:rPr>
        <w:t xml:space="preserve"> mL), tributyl phosphine (0.10 mmol, 24 </w:t>
      </w:r>
      <w:r w:rsidRPr="00E47369">
        <w:rPr>
          <w:rFonts w:cstheme="minorHAnsi"/>
        </w:rPr>
        <w:t>µL</w:t>
      </w:r>
      <w:r w:rsidRPr="00E47369">
        <w:rPr>
          <w:rFonts w:cstheme="minorHAnsi"/>
          <w:color w:val="000000" w:themeColor="text1"/>
        </w:rPr>
        <w:t>),</w:t>
      </w:r>
      <w:r w:rsidR="008633A9">
        <w:rPr>
          <w:rFonts w:cstheme="minorHAnsi"/>
          <w:color w:val="000000" w:themeColor="text1"/>
        </w:rPr>
        <w:t xml:space="preserve"> diphenyl silane (2.5mmol, 0.46</w:t>
      </w:r>
      <w:r w:rsidRPr="00E47369">
        <w:rPr>
          <w:rFonts w:cstheme="minorHAnsi"/>
          <w:color w:val="000000" w:themeColor="text1"/>
        </w:rPr>
        <w:t xml:space="preserve"> mL) and benzene (5 mL) were added to a thick-walled Ace glass reactor tube. </w:t>
      </w:r>
      <w:r w:rsidR="00DB4547">
        <w:rPr>
          <w:rFonts w:cstheme="minorHAnsi"/>
          <w:color w:val="000000" w:themeColor="text1"/>
        </w:rPr>
        <w:t>Nitrogen</w:t>
      </w:r>
      <w:r w:rsidRPr="00E47369">
        <w:rPr>
          <w:rFonts w:cstheme="minorHAnsi"/>
          <w:color w:val="000000" w:themeColor="text1"/>
        </w:rPr>
        <w:t xml:space="preserve"> </w:t>
      </w:r>
      <w:r w:rsidRPr="00E47369">
        <w:rPr>
          <w:rFonts w:cstheme="minorHAnsi"/>
        </w:rPr>
        <w:t>was bubbled into the mixture for at least 60 sec before the Teflon seal was closed. The reactor was placed in an oil bath at 150</w:t>
      </w:r>
      <w:r w:rsidRPr="00E47369">
        <w:rPr>
          <w:rFonts w:cstheme="minorHAnsi"/>
          <w:vertAlign w:val="superscript"/>
        </w:rPr>
        <w:t>o</w:t>
      </w:r>
      <w:r w:rsidRPr="00E47369">
        <w:rPr>
          <w:rFonts w:cstheme="minorHAnsi"/>
        </w:rPr>
        <w:t>C for 24 h while stirring magnetically. After cooling to room temperature, a 100 µL aliquot of the reaction mixture was removed and added to CDCl</w:t>
      </w:r>
      <w:r w:rsidRPr="00E47369">
        <w:rPr>
          <w:rFonts w:cstheme="minorHAnsi"/>
          <w:vertAlign w:val="subscript"/>
        </w:rPr>
        <w:t>3</w:t>
      </w:r>
      <w:r w:rsidRPr="00E47369">
        <w:rPr>
          <w:rFonts w:cstheme="minorHAnsi"/>
        </w:rPr>
        <w:t xml:space="preserve"> (0.5</w:t>
      </w:r>
      <w:r w:rsidR="008633A9">
        <w:rPr>
          <w:rFonts w:cstheme="minorHAnsi"/>
        </w:rPr>
        <w:t xml:space="preserve"> </w:t>
      </w:r>
      <w:r w:rsidRPr="00E47369">
        <w:rPr>
          <w:rFonts w:cstheme="minorHAnsi"/>
        </w:rPr>
        <w:t xml:space="preserve">mL) and 2.0 µL DMSO as internal standard for </w:t>
      </w:r>
      <w:r w:rsidRPr="00E47369">
        <w:rPr>
          <w:rFonts w:cstheme="minorHAnsi"/>
          <w:vertAlign w:val="superscript"/>
        </w:rPr>
        <w:t>1</w:t>
      </w:r>
      <w:r w:rsidRPr="00E47369">
        <w:rPr>
          <w:rFonts w:cstheme="minorHAnsi"/>
        </w:rPr>
        <w:t xml:space="preserve">H NMR analysis. </w:t>
      </w:r>
    </w:p>
    <w:p w14:paraId="3A01BA0C" w14:textId="77777777" w:rsidR="008954C9" w:rsidRPr="00E47369" w:rsidRDefault="00DB4547" w:rsidP="00DB4547">
      <w:pPr>
        <w:spacing w:line="240" w:lineRule="auto"/>
        <w:rPr>
          <w:rFonts w:cstheme="minorHAnsi"/>
        </w:rPr>
      </w:pPr>
      <w:r>
        <w:rPr>
          <w:rFonts w:cstheme="minorHAnsi"/>
        </w:rPr>
        <w:br w:type="page"/>
      </w:r>
    </w:p>
    <w:p w14:paraId="6F4B4143" w14:textId="77777777" w:rsidR="008954C9" w:rsidRPr="00E47369" w:rsidRDefault="008954C9" w:rsidP="00BA0582">
      <w:pPr>
        <w:pStyle w:val="Heading2"/>
      </w:pPr>
      <w:bookmarkStart w:id="309" w:name="_Ref455843190"/>
      <w:bookmarkStart w:id="310" w:name="_Toc458938320"/>
      <w:r w:rsidRPr="00E47369">
        <w:t xml:space="preserve">DODH/Heck </w:t>
      </w:r>
      <w:r w:rsidR="00317102" w:rsidRPr="00E47369">
        <w:t xml:space="preserve">Tandem </w:t>
      </w:r>
      <w:r w:rsidRPr="00E47369">
        <w:t>Reactions</w:t>
      </w:r>
      <w:bookmarkEnd w:id="309"/>
      <w:bookmarkEnd w:id="310"/>
    </w:p>
    <w:p w14:paraId="35139E8D" w14:textId="77777777" w:rsidR="008954C9" w:rsidRPr="00E47369" w:rsidRDefault="008954C9" w:rsidP="000351A7">
      <w:pPr>
        <w:pStyle w:val="Heading3"/>
        <w:numPr>
          <w:ilvl w:val="0"/>
          <w:numId w:val="30"/>
        </w:numPr>
      </w:pPr>
      <w:bookmarkStart w:id="311" w:name="_Toc458938321"/>
      <w:r w:rsidRPr="00E47369">
        <w:t>Introduction and Background</w:t>
      </w:r>
      <w:bookmarkEnd w:id="311"/>
    </w:p>
    <w:p w14:paraId="4CB660C3" w14:textId="77777777" w:rsidR="008954C9" w:rsidRPr="00E47369" w:rsidRDefault="008954C9" w:rsidP="00C36752">
      <w:pPr>
        <w:pStyle w:val="Heading41"/>
        <w:numPr>
          <w:ilvl w:val="0"/>
          <w:numId w:val="32"/>
        </w:numPr>
        <w:rPr>
          <w:rFonts w:cstheme="minorHAnsi"/>
        </w:rPr>
      </w:pPr>
      <w:r w:rsidRPr="00E47369">
        <w:rPr>
          <w:rFonts w:cstheme="minorHAnsi"/>
        </w:rPr>
        <w:t>The Heck reaction</w:t>
      </w:r>
    </w:p>
    <w:p w14:paraId="0BAAF501" w14:textId="77777777" w:rsidR="008954C9" w:rsidRPr="00E47369" w:rsidRDefault="008954C9" w:rsidP="00DB4547">
      <w:pPr>
        <w:ind w:firstLine="360"/>
        <w:jc w:val="both"/>
        <w:rPr>
          <w:rFonts w:cstheme="minorHAnsi"/>
        </w:rPr>
      </w:pPr>
      <w:r w:rsidRPr="00E47369">
        <w:rPr>
          <w:rFonts w:cstheme="minorHAnsi"/>
        </w:rPr>
        <w:t>The Heck reaction is the coupling of an alkene with an unsaturated halide using a combination of base and palladium catalyst</w:t>
      </w:r>
      <w:r w:rsidR="00F3411C" w:rsidRPr="00E47369">
        <w:rPr>
          <w:rFonts w:cstheme="minorHAnsi"/>
        </w:rPr>
        <w:t xml:space="preserve"> (</w:t>
      </w:r>
      <w:r w:rsidR="00F3411C" w:rsidRPr="00E47369">
        <w:rPr>
          <w:rFonts w:cstheme="minorHAnsi"/>
        </w:rPr>
        <w:fldChar w:fldCharType="begin"/>
      </w:r>
      <w:r w:rsidR="00F3411C" w:rsidRPr="00E47369">
        <w:rPr>
          <w:rFonts w:cstheme="minorHAnsi"/>
        </w:rPr>
        <w:instrText xml:space="preserve"> REF _Ref454439438 \h </w:instrText>
      </w:r>
      <w:r w:rsidR="00E47369">
        <w:rPr>
          <w:rFonts w:cstheme="minorHAnsi"/>
        </w:rPr>
        <w:instrText xml:space="preserve"> \* MERGEFORMAT </w:instrText>
      </w:r>
      <w:r w:rsidR="00F3411C" w:rsidRPr="00E47369">
        <w:rPr>
          <w:rFonts w:cstheme="minorHAnsi"/>
        </w:rPr>
      </w:r>
      <w:r w:rsidR="00F3411C" w:rsidRPr="00E47369">
        <w:rPr>
          <w:rFonts w:cstheme="minorHAnsi"/>
        </w:rPr>
        <w:fldChar w:fldCharType="separate"/>
      </w:r>
      <w:r w:rsidR="000A0E3D" w:rsidRPr="000A0E3D">
        <w:rPr>
          <w:rFonts w:cstheme="minorHAnsi"/>
        </w:rPr>
        <w:t xml:space="preserve">Figure III. </w:t>
      </w:r>
      <w:r w:rsidR="000A0E3D" w:rsidRPr="000A0E3D">
        <w:rPr>
          <w:rFonts w:cstheme="minorHAnsi"/>
          <w:noProof/>
        </w:rPr>
        <w:t>5.1</w:t>
      </w:r>
      <w:r w:rsidR="00F3411C" w:rsidRPr="00E47369">
        <w:rPr>
          <w:rFonts w:cstheme="minorHAnsi"/>
        </w:rPr>
        <w:fldChar w:fldCharType="end"/>
      </w:r>
      <w:r w:rsidR="00F3411C" w:rsidRPr="00E47369">
        <w:rPr>
          <w:rFonts w:cstheme="minorHAnsi"/>
        </w:rPr>
        <w:t>)</w:t>
      </w:r>
      <w:r w:rsidRPr="00E47369">
        <w:rPr>
          <w:rFonts w:cstheme="minorHAnsi"/>
        </w:rPr>
        <w:t xml:space="preserve">. First reported in 1971 by Mizoroki T. the reaction was </w:t>
      </w:r>
      <w:r w:rsidR="00DB4547">
        <w:rPr>
          <w:rFonts w:cstheme="minorHAnsi"/>
        </w:rPr>
        <w:t>extensively</w:t>
      </w:r>
      <w:r w:rsidRPr="00E47369">
        <w:rPr>
          <w:rFonts w:cstheme="minorHAnsi"/>
        </w:rPr>
        <w:t xml:space="preserve"> studied</w:t>
      </w:r>
      <w:r w:rsidR="00DB4547">
        <w:rPr>
          <w:rFonts w:cstheme="minorHAnsi"/>
        </w:rPr>
        <w:t xml:space="preserve"> and developed</w:t>
      </w:r>
      <w:r w:rsidRPr="00E47369">
        <w:rPr>
          <w:rFonts w:cstheme="minorHAnsi"/>
        </w:rPr>
        <w:t xml:space="preserve"> by R. Heck, E. Negishi and A. Suzuki.</w:t>
      </w:r>
      <w:r w:rsidRPr="00E47369">
        <w:rPr>
          <w:rFonts w:cstheme="minorHAnsi"/>
        </w:rPr>
        <w:fldChar w:fldCharType="begin"/>
      </w:r>
      <w:r w:rsidR="00E028D6">
        <w:rPr>
          <w:rFonts w:cstheme="minorHAnsi"/>
        </w:rPr>
        <w:instrText xml:space="preserve"> ADDIN ZOTERO_ITEM CSL_CITATION {"citationID":"1f1vuhu3mk","properties":{"formattedCitation":"{\\rtf \\super 145\\nosupersub{}}","plainCitation":"145"},"citationItems":[{"id":1694,"uris":["http://zotero.org/users/1624234/items/MHGEUPPM"],"uri":["http://zotero.org/users/1624234/items/MHGEUPPM"],"itemData":{"id":1694,"type":"article-journal","title":"The Heck Reaction as a Sharpening Stone of Palladium Catalysis","container-title":"Chemical Reviews","page":"3009-3066","volume":"100","issue":"8","source":"ACS Publications","DOI":"10.1021/cr9903048","ISSN":"0009-2665","journalAbbreviation":"Chem. Rev.","author":[{"family":"Beletskaya","given":"Irina P."},{"family":"Cheprakov","given":"Andrei V."}],"issued":{"date-parts":[["2000",8,1]]}}}],"schema":"https://github.com/citation-style-language/schema/raw/master/csl-citation.json"} </w:instrText>
      </w:r>
      <w:r w:rsidRPr="00E47369">
        <w:rPr>
          <w:rFonts w:cstheme="minorHAnsi"/>
        </w:rPr>
        <w:fldChar w:fldCharType="separate"/>
      </w:r>
      <w:r w:rsidR="00E028D6" w:rsidRPr="00E028D6">
        <w:rPr>
          <w:rFonts w:ascii="Times New Roman" w:hAnsi="Times New Roman"/>
          <w:vertAlign w:val="superscript"/>
        </w:rPr>
        <w:t>145</w:t>
      </w:r>
      <w:r w:rsidRPr="00E47369">
        <w:rPr>
          <w:rFonts w:cstheme="minorHAnsi"/>
        </w:rPr>
        <w:fldChar w:fldCharType="end"/>
      </w:r>
      <w:r w:rsidRPr="00E47369">
        <w:rPr>
          <w:rFonts w:cstheme="minorHAnsi"/>
        </w:rPr>
        <w:t xml:space="preserve"> This reaction was significant for two reasons: 1) it was the first reported C-C bond forming transformation following a Pd(0)/Pd(II) catalytic system; and 2) it is a </w:t>
      </w:r>
      <w:r w:rsidR="00DB4547">
        <w:rPr>
          <w:rFonts w:cstheme="minorHAnsi"/>
        </w:rPr>
        <w:t xml:space="preserve">formal </w:t>
      </w:r>
      <w:r w:rsidRPr="00E47369">
        <w:rPr>
          <w:rFonts w:cstheme="minorHAnsi"/>
        </w:rPr>
        <w:t>substitution on a planar sp</w:t>
      </w:r>
      <w:r w:rsidRPr="00E47369">
        <w:rPr>
          <w:rFonts w:cstheme="minorHAnsi"/>
          <w:vertAlign w:val="superscript"/>
        </w:rPr>
        <w:t>2</w:t>
      </w:r>
      <w:r w:rsidRPr="00E47369">
        <w:rPr>
          <w:rFonts w:cstheme="minorHAnsi"/>
        </w:rPr>
        <w:t xml:space="preserve"> carbon. The catalytic cycle of the palladium in the Heck reaction </w:t>
      </w:r>
      <w:r w:rsidR="00DB4547">
        <w:rPr>
          <w:rFonts w:cstheme="minorHAnsi"/>
        </w:rPr>
        <w:t>was</w:t>
      </w:r>
      <w:r w:rsidRPr="00E47369">
        <w:rPr>
          <w:rFonts w:cstheme="minorHAnsi"/>
        </w:rPr>
        <w:t xml:space="preserve"> describe starting with palladium (0) (</w:t>
      </w:r>
      <w:r w:rsidR="00F3411C" w:rsidRPr="00E47369">
        <w:rPr>
          <w:rFonts w:cstheme="minorHAnsi"/>
        </w:rPr>
        <w:fldChar w:fldCharType="begin"/>
      </w:r>
      <w:r w:rsidR="00F3411C" w:rsidRPr="00E47369">
        <w:rPr>
          <w:rFonts w:cstheme="minorHAnsi"/>
        </w:rPr>
        <w:instrText xml:space="preserve"> REF _Ref454439466 \h </w:instrText>
      </w:r>
      <w:r w:rsidR="00E47369">
        <w:rPr>
          <w:rFonts w:cstheme="minorHAnsi"/>
        </w:rPr>
        <w:instrText xml:space="preserve"> \* MERGEFORMAT </w:instrText>
      </w:r>
      <w:r w:rsidR="00F3411C" w:rsidRPr="00E47369">
        <w:rPr>
          <w:rFonts w:cstheme="minorHAnsi"/>
        </w:rPr>
      </w:r>
      <w:r w:rsidR="00F3411C" w:rsidRPr="00E47369">
        <w:rPr>
          <w:rFonts w:cstheme="minorHAnsi"/>
        </w:rPr>
        <w:fldChar w:fldCharType="separate"/>
      </w:r>
      <w:r w:rsidR="000A0E3D" w:rsidRPr="000A0E3D">
        <w:rPr>
          <w:rFonts w:cstheme="minorHAnsi"/>
        </w:rPr>
        <w:t xml:space="preserve">Figure III. </w:t>
      </w:r>
      <w:r w:rsidR="000A0E3D" w:rsidRPr="000A0E3D">
        <w:rPr>
          <w:rFonts w:cstheme="minorHAnsi"/>
          <w:noProof/>
        </w:rPr>
        <w:t>5.2</w:t>
      </w:r>
      <w:r w:rsidR="00F3411C" w:rsidRPr="00E47369">
        <w:rPr>
          <w:rFonts w:cstheme="minorHAnsi"/>
        </w:rPr>
        <w:fldChar w:fldCharType="end"/>
      </w:r>
      <w:r w:rsidRPr="00E47369">
        <w:rPr>
          <w:rFonts w:cstheme="minorHAnsi"/>
        </w:rPr>
        <w:t>). The aryl halide adds to the palladium by an oxidative addition. This step would be follow by the insertion of the terminal alkene between the metal center and the aryl group. The product is then released to leave a palladium (II) hydride specie. The base would then reduce the metal center to regenerate palladium (0).</w:t>
      </w:r>
    </w:p>
    <w:p w14:paraId="3885EAE0" w14:textId="77777777" w:rsidR="00F61C82" w:rsidRPr="00E47369" w:rsidRDefault="00F61C82" w:rsidP="00F61C82">
      <w:pPr>
        <w:ind w:left="360" w:firstLine="360"/>
        <w:jc w:val="both"/>
        <w:rPr>
          <w:rFonts w:cstheme="minorHAnsi"/>
        </w:rPr>
      </w:pPr>
    </w:p>
    <w:p w14:paraId="0490601B" w14:textId="1E0F44FE" w:rsidR="00F3411C" w:rsidRPr="00E47369" w:rsidRDefault="001539C6" w:rsidP="00F3411C">
      <w:pPr>
        <w:keepNext/>
        <w:jc w:val="center"/>
        <w:rPr>
          <w:rFonts w:cstheme="minorHAnsi"/>
        </w:rPr>
      </w:pPr>
      <w:r w:rsidRPr="00E47369">
        <w:rPr>
          <w:rFonts w:cstheme="minorHAnsi"/>
        </w:rPr>
        <w:object w:dxaOrig="4901" w:dyaOrig="543" w14:anchorId="1B8CD619">
          <v:shape id="_x0000_i1137" type="#_x0000_t75" style="width:321.25pt;height:34pt" o:ole="">
            <v:imagedata r:id="rId311" o:title=""/>
          </v:shape>
          <o:OLEObject Type="Embed" ProgID="ChemDraw.Document.6.0" ShapeID="_x0000_i1137" DrawAspect="Content" ObjectID="_1532784978" r:id="rId312"/>
        </w:object>
      </w:r>
    </w:p>
    <w:p w14:paraId="38C28531" w14:textId="4AD68589" w:rsidR="00F61C82" w:rsidRPr="001539C6" w:rsidRDefault="00F3411C" w:rsidP="001539C6">
      <w:pPr>
        <w:pStyle w:val="Caption"/>
      </w:pPr>
      <w:bookmarkStart w:id="312" w:name="_Ref454439438"/>
      <w:bookmarkStart w:id="313" w:name="_Toc457670750"/>
      <w:r w:rsidRPr="00A40A97">
        <w:t xml:space="preserve">Figure III. </w:t>
      </w:r>
      <w:r w:rsidR="00443010">
        <w:fldChar w:fldCharType="begin"/>
      </w:r>
      <w:r w:rsidR="00443010">
        <w:instrText xml:space="preserve"> STYLEREF 2 \s </w:instrText>
      </w:r>
      <w:r w:rsidR="00443010">
        <w:fldChar w:fldCharType="separate"/>
      </w:r>
      <w:r w:rsidR="000A0E3D">
        <w:rPr>
          <w:noProof/>
        </w:rPr>
        <w:t>5</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1</w:t>
      </w:r>
      <w:r w:rsidR="00443010">
        <w:rPr>
          <w:noProof/>
        </w:rPr>
        <w:fldChar w:fldCharType="end"/>
      </w:r>
      <w:bookmarkEnd w:id="312"/>
      <w:r w:rsidRPr="00A40A97">
        <w:t xml:space="preserve"> </w:t>
      </w:r>
      <w:r w:rsidR="008954C9" w:rsidRPr="00A40A97">
        <w:t>General Heck reaction</w:t>
      </w:r>
      <w:bookmarkEnd w:id="313"/>
    </w:p>
    <w:p w14:paraId="197C8231" w14:textId="77777777" w:rsidR="00F3411C" w:rsidRPr="00E47369" w:rsidRDefault="008954C9" w:rsidP="00F3411C">
      <w:pPr>
        <w:keepNext/>
        <w:jc w:val="center"/>
        <w:rPr>
          <w:rFonts w:cstheme="minorHAnsi"/>
        </w:rPr>
      </w:pPr>
      <w:r w:rsidRPr="00E47369">
        <w:rPr>
          <w:rFonts w:cstheme="minorHAnsi"/>
        </w:rPr>
        <w:object w:dxaOrig="4029" w:dyaOrig="3091" w14:anchorId="04FE4192">
          <v:shape id="_x0000_i1138" type="#_x0000_t75" style="width:200.95pt;height:154.3pt" o:ole="">
            <v:imagedata r:id="rId313" o:title=""/>
          </v:shape>
          <o:OLEObject Type="Embed" ProgID="ChemDraw.Document.6.0" ShapeID="_x0000_i1138" DrawAspect="Content" ObjectID="_1532784979" r:id="rId314"/>
        </w:object>
      </w:r>
    </w:p>
    <w:p w14:paraId="589B6006" w14:textId="77777777" w:rsidR="008954C9" w:rsidRPr="00A40A97" w:rsidRDefault="00F3411C" w:rsidP="00A40A97">
      <w:pPr>
        <w:pStyle w:val="Caption"/>
      </w:pPr>
      <w:bookmarkStart w:id="314" w:name="_Ref454439466"/>
      <w:bookmarkStart w:id="315" w:name="_Toc457670751"/>
      <w:r w:rsidRPr="00A40A97">
        <w:t xml:space="preserve">Figure III. </w:t>
      </w:r>
      <w:r w:rsidR="00443010">
        <w:fldChar w:fldCharType="begin"/>
      </w:r>
      <w:r w:rsidR="00443010">
        <w:instrText xml:space="preserve"> STYLEREF 2 \s </w:instrText>
      </w:r>
      <w:r w:rsidR="00443010">
        <w:fldChar w:fldCharType="separate"/>
      </w:r>
      <w:r w:rsidR="000A0E3D">
        <w:rPr>
          <w:noProof/>
        </w:rPr>
        <w:t>5</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2</w:t>
      </w:r>
      <w:r w:rsidR="00443010">
        <w:rPr>
          <w:noProof/>
        </w:rPr>
        <w:fldChar w:fldCharType="end"/>
      </w:r>
      <w:bookmarkEnd w:id="314"/>
      <w:r w:rsidRPr="00A40A97">
        <w:t xml:space="preserve"> </w:t>
      </w:r>
      <w:r w:rsidR="008954C9" w:rsidRPr="00A40A97">
        <w:t>Heck catalytic cycle</w:t>
      </w:r>
      <w:bookmarkEnd w:id="315"/>
    </w:p>
    <w:p w14:paraId="5BBFB84B" w14:textId="77777777" w:rsidR="00F61C82" w:rsidRPr="00E47369" w:rsidRDefault="00F61C82" w:rsidP="00F61C82">
      <w:pPr>
        <w:ind w:left="360" w:firstLine="360"/>
        <w:jc w:val="center"/>
        <w:rPr>
          <w:rFonts w:cstheme="minorHAnsi"/>
          <w:b/>
        </w:rPr>
      </w:pPr>
    </w:p>
    <w:p w14:paraId="650E0796" w14:textId="77777777" w:rsidR="008954C9" w:rsidRPr="00E47369" w:rsidRDefault="008954C9" w:rsidP="00F61C82">
      <w:pPr>
        <w:pStyle w:val="Heading41"/>
        <w:rPr>
          <w:rFonts w:cstheme="minorHAnsi"/>
        </w:rPr>
      </w:pPr>
      <w:r w:rsidRPr="00E47369">
        <w:rPr>
          <w:rFonts w:cstheme="minorHAnsi"/>
        </w:rPr>
        <w:t>DODH/Heck Tandem Concept</w:t>
      </w:r>
    </w:p>
    <w:p w14:paraId="6645E65F" w14:textId="77777777" w:rsidR="00F3411C" w:rsidRPr="00E47369" w:rsidRDefault="001C4EB8" w:rsidP="00F3411C">
      <w:pPr>
        <w:keepNext/>
        <w:jc w:val="center"/>
        <w:rPr>
          <w:rFonts w:cstheme="minorHAnsi"/>
        </w:rPr>
      </w:pPr>
      <w:r w:rsidRPr="00E47369">
        <w:rPr>
          <w:rFonts w:cstheme="minorHAnsi"/>
        </w:rPr>
        <w:object w:dxaOrig="4165" w:dyaOrig="2403" w14:anchorId="29263244">
          <v:shape id="_x0000_i1139" type="#_x0000_t75" style="width:221.55pt;height:123.45pt" o:ole="">
            <v:imagedata r:id="rId315" o:title=""/>
          </v:shape>
          <o:OLEObject Type="Embed" ProgID="ChemDraw.Document.6.0" ShapeID="_x0000_i1139" DrawAspect="Content" ObjectID="_1532784980" r:id="rId316"/>
        </w:object>
      </w:r>
    </w:p>
    <w:p w14:paraId="22A3C565" w14:textId="77777777" w:rsidR="008954C9" w:rsidRPr="00A40A97" w:rsidRDefault="00F3411C" w:rsidP="00A40A97">
      <w:pPr>
        <w:pStyle w:val="Caption"/>
      </w:pPr>
      <w:bookmarkStart w:id="316" w:name="_Ref454439506"/>
      <w:bookmarkStart w:id="317" w:name="_Toc457670752"/>
      <w:r w:rsidRPr="00A40A97">
        <w:t xml:space="preserve">Figure III. </w:t>
      </w:r>
      <w:r w:rsidR="00443010">
        <w:fldChar w:fldCharType="begin"/>
      </w:r>
      <w:r w:rsidR="00443010">
        <w:instrText xml:space="preserve"> STYLEREF 2 \s </w:instrText>
      </w:r>
      <w:r w:rsidR="00443010">
        <w:fldChar w:fldCharType="separate"/>
      </w:r>
      <w:r w:rsidR="000A0E3D">
        <w:rPr>
          <w:noProof/>
        </w:rPr>
        <w:t>5</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3</w:t>
      </w:r>
      <w:r w:rsidR="00443010">
        <w:rPr>
          <w:noProof/>
        </w:rPr>
        <w:fldChar w:fldCharType="end"/>
      </w:r>
      <w:bookmarkEnd w:id="316"/>
      <w:r w:rsidRPr="00A40A97">
        <w:t xml:space="preserve"> </w:t>
      </w:r>
      <w:r w:rsidR="00317102">
        <w:t>DODH/Heck t</w:t>
      </w:r>
      <w:r w:rsidR="008954C9" w:rsidRPr="00A40A97">
        <w:t xml:space="preserve">andem </w:t>
      </w:r>
      <w:r w:rsidR="00317102">
        <w:t>c</w:t>
      </w:r>
      <w:r w:rsidR="008954C9" w:rsidRPr="00A40A97">
        <w:t>oncept</w:t>
      </w:r>
      <w:bookmarkEnd w:id="317"/>
    </w:p>
    <w:p w14:paraId="7FD88955" w14:textId="77777777" w:rsidR="00F61C82" w:rsidRPr="00E47369" w:rsidRDefault="00F61C82" w:rsidP="00F61C82">
      <w:pPr>
        <w:ind w:left="360"/>
        <w:jc w:val="center"/>
        <w:rPr>
          <w:rFonts w:cstheme="minorHAnsi"/>
          <w:b/>
        </w:rPr>
      </w:pPr>
    </w:p>
    <w:p w14:paraId="31197352" w14:textId="77777777" w:rsidR="008954C9" w:rsidRPr="00E47369" w:rsidRDefault="008954C9" w:rsidP="00DB4547">
      <w:pPr>
        <w:ind w:firstLine="360"/>
        <w:jc w:val="both"/>
        <w:rPr>
          <w:rFonts w:cstheme="minorHAnsi"/>
        </w:rPr>
      </w:pPr>
      <w:r w:rsidRPr="00E47369">
        <w:rPr>
          <w:rFonts w:cstheme="minorHAnsi"/>
        </w:rPr>
        <w:t xml:space="preserve">In this tandem system we envisioned the formation of a terminal alkene by the deoxydehydration of its corresponding diol. Then in the presence of base, palladium catalyst and aryl bromide this alkene </w:t>
      </w:r>
      <w:r w:rsidR="00DB4547">
        <w:rPr>
          <w:rFonts w:cstheme="minorHAnsi"/>
        </w:rPr>
        <w:t>would be</w:t>
      </w:r>
      <w:r w:rsidRPr="00E47369">
        <w:rPr>
          <w:rFonts w:cstheme="minorHAnsi"/>
        </w:rPr>
        <w:t xml:space="preserve"> subsequently transformed in a Heck reaction (</w:t>
      </w:r>
      <w:r w:rsidR="00F3411C" w:rsidRPr="00E47369">
        <w:rPr>
          <w:rFonts w:cstheme="minorHAnsi"/>
        </w:rPr>
        <w:fldChar w:fldCharType="begin"/>
      </w:r>
      <w:r w:rsidR="00F3411C" w:rsidRPr="00E47369">
        <w:rPr>
          <w:rFonts w:cstheme="minorHAnsi"/>
        </w:rPr>
        <w:instrText xml:space="preserve"> REF _Ref454439506 \h </w:instrText>
      </w:r>
      <w:r w:rsidR="00E47369">
        <w:rPr>
          <w:rFonts w:cstheme="minorHAnsi"/>
        </w:rPr>
        <w:instrText xml:space="preserve"> \* MERGEFORMAT </w:instrText>
      </w:r>
      <w:r w:rsidR="00F3411C" w:rsidRPr="00E47369">
        <w:rPr>
          <w:rFonts w:cstheme="minorHAnsi"/>
        </w:rPr>
      </w:r>
      <w:r w:rsidR="00F3411C" w:rsidRPr="00E47369">
        <w:rPr>
          <w:rFonts w:cstheme="minorHAnsi"/>
        </w:rPr>
        <w:fldChar w:fldCharType="separate"/>
      </w:r>
      <w:r w:rsidR="000A0E3D" w:rsidRPr="000A0E3D">
        <w:rPr>
          <w:rFonts w:cstheme="minorHAnsi"/>
        </w:rPr>
        <w:t xml:space="preserve">Figure III. </w:t>
      </w:r>
      <w:r w:rsidR="000A0E3D" w:rsidRPr="000A0E3D">
        <w:rPr>
          <w:rFonts w:cstheme="minorHAnsi"/>
          <w:noProof/>
        </w:rPr>
        <w:t>5.3</w:t>
      </w:r>
      <w:r w:rsidR="00F3411C" w:rsidRPr="00E47369">
        <w:rPr>
          <w:rFonts w:cstheme="minorHAnsi"/>
        </w:rPr>
        <w:fldChar w:fldCharType="end"/>
      </w:r>
      <w:r w:rsidRPr="00E47369">
        <w:rPr>
          <w:rFonts w:cstheme="minorHAnsi"/>
        </w:rPr>
        <w:t xml:space="preserve">). This tandem system does not utilize the side product of the DODH reaction (from the reducing agent) in the second reaction. </w:t>
      </w:r>
      <w:r w:rsidR="00DB4547">
        <w:rPr>
          <w:rFonts w:cstheme="minorHAnsi"/>
        </w:rPr>
        <w:t>I</w:t>
      </w:r>
      <w:r w:rsidRPr="00E47369">
        <w:rPr>
          <w:rFonts w:cstheme="minorHAnsi"/>
        </w:rPr>
        <w:t>f the tandem process works, we could use para substituted benzyl alcohol</w:t>
      </w:r>
      <w:r w:rsidR="00DB4547">
        <w:rPr>
          <w:rFonts w:cstheme="minorHAnsi"/>
        </w:rPr>
        <w:t>s</w:t>
      </w:r>
      <w:r w:rsidRPr="00E47369">
        <w:rPr>
          <w:rFonts w:cstheme="minorHAnsi"/>
        </w:rPr>
        <w:t xml:space="preserve"> as reducing agent for the DODH reaction and as aryl halide for the Heck reaction (</w:t>
      </w:r>
      <w:r w:rsidR="00F3411C" w:rsidRPr="00E47369">
        <w:rPr>
          <w:rFonts w:cstheme="minorHAnsi"/>
        </w:rPr>
        <w:fldChar w:fldCharType="begin"/>
      </w:r>
      <w:r w:rsidR="00F3411C" w:rsidRPr="00E47369">
        <w:rPr>
          <w:rFonts w:cstheme="minorHAnsi"/>
        </w:rPr>
        <w:instrText xml:space="preserve"> REF _Ref454439536 \h </w:instrText>
      </w:r>
      <w:r w:rsidR="00E47369">
        <w:rPr>
          <w:rFonts w:cstheme="minorHAnsi"/>
        </w:rPr>
        <w:instrText xml:space="preserve"> \* MERGEFORMAT </w:instrText>
      </w:r>
      <w:r w:rsidR="00F3411C" w:rsidRPr="00E47369">
        <w:rPr>
          <w:rFonts w:cstheme="minorHAnsi"/>
        </w:rPr>
      </w:r>
      <w:r w:rsidR="00F3411C" w:rsidRPr="00E47369">
        <w:rPr>
          <w:rFonts w:cstheme="minorHAnsi"/>
        </w:rPr>
        <w:fldChar w:fldCharType="separate"/>
      </w:r>
      <w:r w:rsidR="000A0E3D" w:rsidRPr="000A0E3D">
        <w:rPr>
          <w:rFonts w:cstheme="minorHAnsi"/>
        </w:rPr>
        <w:t xml:space="preserve">Figure III. </w:t>
      </w:r>
      <w:r w:rsidR="000A0E3D" w:rsidRPr="000A0E3D">
        <w:rPr>
          <w:rFonts w:cstheme="minorHAnsi"/>
          <w:noProof/>
        </w:rPr>
        <w:t>5.4</w:t>
      </w:r>
      <w:r w:rsidR="00F3411C" w:rsidRPr="00E47369">
        <w:rPr>
          <w:rFonts w:cstheme="minorHAnsi"/>
        </w:rPr>
        <w:fldChar w:fldCharType="end"/>
      </w:r>
      <w:r w:rsidRPr="00E47369">
        <w:rPr>
          <w:rFonts w:cstheme="minorHAnsi"/>
        </w:rPr>
        <w:t xml:space="preserve">). The DODH/Heck tandem reaction would provide </w:t>
      </w:r>
      <w:r w:rsidR="00DB4547">
        <w:rPr>
          <w:rFonts w:cstheme="minorHAnsi"/>
        </w:rPr>
        <w:t>alkenes product</w:t>
      </w:r>
      <w:r w:rsidR="00441723">
        <w:rPr>
          <w:rFonts w:cstheme="minorHAnsi"/>
        </w:rPr>
        <w:t>s</w:t>
      </w:r>
      <w:r w:rsidRPr="00E47369">
        <w:rPr>
          <w:rFonts w:cstheme="minorHAnsi"/>
        </w:rPr>
        <w:t xml:space="preserve"> which could be used as a building block for drug </w:t>
      </w:r>
      <w:r w:rsidRPr="00E47369">
        <w:rPr>
          <w:rFonts w:cstheme="minorHAnsi"/>
          <w:color w:val="000000" w:themeColor="text1"/>
        </w:rPr>
        <w:t xml:space="preserve">synthesis. </w:t>
      </w:r>
      <w:r w:rsidR="00441723">
        <w:rPr>
          <w:rFonts w:cstheme="minorHAnsi"/>
        </w:rPr>
        <w:t>W</w:t>
      </w:r>
      <w:r w:rsidRPr="00E47369">
        <w:rPr>
          <w:rFonts w:cstheme="minorHAnsi"/>
        </w:rPr>
        <w:t xml:space="preserve">e will focus on using benzyl alcohol as a reducing agent in the DODH reaction. This tandem system </w:t>
      </w:r>
      <w:r w:rsidR="00441723">
        <w:rPr>
          <w:rFonts w:cstheme="minorHAnsi"/>
        </w:rPr>
        <w:t xml:space="preserve">is </w:t>
      </w:r>
      <w:r w:rsidRPr="00E47369">
        <w:rPr>
          <w:rFonts w:cstheme="minorHAnsi"/>
        </w:rPr>
        <w:t>an important challenge due to the required basic conditions for the reaction. In this section we will describe how we tried first to use a pyridine-based rhenium oxo complex to serve as the DODH catalyst and to provide the base in the Heck reaction. We studied first each reaction individually to evaluate the potential for a combined tandem system. The requirement for a base in the Heck coupling step was assessed by choosing a base-compatible DODH catalyst and the major limitation was found to be the solvent for the reaction.</w:t>
      </w:r>
    </w:p>
    <w:p w14:paraId="3869EAEE" w14:textId="77777777" w:rsidR="00F61C82" w:rsidRPr="00E47369" w:rsidRDefault="00F61C82" w:rsidP="00F61C82">
      <w:pPr>
        <w:ind w:left="360" w:firstLine="360"/>
        <w:jc w:val="both"/>
        <w:rPr>
          <w:rFonts w:cstheme="minorHAnsi"/>
          <w:highlight w:val="yellow"/>
        </w:rPr>
      </w:pPr>
    </w:p>
    <w:p w14:paraId="526673A4" w14:textId="77777777" w:rsidR="00F3411C" w:rsidRPr="00E47369" w:rsidRDefault="008954C9" w:rsidP="00F3411C">
      <w:pPr>
        <w:keepNext/>
        <w:jc w:val="center"/>
        <w:rPr>
          <w:rFonts w:cstheme="minorHAnsi"/>
        </w:rPr>
      </w:pPr>
      <w:r w:rsidRPr="00E47369">
        <w:rPr>
          <w:rFonts w:cstheme="minorHAnsi"/>
        </w:rPr>
        <w:object w:dxaOrig="6383" w:dyaOrig="2858" w14:anchorId="39632555">
          <v:shape id="_x0000_i1140" type="#_x0000_t75" style="width:308.55pt;height:139.25pt" o:ole="">
            <v:imagedata r:id="rId317" o:title=""/>
          </v:shape>
          <o:OLEObject Type="Embed" ProgID="ChemDraw.Document.6.0" ShapeID="_x0000_i1140" DrawAspect="Content" ObjectID="_1532784981" r:id="rId318"/>
        </w:object>
      </w:r>
    </w:p>
    <w:p w14:paraId="3F6F49D9" w14:textId="77777777" w:rsidR="008954C9" w:rsidRPr="00A40A97" w:rsidRDefault="00F3411C" w:rsidP="00A40A97">
      <w:pPr>
        <w:pStyle w:val="Caption"/>
      </w:pPr>
      <w:bookmarkStart w:id="318" w:name="_Ref454439536"/>
      <w:bookmarkStart w:id="319" w:name="_Toc457670753"/>
      <w:r w:rsidRPr="00A40A97">
        <w:t xml:space="preserve">Figure III. </w:t>
      </w:r>
      <w:r w:rsidR="00443010">
        <w:fldChar w:fldCharType="begin"/>
      </w:r>
      <w:r w:rsidR="00443010">
        <w:instrText xml:space="preserve"> STYLEREF 2 \s </w:instrText>
      </w:r>
      <w:r w:rsidR="00443010">
        <w:fldChar w:fldCharType="separate"/>
      </w:r>
      <w:r w:rsidR="000A0E3D">
        <w:rPr>
          <w:noProof/>
        </w:rPr>
        <w:t>5</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4</w:t>
      </w:r>
      <w:r w:rsidR="00443010">
        <w:rPr>
          <w:noProof/>
        </w:rPr>
        <w:fldChar w:fldCharType="end"/>
      </w:r>
      <w:bookmarkEnd w:id="318"/>
      <w:r w:rsidR="008954C9" w:rsidRPr="00A40A97">
        <w:t xml:space="preserve"> DODH/Heck tandem reaction with the reducing agent and aryl halide provided by one reagent</w:t>
      </w:r>
      <w:bookmarkEnd w:id="319"/>
    </w:p>
    <w:p w14:paraId="2B70D98F" w14:textId="77777777" w:rsidR="008954C9" w:rsidRPr="00E47369" w:rsidRDefault="008954C9" w:rsidP="00F61C82">
      <w:pPr>
        <w:jc w:val="center"/>
        <w:rPr>
          <w:rFonts w:cstheme="minorHAnsi"/>
          <w:b/>
        </w:rPr>
      </w:pPr>
    </w:p>
    <w:p w14:paraId="2357009E" w14:textId="77777777" w:rsidR="008954C9" w:rsidRPr="00E47369" w:rsidRDefault="008954C9" w:rsidP="000351A7">
      <w:pPr>
        <w:pStyle w:val="Heading3"/>
      </w:pPr>
      <w:bookmarkStart w:id="320" w:name="_Toc458938322"/>
      <w:r w:rsidRPr="00E47369">
        <w:t>Study of the DODH step</w:t>
      </w:r>
      <w:bookmarkEnd w:id="320"/>
      <w:r w:rsidRPr="00E47369">
        <w:t xml:space="preserve"> </w:t>
      </w:r>
    </w:p>
    <w:p w14:paraId="5BBF73AE" w14:textId="77777777" w:rsidR="008954C9" w:rsidRPr="00E47369" w:rsidRDefault="008954C9" w:rsidP="00F61C82">
      <w:pPr>
        <w:ind w:firstLine="360"/>
        <w:jc w:val="both"/>
        <w:rPr>
          <w:rFonts w:cstheme="minorHAnsi"/>
        </w:rPr>
      </w:pPr>
      <w:r w:rsidRPr="00E47369">
        <w:rPr>
          <w:rFonts w:cstheme="minorHAnsi"/>
        </w:rPr>
        <w:t>In order to obtain a functioning DODH/Heck tandem system we needed to adjust and choose the DODH reaction conditi</w:t>
      </w:r>
      <w:r w:rsidR="0033265F">
        <w:rPr>
          <w:rFonts w:cstheme="minorHAnsi"/>
        </w:rPr>
        <w:t>ons carefully. In most reported</w:t>
      </w:r>
      <w:r w:rsidRPr="00E47369">
        <w:rPr>
          <w:rFonts w:cstheme="minorHAnsi"/>
        </w:rPr>
        <w:t xml:space="preserve"> </w:t>
      </w:r>
      <w:r w:rsidR="0033265F">
        <w:rPr>
          <w:rFonts w:cstheme="minorHAnsi"/>
        </w:rPr>
        <w:t xml:space="preserve">DODH reaction the </w:t>
      </w:r>
      <w:r w:rsidRPr="00E47369">
        <w:rPr>
          <w:rFonts w:cstheme="minorHAnsi"/>
        </w:rPr>
        <w:t xml:space="preserve">rhenium oxo complex used trend to be slightly acidic </w:t>
      </w:r>
      <w:r w:rsidR="0033265F">
        <w:rPr>
          <w:rFonts w:cstheme="minorHAnsi"/>
        </w:rPr>
        <w:t>but</w:t>
      </w:r>
      <w:r w:rsidRPr="00E47369">
        <w:rPr>
          <w:rFonts w:cstheme="minorHAnsi"/>
        </w:rPr>
        <w:t xml:space="preserve"> the heck reaction required added base. In his dissertation, J. Michael McClain reported a study of the activity of ReO</w:t>
      </w:r>
      <w:r w:rsidRPr="00E47369">
        <w:rPr>
          <w:rFonts w:cstheme="minorHAnsi"/>
          <w:vertAlign w:val="subscript"/>
        </w:rPr>
        <w:t>2</w:t>
      </w:r>
      <w:r w:rsidRPr="00E47369">
        <w:rPr>
          <w:rFonts w:cstheme="minorHAnsi"/>
        </w:rPr>
        <w:t>(py)</w:t>
      </w:r>
      <w:r w:rsidRPr="00E47369">
        <w:rPr>
          <w:rFonts w:cstheme="minorHAnsi"/>
          <w:vertAlign w:val="subscript"/>
        </w:rPr>
        <w:t>4</w:t>
      </w:r>
      <w:r w:rsidRPr="00E47369">
        <w:rPr>
          <w:rFonts w:cstheme="minorHAnsi"/>
          <w:vertAlign w:val="superscript"/>
        </w:rPr>
        <w:t>+-</w:t>
      </w:r>
      <w:r w:rsidRPr="00E47369">
        <w:rPr>
          <w:rFonts w:cstheme="minorHAnsi"/>
        </w:rPr>
        <w:t>X for the DODH reaction.</w:t>
      </w:r>
      <w:r w:rsidRPr="00E47369">
        <w:rPr>
          <w:rFonts w:cstheme="minorHAnsi"/>
        </w:rPr>
        <w:fldChar w:fldCharType="begin"/>
      </w:r>
      <w:r w:rsidR="00E028D6">
        <w:rPr>
          <w:rFonts w:cstheme="minorHAnsi"/>
        </w:rPr>
        <w:instrText xml:space="preserve"> ADDIN ZOTERO_ITEM CSL_CITATION {"citationID":"1b4ej63h2o","properties":{"formattedCitation":"{\\rtf \\super 146\\nosupersub{}}","plainCitation":"146"},"citationItems":[{"id":1697,"uris":["http://zotero.org/users/1624234/items/5R8GE226"],"uri":["http://zotero.org/users/1624234/items/5R8GE226"],"itemData":{"id":1697,"type":"article-journal","title":"Survey of Catalyst and Reductant Effects on Oxorhenium Catalyzed Deoxydehydration of Glycols, PhD. Dissertation","container-title":"Department of Chemistry and Biochemistry, University of Oklahoma","source":"shareok.org","abstract":"Sustainable and renewable carbon sources are of great interest for long term succession of humankind.  The sugars and polyols derived from cellulosic biomass offer such a sustainable feedstock considering cellulosic biomass is the largest carbon commodity on Earth.  Selective deoxygenation of these sugars and polyols may well provide a feedstock for the synthesis of fine chemicals and fuels.  \nDeoxydehydration (DODH) is one of the selective deoxygenation methods for upgrading sugars and polyols to higher energy alkenes using an oxometal catalyst and a stoichiometric reductant.  In this report several aspects for the oxorhenium catalyzed DODH of polyols are examined.  An alternate realm of reductants are introduced for the oxorhenium catalyzed DODH of glycols. The commercially available ammonium perrhenate (APR) is employed along with zero-valent elements zinc, iron, manganese, or carbon as reductant for the effective DODH of various glycols.  These elemental reductants and their oxidized products remain heterogeneous in the reaction mixture allowing for their simple separation.  \nStable, ligated, cationic dioxorhenium(V) compounds of the form RevO2Ln+ are demonstrated to be proficient pre-catalysts for the DODH of glycols with assorted reductants.  The tetrapyridine dioxorhenium(V) complexes [ReO2py4]Cl and [ReO2py4]PF6 (py = pyridine) are demonstrated to be proficient pre-catalysts for the DODH of glycols with sodium sulfite, zinc, and benzyl alcohol (BnOH).  In addition, the commercially available bis-triphenylphosphine(TPP) iodo dioxorhenium(V) complex (ReO2(TPP)2I) is established to be capable of BnOH driven DODH of glycols.  Mechanistic aspects of [ReO2py4]+ DODH of glycols with BnOH are probed.  There is an apparent second order dependence on the oxorhenium complex.  This second order dependence on rhenium is attributed to a bimolecular turn over limiting step involving one rhenium coordinating and activating BnOH for reduction of the second rhenium which has been oxidized through alkene extrusion from a rhenium-glycolate.  The DODH reaction is also found to have a negative pseudo-order in the glycol and is attributed to inactive polyglycol rhenium species.  The addition of catalytic concentrations of additional ligands such as pyridine or triphenylphosphine oxide accelerate the reaction and are likely involved in shifting the equilibrium towards the rhenium monoglycol and away from the polyglycol.","URL":"https://shareok.org/handle/11244/14229","language":"en_US","author":[{"family":"McClain","given":"James Michael II"}],"issued":{"date-parts":[["2015",2,6]]},"accessed":{"date-parts":[["2016",6,1]]}}}],"schema":"https://github.com/citation-style-language/schema/raw/master/csl-citation.json"} </w:instrText>
      </w:r>
      <w:r w:rsidRPr="00E47369">
        <w:rPr>
          <w:rFonts w:cstheme="minorHAnsi"/>
        </w:rPr>
        <w:fldChar w:fldCharType="separate"/>
      </w:r>
      <w:r w:rsidR="00E028D6" w:rsidRPr="00E028D6">
        <w:rPr>
          <w:rFonts w:ascii="Times New Roman" w:hAnsi="Times New Roman"/>
          <w:vertAlign w:val="superscript"/>
        </w:rPr>
        <w:t>146</w:t>
      </w:r>
      <w:r w:rsidRPr="00E47369">
        <w:rPr>
          <w:rFonts w:cstheme="minorHAnsi"/>
        </w:rPr>
        <w:fldChar w:fldCharType="end"/>
      </w:r>
      <w:r w:rsidRPr="00E47369">
        <w:rPr>
          <w:rFonts w:cstheme="minorHAnsi"/>
        </w:rPr>
        <w:t xml:space="preserve"> He found this catalyst to have similar activity to the previously reported rhenium oxo complexes using sulfite as reducing agent for the DODH conversion of styrene glycol and 1,2-octane diol, but with benzyl alcohol as reductant a much better result (80% yield in 1-octene) was obtained than previously reported with ammonium perrhenate (50%). He also found this catalyst to be more reactive when hexaflorophosphate was its counter ion. McClain also investigated the mechanism of the DODH reaction using this ReO</w:t>
      </w:r>
      <w:r w:rsidRPr="00E47369">
        <w:rPr>
          <w:rFonts w:cstheme="minorHAnsi"/>
          <w:vertAlign w:val="subscript"/>
        </w:rPr>
        <w:t>2</w:t>
      </w:r>
      <w:r w:rsidRPr="00E47369">
        <w:rPr>
          <w:rFonts w:cstheme="minorHAnsi"/>
        </w:rPr>
        <w:t>(py)</w:t>
      </w:r>
      <w:r w:rsidRPr="00E47369">
        <w:rPr>
          <w:rFonts w:cstheme="minorHAnsi"/>
          <w:vertAlign w:val="subscript"/>
        </w:rPr>
        <w:t>4</w:t>
      </w:r>
      <w:r w:rsidRPr="00E47369">
        <w:rPr>
          <w:rFonts w:cstheme="minorHAnsi"/>
          <w:vertAlign w:val="superscript"/>
        </w:rPr>
        <w:t>+-</w:t>
      </w:r>
      <w:r w:rsidRPr="00E47369">
        <w:rPr>
          <w:rFonts w:cstheme="minorHAnsi"/>
        </w:rPr>
        <w:t>PF</w:t>
      </w:r>
      <w:r w:rsidRPr="00E47369">
        <w:rPr>
          <w:rFonts w:cstheme="minorHAnsi"/>
          <w:vertAlign w:val="subscript"/>
        </w:rPr>
        <w:t>6</w:t>
      </w:r>
      <w:r w:rsidRPr="00E47369">
        <w:rPr>
          <w:rFonts w:cstheme="minorHAnsi"/>
        </w:rPr>
        <w:t xml:space="preserve"> catalyst, including the influence of additives on the reaction rate, finding that the addition of 1 to 5 equivalent of pyridine (with respect to the amount of rhenium complex) increased the rate of reaction. This was the first report of a DODH reaction under basic conditions. </w:t>
      </w:r>
    </w:p>
    <w:p w14:paraId="5AC5C296" w14:textId="77777777" w:rsidR="00F61C82" w:rsidRPr="00E47369" w:rsidRDefault="00F61C82" w:rsidP="00F61C82">
      <w:pPr>
        <w:ind w:firstLine="360"/>
        <w:jc w:val="both"/>
        <w:rPr>
          <w:rFonts w:cstheme="minorHAnsi"/>
        </w:rPr>
      </w:pPr>
    </w:p>
    <w:p w14:paraId="6FC6CF4D" w14:textId="77777777" w:rsidR="00F3411C" w:rsidRPr="00E47369" w:rsidRDefault="008954C9" w:rsidP="00F3411C">
      <w:pPr>
        <w:keepNext/>
        <w:jc w:val="center"/>
        <w:rPr>
          <w:rFonts w:cstheme="minorHAnsi"/>
        </w:rPr>
      </w:pPr>
      <w:r w:rsidRPr="00E47369">
        <w:rPr>
          <w:rFonts w:cstheme="minorHAnsi"/>
        </w:rPr>
        <w:object w:dxaOrig="4732" w:dyaOrig="1792" w14:anchorId="2B9C046C">
          <v:shape id="_x0000_i1141" type="#_x0000_t75" style="width:236.55pt;height:87.8pt" o:ole="">
            <v:imagedata r:id="rId319" o:title=""/>
          </v:shape>
          <o:OLEObject Type="Embed" ProgID="ChemDraw.Document.6.0" ShapeID="_x0000_i1141" DrawAspect="Content" ObjectID="_1532784982" r:id="rId320"/>
        </w:object>
      </w:r>
    </w:p>
    <w:p w14:paraId="390BC2DF" w14:textId="77777777" w:rsidR="008954C9" w:rsidRPr="00A40A97" w:rsidRDefault="00F3411C" w:rsidP="00A40A97">
      <w:pPr>
        <w:pStyle w:val="Caption"/>
      </w:pPr>
      <w:bookmarkStart w:id="321" w:name="_Ref454439621"/>
      <w:bookmarkStart w:id="322" w:name="_Toc457670754"/>
      <w:r w:rsidRPr="00A40A97">
        <w:t xml:space="preserve">Figure III. </w:t>
      </w:r>
      <w:r w:rsidR="00443010">
        <w:fldChar w:fldCharType="begin"/>
      </w:r>
      <w:r w:rsidR="00443010">
        <w:instrText xml:space="preserve"> STYLEREF 2 \s </w:instrText>
      </w:r>
      <w:r w:rsidR="00443010">
        <w:fldChar w:fldCharType="separate"/>
      </w:r>
      <w:r w:rsidR="000A0E3D">
        <w:rPr>
          <w:noProof/>
        </w:rPr>
        <w:t>5</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5</w:t>
      </w:r>
      <w:r w:rsidR="00443010">
        <w:rPr>
          <w:noProof/>
        </w:rPr>
        <w:fldChar w:fldCharType="end"/>
      </w:r>
      <w:bookmarkEnd w:id="321"/>
      <w:r w:rsidRPr="00A40A97">
        <w:t xml:space="preserve"> </w:t>
      </w:r>
      <w:r w:rsidR="008954C9" w:rsidRPr="00A40A97">
        <w:t>DODH reaction system using ReO</w:t>
      </w:r>
      <w:r w:rsidR="008954C9" w:rsidRPr="00A40A97">
        <w:rPr>
          <w:vertAlign w:val="subscript"/>
        </w:rPr>
        <w:t>2</w:t>
      </w:r>
      <w:r w:rsidR="008954C9" w:rsidRPr="00A40A97">
        <w:t>(Py)</w:t>
      </w:r>
      <w:r w:rsidR="008954C9" w:rsidRPr="00A40A97">
        <w:rPr>
          <w:vertAlign w:val="subscript"/>
        </w:rPr>
        <w:t>4</w:t>
      </w:r>
      <w:r w:rsidR="008954C9" w:rsidRPr="00A40A97">
        <w:rPr>
          <w:vertAlign w:val="superscript"/>
        </w:rPr>
        <w:t>+-</w:t>
      </w:r>
      <w:r w:rsidR="008954C9" w:rsidRPr="00A40A97">
        <w:t>X as catalyst</w:t>
      </w:r>
      <w:bookmarkEnd w:id="322"/>
    </w:p>
    <w:p w14:paraId="133FAF45" w14:textId="77777777" w:rsidR="00F61C82" w:rsidRPr="00E47369" w:rsidRDefault="00F61C82" w:rsidP="00F61C82">
      <w:pPr>
        <w:ind w:firstLine="360"/>
        <w:jc w:val="center"/>
        <w:rPr>
          <w:rFonts w:cstheme="minorHAnsi"/>
          <w:b/>
        </w:rPr>
      </w:pPr>
    </w:p>
    <w:p w14:paraId="0D339DC5" w14:textId="77777777" w:rsidR="008954C9" w:rsidRPr="00E47369" w:rsidRDefault="008954C9" w:rsidP="00F61C82">
      <w:pPr>
        <w:ind w:firstLine="360"/>
        <w:jc w:val="both"/>
        <w:rPr>
          <w:rFonts w:cstheme="minorHAnsi"/>
        </w:rPr>
      </w:pPr>
      <w:r w:rsidRPr="00E47369">
        <w:rPr>
          <w:rFonts w:cstheme="minorHAnsi"/>
        </w:rPr>
        <w:tab/>
        <w:t xml:space="preserve">We started our experimental study by repeating the DODH reaction on styrene glycol </w:t>
      </w:r>
      <w:r w:rsidR="0033265F">
        <w:rPr>
          <w:rFonts w:cstheme="minorHAnsi"/>
        </w:rPr>
        <w:t>at</w:t>
      </w:r>
      <w:r w:rsidRPr="00E47369">
        <w:rPr>
          <w:rFonts w:cstheme="minorHAnsi"/>
        </w:rPr>
        <w:t xml:space="preserve"> higher </w:t>
      </w:r>
      <w:r w:rsidR="0033265F">
        <w:rPr>
          <w:rFonts w:cstheme="minorHAnsi"/>
        </w:rPr>
        <w:t>concentration</w:t>
      </w:r>
      <w:r w:rsidRPr="00E47369">
        <w:rPr>
          <w:rFonts w:cstheme="minorHAnsi"/>
        </w:rPr>
        <w:t xml:space="preserve"> (0.4 M) as it would be required in the Heck system. We tested both the chloride and hexafluorophosphate counter ion catalysts (</w:t>
      </w:r>
      <w:r w:rsidR="00F3411C" w:rsidRPr="00E47369">
        <w:rPr>
          <w:rFonts w:cstheme="minorHAnsi"/>
        </w:rPr>
        <w:fldChar w:fldCharType="begin"/>
      </w:r>
      <w:r w:rsidR="00F3411C" w:rsidRPr="00E47369">
        <w:rPr>
          <w:rFonts w:cstheme="minorHAnsi"/>
        </w:rPr>
        <w:instrText xml:space="preserve"> REF _Ref454439621 \h </w:instrText>
      </w:r>
      <w:r w:rsidR="00E47369">
        <w:rPr>
          <w:rFonts w:cstheme="minorHAnsi"/>
        </w:rPr>
        <w:instrText xml:space="preserve"> \* MERGEFORMAT </w:instrText>
      </w:r>
      <w:r w:rsidR="00F3411C" w:rsidRPr="00E47369">
        <w:rPr>
          <w:rFonts w:cstheme="minorHAnsi"/>
        </w:rPr>
      </w:r>
      <w:r w:rsidR="00F3411C" w:rsidRPr="00E47369">
        <w:rPr>
          <w:rFonts w:cstheme="minorHAnsi"/>
        </w:rPr>
        <w:fldChar w:fldCharType="separate"/>
      </w:r>
      <w:r w:rsidR="000A0E3D" w:rsidRPr="000A0E3D">
        <w:rPr>
          <w:rFonts w:cstheme="minorHAnsi"/>
        </w:rPr>
        <w:t xml:space="preserve">Figure III. </w:t>
      </w:r>
      <w:r w:rsidR="000A0E3D" w:rsidRPr="000A0E3D">
        <w:rPr>
          <w:rFonts w:cstheme="minorHAnsi"/>
          <w:noProof/>
        </w:rPr>
        <w:t>5.5</w:t>
      </w:r>
      <w:r w:rsidR="00F3411C" w:rsidRPr="00E47369">
        <w:rPr>
          <w:rFonts w:cstheme="minorHAnsi"/>
        </w:rPr>
        <w:fldChar w:fldCharType="end"/>
      </w:r>
      <w:r w:rsidRPr="00E47369">
        <w:rPr>
          <w:rFonts w:cstheme="minorHAnsi"/>
        </w:rPr>
        <w:t>). We found the latter to be more effective with a 65% yield. We then ran the same reaction with added base and we found that use of 1 to 5 equivalents (with respect to the diol) of either potassium bicarbonate or pyridine did not lower significantly the yields. Since several reported Heck systems required more polar media, we also tested the DODH reaction in dimethylformamide (DMF) and dimethyl acetamide (DMA). These solvents greatly affected the yield (&lt;10%) and the conversion (&gt;90%) of the reaction. Therefore, a tandem DODH / Heck system would have a very low chance of providing high yields if run in such solvents.</w:t>
      </w:r>
    </w:p>
    <w:p w14:paraId="10384EC8" w14:textId="77777777" w:rsidR="00F61C82" w:rsidRPr="00E47369" w:rsidRDefault="00F61C82" w:rsidP="00F61C82">
      <w:pPr>
        <w:ind w:firstLine="360"/>
        <w:jc w:val="both"/>
        <w:rPr>
          <w:rFonts w:cstheme="minorHAnsi"/>
        </w:rPr>
      </w:pPr>
    </w:p>
    <w:p w14:paraId="5B331BAE" w14:textId="77777777" w:rsidR="008954C9" w:rsidRPr="00E47369" w:rsidRDefault="008954C9" w:rsidP="000351A7">
      <w:pPr>
        <w:pStyle w:val="Heading3"/>
      </w:pPr>
      <w:bookmarkStart w:id="323" w:name="_Toc458938323"/>
      <w:r w:rsidRPr="00E47369">
        <w:t>Study of the Heck step</w:t>
      </w:r>
      <w:bookmarkEnd w:id="323"/>
    </w:p>
    <w:p w14:paraId="52B9D7EC" w14:textId="77777777" w:rsidR="008954C9" w:rsidRPr="00E47369" w:rsidRDefault="008954C9" w:rsidP="00F61C82">
      <w:pPr>
        <w:ind w:firstLine="360"/>
        <w:jc w:val="both"/>
        <w:rPr>
          <w:rFonts w:cstheme="minorHAnsi"/>
        </w:rPr>
      </w:pPr>
      <w:r w:rsidRPr="00E47369">
        <w:rPr>
          <w:rFonts w:cstheme="minorHAnsi"/>
        </w:rPr>
        <w:t>After some searches for reported base-free Heck systems, we found a report from Bhargava’group which described the Heck coupling of 2-bromopyridine with styrene without added base using bis(acetonitrile)dichloro palladium (Pd(CH</w:t>
      </w:r>
      <w:r w:rsidRPr="00E47369">
        <w:rPr>
          <w:rFonts w:cstheme="minorHAnsi"/>
          <w:vertAlign w:val="subscript"/>
        </w:rPr>
        <w:t>3</w:t>
      </w:r>
      <w:r w:rsidRPr="00E47369">
        <w:rPr>
          <w:rFonts w:cstheme="minorHAnsi"/>
        </w:rPr>
        <w:t>CN)</w:t>
      </w:r>
      <w:r w:rsidRPr="00E47369">
        <w:rPr>
          <w:rFonts w:cstheme="minorHAnsi"/>
          <w:vertAlign w:val="subscript"/>
        </w:rPr>
        <w:t>2</w:t>
      </w:r>
      <w:r w:rsidRPr="00E47369">
        <w:rPr>
          <w:rFonts w:cstheme="minorHAnsi"/>
        </w:rPr>
        <w:t>Cl</w:t>
      </w:r>
      <w:r w:rsidRPr="00E47369">
        <w:rPr>
          <w:rFonts w:cstheme="minorHAnsi"/>
          <w:vertAlign w:val="subscript"/>
        </w:rPr>
        <w:t>2</w:t>
      </w:r>
      <w:r w:rsidRPr="00E47369">
        <w:rPr>
          <w:rFonts w:cstheme="minorHAnsi"/>
        </w:rPr>
        <w:t>) as catalyst.</w:t>
      </w:r>
      <w:r w:rsidRPr="00E47369">
        <w:rPr>
          <w:rFonts w:cstheme="minorHAnsi"/>
        </w:rPr>
        <w:fldChar w:fldCharType="begin"/>
      </w:r>
      <w:r w:rsidR="00E028D6">
        <w:rPr>
          <w:rFonts w:cstheme="minorHAnsi"/>
        </w:rPr>
        <w:instrText xml:space="preserve"> ADDIN ZOTERO_ITEM CSL_CITATION {"citationID":"akj6f6bmh","properties":{"formattedCitation":"{\\rtf \\super 147\\nosupersub{}}","plainCitation":"147"},"citationItems":[{"id":1338,"uris":["http://zotero.org/users/1624234/items/QG2PBD8V"],"uri":["http://zotero.org/users/1624234/items/QG2PBD8V"],"itemData":{"id":1338,"type":"article-journal","title":"Ligand and base-free Heck reaction with heteroaryl halides","container-title":"Tetrahedron Letters","page":"4490-4493","volume":"52","issue":"34","source":"ScienceDirect","abstract":"Pd(CH3CN)2Cl2-catalyzed Heck reaction of different heteroaryl halides with olefins is carried out in the absence of both the ligand and base to obtain the corresponding coupling products in good yields.","DOI":"10.1016/j.tetlet.2011.06.081","ISSN":"0040-4039","journalAbbreviation":"Tetrahedron Letters","author":[{"family":"Lakshmi Kantam","given":"M."},{"family":"Vishnuvardhan Reddy","given":"P."},{"family":"Srinivas","given":"P."},{"family":"Bhargava","given":"Suresh"}],"issued":{"date-parts":[["2011",8,24]]}}}],"schema":"https://github.com/citation-style-language/schema/raw/master/csl-citation.json"} </w:instrText>
      </w:r>
      <w:r w:rsidRPr="00E47369">
        <w:rPr>
          <w:rFonts w:cstheme="minorHAnsi"/>
        </w:rPr>
        <w:fldChar w:fldCharType="separate"/>
      </w:r>
      <w:r w:rsidR="00E028D6" w:rsidRPr="00E028D6">
        <w:rPr>
          <w:rFonts w:ascii="Times New Roman" w:hAnsi="Times New Roman"/>
          <w:vertAlign w:val="superscript"/>
        </w:rPr>
        <w:t>147</w:t>
      </w:r>
      <w:r w:rsidRPr="00E47369">
        <w:rPr>
          <w:rFonts w:cstheme="minorHAnsi"/>
        </w:rPr>
        <w:fldChar w:fldCharType="end"/>
      </w:r>
      <w:r w:rsidRPr="00E47369">
        <w:rPr>
          <w:rFonts w:cstheme="minorHAnsi"/>
        </w:rPr>
        <w:t xml:space="preserve"> We believe the base required in the Heck coupling reaction here is the substituted pyridine substrate (PyrH</w:t>
      </w:r>
      <w:r w:rsidRPr="00E47369">
        <w:rPr>
          <w:rFonts w:cstheme="minorHAnsi"/>
          <w:vertAlign w:val="superscript"/>
        </w:rPr>
        <w:t>+</w:t>
      </w:r>
      <w:r w:rsidRPr="00E47369">
        <w:rPr>
          <w:rFonts w:cstheme="minorHAnsi"/>
        </w:rPr>
        <w:t xml:space="preserve"> pKa=5). As we envisioned use of a pyridine-rhenium complex for the DODH reaction step, the use of pyridine in the Heck step looked like a reasonable choice. In their report Bhargava’ group used more polar solvents such as dimethylformamide (DMF) and dimethyacetamide (DMA), but with toluene as solvent they did not detect any Heck coupling product. </w:t>
      </w:r>
    </w:p>
    <w:p w14:paraId="3E9D6049" w14:textId="77777777" w:rsidR="008954C9" w:rsidRPr="00E47369" w:rsidRDefault="008954C9" w:rsidP="00F61C82">
      <w:pPr>
        <w:ind w:firstLine="360"/>
        <w:jc w:val="both"/>
        <w:rPr>
          <w:rFonts w:cstheme="minorHAnsi"/>
        </w:rPr>
      </w:pPr>
      <w:r w:rsidRPr="00E47369">
        <w:rPr>
          <w:rFonts w:cstheme="minorHAnsi"/>
        </w:rPr>
        <w:t xml:space="preserve">We were concerned about the Bhargava system for two reasons: 1) the stoichiometry of alkene to halide (2:1); and 2) the required polar solvent. The first point means that the alkene should have been formed in excess to have only part of it to be transformed in the Heck reaction. Therefore, we decided to test Bhargava’s Heck system with a 1 to 1 ratio of alkene to halide in order to determine if the reaction could still work and if there was any decrease in the yield. </w:t>
      </w:r>
    </w:p>
    <w:p w14:paraId="3683AB69" w14:textId="77777777" w:rsidR="008954C9" w:rsidRPr="00E47369" w:rsidRDefault="008954C9" w:rsidP="00F61C82">
      <w:pPr>
        <w:ind w:firstLine="360"/>
        <w:jc w:val="both"/>
        <w:rPr>
          <w:rFonts w:cstheme="minorHAnsi"/>
        </w:rPr>
      </w:pPr>
      <w:r w:rsidRPr="00E47369">
        <w:rPr>
          <w:rFonts w:cstheme="minorHAnsi"/>
        </w:rPr>
        <w:t>We ran a few experiments under Bhargava’s reaction conditions in order to determine the potential Heck reaction conditions that could be appropriate for a DODH / Heck tandem system. We started by testing the effectiveness of a 1:1 alkene:organic halide ratio in the Heck reaction (</w:t>
      </w:r>
      <w:r w:rsidR="00F3411C" w:rsidRPr="00E47369">
        <w:rPr>
          <w:rFonts w:cstheme="minorHAnsi"/>
        </w:rPr>
        <w:fldChar w:fldCharType="begin"/>
      </w:r>
      <w:r w:rsidR="00F3411C" w:rsidRPr="00E47369">
        <w:rPr>
          <w:rFonts w:cstheme="minorHAnsi"/>
        </w:rPr>
        <w:instrText xml:space="preserve"> REF _Ref454439667 \h </w:instrText>
      </w:r>
      <w:r w:rsidR="00E47369">
        <w:rPr>
          <w:rFonts w:cstheme="minorHAnsi"/>
        </w:rPr>
        <w:instrText xml:space="preserve"> \* MERGEFORMAT </w:instrText>
      </w:r>
      <w:r w:rsidR="00F3411C" w:rsidRPr="00E47369">
        <w:rPr>
          <w:rFonts w:cstheme="minorHAnsi"/>
        </w:rPr>
      </w:r>
      <w:r w:rsidR="00F3411C" w:rsidRPr="00E47369">
        <w:rPr>
          <w:rFonts w:cstheme="minorHAnsi"/>
        </w:rPr>
        <w:fldChar w:fldCharType="separate"/>
      </w:r>
      <w:r w:rsidR="000A0E3D" w:rsidRPr="000A0E3D">
        <w:rPr>
          <w:rFonts w:cstheme="minorHAnsi"/>
        </w:rPr>
        <w:t xml:space="preserve">Figure III. </w:t>
      </w:r>
      <w:r w:rsidR="000A0E3D" w:rsidRPr="000A0E3D">
        <w:rPr>
          <w:rFonts w:cstheme="minorHAnsi"/>
          <w:noProof/>
        </w:rPr>
        <w:t>5.6</w:t>
      </w:r>
      <w:r w:rsidR="00F3411C" w:rsidRPr="00E47369">
        <w:rPr>
          <w:rFonts w:cstheme="minorHAnsi"/>
        </w:rPr>
        <w:fldChar w:fldCharType="end"/>
      </w:r>
      <w:r w:rsidRPr="00E47369">
        <w:rPr>
          <w:rFonts w:cstheme="minorHAnsi"/>
        </w:rPr>
        <w:t xml:space="preserve">). Under the previously reported conditions a very low conversion of styrene (~10% conversion) was </w:t>
      </w:r>
      <w:r w:rsidRPr="00E47369">
        <w:rPr>
          <w:rFonts w:cstheme="minorHAnsi"/>
          <w:color w:val="000000" w:themeColor="text1"/>
        </w:rPr>
        <w:t>observed (7% yield). Thus, we found that this reaction was not efficient with only a stoichiom</w:t>
      </w:r>
      <w:r w:rsidRPr="00E47369">
        <w:rPr>
          <w:rFonts w:cstheme="minorHAnsi"/>
        </w:rPr>
        <w:t xml:space="preserve">etric quantity of alkene. </w:t>
      </w:r>
    </w:p>
    <w:p w14:paraId="74539B48" w14:textId="77777777" w:rsidR="00F61C82" w:rsidRPr="00E47369" w:rsidRDefault="00F61C82" w:rsidP="00F61C82">
      <w:pPr>
        <w:jc w:val="both"/>
        <w:rPr>
          <w:rFonts w:cstheme="minorHAnsi"/>
        </w:rPr>
      </w:pPr>
    </w:p>
    <w:p w14:paraId="46790594" w14:textId="77777777" w:rsidR="00F3411C" w:rsidRPr="00E47369" w:rsidRDefault="008954C9" w:rsidP="00F3411C">
      <w:pPr>
        <w:keepNext/>
        <w:jc w:val="center"/>
        <w:rPr>
          <w:rFonts w:cstheme="minorHAnsi"/>
        </w:rPr>
      </w:pPr>
      <w:r w:rsidRPr="00E47369">
        <w:rPr>
          <w:rFonts w:cstheme="minorHAnsi"/>
        </w:rPr>
        <w:object w:dxaOrig="7185" w:dyaOrig="1091" w14:anchorId="1B627535">
          <v:shape id="_x0000_i1142" type="#_x0000_t75" style="width:5in;height:56.2pt" o:ole="">
            <v:imagedata r:id="rId321" o:title=""/>
          </v:shape>
          <o:OLEObject Type="Embed" ProgID="ChemDraw.Document.6.0" ShapeID="_x0000_i1142" DrawAspect="Content" ObjectID="_1532784983" r:id="rId322"/>
        </w:object>
      </w:r>
    </w:p>
    <w:p w14:paraId="2BD7D250" w14:textId="77777777" w:rsidR="008954C9" w:rsidRPr="00A40A97" w:rsidRDefault="00F3411C" w:rsidP="00A40A97">
      <w:pPr>
        <w:pStyle w:val="Caption"/>
      </w:pPr>
      <w:bookmarkStart w:id="324" w:name="_Ref454439667"/>
      <w:bookmarkStart w:id="325" w:name="_Toc457670755"/>
      <w:r w:rsidRPr="00A40A97">
        <w:t xml:space="preserve">Figure III. </w:t>
      </w:r>
      <w:r w:rsidR="00443010">
        <w:fldChar w:fldCharType="begin"/>
      </w:r>
      <w:r w:rsidR="00443010">
        <w:instrText xml:space="preserve"> STYLEREF 2 \s </w:instrText>
      </w:r>
      <w:r w:rsidR="00443010">
        <w:fldChar w:fldCharType="separate"/>
      </w:r>
      <w:r w:rsidR="000A0E3D">
        <w:rPr>
          <w:noProof/>
        </w:rPr>
        <w:t>5</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6</w:t>
      </w:r>
      <w:r w:rsidR="00443010">
        <w:rPr>
          <w:noProof/>
        </w:rPr>
        <w:fldChar w:fldCharType="end"/>
      </w:r>
      <w:bookmarkEnd w:id="324"/>
      <w:r w:rsidRPr="00A40A97">
        <w:t xml:space="preserve"> </w:t>
      </w:r>
      <w:r w:rsidR="008954C9" w:rsidRPr="00A40A97">
        <w:t>Test of stoichiometric on Heck coupling</w:t>
      </w:r>
      <w:bookmarkEnd w:id="325"/>
    </w:p>
    <w:p w14:paraId="11AC0ED9" w14:textId="77777777" w:rsidR="00F61C82" w:rsidRPr="00E47369" w:rsidRDefault="00F61C82" w:rsidP="00F61C82">
      <w:pPr>
        <w:jc w:val="center"/>
        <w:rPr>
          <w:rFonts w:cstheme="minorHAnsi"/>
          <w:b/>
        </w:rPr>
      </w:pPr>
    </w:p>
    <w:p w14:paraId="10C24EC3" w14:textId="77777777" w:rsidR="008954C9" w:rsidRPr="00E47369" w:rsidRDefault="008954C9" w:rsidP="00F61C82">
      <w:pPr>
        <w:ind w:firstLine="360"/>
        <w:jc w:val="both"/>
        <w:rPr>
          <w:rFonts w:cstheme="minorHAnsi"/>
        </w:rPr>
      </w:pPr>
      <w:r w:rsidRPr="00E47369">
        <w:rPr>
          <w:rFonts w:cstheme="minorHAnsi"/>
        </w:rPr>
        <w:t>We also tested the efficacy of the system when an equivalent of pyridine and an equivalent of bromobenzene were used instead of the 2-bromopyridine (</w:t>
      </w:r>
      <w:r w:rsidR="00F3411C" w:rsidRPr="00E47369">
        <w:rPr>
          <w:rFonts w:cstheme="minorHAnsi"/>
        </w:rPr>
        <w:fldChar w:fldCharType="begin"/>
      </w:r>
      <w:r w:rsidR="00F3411C" w:rsidRPr="00E47369">
        <w:rPr>
          <w:rFonts w:cstheme="minorHAnsi"/>
        </w:rPr>
        <w:instrText xml:space="preserve"> REF _Ref454439701 \h </w:instrText>
      </w:r>
      <w:r w:rsidR="00E47369">
        <w:rPr>
          <w:rFonts w:cstheme="minorHAnsi"/>
        </w:rPr>
        <w:instrText xml:space="preserve"> \* MERGEFORMAT </w:instrText>
      </w:r>
      <w:r w:rsidR="00F3411C" w:rsidRPr="00E47369">
        <w:rPr>
          <w:rFonts w:cstheme="minorHAnsi"/>
        </w:rPr>
      </w:r>
      <w:r w:rsidR="00F3411C" w:rsidRPr="00E47369">
        <w:rPr>
          <w:rFonts w:cstheme="minorHAnsi"/>
        </w:rPr>
        <w:fldChar w:fldCharType="separate"/>
      </w:r>
      <w:r w:rsidR="000A0E3D" w:rsidRPr="000A0E3D">
        <w:rPr>
          <w:rFonts w:cstheme="minorHAnsi"/>
        </w:rPr>
        <w:t xml:space="preserve">Figure III. </w:t>
      </w:r>
      <w:r w:rsidR="000A0E3D" w:rsidRPr="000A0E3D">
        <w:rPr>
          <w:rFonts w:cstheme="minorHAnsi"/>
          <w:noProof/>
        </w:rPr>
        <w:t>5.7</w:t>
      </w:r>
      <w:r w:rsidR="00F3411C" w:rsidRPr="00E47369">
        <w:rPr>
          <w:rFonts w:cstheme="minorHAnsi"/>
        </w:rPr>
        <w:fldChar w:fldCharType="end"/>
      </w:r>
      <w:r w:rsidRPr="00E47369">
        <w:rPr>
          <w:rFonts w:cstheme="minorHAnsi"/>
        </w:rPr>
        <w:t xml:space="preserve">). This worked in a similar way </w:t>
      </w:r>
      <w:r w:rsidR="0033265F">
        <w:rPr>
          <w:rFonts w:cstheme="minorHAnsi"/>
        </w:rPr>
        <w:t>as</w:t>
      </w:r>
      <w:r w:rsidRPr="00E47369">
        <w:rPr>
          <w:rFonts w:cstheme="minorHAnsi"/>
        </w:rPr>
        <w:t xml:space="preserve"> the reaction using 2-bromopyridine; we could detect a limited amount of stilbene (5%) and a large quantity of unreacted styrene. We also tested this reaction in benzene and could not detect any stilbene.</w:t>
      </w:r>
    </w:p>
    <w:p w14:paraId="09543D99" w14:textId="77777777" w:rsidR="00F3411C" w:rsidRPr="00E47369" w:rsidRDefault="00F3411C" w:rsidP="00F61C82">
      <w:pPr>
        <w:ind w:firstLine="360"/>
        <w:jc w:val="both"/>
        <w:rPr>
          <w:rFonts w:cstheme="minorHAnsi"/>
        </w:rPr>
      </w:pPr>
    </w:p>
    <w:p w14:paraId="7FCBD73E" w14:textId="77777777" w:rsidR="00F3411C" w:rsidRPr="00E47369" w:rsidRDefault="008954C9" w:rsidP="00F3411C">
      <w:pPr>
        <w:keepNext/>
        <w:jc w:val="center"/>
        <w:rPr>
          <w:rFonts w:cstheme="minorHAnsi"/>
        </w:rPr>
      </w:pPr>
      <w:r w:rsidRPr="00E47369">
        <w:rPr>
          <w:rFonts w:cstheme="minorHAnsi"/>
        </w:rPr>
        <w:object w:dxaOrig="7183" w:dyaOrig="1435" w14:anchorId="2B374128">
          <v:shape id="_x0000_i1143" type="#_x0000_t75" style="width:5in;height:1in" o:ole="">
            <v:imagedata r:id="rId323" o:title=""/>
          </v:shape>
          <o:OLEObject Type="Embed" ProgID="ChemDraw.Document.6.0" ShapeID="_x0000_i1143" DrawAspect="Content" ObjectID="_1532784984" r:id="rId324"/>
        </w:object>
      </w:r>
    </w:p>
    <w:p w14:paraId="4A0D5C5C" w14:textId="497D6E81" w:rsidR="008954C9" w:rsidRPr="00A40A97" w:rsidRDefault="00F3411C" w:rsidP="00A40A97">
      <w:pPr>
        <w:pStyle w:val="Caption"/>
      </w:pPr>
      <w:bookmarkStart w:id="326" w:name="_Ref454439701"/>
      <w:bookmarkStart w:id="327" w:name="_Toc457670756"/>
      <w:r w:rsidRPr="00A40A97">
        <w:t xml:space="preserve">Figure III. </w:t>
      </w:r>
      <w:r w:rsidR="00443010">
        <w:fldChar w:fldCharType="begin"/>
      </w:r>
      <w:r w:rsidR="00443010">
        <w:instrText xml:space="preserve"> STYLEREF 2 \s </w:instrText>
      </w:r>
      <w:r w:rsidR="00443010">
        <w:fldChar w:fldCharType="separate"/>
      </w:r>
      <w:r w:rsidR="000A0E3D">
        <w:rPr>
          <w:noProof/>
        </w:rPr>
        <w:t>5</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7</w:t>
      </w:r>
      <w:r w:rsidR="00443010">
        <w:rPr>
          <w:noProof/>
        </w:rPr>
        <w:fldChar w:fldCharType="end"/>
      </w:r>
      <w:bookmarkEnd w:id="326"/>
      <w:r w:rsidRPr="00A40A97">
        <w:t xml:space="preserve"> </w:t>
      </w:r>
      <w:r w:rsidR="001539C6">
        <w:t>Test of the H</w:t>
      </w:r>
      <w:r w:rsidR="008954C9" w:rsidRPr="00A40A97">
        <w:t>eck reaction using pyridine as additive</w:t>
      </w:r>
      <w:bookmarkEnd w:id="327"/>
    </w:p>
    <w:p w14:paraId="7D9D128E" w14:textId="77777777" w:rsidR="00F3411C" w:rsidRPr="00E47369" w:rsidRDefault="00F3411C" w:rsidP="00F61C82">
      <w:pPr>
        <w:jc w:val="center"/>
        <w:rPr>
          <w:rFonts w:cstheme="minorHAnsi"/>
          <w:b/>
        </w:rPr>
      </w:pPr>
    </w:p>
    <w:p w14:paraId="0DDDC953" w14:textId="77777777" w:rsidR="008954C9" w:rsidRPr="00E47369" w:rsidRDefault="008954C9" w:rsidP="0033265F">
      <w:pPr>
        <w:ind w:firstLine="360"/>
        <w:jc w:val="both"/>
        <w:rPr>
          <w:rFonts w:cstheme="minorHAnsi"/>
          <w:color w:val="000000" w:themeColor="text1"/>
        </w:rPr>
      </w:pPr>
      <w:r w:rsidRPr="00E47369">
        <w:rPr>
          <w:rFonts w:cstheme="minorHAnsi"/>
          <w:color w:val="000000" w:themeColor="text1"/>
        </w:rPr>
        <w:t xml:space="preserve">The variations of reagents stoichiometry and solvent affected the Heck reaction and provided low yield in alkene product. With these results on the Heck side the DODH/Heck </w:t>
      </w:r>
      <w:r w:rsidR="0033265F">
        <w:rPr>
          <w:rFonts w:cstheme="minorHAnsi"/>
          <w:color w:val="000000" w:themeColor="text1"/>
        </w:rPr>
        <w:t xml:space="preserve">tandem </w:t>
      </w:r>
      <w:r w:rsidRPr="00E47369">
        <w:rPr>
          <w:rFonts w:cstheme="minorHAnsi"/>
          <w:color w:val="000000" w:themeColor="text1"/>
        </w:rPr>
        <w:t xml:space="preserve">reaction was not attempted. </w:t>
      </w:r>
    </w:p>
    <w:p w14:paraId="108132D2" w14:textId="77777777" w:rsidR="00F61C82" w:rsidRPr="00E47369" w:rsidRDefault="00F61C82" w:rsidP="00F61C82">
      <w:pPr>
        <w:jc w:val="both"/>
        <w:rPr>
          <w:rFonts w:cstheme="minorHAnsi"/>
          <w:color w:val="000000" w:themeColor="text1"/>
        </w:rPr>
      </w:pPr>
    </w:p>
    <w:p w14:paraId="47876892" w14:textId="77777777" w:rsidR="008954C9" w:rsidRPr="00E47369" w:rsidRDefault="008954C9" w:rsidP="000351A7">
      <w:pPr>
        <w:pStyle w:val="Heading3"/>
      </w:pPr>
      <w:bookmarkStart w:id="328" w:name="_Toc458938324"/>
      <w:r w:rsidRPr="00E47369">
        <w:t>Conclusion</w:t>
      </w:r>
      <w:bookmarkEnd w:id="328"/>
    </w:p>
    <w:p w14:paraId="30C3916A" w14:textId="77777777" w:rsidR="008954C9" w:rsidRPr="00E47369" w:rsidRDefault="008954C9" w:rsidP="0033265F">
      <w:pPr>
        <w:spacing w:after="160"/>
        <w:ind w:firstLine="360"/>
        <w:jc w:val="both"/>
        <w:rPr>
          <w:rFonts w:cstheme="minorHAnsi"/>
        </w:rPr>
      </w:pPr>
      <w:r w:rsidRPr="00E47369">
        <w:rPr>
          <w:rFonts w:cstheme="minorHAnsi"/>
        </w:rPr>
        <w:t>After investigating both reaction sides of this tandem system we found significant limitations that prevented the achievement of a DODH/Heck tandem reaction. Although the addition of 1 to 5 equivalents of a base did not appreciably affect the efficiency of the DODH reaction, the DODH reaction was found to be incompatible with DMF or DMA as solvent. On the other side we found the Heck reaction to proceed with either bromopyridine or the bromobenzene along with 1 equivalent of pyridine in the system but providing very low yield. This Heck coupling system, however, was ineffective in a non-polar organic solvent such as benzene.</w:t>
      </w:r>
    </w:p>
    <w:p w14:paraId="59AE6A52" w14:textId="77777777" w:rsidR="008954C9" w:rsidRPr="00E47369" w:rsidRDefault="008954C9" w:rsidP="0033265F">
      <w:pPr>
        <w:spacing w:after="160"/>
        <w:ind w:firstLine="360"/>
        <w:jc w:val="both"/>
        <w:rPr>
          <w:rFonts w:cstheme="minorHAnsi"/>
        </w:rPr>
      </w:pPr>
      <w:r w:rsidRPr="00E47369">
        <w:rPr>
          <w:rFonts w:cstheme="minorHAnsi"/>
        </w:rPr>
        <w:t xml:space="preserve">We can then conclude that the solvent is a limiting factor for this tandem system to work. Some more study of polar solvent DODH systems such as DMA or </w:t>
      </w:r>
      <w:r w:rsidRPr="00E47369">
        <w:rPr>
          <w:rFonts w:cstheme="minorHAnsi"/>
          <w:color w:val="000000" w:themeColor="text1"/>
        </w:rPr>
        <w:t>DMF w</w:t>
      </w:r>
      <w:r w:rsidRPr="00E47369">
        <w:rPr>
          <w:rFonts w:cstheme="minorHAnsi"/>
        </w:rPr>
        <w:t xml:space="preserve">ould be required to obtain a compatible system. If such a solvent were found, it would need to be tested on the Heck reaction to evaluate if the tandem DODH-Heck system could </w:t>
      </w:r>
      <w:r w:rsidR="0033265F">
        <w:rPr>
          <w:rFonts w:cstheme="minorHAnsi"/>
        </w:rPr>
        <w:t>work</w:t>
      </w:r>
      <w:r w:rsidRPr="00E47369">
        <w:rPr>
          <w:rFonts w:cstheme="minorHAnsi"/>
        </w:rPr>
        <w:t xml:space="preserve">. Another limiting factor could be the reaction stoichiometry which means that the stilbene might be required to be in excess to increase substantially the yield of the Heck reaction. </w:t>
      </w:r>
    </w:p>
    <w:p w14:paraId="1331AB53" w14:textId="77777777" w:rsidR="008954C9" w:rsidRPr="00E47369" w:rsidRDefault="008954C9" w:rsidP="00F61C82">
      <w:pPr>
        <w:spacing w:after="160"/>
        <w:ind w:firstLine="720"/>
        <w:jc w:val="both"/>
        <w:rPr>
          <w:rFonts w:cstheme="minorHAnsi"/>
        </w:rPr>
      </w:pPr>
    </w:p>
    <w:p w14:paraId="73865954" w14:textId="77777777" w:rsidR="008954C9" w:rsidRPr="00E47369" w:rsidRDefault="008954C9" w:rsidP="000351A7">
      <w:pPr>
        <w:pStyle w:val="Heading3"/>
      </w:pPr>
      <w:bookmarkStart w:id="329" w:name="_Toc458938325"/>
      <w:r w:rsidRPr="00E47369">
        <w:t>Experimental</w:t>
      </w:r>
      <w:bookmarkEnd w:id="329"/>
      <w:r w:rsidRPr="00E47369">
        <w:t xml:space="preserve"> </w:t>
      </w:r>
    </w:p>
    <w:p w14:paraId="041DE4FA" w14:textId="77777777" w:rsidR="008954C9" w:rsidRPr="00E47369" w:rsidRDefault="008954C9" w:rsidP="00C36752">
      <w:pPr>
        <w:pStyle w:val="Heading41"/>
        <w:numPr>
          <w:ilvl w:val="0"/>
          <w:numId w:val="31"/>
        </w:numPr>
        <w:rPr>
          <w:rFonts w:cstheme="minorHAnsi"/>
        </w:rPr>
      </w:pPr>
      <w:r w:rsidRPr="00E47369">
        <w:rPr>
          <w:rFonts w:cstheme="minorHAnsi"/>
        </w:rPr>
        <w:t xml:space="preserve">General information: reagents and instruments. </w:t>
      </w:r>
    </w:p>
    <w:p w14:paraId="485960E9" w14:textId="190C0885" w:rsidR="00CF62BD" w:rsidRDefault="008954C9" w:rsidP="00B32DC9">
      <w:pPr>
        <w:spacing w:after="160"/>
        <w:ind w:firstLine="720"/>
        <w:jc w:val="both"/>
        <w:rPr>
          <w:rFonts w:cstheme="minorHAnsi"/>
        </w:rPr>
      </w:pPr>
      <w:r w:rsidRPr="00E47369">
        <w:rPr>
          <w:rFonts w:cstheme="minorHAnsi"/>
        </w:rPr>
        <w:t>Most reactants were obtained commercially and used without further purification. The rhenium catalysts were synthesized according to literature reports.</w:t>
      </w:r>
      <w:r w:rsidRPr="00E47369">
        <w:rPr>
          <w:rFonts w:cstheme="minorHAnsi"/>
        </w:rPr>
        <w:fldChar w:fldCharType="begin"/>
      </w:r>
      <w:r w:rsidR="00E028D6">
        <w:rPr>
          <w:rFonts w:cstheme="minorHAnsi"/>
        </w:rPr>
        <w:instrText xml:space="preserve"> ADDIN ZOTERO_ITEM CSL_CITATION {"citationID":"ebp9vla8e","properties":{"formattedCitation":"{\\rtf \\super 148\\nosupersub{}}","plainCitation":"148"},"citationItems":[{"id":1708,"uris":["http://zotero.org/users/1624234/items/HH2MU2VG"],"uri":["http://zotero.org/users/1624234/items/HH2MU2VG"],"itemData":{"id":1708,"type":"thesis","title":"Rhenium(V)-Imido complexes with potentially multidentate ligands containing the amino group","publisher":"Nelson Mandela Metropolitan University  Faculty of Science","URL":"http://contentpro.seals.ac.za/iii/cpro/DigitalItemViewPage.external?sp=1008604","author":[{"family":"Booysen","given":"Irvin Noel"}],"issued":{"date-parts":[["2007"]]},"accessed":{"date-parts":[["2016",6,12]]}}}],"schema":"https://github.com/citation-style-language/schema/raw/master/csl-citation.json"} </w:instrText>
      </w:r>
      <w:r w:rsidRPr="00E47369">
        <w:rPr>
          <w:rFonts w:cstheme="minorHAnsi"/>
        </w:rPr>
        <w:fldChar w:fldCharType="separate"/>
      </w:r>
      <w:r w:rsidR="00E028D6" w:rsidRPr="00E028D6">
        <w:rPr>
          <w:rFonts w:ascii="Times New Roman" w:hAnsi="Times New Roman"/>
          <w:vertAlign w:val="superscript"/>
        </w:rPr>
        <w:t>148</w:t>
      </w:r>
      <w:r w:rsidRPr="00E47369">
        <w:rPr>
          <w:rFonts w:cstheme="minorHAnsi"/>
        </w:rPr>
        <w:fldChar w:fldCharType="end"/>
      </w:r>
      <w:r w:rsidRPr="00E47369">
        <w:rPr>
          <w:rFonts w:cstheme="minorHAnsi"/>
        </w:rPr>
        <w:t xml:space="preserve"> Styrene was distilled under vacuum (10 mm Hg) and stored at -80 </w:t>
      </w:r>
      <w:r w:rsidRPr="00E47369">
        <w:rPr>
          <w:rFonts w:cstheme="minorHAnsi"/>
          <w:vertAlign w:val="superscript"/>
        </w:rPr>
        <w:t>o</w:t>
      </w:r>
      <w:r w:rsidRPr="00E47369">
        <w:rPr>
          <w:rFonts w:cstheme="minorHAnsi"/>
        </w:rPr>
        <w:t xml:space="preserve">C. All solvents were ACS grade and were used directly (unless otherwise described in the procedures). </w:t>
      </w:r>
      <w:r w:rsidRPr="00E47369">
        <w:rPr>
          <w:rFonts w:cstheme="minorHAnsi"/>
          <w:vertAlign w:val="superscript"/>
        </w:rPr>
        <w:t>1</w:t>
      </w:r>
      <w:r w:rsidRPr="00E47369">
        <w:rPr>
          <w:rFonts w:cstheme="minorHAnsi"/>
        </w:rPr>
        <w:t xml:space="preserve">H and </w:t>
      </w:r>
      <w:r w:rsidRPr="00E47369">
        <w:rPr>
          <w:rFonts w:cstheme="minorHAnsi"/>
          <w:vertAlign w:val="superscript"/>
        </w:rPr>
        <w:t>13</w:t>
      </w:r>
      <w:r w:rsidRPr="00E47369">
        <w:rPr>
          <w:rFonts w:cstheme="minorHAnsi"/>
        </w:rPr>
        <w:t>C NMR spectra were collected on Varian VX300 MHz or VNMRS 400 MHz instruments. The NMR data were processed using SpinWorks</w:t>
      </w:r>
      <w:r w:rsidRPr="00E47369">
        <w:rPr>
          <w:rFonts w:cstheme="minorHAnsi"/>
        </w:rPr>
        <w:fldChar w:fldCharType="begin"/>
      </w:r>
      <w:r w:rsidR="00F61C82" w:rsidRPr="00E47369">
        <w:rPr>
          <w:rFonts w:cstheme="minorHAnsi"/>
        </w:rPr>
        <w:instrText xml:space="preserve"> ADDIN ZOTERO_ITEM CSL_CITATION {"citationID":"26qp648kan","properties":{"formattedCitation":"{\\rtf \\super 102\\nosupersub{}}","plainCitation":"102"},"citationItems":[{"id":1498,"uris":["http://zotero.org/users/1624234/items/2R52QEZC"],"uri":["http://zotero.org/users/1624234/items/2R52QEZC"],"itemData":{"id":1498,"type":"book","title":"SpinWorks 4","publisher":"University of Manitoba : Winnipeg Canada","version":"4.1.0.0","author":[{"family":"Marat","given":"K."}]}}],"schema":"https://github.com/citation-style-language/schema/raw/master/csl-citation.json"} </w:instrText>
      </w:r>
      <w:r w:rsidRPr="00E47369">
        <w:rPr>
          <w:rFonts w:cstheme="minorHAnsi"/>
        </w:rPr>
        <w:fldChar w:fldCharType="separate"/>
      </w:r>
      <w:r w:rsidR="00F61C82" w:rsidRPr="00E47369">
        <w:rPr>
          <w:rFonts w:cstheme="minorHAnsi"/>
          <w:vertAlign w:val="superscript"/>
        </w:rPr>
        <w:t>102</w:t>
      </w:r>
      <w:r w:rsidRPr="00E47369">
        <w:rPr>
          <w:rFonts w:cstheme="minorHAnsi"/>
        </w:rPr>
        <w:fldChar w:fldCharType="end"/>
      </w:r>
      <w:r w:rsidRPr="00E47369">
        <w:rPr>
          <w:rFonts w:cstheme="minorHAnsi"/>
        </w:rPr>
        <w:t xml:space="preserve"> and ACD</w:t>
      </w:r>
      <w:r w:rsidRPr="00E47369">
        <w:rPr>
          <w:rFonts w:cstheme="minorHAnsi"/>
        </w:rPr>
        <w:fldChar w:fldCharType="begin"/>
      </w:r>
      <w:r w:rsidR="00F61C82" w:rsidRPr="00E47369">
        <w:rPr>
          <w:rFonts w:cstheme="minorHAnsi"/>
        </w:rPr>
        <w:instrText xml:space="preserve"> ADDIN ZOTERO_ITEM CSL_CITATION {"citationID":"27loqm4m7j","properties":{"formattedCitation":"{\\rtf \\super 103\\nosupersub{}}","plainCitation":"103"},"citationItems":[{"id":1512,"uris":["http://zotero.org/users/1624234/items/VJU6SH7K"],"uri":["http://zotero.org/users/1624234/items/VJU6SH7K"],"itemData":{"id":1512,"type":"book","title":"ACD/Structure Elucidator","publisher":"Advanced Chemistry Development, Inc.","version":"12.01","URL":"www.acdlabs.com","issued":{"date-parts":[["2014"]]}}}],"schema":"https://github.com/citation-style-language/schema/raw/master/csl-citation.json"} </w:instrText>
      </w:r>
      <w:r w:rsidRPr="00E47369">
        <w:rPr>
          <w:rFonts w:cstheme="minorHAnsi"/>
        </w:rPr>
        <w:fldChar w:fldCharType="separate"/>
      </w:r>
      <w:r w:rsidR="00F61C82" w:rsidRPr="00E47369">
        <w:rPr>
          <w:rFonts w:cstheme="minorHAnsi"/>
          <w:vertAlign w:val="superscript"/>
        </w:rPr>
        <w:t>103</w:t>
      </w:r>
      <w:r w:rsidRPr="00E47369">
        <w:rPr>
          <w:rFonts w:cstheme="minorHAnsi"/>
        </w:rPr>
        <w:fldChar w:fldCharType="end"/>
      </w:r>
      <w:r w:rsidRPr="00E47369">
        <w:rPr>
          <w:rFonts w:cstheme="minorHAnsi"/>
        </w:rPr>
        <w:t xml:space="preserve"> software. </w:t>
      </w:r>
    </w:p>
    <w:p w14:paraId="7DAF9F5E" w14:textId="77777777" w:rsidR="00B32DC9" w:rsidRPr="00E47369" w:rsidRDefault="00B32DC9" w:rsidP="00B32DC9">
      <w:pPr>
        <w:spacing w:after="160"/>
        <w:ind w:firstLine="720"/>
        <w:jc w:val="both"/>
        <w:rPr>
          <w:rFonts w:cstheme="minorHAnsi"/>
        </w:rPr>
      </w:pPr>
    </w:p>
    <w:p w14:paraId="27E7A04A" w14:textId="77777777" w:rsidR="008954C9" w:rsidRPr="00E47369" w:rsidRDefault="008954C9" w:rsidP="00F61C82">
      <w:pPr>
        <w:pStyle w:val="Heading41"/>
        <w:rPr>
          <w:rFonts w:cstheme="minorHAnsi"/>
        </w:rPr>
      </w:pPr>
      <w:r w:rsidRPr="00E47369">
        <w:rPr>
          <w:rFonts w:cstheme="minorHAnsi"/>
        </w:rPr>
        <w:t xml:space="preserve">Representative procedure for DODH reactions. </w:t>
      </w:r>
    </w:p>
    <w:p w14:paraId="7BFD01F5" w14:textId="4FFDBF2F" w:rsidR="008954C9" w:rsidRDefault="008954C9" w:rsidP="00F61C82">
      <w:pPr>
        <w:jc w:val="both"/>
        <w:rPr>
          <w:rFonts w:cstheme="minorHAnsi"/>
        </w:rPr>
      </w:pPr>
      <w:r w:rsidRPr="00E47369">
        <w:rPr>
          <w:rFonts w:cstheme="minorHAnsi"/>
        </w:rPr>
        <w:tab/>
        <w:t>Styrene glycol (1.00 mmol, 138 mg), ReO</w:t>
      </w:r>
      <w:r w:rsidRPr="00E47369">
        <w:rPr>
          <w:rFonts w:cstheme="minorHAnsi"/>
          <w:vertAlign w:val="subscript"/>
        </w:rPr>
        <w:t>2</w:t>
      </w:r>
      <w:r w:rsidRPr="00E47369">
        <w:rPr>
          <w:rFonts w:cstheme="minorHAnsi"/>
        </w:rPr>
        <w:t>(py)</w:t>
      </w:r>
      <w:r w:rsidRPr="00E47369">
        <w:rPr>
          <w:rFonts w:cstheme="minorHAnsi"/>
          <w:vertAlign w:val="subscript"/>
        </w:rPr>
        <w:t>4</w:t>
      </w:r>
      <w:r w:rsidRPr="00E47369">
        <w:rPr>
          <w:rFonts w:cstheme="minorHAnsi"/>
          <w:vertAlign w:val="superscript"/>
        </w:rPr>
        <w:t>+-</w:t>
      </w:r>
      <w:r w:rsidRPr="00E47369">
        <w:rPr>
          <w:rFonts w:cstheme="minorHAnsi"/>
        </w:rPr>
        <w:t>PF</w:t>
      </w:r>
      <w:r w:rsidRPr="00E47369">
        <w:rPr>
          <w:rFonts w:cstheme="minorHAnsi"/>
          <w:vertAlign w:val="subscript"/>
        </w:rPr>
        <w:t>6</w:t>
      </w:r>
      <w:r w:rsidR="008633A9">
        <w:rPr>
          <w:rFonts w:cstheme="minorHAnsi"/>
        </w:rPr>
        <w:t xml:space="preserve"> (0.10 mmol, 68</w:t>
      </w:r>
      <w:r w:rsidRPr="00E47369">
        <w:rPr>
          <w:rFonts w:cstheme="minorHAnsi"/>
        </w:rPr>
        <w:t xml:space="preserve"> mg), </w:t>
      </w:r>
      <w:r w:rsidR="008633A9">
        <w:rPr>
          <w:rFonts w:cstheme="minorHAnsi"/>
        </w:rPr>
        <w:t>benzyl alcohol (1.00 mmol, 0.11</w:t>
      </w:r>
      <w:r w:rsidRPr="00E47369">
        <w:rPr>
          <w:rFonts w:cstheme="minorHAnsi"/>
        </w:rPr>
        <w:t xml:space="preserve"> mL), and benzene (2.5 mL) were added to a thick-walled Ace glass reactor tube. A N</w:t>
      </w:r>
      <w:r w:rsidRPr="00E47369">
        <w:rPr>
          <w:rFonts w:cstheme="minorHAnsi"/>
          <w:vertAlign w:val="subscript"/>
        </w:rPr>
        <w:t>2</w:t>
      </w:r>
      <w:r w:rsidRPr="00E47369">
        <w:rPr>
          <w:rFonts w:cstheme="minorHAnsi"/>
        </w:rPr>
        <w:t xml:space="preserve"> flow was bubbled into the mixture for at least 60 sec before the Teflon seal was closed. The reactor was placed in an oil bath at 150 </w:t>
      </w:r>
      <w:r w:rsidRPr="00E47369">
        <w:rPr>
          <w:rFonts w:cstheme="minorHAnsi"/>
          <w:vertAlign w:val="superscript"/>
        </w:rPr>
        <w:t>o</w:t>
      </w:r>
      <w:r w:rsidRPr="00E47369">
        <w:rPr>
          <w:rFonts w:cstheme="minorHAnsi"/>
        </w:rPr>
        <w:t>C for 24 h while stirring magnetically. After cooling to room temperature, a 100 µL aliquot of the reaction mixture was removed and added to CDCl</w:t>
      </w:r>
      <w:r w:rsidRPr="00E47369">
        <w:rPr>
          <w:rFonts w:cstheme="minorHAnsi"/>
          <w:vertAlign w:val="subscript"/>
        </w:rPr>
        <w:t>3</w:t>
      </w:r>
      <w:r w:rsidR="008633A9">
        <w:rPr>
          <w:rFonts w:cstheme="minorHAnsi"/>
        </w:rPr>
        <w:t xml:space="preserve"> (0.5</w:t>
      </w:r>
      <w:r w:rsidRPr="00E47369">
        <w:rPr>
          <w:rFonts w:cstheme="minorHAnsi"/>
        </w:rPr>
        <w:t xml:space="preserve"> mL) and 2.0 µL DMSO as internal standard for NMR analysis. All olefinic products from the DODH reactions have been previously reported and were identified by comparison of their NMR spectra with authentic samples or published data.</w:t>
      </w:r>
    </w:p>
    <w:p w14:paraId="7E0EEF4A" w14:textId="77777777" w:rsidR="005D4B4F" w:rsidRPr="00E47369" w:rsidRDefault="005D4B4F" w:rsidP="00F61C82">
      <w:pPr>
        <w:jc w:val="both"/>
        <w:rPr>
          <w:rFonts w:cstheme="minorHAnsi"/>
        </w:rPr>
      </w:pPr>
    </w:p>
    <w:p w14:paraId="3FB6C6BE" w14:textId="77777777" w:rsidR="008954C9" w:rsidRPr="00E47369" w:rsidRDefault="008954C9" w:rsidP="00F61C82">
      <w:pPr>
        <w:rPr>
          <w:rFonts w:cstheme="minorHAnsi"/>
          <w:i/>
          <w:color w:val="000000" w:themeColor="text1"/>
        </w:rPr>
      </w:pPr>
      <w:r w:rsidRPr="00E47369">
        <w:rPr>
          <w:rFonts w:cstheme="minorHAnsi"/>
          <w:i/>
          <w:color w:val="000000" w:themeColor="text1"/>
        </w:rPr>
        <w:t xml:space="preserve">DODH Reaction of styrene glycol with </w:t>
      </w:r>
      <w:r w:rsidRPr="00E47369">
        <w:rPr>
          <w:rFonts w:cstheme="minorHAnsi"/>
          <w:i/>
        </w:rPr>
        <w:t>ReO</w:t>
      </w:r>
      <w:r w:rsidRPr="00E47369">
        <w:rPr>
          <w:rFonts w:cstheme="minorHAnsi"/>
          <w:i/>
          <w:vertAlign w:val="subscript"/>
        </w:rPr>
        <w:t>2</w:t>
      </w:r>
      <w:r w:rsidRPr="00E47369">
        <w:rPr>
          <w:rFonts w:cstheme="minorHAnsi"/>
          <w:i/>
        </w:rPr>
        <w:t>(py)</w:t>
      </w:r>
      <w:r w:rsidRPr="00E47369">
        <w:rPr>
          <w:rFonts w:cstheme="minorHAnsi"/>
          <w:i/>
          <w:vertAlign w:val="subscript"/>
        </w:rPr>
        <w:t>4</w:t>
      </w:r>
      <w:r w:rsidRPr="00E47369">
        <w:rPr>
          <w:rFonts w:cstheme="minorHAnsi"/>
          <w:i/>
          <w:vertAlign w:val="superscript"/>
        </w:rPr>
        <w:t>+-</w:t>
      </w:r>
      <w:r w:rsidRPr="00E47369">
        <w:rPr>
          <w:rFonts w:cstheme="minorHAnsi"/>
          <w:i/>
        </w:rPr>
        <w:t>PF</w:t>
      </w:r>
      <w:r w:rsidRPr="00E47369">
        <w:rPr>
          <w:rFonts w:cstheme="minorHAnsi"/>
          <w:i/>
          <w:vertAlign w:val="subscript"/>
        </w:rPr>
        <w:t xml:space="preserve">6 </w:t>
      </w:r>
      <w:r w:rsidRPr="00E47369">
        <w:rPr>
          <w:rFonts w:cstheme="minorHAnsi"/>
          <w:i/>
        </w:rPr>
        <w:t>as catalyst</w:t>
      </w:r>
    </w:p>
    <w:p w14:paraId="4BCA12EE" w14:textId="1C9D08DD" w:rsidR="00F61C82" w:rsidRPr="00E47369" w:rsidRDefault="00443010" w:rsidP="00537311">
      <w:pPr>
        <w:jc w:val="center"/>
        <w:rPr>
          <w:rFonts w:cstheme="minorHAnsi"/>
        </w:rPr>
      </w:pPr>
      <w:r>
        <w:rPr>
          <w:rFonts w:cstheme="minorHAnsi"/>
          <w:noProof/>
        </w:rPr>
        <w:object w:dxaOrig="0" w:dyaOrig="0" w14:anchorId="01CB5947">
          <v:shape id="_x0000_s1277" type="#_x0000_t75" style="position:absolute;left:0;text-align:left;margin-left:203.55pt;margin-top:.35pt;width:169.75pt;height:45.3pt;z-index:251668992" filled="t" fillcolor="white [3212]">
            <v:imagedata r:id="rId325" o:title=""/>
          </v:shape>
          <o:OLEObject Type="Embed" ProgID="ChemDraw.Document.6.0" ShapeID="_x0000_s1277" DrawAspect="Content" ObjectID="_1532785069" r:id="rId326"/>
        </w:object>
      </w:r>
      <w:r w:rsidR="008954C9" w:rsidRPr="00E47369">
        <w:rPr>
          <w:rFonts w:cstheme="minorHAnsi"/>
          <w:noProof/>
          <w:lang w:bidi="ar-SA"/>
        </w:rPr>
        <w:drawing>
          <wp:inline distT="0" distB="0" distL="0" distR="0" wp14:anchorId="712C9FAE" wp14:editId="2CBED36D">
            <wp:extent cx="4114800" cy="2512497"/>
            <wp:effectExtent l="0" t="0" r="0" b="254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27" cstate="print">
                      <a:extLst>
                        <a:ext uri="{28A0092B-C50C-407E-A947-70E740481C1C}">
                          <a14:useLocalDpi xmlns:a14="http://schemas.microsoft.com/office/drawing/2010/main" val="0"/>
                        </a:ext>
                      </a:extLst>
                    </a:blip>
                    <a:srcRect t="8007" b="12521"/>
                    <a:stretch/>
                  </pic:blipFill>
                  <pic:spPr bwMode="auto">
                    <a:xfrm>
                      <a:off x="0" y="0"/>
                      <a:ext cx="4114800" cy="2512497"/>
                    </a:xfrm>
                    <a:prstGeom prst="rect">
                      <a:avLst/>
                    </a:prstGeom>
                    <a:noFill/>
                    <a:ln>
                      <a:noFill/>
                    </a:ln>
                    <a:extLst>
                      <a:ext uri="{53640926-AAD7-44D8-BBD7-CCE9431645EC}">
                        <a14:shadowObscured xmlns:a14="http://schemas.microsoft.com/office/drawing/2010/main"/>
                      </a:ex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22451FE9" w14:textId="77777777" w:rsidR="008954C9" w:rsidRPr="00E47369" w:rsidRDefault="008954C9" w:rsidP="00F61C82">
      <w:pPr>
        <w:pStyle w:val="Heading41"/>
        <w:rPr>
          <w:rFonts w:cstheme="minorHAnsi"/>
        </w:rPr>
      </w:pPr>
      <w:r w:rsidRPr="00E47369">
        <w:rPr>
          <w:rFonts w:cstheme="minorHAnsi"/>
        </w:rPr>
        <w:t xml:space="preserve">Representative procedure for Heck reactions. </w:t>
      </w:r>
    </w:p>
    <w:p w14:paraId="50E5F341" w14:textId="5EB1F8DA" w:rsidR="008954C9" w:rsidRPr="00E47369" w:rsidRDefault="008633A9" w:rsidP="00F61C82">
      <w:pPr>
        <w:jc w:val="both"/>
        <w:rPr>
          <w:rFonts w:cstheme="minorHAnsi"/>
        </w:rPr>
      </w:pPr>
      <w:r>
        <w:rPr>
          <w:rFonts w:cstheme="minorHAnsi"/>
        </w:rPr>
        <w:tab/>
        <w:t xml:space="preserve">Styrene (1.00 mmol, 0.11 </w:t>
      </w:r>
      <w:r w:rsidR="008954C9" w:rsidRPr="00E47369">
        <w:rPr>
          <w:rFonts w:cstheme="minorHAnsi"/>
        </w:rPr>
        <w:t>mL), PdCl</w:t>
      </w:r>
      <w:r w:rsidR="008954C9" w:rsidRPr="00E47369">
        <w:rPr>
          <w:rFonts w:cstheme="minorHAnsi"/>
          <w:vertAlign w:val="subscript"/>
        </w:rPr>
        <w:t>2</w:t>
      </w:r>
      <w:r w:rsidR="008954C9" w:rsidRPr="00E47369">
        <w:rPr>
          <w:rFonts w:cstheme="minorHAnsi"/>
        </w:rPr>
        <w:t>(CH</w:t>
      </w:r>
      <w:r w:rsidR="008954C9" w:rsidRPr="00E47369">
        <w:rPr>
          <w:rFonts w:cstheme="minorHAnsi"/>
          <w:vertAlign w:val="subscript"/>
        </w:rPr>
        <w:t>3</w:t>
      </w:r>
      <w:r w:rsidR="008954C9" w:rsidRPr="00E47369">
        <w:rPr>
          <w:rFonts w:cstheme="minorHAnsi"/>
        </w:rPr>
        <w:t>CN)</w:t>
      </w:r>
      <w:r w:rsidR="008954C9" w:rsidRPr="00E47369">
        <w:rPr>
          <w:rFonts w:cstheme="minorHAnsi"/>
          <w:vertAlign w:val="subscript"/>
        </w:rPr>
        <w:t>2</w:t>
      </w:r>
      <w:r>
        <w:rPr>
          <w:rFonts w:cstheme="minorHAnsi"/>
        </w:rPr>
        <w:t xml:space="preserve"> (0.04 mmol, 10</w:t>
      </w:r>
      <w:r w:rsidR="008954C9" w:rsidRPr="00E47369">
        <w:rPr>
          <w:rFonts w:cstheme="minorHAnsi"/>
        </w:rPr>
        <w:t xml:space="preserve"> mg), 2-</w:t>
      </w:r>
      <w:r>
        <w:rPr>
          <w:rFonts w:cstheme="minorHAnsi"/>
        </w:rPr>
        <w:t>bromo pyridine (1.10 mmol, 0.09</w:t>
      </w:r>
      <w:r w:rsidR="008954C9" w:rsidRPr="00E47369">
        <w:rPr>
          <w:rFonts w:cstheme="minorHAnsi"/>
        </w:rPr>
        <w:t xml:space="preserve"> mL), and DMA (2.5 mL) were added to a thick-walled Ace glass reactor tube. Nitrogen gas was bubbled into the mixture for at least 60 sec before the Teflon seal was closed. The reactor was placed in an oil bath at 150</w:t>
      </w:r>
      <w:r w:rsidR="008954C9" w:rsidRPr="00E47369">
        <w:rPr>
          <w:rFonts w:cstheme="minorHAnsi"/>
          <w:vertAlign w:val="superscript"/>
        </w:rPr>
        <w:t>o</w:t>
      </w:r>
      <w:r w:rsidR="008954C9" w:rsidRPr="00E47369">
        <w:rPr>
          <w:rFonts w:cstheme="minorHAnsi"/>
        </w:rPr>
        <w:t>C for 24 h while stirring magnetically. After cooling to room temperature, a 100 µL aliquot of the reaction mixture was removed and added to CDCl</w:t>
      </w:r>
      <w:r w:rsidR="008954C9" w:rsidRPr="00E47369">
        <w:rPr>
          <w:rFonts w:cstheme="minorHAnsi"/>
          <w:vertAlign w:val="subscript"/>
        </w:rPr>
        <w:t>3</w:t>
      </w:r>
      <w:r w:rsidR="008954C9" w:rsidRPr="00E47369">
        <w:rPr>
          <w:rFonts w:cstheme="minorHAnsi"/>
        </w:rPr>
        <w:t xml:space="preserve"> and 2.0 µL DMSO as internal standard for NMR analysis. All olefinic products from the DODH reactions have been previously reported and were identified by comparison of their NMR spectra with authentic samples or published data. </w:t>
      </w:r>
    </w:p>
    <w:p w14:paraId="20B1D4A4" w14:textId="77777777" w:rsidR="00F3411C" w:rsidRDefault="00F3411C" w:rsidP="00F61C82">
      <w:pPr>
        <w:jc w:val="both"/>
      </w:pPr>
    </w:p>
    <w:p w14:paraId="61374AC1" w14:textId="02E59897" w:rsidR="008954C9" w:rsidRDefault="008954C9" w:rsidP="00F61C82">
      <w:pPr>
        <w:jc w:val="both"/>
      </w:pPr>
      <w:r>
        <w:t xml:space="preserve">trans-stilbene : </w:t>
      </w:r>
      <w:r>
        <w:rPr>
          <w:vertAlign w:val="superscript"/>
        </w:rPr>
        <w:t>1</w:t>
      </w:r>
      <w:r>
        <w:t>H-NMR (300 MHz, CDCl</w:t>
      </w:r>
      <w:r>
        <w:rPr>
          <w:vertAlign w:val="subscript"/>
        </w:rPr>
        <w:t>3</w:t>
      </w:r>
      <w:r w:rsidR="008633A9">
        <w:t xml:space="preserve">): 7.5 (m, 4H), 7.3 (m, 4H), 7.2 (m, 2H), 7.1 </w:t>
      </w:r>
      <w:r>
        <w:t>(s, 2H)</w:t>
      </w:r>
    </w:p>
    <w:p w14:paraId="213BAA47" w14:textId="77777777" w:rsidR="00F3411C" w:rsidRDefault="00F3411C" w:rsidP="00F61C82">
      <w:pPr>
        <w:jc w:val="both"/>
      </w:pPr>
    </w:p>
    <w:p w14:paraId="0900294F" w14:textId="6F415C4B" w:rsidR="008954C9" w:rsidRDefault="008954C9" w:rsidP="00F61C82">
      <w:pPr>
        <w:jc w:val="both"/>
      </w:pPr>
      <w:r w:rsidRPr="00B9160C">
        <w:t>2-styrylpyridine</w:t>
      </w:r>
      <w:r>
        <w:t xml:space="preserve"> : </w:t>
      </w:r>
      <w:r>
        <w:rPr>
          <w:vertAlign w:val="superscript"/>
        </w:rPr>
        <w:t>1</w:t>
      </w:r>
      <w:r>
        <w:t>H-NMR (300 MHz, CDCl</w:t>
      </w:r>
      <w:r>
        <w:rPr>
          <w:vertAlign w:val="subscript"/>
        </w:rPr>
        <w:t>3</w:t>
      </w:r>
      <w:r w:rsidR="008633A9">
        <w:t xml:space="preserve">): 8.6 </w:t>
      </w:r>
      <w:r>
        <w:t xml:space="preserve">(d, </w:t>
      </w:r>
      <w:r>
        <w:rPr>
          <w:i/>
        </w:rPr>
        <w:t xml:space="preserve">J </w:t>
      </w:r>
      <w:r>
        <w:t>= 4.02H</w:t>
      </w:r>
      <w:r>
        <w:rPr>
          <w:vertAlign w:val="subscript"/>
        </w:rPr>
        <w:t>Z</w:t>
      </w:r>
      <w:r w:rsidRPr="00A35A6C">
        <w:t>,</w:t>
      </w:r>
      <w:r w:rsidR="008633A9">
        <w:t xml:space="preserve"> 2H), 7.6 (m, 4H), 7.3 (m, 4H) 7.1</w:t>
      </w:r>
      <w:r>
        <w:t xml:space="preserve"> (m, 2H)</w:t>
      </w:r>
    </w:p>
    <w:p w14:paraId="663D620F" w14:textId="77777777" w:rsidR="00F3411C" w:rsidRDefault="00F3411C" w:rsidP="00F61C82">
      <w:pPr>
        <w:jc w:val="both"/>
      </w:pPr>
    </w:p>
    <w:p w14:paraId="5581DD2C" w14:textId="77777777" w:rsidR="00B32DC9" w:rsidRDefault="00B32DC9" w:rsidP="00F61C82">
      <w:pPr>
        <w:jc w:val="both"/>
      </w:pPr>
    </w:p>
    <w:p w14:paraId="720EBCEB" w14:textId="77777777" w:rsidR="00B32DC9" w:rsidRDefault="00B32DC9" w:rsidP="00F61C82">
      <w:pPr>
        <w:jc w:val="both"/>
      </w:pPr>
    </w:p>
    <w:p w14:paraId="3A727EB4" w14:textId="77777777" w:rsidR="00B32DC9" w:rsidRDefault="00B32DC9" w:rsidP="00F61C82">
      <w:pPr>
        <w:jc w:val="both"/>
      </w:pPr>
    </w:p>
    <w:p w14:paraId="557398A1" w14:textId="77777777" w:rsidR="00B32DC9" w:rsidRDefault="00B32DC9" w:rsidP="00F61C82">
      <w:pPr>
        <w:jc w:val="both"/>
      </w:pPr>
    </w:p>
    <w:p w14:paraId="4EB33F24" w14:textId="77777777" w:rsidR="00B32DC9" w:rsidRDefault="00B32DC9" w:rsidP="00F61C82">
      <w:pPr>
        <w:jc w:val="both"/>
      </w:pPr>
    </w:p>
    <w:p w14:paraId="4D8A1C12" w14:textId="77777777" w:rsidR="00B32DC9" w:rsidRDefault="00B32DC9" w:rsidP="00F61C82">
      <w:pPr>
        <w:jc w:val="both"/>
      </w:pPr>
    </w:p>
    <w:p w14:paraId="5BE7D9A6" w14:textId="77777777" w:rsidR="008954C9" w:rsidRPr="00A35A6C" w:rsidRDefault="008954C9" w:rsidP="00F61C82">
      <w:pPr>
        <w:jc w:val="both"/>
        <w:rPr>
          <w:i/>
          <w:color w:val="000000" w:themeColor="text1"/>
        </w:rPr>
      </w:pPr>
      <w:r w:rsidRPr="00A35A6C">
        <w:rPr>
          <w:i/>
          <w:color w:val="000000" w:themeColor="text1"/>
        </w:rPr>
        <w:t>Heck Reaction of styrene with 2-bromopyridine</w:t>
      </w:r>
    </w:p>
    <w:p w14:paraId="6895AD56" w14:textId="77777777" w:rsidR="008954C9" w:rsidRDefault="008954C9" w:rsidP="00F61C82">
      <w:pPr>
        <w:jc w:val="center"/>
        <w:rPr>
          <w:color w:val="000000" w:themeColor="text1"/>
        </w:rPr>
      </w:pPr>
      <w:r w:rsidRPr="004B1D0B">
        <w:rPr>
          <w:noProof/>
          <w:lang w:bidi="ar-SA"/>
        </w:rPr>
        <w:drawing>
          <wp:inline distT="0" distB="0" distL="0" distR="0" wp14:anchorId="2F5C597F" wp14:editId="6ABE215C">
            <wp:extent cx="4114800" cy="2494287"/>
            <wp:effectExtent l="0" t="0" r="0" b="127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28" cstate="print">
                      <a:extLst>
                        <a:ext uri="{28A0092B-C50C-407E-A947-70E740481C1C}">
                          <a14:useLocalDpi xmlns:a14="http://schemas.microsoft.com/office/drawing/2010/main" val="0"/>
                        </a:ext>
                      </a:extLst>
                    </a:blip>
                    <a:srcRect t="8316" b="12788"/>
                    <a:stretch/>
                  </pic:blipFill>
                  <pic:spPr bwMode="auto">
                    <a:xfrm>
                      <a:off x="0" y="0"/>
                      <a:ext cx="4114800" cy="2494287"/>
                    </a:xfrm>
                    <a:prstGeom prst="rect">
                      <a:avLst/>
                    </a:prstGeom>
                    <a:noFill/>
                    <a:ln>
                      <a:noFill/>
                    </a:ln>
                    <a:extLst>
                      <a:ext uri="{53640926-AAD7-44D8-BBD7-CCE9431645EC}">
                        <a14:shadowObscured xmlns:a14="http://schemas.microsoft.com/office/drawing/2010/main"/>
                      </a:ex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5127BBFF" w14:textId="77777777" w:rsidR="00A40A97" w:rsidRDefault="0033265F" w:rsidP="0033265F">
      <w:pPr>
        <w:spacing w:line="240" w:lineRule="auto"/>
        <w:rPr>
          <w:color w:val="000000" w:themeColor="text1"/>
        </w:rPr>
      </w:pPr>
      <w:r>
        <w:rPr>
          <w:color w:val="000000" w:themeColor="text1"/>
        </w:rPr>
        <w:br w:type="page"/>
      </w:r>
    </w:p>
    <w:p w14:paraId="7C63F3DC" w14:textId="77777777" w:rsidR="00894CF8" w:rsidRPr="00894CF8" w:rsidRDefault="00894CF8" w:rsidP="00BA0582">
      <w:pPr>
        <w:pStyle w:val="Heading2"/>
      </w:pPr>
      <w:bookmarkStart w:id="330" w:name="_Toc458938326"/>
      <w:r w:rsidRPr="00894CF8">
        <w:t>DODH/Hydroacylation</w:t>
      </w:r>
      <w:r w:rsidR="00317102" w:rsidRPr="00317102">
        <w:t xml:space="preserve"> </w:t>
      </w:r>
      <w:r w:rsidR="00317102" w:rsidRPr="00894CF8">
        <w:t>Tandem</w:t>
      </w:r>
      <w:r w:rsidR="00317102">
        <w:t xml:space="preserve"> Reaction</w:t>
      </w:r>
      <w:bookmarkEnd w:id="330"/>
    </w:p>
    <w:p w14:paraId="218F310A" w14:textId="77777777" w:rsidR="00894CF8" w:rsidRPr="00894CF8" w:rsidRDefault="00894CF8" w:rsidP="000351A7">
      <w:pPr>
        <w:pStyle w:val="Heading3"/>
        <w:numPr>
          <w:ilvl w:val="0"/>
          <w:numId w:val="33"/>
        </w:numPr>
      </w:pPr>
      <w:bookmarkStart w:id="331" w:name="_Toc458938327"/>
      <w:r w:rsidRPr="00894CF8">
        <w:t>Introduction</w:t>
      </w:r>
      <w:bookmarkEnd w:id="331"/>
      <w:r w:rsidRPr="00894CF8">
        <w:t xml:space="preserve"> </w:t>
      </w:r>
    </w:p>
    <w:p w14:paraId="0D5918B0" w14:textId="77777777" w:rsidR="00894CF8" w:rsidRPr="00894CF8" w:rsidRDefault="00894CF8" w:rsidP="002B11DB">
      <w:pPr>
        <w:pStyle w:val="Heading41"/>
      </w:pPr>
      <w:r w:rsidRPr="00894CF8">
        <w:t xml:space="preserve">Hydroacylation Background </w:t>
      </w:r>
    </w:p>
    <w:p w14:paraId="2E14D96D" w14:textId="77777777" w:rsidR="00894CF8" w:rsidRPr="00894CF8" w:rsidRDefault="00894CF8" w:rsidP="00894CF8">
      <w:pPr>
        <w:ind w:firstLine="360"/>
        <w:jc w:val="both"/>
        <w:rPr>
          <w:color w:val="000000" w:themeColor="text1"/>
        </w:rPr>
      </w:pPr>
      <w:r w:rsidRPr="00894CF8">
        <w:rPr>
          <w:color w:val="000000" w:themeColor="text1"/>
        </w:rPr>
        <w:t>The hydroacylation reaction is the addition of an aldehyde to an alkene</w:t>
      </w:r>
      <w:r w:rsidR="0033265F">
        <w:rPr>
          <w:color w:val="000000" w:themeColor="text1"/>
        </w:rPr>
        <w:t xml:space="preserve"> by C-C bond formation</w:t>
      </w:r>
      <w:r w:rsidRPr="00894CF8">
        <w:rPr>
          <w:color w:val="000000" w:themeColor="text1"/>
        </w:rPr>
        <w:t xml:space="preserve"> (</w:t>
      </w:r>
      <w:r w:rsidR="00EB4E40">
        <w:rPr>
          <w:color w:val="000000" w:themeColor="text1"/>
        </w:rPr>
        <w:fldChar w:fldCharType="begin"/>
      </w:r>
      <w:r w:rsidR="00EB4E40">
        <w:rPr>
          <w:color w:val="000000" w:themeColor="text1"/>
        </w:rPr>
        <w:instrText xml:space="preserve"> REF _Ref454963193 \h </w:instrText>
      </w:r>
      <w:r w:rsidR="00EB4E40">
        <w:rPr>
          <w:color w:val="000000" w:themeColor="text1"/>
        </w:rPr>
      </w:r>
      <w:r w:rsidR="00EB4E40">
        <w:rPr>
          <w:color w:val="000000" w:themeColor="text1"/>
        </w:rPr>
        <w:fldChar w:fldCharType="separate"/>
      </w:r>
      <w:r w:rsidR="000A0E3D" w:rsidRPr="00A40A97">
        <w:t xml:space="preserve">Figure III. </w:t>
      </w:r>
      <w:r w:rsidR="000A0E3D">
        <w:rPr>
          <w:noProof/>
        </w:rPr>
        <w:t>6</w:t>
      </w:r>
      <w:r w:rsidR="000A0E3D">
        <w:t>.</w:t>
      </w:r>
      <w:r w:rsidR="000A0E3D">
        <w:rPr>
          <w:noProof/>
        </w:rPr>
        <w:t>1</w:t>
      </w:r>
      <w:r w:rsidR="00EB4E40">
        <w:rPr>
          <w:color w:val="000000" w:themeColor="text1"/>
        </w:rPr>
        <w:fldChar w:fldCharType="end"/>
      </w:r>
      <w:r w:rsidRPr="00894CF8">
        <w:rPr>
          <w:color w:val="000000" w:themeColor="text1"/>
        </w:rPr>
        <w:t xml:space="preserve">). This reaction is </w:t>
      </w:r>
      <w:r w:rsidR="0033265F">
        <w:rPr>
          <w:color w:val="000000" w:themeColor="text1"/>
        </w:rPr>
        <w:t xml:space="preserve">usually </w:t>
      </w:r>
      <w:r w:rsidRPr="00894CF8">
        <w:rPr>
          <w:color w:val="000000" w:themeColor="text1"/>
        </w:rPr>
        <w:t xml:space="preserve">catalyzed by either </w:t>
      </w:r>
      <w:r w:rsidR="0033265F">
        <w:rPr>
          <w:color w:val="000000" w:themeColor="text1"/>
        </w:rPr>
        <w:t>r</w:t>
      </w:r>
      <w:r w:rsidRPr="00894CF8">
        <w:rPr>
          <w:color w:val="000000" w:themeColor="text1"/>
        </w:rPr>
        <w:t xml:space="preserve">hodium, </w:t>
      </w:r>
      <w:r w:rsidR="0033265F">
        <w:rPr>
          <w:color w:val="000000" w:themeColor="text1"/>
        </w:rPr>
        <w:t>r</w:t>
      </w:r>
      <w:r w:rsidRPr="00894CF8">
        <w:rPr>
          <w:color w:val="000000" w:themeColor="text1"/>
        </w:rPr>
        <w:t>uthenium</w:t>
      </w:r>
      <w:r w:rsidR="0033265F">
        <w:rPr>
          <w:color w:val="000000" w:themeColor="text1"/>
        </w:rPr>
        <w:t>,</w:t>
      </w:r>
      <w:r w:rsidRPr="00894CF8">
        <w:rPr>
          <w:color w:val="000000" w:themeColor="text1"/>
        </w:rPr>
        <w:t xml:space="preserve"> </w:t>
      </w:r>
      <w:r w:rsidR="0033265F">
        <w:rPr>
          <w:color w:val="000000" w:themeColor="text1"/>
        </w:rPr>
        <w:t>n</w:t>
      </w:r>
      <w:r w:rsidRPr="00894CF8">
        <w:rPr>
          <w:color w:val="000000" w:themeColor="text1"/>
        </w:rPr>
        <w:t xml:space="preserve">ickel, </w:t>
      </w:r>
      <w:r w:rsidR="0033265F">
        <w:rPr>
          <w:color w:val="000000" w:themeColor="text1"/>
        </w:rPr>
        <w:t>p</w:t>
      </w:r>
      <w:r w:rsidRPr="00894CF8">
        <w:rPr>
          <w:color w:val="000000" w:themeColor="text1"/>
        </w:rPr>
        <w:t xml:space="preserve">alladium or </w:t>
      </w:r>
      <w:r w:rsidR="0033265F">
        <w:rPr>
          <w:color w:val="000000" w:themeColor="text1"/>
        </w:rPr>
        <w:t>i</w:t>
      </w:r>
      <w:r w:rsidRPr="00894CF8">
        <w:rPr>
          <w:color w:val="000000" w:themeColor="text1"/>
        </w:rPr>
        <w:t>ridium transition metal complexes. It is a completely atom economical process since all of the atoms of the two reactants are incorporated into the single product.</w:t>
      </w:r>
      <w:r w:rsidRPr="00894CF8">
        <w:rPr>
          <w:color w:val="000000" w:themeColor="text1"/>
        </w:rPr>
        <w:fldChar w:fldCharType="begin"/>
      </w:r>
      <w:r w:rsidR="00E028D6">
        <w:rPr>
          <w:color w:val="000000" w:themeColor="text1"/>
        </w:rPr>
        <w:instrText xml:space="preserve"> ADDIN ZOTERO_ITEM CSL_CITATION {"citationID":"16qd2jfj35","properties":{"formattedCitation":"{\\rtf \\super 149\\nosupersub{}}","plainCitation":"149"},"citationItems":[{"id":1717,"uris":["http://zotero.org/users/1624234/items/NRMGXC3V"],"uri":["http://zotero.org/users/1624234/items/NRMGXC3V"],"itemData":{"id":1717,"type":"article-journal","title":"Catalytic intermolecular hydroacylation of C–C π-bonds in the absence of chelation assistance","container-title":"Chemical Science","page":"2202-2209","volume":"3","issue":"7","source":"pubs.rsc.org.ezproxy.lib.ou.edu","abstract":"Intermolecular rhodium catalyzed hydroacylation in the absence of chelation assistance remains a largely unmet challenge due to competing decarbonylation of the acylrhodium intermediates to form catalytically inactive carbonyl complexes. Here, catalytic systems for intermolecular hydroacylation in the absence of chelation assistance are reviewed, with an emphasis on recently described processes that operate through mechanistic pathways beyond aldehyde C–H oxidative addition.","DOI":"10.1039/C2SC20350B","ISSN":"2041-6539","journalAbbreviation":"Chem. Sci.","language":"en","author":[{"family":"Leung","given":"Joyce C."},{"family":"Krische","given":"Michael J."}],"issued":{"date-parts":[["2012",6,6]]}}}],"schema":"https://github.com/citation-style-language/schema/raw/master/csl-citation.json"} </w:instrText>
      </w:r>
      <w:r w:rsidRPr="00894CF8">
        <w:rPr>
          <w:color w:val="000000" w:themeColor="text1"/>
        </w:rPr>
        <w:fldChar w:fldCharType="separate"/>
      </w:r>
      <w:r w:rsidR="00E028D6" w:rsidRPr="00E028D6">
        <w:rPr>
          <w:rFonts w:ascii="Times New Roman" w:hAnsi="Times New Roman"/>
          <w:vertAlign w:val="superscript"/>
        </w:rPr>
        <w:t>149</w:t>
      </w:r>
      <w:r w:rsidRPr="00894CF8">
        <w:rPr>
          <w:color w:val="000000" w:themeColor="text1"/>
        </w:rPr>
        <w:fldChar w:fldCharType="end"/>
      </w:r>
      <w:r w:rsidRPr="00894CF8">
        <w:rPr>
          <w:color w:val="000000" w:themeColor="text1"/>
        </w:rPr>
        <w:t xml:space="preserve"> In the late 60’s Ohno and Wilkinson discovered the decarbonylation of aldehyde</w:t>
      </w:r>
      <w:r w:rsidR="0033265F">
        <w:rPr>
          <w:color w:val="000000" w:themeColor="text1"/>
        </w:rPr>
        <w:t>s</w:t>
      </w:r>
      <w:r w:rsidRPr="00894CF8">
        <w:rPr>
          <w:color w:val="000000" w:themeColor="text1"/>
        </w:rPr>
        <w:t xml:space="preserve"> by the use of a stoichiometric amount of Wilkinson’s complex (RhCl(PPh</w:t>
      </w:r>
      <w:r w:rsidRPr="00894CF8">
        <w:rPr>
          <w:color w:val="000000" w:themeColor="text1"/>
          <w:vertAlign w:val="subscript"/>
        </w:rPr>
        <w:t>3</w:t>
      </w:r>
      <w:r w:rsidRPr="00894CF8">
        <w:rPr>
          <w:color w:val="000000" w:themeColor="text1"/>
        </w:rPr>
        <w:t>)</w:t>
      </w:r>
      <w:r w:rsidRPr="00894CF8">
        <w:rPr>
          <w:color w:val="000000" w:themeColor="text1"/>
          <w:vertAlign w:val="subscript"/>
        </w:rPr>
        <w:t>3</w:t>
      </w:r>
      <w:r w:rsidRPr="00894CF8">
        <w:rPr>
          <w:color w:val="000000" w:themeColor="text1"/>
        </w:rPr>
        <w:t>).</w:t>
      </w:r>
      <w:r w:rsidRPr="00894CF8">
        <w:rPr>
          <w:color w:val="000000" w:themeColor="text1"/>
        </w:rPr>
        <w:fldChar w:fldCharType="begin"/>
      </w:r>
      <w:r w:rsidR="00E028D6">
        <w:rPr>
          <w:color w:val="000000" w:themeColor="text1"/>
        </w:rPr>
        <w:instrText xml:space="preserve"> ADDIN ZOTERO_ITEM CSL_CITATION {"citationID":"m9ljua2g9","properties":{"formattedCitation":"{\\rtf \\super 150,151\\nosupersub{}}","plainCitation":"150,151"},"citationItems":[{"id":1720,"uris":["http://zotero.org/users/1624234/items/UC68KDIA"],"uri":["http://zotero.org/users/1624234/items/UC68KDIA"],"itemData":{"id":1720,"type":"article-journal","title":"Organic syntheses by means of noble metal compounds XXI. Decarbonylation of aldehydes using rhodium complex","container-title":"Tetrahedron Letters","page":"3969-3971","volume":"6","issue":"44","source":"ScienceDirect","DOI":"10.1016/S0040-4039(01)89127-9","ISSN":"0040-4039","journalAbbreviation":"Tetrahedron Letters","author":[{"family":"Tsuji","given":"Jiro"},{"family":"Ohno","given":"Kiyotaka"}],"issued":{"date-parts":[["1965",1,1]]}}},{"id":1722,"uris":["http://zotero.org/users/1624234/items/G96UVZUP"],"uri":["http://zotero.org/users/1624234/items/G96UVZUP"],"itemData":{"id":1722,"type":"article-journal","title":"The decarbonylation of aldehydes by tris(triphenylphosphine)chlororhodium(I)","container-title":"Journal of the Chemical Society A: Inorganic, Physical, Theoretical","page":"348-351","issue":"0","source":"pubs.rsc.org","abstract":"The observed rate for the decarbonylation of n-valeraldehyde by tris(triphenylphosphine)chlororhodium(I), RhCl(PPh3)3, in dichloromethane solution at 20° is given by the equation: Rate =k1[RhCl(PPh3)3]+k2[RhCl(PPh3)3][C4H9CHO], where k1= 5·68 × 10–5 sec.–1 and k2= 1·81 × 10–4 l. mole–1 sec.–1.","DOI":"10.1039/J19680000348","ISSN":"0022-4944","journalAbbreviation":"J. Chem. Soc. A","language":"en","author":[{"family":"Baird","given":"M. C."},{"family":"Nyman","given":"C. J."},{"family":"Wilkinson","given":"G."}],"issued":{"date-parts":[["1968",1,1]]}}}],"schema":"https://github.com/citation-style-language/schema/raw/master/csl-citation.json"} </w:instrText>
      </w:r>
      <w:r w:rsidRPr="00894CF8">
        <w:rPr>
          <w:color w:val="000000" w:themeColor="text1"/>
        </w:rPr>
        <w:fldChar w:fldCharType="separate"/>
      </w:r>
      <w:r w:rsidR="00E028D6" w:rsidRPr="00E028D6">
        <w:rPr>
          <w:rFonts w:ascii="Times New Roman" w:hAnsi="Times New Roman"/>
          <w:vertAlign w:val="superscript"/>
        </w:rPr>
        <w:t>150,151</w:t>
      </w:r>
      <w:r w:rsidRPr="00894CF8">
        <w:rPr>
          <w:color w:val="000000" w:themeColor="text1"/>
        </w:rPr>
        <w:fldChar w:fldCharType="end"/>
      </w:r>
      <w:r w:rsidRPr="00894CF8">
        <w:rPr>
          <w:color w:val="000000" w:themeColor="text1"/>
        </w:rPr>
        <w:t xml:space="preserve"> Sakai and co-workers reported the first hydroacylation as an intramolecular process.</w:t>
      </w:r>
      <w:r w:rsidRPr="00894CF8">
        <w:rPr>
          <w:color w:val="000000" w:themeColor="text1"/>
        </w:rPr>
        <w:fldChar w:fldCharType="begin"/>
      </w:r>
      <w:r w:rsidR="00E028D6">
        <w:rPr>
          <w:color w:val="000000" w:themeColor="text1"/>
        </w:rPr>
        <w:instrText xml:space="preserve"> ADDIN ZOTERO_ITEM CSL_CITATION {"citationID":"vhn4p6uts","properties":{"formattedCitation":"{\\rtf \\super 152\\nosupersub{}}","plainCitation":"152"},"citationItems":[{"id":1725,"uris":["http://zotero.org/users/1624234/items/5I5UR7EM"],"uri":["http://zotero.org/users/1624234/items/5I5UR7EM"],"itemData":{"id":1725,"type":"article-journal","title":"Synthetic studies on prostanoids 1 synthesis of methyl 9-oxoprostanoate","container-title":"Tetrahedron Letters","page":"1287-1290","volume":"13","issue":"13","source":"ScienceDirect","DOI":"10.1016/S0040-4039(01)84569-X","ISSN":"0040-4039","journalAbbreviation":"Tetrahedron Letters","author":[{"family":"Sakai","given":"K."},{"family":"Ide","given":"J."},{"family":"Oda","given":"O."},{"family":"Nakamura","given":"N."}],"issued":{"date-parts":[["1972",1,1]]}}}],"schema":"https://github.com/citation-style-language/schema/raw/master/csl-citation.json"} </w:instrText>
      </w:r>
      <w:r w:rsidRPr="00894CF8">
        <w:rPr>
          <w:color w:val="000000" w:themeColor="text1"/>
        </w:rPr>
        <w:fldChar w:fldCharType="separate"/>
      </w:r>
      <w:r w:rsidR="00E028D6" w:rsidRPr="00E028D6">
        <w:rPr>
          <w:rFonts w:ascii="Times New Roman" w:hAnsi="Times New Roman"/>
          <w:vertAlign w:val="superscript"/>
        </w:rPr>
        <w:t>152</w:t>
      </w:r>
      <w:r w:rsidRPr="00894CF8">
        <w:rPr>
          <w:color w:val="000000" w:themeColor="text1"/>
        </w:rPr>
        <w:fldChar w:fldCharType="end"/>
      </w:r>
      <w:r w:rsidRPr="00894CF8">
        <w:rPr>
          <w:color w:val="000000" w:themeColor="text1"/>
        </w:rPr>
        <w:t xml:space="preserve"> Because of the catalytic cycle of Wilkinson’s catalyst the intermolecular hydroacylation is competing with the decarbonylation reaction (</w:t>
      </w:r>
      <w:r w:rsidR="00EB4E40">
        <w:rPr>
          <w:color w:val="000000" w:themeColor="text1"/>
        </w:rPr>
        <w:fldChar w:fldCharType="begin"/>
      </w:r>
      <w:r w:rsidR="00EB4E40">
        <w:rPr>
          <w:color w:val="000000" w:themeColor="text1"/>
        </w:rPr>
        <w:instrText xml:space="preserve"> REF _Ref454963205 \h </w:instrText>
      </w:r>
      <w:r w:rsidR="00EB4E40">
        <w:rPr>
          <w:color w:val="000000" w:themeColor="text1"/>
        </w:rPr>
      </w:r>
      <w:r w:rsidR="00EB4E40">
        <w:rPr>
          <w:color w:val="000000" w:themeColor="text1"/>
        </w:rPr>
        <w:fldChar w:fldCharType="separate"/>
      </w:r>
      <w:r w:rsidR="000A0E3D" w:rsidRPr="00A40A97">
        <w:t xml:space="preserve">Figure III. </w:t>
      </w:r>
      <w:r w:rsidR="000A0E3D">
        <w:rPr>
          <w:noProof/>
        </w:rPr>
        <w:t>6</w:t>
      </w:r>
      <w:r w:rsidR="000A0E3D">
        <w:t>.</w:t>
      </w:r>
      <w:r w:rsidR="000A0E3D">
        <w:rPr>
          <w:noProof/>
        </w:rPr>
        <w:t>2</w:t>
      </w:r>
      <w:r w:rsidR="00EB4E40">
        <w:rPr>
          <w:color w:val="000000" w:themeColor="text1"/>
        </w:rPr>
        <w:fldChar w:fldCharType="end"/>
      </w:r>
      <w:r w:rsidRPr="00894CF8">
        <w:rPr>
          <w:color w:val="000000" w:themeColor="text1"/>
        </w:rPr>
        <w:t xml:space="preserve">). It </w:t>
      </w:r>
      <w:r w:rsidR="0033265F">
        <w:rPr>
          <w:color w:val="000000" w:themeColor="text1"/>
        </w:rPr>
        <w:t>was</w:t>
      </w:r>
      <w:r w:rsidRPr="00894CF8">
        <w:rPr>
          <w:color w:val="000000" w:themeColor="text1"/>
        </w:rPr>
        <w:t xml:space="preserve"> Suggs in 1978 who first described the suppression of the decarbonylation by employing β-chelating aldehyde.</w:t>
      </w:r>
      <w:r w:rsidRPr="00894CF8">
        <w:rPr>
          <w:color w:val="000000" w:themeColor="text1"/>
        </w:rPr>
        <w:fldChar w:fldCharType="begin"/>
      </w:r>
      <w:r w:rsidR="00E028D6">
        <w:rPr>
          <w:color w:val="000000" w:themeColor="text1"/>
        </w:rPr>
        <w:instrText xml:space="preserve"> ADDIN ZOTERO_ITEM CSL_CITATION {"citationID":"5vu1b0h8c","properties":{"formattedCitation":"{\\rtf \\super 153\\nosupersub{}}","plainCitation":"153"},"citationItems":[{"id":1727,"uris":["http://zotero.org/users/1624234/items/G3ZCFSMC"],"uri":["http://zotero.org/users/1624234/items/G3ZCFSMC"],"itemData":{"id":1727,"type":"article-journal","title":"Isolation of a stable acylrhodium(III) hydride intermediate formed during aldehyde decarbonylation. Hydroacylation","container-title":"Journal of the American Chemical Society","page":"640-641","volume":"100","issue":"2","source":"ACS Publications","DOI":"10.1021/ja00470a054","ISSN":"0002-7863","journalAbbreviation":"J. Am. Chem. Soc.","author":[{"family":"Suggs","given":"J. William"}],"issued":{"date-parts":[["1978",1,1]]}}}],"schema":"https://github.com/citation-style-language/schema/raw/master/csl-citation.json"} </w:instrText>
      </w:r>
      <w:r w:rsidRPr="00894CF8">
        <w:rPr>
          <w:color w:val="000000" w:themeColor="text1"/>
        </w:rPr>
        <w:fldChar w:fldCharType="separate"/>
      </w:r>
      <w:r w:rsidR="00E028D6" w:rsidRPr="00E028D6">
        <w:rPr>
          <w:rFonts w:ascii="Times New Roman" w:hAnsi="Times New Roman"/>
          <w:vertAlign w:val="superscript"/>
        </w:rPr>
        <w:t>153</w:t>
      </w:r>
      <w:r w:rsidRPr="00894CF8">
        <w:rPr>
          <w:color w:val="000000" w:themeColor="text1"/>
        </w:rPr>
        <w:fldChar w:fldCharType="end"/>
      </w:r>
      <w:r w:rsidRPr="00894CF8">
        <w:rPr>
          <w:color w:val="000000" w:themeColor="text1"/>
        </w:rPr>
        <w:t xml:space="preserve"> This discovery allowed the development of the intramolecular hydroacylation reaction. </w:t>
      </w:r>
    </w:p>
    <w:p w14:paraId="70E5FAFE" w14:textId="77777777" w:rsidR="00894CF8" w:rsidRPr="00894CF8" w:rsidRDefault="00894CF8" w:rsidP="00894CF8">
      <w:pPr>
        <w:jc w:val="both"/>
        <w:rPr>
          <w:color w:val="000000" w:themeColor="text1"/>
        </w:rPr>
      </w:pPr>
    </w:p>
    <w:p w14:paraId="41DADEA8" w14:textId="77777777" w:rsidR="002B11DB" w:rsidRDefault="00894CF8" w:rsidP="002B11DB">
      <w:pPr>
        <w:keepNext/>
        <w:jc w:val="center"/>
      </w:pPr>
      <w:r w:rsidRPr="00894CF8">
        <w:rPr>
          <w:color w:val="000000" w:themeColor="text1"/>
        </w:rPr>
        <w:object w:dxaOrig="5510" w:dyaOrig="674" w14:anchorId="7566C65C">
          <v:shape id="_x0000_i1145" type="#_x0000_t75" style="width:272.2pt;height:35.6pt" o:ole="">
            <v:imagedata r:id="rId329" o:title=""/>
          </v:shape>
          <o:OLEObject Type="Embed" ProgID="ChemDraw.Document.6.0" ShapeID="_x0000_i1145" DrawAspect="Content" ObjectID="_1532784985" r:id="rId330"/>
        </w:object>
      </w:r>
    </w:p>
    <w:p w14:paraId="049C9A97" w14:textId="77777777" w:rsidR="00894CF8" w:rsidRPr="00A40A97" w:rsidRDefault="002B11DB" w:rsidP="00A40A97">
      <w:pPr>
        <w:pStyle w:val="Caption"/>
      </w:pPr>
      <w:bookmarkStart w:id="332" w:name="_Ref454963193"/>
      <w:bookmarkStart w:id="333" w:name="_Toc457670757"/>
      <w:r w:rsidRPr="00A40A97">
        <w:t xml:space="preserve">Figure III. </w:t>
      </w:r>
      <w:r w:rsidR="00443010">
        <w:fldChar w:fldCharType="begin"/>
      </w:r>
      <w:r w:rsidR="00443010">
        <w:instrText xml:space="preserve"> STYLEREF 2 \s </w:instrText>
      </w:r>
      <w:r w:rsidR="00443010">
        <w:fldChar w:fldCharType="separate"/>
      </w:r>
      <w:r w:rsidR="000A0E3D">
        <w:rPr>
          <w:noProof/>
        </w:rPr>
        <w:t>6</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1</w:t>
      </w:r>
      <w:r w:rsidR="00443010">
        <w:rPr>
          <w:noProof/>
        </w:rPr>
        <w:fldChar w:fldCharType="end"/>
      </w:r>
      <w:bookmarkEnd w:id="332"/>
      <w:r w:rsidRPr="00A40A97">
        <w:t xml:space="preserve"> </w:t>
      </w:r>
      <w:r w:rsidR="00894CF8" w:rsidRPr="00A40A97">
        <w:t xml:space="preserve">General Hydroacylation </w:t>
      </w:r>
      <w:r w:rsidR="00317102">
        <w:t>e</w:t>
      </w:r>
      <w:r w:rsidR="00894CF8" w:rsidRPr="00A40A97">
        <w:t>quation</w:t>
      </w:r>
      <w:bookmarkEnd w:id="333"/>
    </w:p>
    <w:p w14:paraId="06E3583E" w14:textId="77777777" w:rsidR="00894CF8" w:rsidRPr="00894CF8" w:rsidRDefault="00894CF8" w:rsidP="00894CF8">
      <w:pPr>
        <w:jc w:val="both"/>
        <w:rPr>
          <w:b/>
          <w:color w:val="000000" w:themeColor="text1"/>
        </w:rPr>
      </w:pPr>
    </w:p>
    <w:p w14:paraId="5ABCFDA4" w14:textId="77777777" w:rsidR="002B11DB" w:rsidRDefault="00894CF8" w:rsidP="002B11DB">
      <w:pPr>
        <w:keepNext/>
        <w:jc w:val="center"/>
      </w:pPr>
      <w:r w:rsidRPr="00894CF8">
        <w:rPr>
          <w:color w:val="000000" w:themeColor="text1"/>
        </w:rPr>
        <w:object w:dxaOrig="11090" w:dyaOrig="4197" w14:anchorId="02D4B30F">
          <v:shape id="_x0000_i1146" type="#_x0000_t75" style="width:339.45pt;height:128.95pt" o:ole="">
            <v:imagedata r:id="rId331" o:title=""/>
          </v:shape>
          <o:OLEObject Type="Embed" ProgID="ChemDraw.Document.6.0" ShapeID="_x0000_i1146" DrawAspect="Content" ObjectID="_1532784986" r:id="rId332"/>
        </w:object>
      </w:r>
    </w:p>
    <w:p w14:paraId="1F5B627C" w14:textId="77777777" w:rsidR="00894CF8" w:rsidRPr="00A40A97" w:rsidRDefault="002B11DB" w:rsidP="00A40A97">
      <w:pPr>
        <w:pStyle w:val="Caption"/>
      </w:pPr>
      <w:bookmarkStart w:id="334" w:name="_Ref454963205"/>
      <w:bookmarkStart w:id="335" w:name="_Toc457670758"/>
      <w:r w:rsidRPr="00A40A97">
        <w:t xml:space="preserve">Figure III. </w:t>
      </w:r>
      <w:r w:rsidR="00443010">
        <w:fldChar w:fldCharType="begin"/>
      </w:r>
      <w:r w:rsidR="00443010">
        <w:instrText xml:space="preserve"> STYLEREF 2 \s </w:instrText>
      </w:r>
      <w:r w:rsidR="00443010">
        <w:fldChar w:fldCharType="separate"/>
      </w:r>
      <w:r w:rsidR="000A0E3D">
        <w:rPr>
          <w:noProof/>
        </w:rPr>
        <w:t>6</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2</w:t>
      </w:r>
      <w:r w:rsidR="00443010">
        <w:rPr>
          <w:noProof/>
        </w:rPr>
        <w:fldChar w:fldCharType="end"/>
      </w:r>
      <w:bookmarkEnd w:id="334"/>
      <w:r w:rsidRPr="00A40A97">
        <w:t xml:space="preserve"> </w:t>
      </w:r>
      <w:r w:rsidR="00894CF8" w:rsidRPr="00A40A97">
        <w:t xml:space="preserve">Rhodium </w:t>
      </w:r>
      <w:r w:rsidR="00317102">
        <w:t>c</w:t>
      </w:r>
      <w:r w:rsidR="00894CF8" w:rsidRPr="00A40A97">
        <w:t xml:space="preserve">atalyst </w:t>
      </w:r>
      <w:r w:rsidR="00317102">
        <w:t>m</w:t>
      </w:r>
      <w:r w:rsidR="00894CF8" w:rsidRPr="00A40A97">
        <w:t xml:space="preserve">echanism; Hydroacylcation </w:t>
      </w:r>
      <w:r w:rsidR="0033265F">
        <w:t>and</w:t>
      </w:r>
      <w:r w:rsidR="00894CF8" w:rsidRPr="00A40A97">
        <w:t xml:space="preserve"> Decarbonylation</w:t>
      </w:r>
      <w:bookmarkEnd w:id="335"/>
    </w:p>
    <w:p w14:paraId="0FDDE3BA" w14:textId="77777777" w:rsidR="00894CF8" w:rsidRPr="00894CF8" w:rsidRDefault="00894CF8" w:rsidP="00894CF8">
      <w:pPr>
        <w:jc w:val="both"/>
        <w:rPr>
          <w:b/>
          <w:color w:val="000000" w:themeColor="text1"/>
        </w:rPr>
      </w:pPr>
    </w:p>
    <w:p w14:paraId="4E75FE48" w14:textId="77777777" w:rsidR="00894CF8" w:rsidRPr="00894CF8" w:rsidRDefault="00894CF8" w:rsidP="00894CF8">
      <w:pPr>
        <w:ind w:firstLine="360"/>
        <w:jc w:val="both"/>
        <w:rPr>
          <w:color w:val="000000" w:themeColor="text1"/>
        </w:rPr>
      </w:pPr>
      <w:r w:rsidRPr="00894CF8">
        <w:rPr>
          <w:color w:val="000000" w:themeColor="text1"/>
        </w:rPr>
        <w:t>Other catalysts such as ruthenium or iridium complexes can facilitate selective intermolecular hydroacylation on non-chelating aldehydes. This is possible because a C-H oxidative addition step is involved in the mechanism with these metal complexes.</w:t>
      </w:r>
    </w:p>
    <w:p w14:paraId="1FA8F456" w14:textId="77777777" w:rsidR="00894CF8" w:rsidRPr="00894CF8" w:rsidRDefault="00894CF8" w:rsidP="00894CF8">
      <w:pPr>
        <w:jc w:val="both"/>
        <w:rPr>
          <w:color w:val="000000" w:themeColor="text1"/>
        </w:rPr>
      </w:pPr>
    </w:p>
    <w:p w14:paraId="2FB25B77" w14:textId="77777777" w:rsidR="00894CF8" w:rsidRPr="00894CF8" w:rsidRDefault="00894CF8" w:rsidP="002B11DB">
      <w:pPr>
        <w:pStyle w:val="Heading41"/>
      </w:pPr>
      <w:r w:rsidRPr="00894CF8">
        <w:t>Tandem DODH/Hydroacylation Concept</w:t>
      </w:r>
    </w:p>
    <w:p w14:paraId="686B9DFF" w14:textId="77777777" w:rsidR="00894CF8" w:rsidRPr="00894CF8" w:rsidRDefault="00894CF8" w:rsidP="00894CF8">
      <w:pPr>
        <w:ind w:firstLine="360"/>
        <w:jc w:val="both"/>
        <w:rPr>
          <w:color w:val="000000" w:themeColor="text1"/>
        </w:rPr>
      </w:pPr>
      <w:r w:rsidRPr="00894CF8">
        <w:rPr>
          <w:color w:val="000000" w:themeColor="text1"/>
        </w:rPr>
        <w:t>The general idea of the DODH/Hydroacylation tandem reaction is to form both of the hydroacylation reactants, alkene and aldehyde, in the DODH reaction to make the tandem reaction completely atom efficient</w:t>
      </w:r>
      <w:r w:rsidR="00EB4E40">
        <w:rPr>
          <w:color w:val="000000" w:themeColor="text1"/>
        </w:rPr>
        <w:t xml:space="preserve"> (</w:t>
      </w:r>
      <w:r w:rsidR="00EB4E40">
        <w:rPr>
          <w:color w:val="000000" w:themeColor="text1"/>
        </w:rPr>
        <w:fldChar w:fldCharType="begin"/>
      </w:r>
      <w:r w:rsidR="00EB4E40">
        <w:rPr>
          <w:color w:val="000000" w:themeColor="text1"/>
        </w:rPr>
        <w:instrText xml:space="preserve"> REF _Ref454963254 \h </w:instrText>
      </w:r>
      <w:r w:rsidR="00EB4E40">
        <w:rPr>
          <w:color w:val="000000" w:themeColor="text1"/>
        </w:rPr>
      </w:r>
      <w:r w:rsidR="00EB4E40">
        <w:rPr>
          <w:color w:val="000000" w:themeColor="text1"/>
        </w:rPr>
        <w:fldChar w:fldCharType="separate"/>
      </w:r>
      <w:r w:rsidR="000A0E3D" w:rsidRPr="00A40A97">
        <w:t xml:space="preserve">Figure III. </w:t>
      </w:r>
      <w:r w:rsidR="000A0E3D">
        <w:rPr>
          <w:noProof/>
        </w:rPr>
        <w:t>6</w:t>
      </w:r>
      <w:r w:rsidR="000A0E3D">
        <w:t>.</w:t>
      </w:r>
      <w:r w:rsidR="000A0E3D">
        <w:rPr>
          <w:noProof/>
        </w:rPr>
        <w:t>3</w:t>
      </w:r>
      <w:r w:rsidR="00EB4E40">
        <w:rPr>
          <w:color w:val="000000" w:themeColor="text1"/>
        </w:rPr>
        <w:fldChar w:fldCharType="end"/>
      </w:r>
      <w:r w:rsidR="00EB4E40">
        <w:rPr>
          <w:color w:val="000000" w:themeColor="text1"/>
        </w:rPr>
        <w:t>)</w:t>
      </w:r>
      <w:r w:rsidRPr="00894CF8">
        <w:rPr>
          <w:color w:val="000000" w:themeColor="text1"/>
        </w:rPr>
        <w:t>. We already had established the reaction conditions for the DODH reaction using benzyl alcohol as reducing agent.</w:t>
      </w:r>
      <w:r w:rsidRPr="00894CF8">
        <w:rPr>
          <w:color w:val="000000" w:themeColor="text1"/>
        </w:rPr>
        <w:fldChar w:fldCharType="begin"/>
      </w:r>
      <w:r>
        <w:rPr>
          <w:color w:val="000000" w:themeColor="text1"/>
        </w:rPr>
        <w:instrText xml:space="preserve"> ADDIN ZOTERO_ITEM CSL_CITATION {"citationID":"23pm4cpdbn","properties":{"formattedCitation":"{\\rtf \\super 46\\nosupersub{}}","plainCitation":"46"},"citationItems":[{"id":435,"uris":["http://zotero.org/users/1624234/items/VS4SE8DS"],"uri":["http://zotero.org/users/1624234/items/VS4SE8DS"],"itemData":{"id":435,"type":"article-journal","title":"Catalytic Deoxydehydration of Glycols with Alcohol Reductants","container-title":"ChemSusChem","page":"597-599","volume":"6","issue":"4","source":"CrossRef","DOI":"10.1002/cssc.201200781","ISSN":"18645631","author":[{"family":"Boucher-Jacobs","given":"Camille"},{"family":"Nicholas","given":"Kenneth M."}],"issued":{"date-parts":[["2013",4]]}}}],"schema":"https://github.com/citation-style-language/schema/raw/master/csl-citation.json"} </w:instrText>
      </w:r>
      <w:r w:rsidRPr="00894CF8">
        <w:rPr>
          <w:color w:val="000000" w:themeColor="text1"/>
        </w:rPr>
        <w:fldChar w:fldCharType="separate"/>
      </w:r>
      <w:r w:rsidRPr="00894CF8">
        <w:rPr>
          <w:rFonts w:ascii="Times New Roman" w:hAnsi="Times New Roman"/>
          <w:vertAlign w:val="superscript"/>
        </w:rPr>
        <w:t>46</w:t>
      </w:r>
      <w:r w:rsidRPr="00894CF8">
        <w:rPr>
          <w:color w:val="000000" w:themeColor="text1"/>
        </w:rPr>
        <w:fldChar w:fldCharType="end"/>
      </w:r>
      <w:r w:rsidRPr="00894CF8">
        <w:rPr>
          <w:color w:val="000000" w:themeColor="text1"/>
        </w:rPr>
        <w:t xml:space="preserve"> Subsequently we started our investigation on tandem DODH-hydroacylation by looking at the literature to find compatible reactions conditions for the hydroacylation on simple alkenes with aryl aldehydes. Watanabe and co-workers reported hydroacylations using ruthenium dodecacarbonyl as catalyst.</w:t>
      </w:r>
      <w:r w:rsidRPr="00894CF8">
        <w:rPr>
          <w:color w:val="000000" w:themeColor="text1"/>
        </w:rPr>
        <w:fldChar w:fldCharType="begin"/>
      </w:r>
      <w:r w:rsidR="00E028D6">
        <w:rPr>
          <w:color w:val="000000" w:themeColor="text1"/>
        </w:rPr>
        <w:instrText xml:space="preserve"> ADDIN ZOTERO_ITEM CSL_CITATION {"citationID":"70b4mugij","properties":{"formattedCitation":"{\\rtf \\super 154,155\\nosupersub{}}","plainCitation":"154,155"},"citationItems":[{"id":1730,"uris":["http://zotero.org/users/1624234/items/GH6DESRW"],"uri":["http://zotero.org/users/1624234/items/GH6DESRW"],"itemData":{"id":1730,"type":"article-journal","title":"Ruthenium complex catalyzed intermolecular hydroacylation and transhydroformylation of olefins with aldehydes","container-title":"The Journal of Organic Chemistry","page":"1286-1291","volume":"55","issue":"4","source":"ACS Publications","DOI":"10.1021/jo00291a035","ISSN":"0022-3263","journalAbbreviation":"J. Org. Chem.","author":[{"family":"Kondo","given":"Teruyuki"},{"family":"Akazome","given":"Motohiro"},{"family":"Tsuji","given":"Yasushi"},{"family":"Watanabe","given":"Yoshihisa"}],"issued":{"date-parts":[["1990",2,1]]}}},{"id":132,"uris":["http://zotero.org/users/1624234/items/8JBZSIF2"],"uri":["http://zotero.org/users/1624234/items/8JBZSIF2"],"itemData":{"id":132,"type":"article-journal","title":"Ruthenium complex catalyzed intermolecular hydroacylation of olefins","container-title":"Tetrahedron Letters","page":"6229-6230","volume":"28","issue":"49","source":"ScienceDirect","abstract":"Dodecacarbonyltriruthenium (RU3(CO)12) and (η4-1,5-cyclooctadiene)(η6-1,3,5cyclooctatriene) ruthenium (Ru(COD)(COT)) catalyzed the hydroacylation of olefins with aldehydes at 180–200 °C for 48 h under 20 kgcm−2 of carbon monoxide to give unsymmetric ketones in good yields.","DOI":"10.1016/S0040-4039(00)61854-3","ISSN":"0040-4039","journalAbbreviation":"Tetrahedron Letters","author":[{"family":"Kondo","given":"Teruyuki"},{"family":"Tsuji","given":"Yasushi"},{"family":"Watanabe","given":"Yoshishisa"}],"issued":{"date-parts":[["1987"]]}}}],"schema":"https://github.com/citation-style-language/schema/raw/master/csl-citation.json"} </w:instrText>
      </w:r>
      <w:r w:rsidRPr="00894CF8">
        <w:rPr>
          <w:color w:val="000000" w:themeColor="text1"/>
        </w:rPr>
        <w:fldChar w:fldCharType="separate"/>
      </w:r>
      <w:r w:rsidR="00E028D6" w:rsidRPr="00E028D6">
        <w:rPr>
          <w:rFonts w:ascii="Times New Roman" w:hAnsi="Times New Roman"/>
          <w:vertAlign w:val="superscript"/>
        </w:rPr>
        <w:t>154,155</w:t>
      </w:r>
      <w:r w:rsidRPr="00894CF8">
        <w:rPr>
          <w:color w:val="000000" w:themeColor="text1"/>
        </w:rPr>
        <w:fldChar w:fldCharType="end"/>
      </w:r>
      <w:r w:rsidRPr="00894CF8">
        <w:rPr>
          <w:color w:val="000000" w:themeColor="text1"/>
        </w:rPr>
        <w:t xml:space="preserve"> They studied the reaction conditions for cyclic and terminal linear alkenes with benzaldehyde. Their system will present multiple challenges; 1) the yields are generally low (50% maximum); and 2) the ratio of alkene to aldehyde is 8 to 1. In this system they also used carbon monoxide as ligand for the catalyst which made us hopeful </w:t>
      </w:r>
      <w:r w:rsidR="00B22281">
        <w:rPr>
          <w:color w:val="000000" w:themeColor="text1"/>
        </w:rPr>
        <w:t xml:space="preserve">that </w:t>
      </w:r>
      <w:r w:rsidRPr="00894CF8">
        <w:rPr>
          <w:color w:val="000000" w:themeColor="text1"/>
        </w:rPr>
        <w:t>this gas could function as the reducing agent for the DODH reaction, more equivalents of alkene would form than of aldehyde. In addition the side product in the DODH reaction would be CO</w:t>
      </w:r>
      <w:r w:rsidRPr="00894CF8">
        <w:rPr>
          <w:color w:val="000000" w:themeColor="text1"/>
          <w:vertAlign w:val="subscript"/>
        </w:rPr>
        <w:t>2</w:t>
      </w:r>
      <w:r w:rsidRPr="00894CF8">
        <w:rPr>
          <w:color w:val="000000" w:themeColor="text1"/>
        </w:rPr>
        <w:t xml:space="preserve">, the only atoms lost in the tandem reaction. The use of carbon monoxide as a reducing agent was studied in the presence of hydrogen in the DODH/hydroformylation tandem </w:t>
      </w:r>
      <w:r w:rsidRPr="00A40A97">
        <w:rPr>
          <w:color w:val="000000" w:themeColor="text1"/>
        </w:rPr>
        <w:t xml:space="preserve">study section </w:t>
      </w:r>
      <w:r w:rsidR="00A40A97" w:rsidRPr="00A40A97">
        <w:rPr>
          <w:color w:val="000000" w:themeColor="text1"/>
        </w:rPr>
        <w:fldChar w:fldCharType="begin"/>
      </w:r>
      <w:r w:rsidR="00A40A97" w:rsidRPr="00A40A97">
        <w:rPr>
          <w:color w:val="000000" w:themeColor="text1"/>
        </w:rPr>
        <w:instrText xml:space="preserve"> REF _Ref455939843 \r \h </w:instrText>
      </w:r>
      <w:r w:rsidR="00A40A97">
        <w:rPr>
          <w:color w:val="000000" w:themeColor="text1"/>
        </w:rPr>
        <w:instrText xml:space="preserve"> \* MERGEFORMAT </w:instrText>
      </w:r>
      <w:r w:rsidR="00A40A97" w:rsidRPr="00A40A97">
        <w:rPr>
          <w:color w:val="000000" w:themeColor="text1"/>
        </w:rPr>
      </w:r>
      <w:r w:rsidR="00A40A97" w:rsidRPr="00A40A97">
        <w:rPr>
          <w:color w:val="000000" w:themeColor="text1"/>
        </w:rPr>
        <w:fldChar w:fldCharType="separate"/>
      </w:r>
      <w:r w:rsidR="000A0E3D">
        <w:rPr>
          <w:color w:val="000000" w:themeColor="text1"/>
        </w:rPr>
        <w:t>7</w:t>
      </w:r>
      <w:r w:rsidR="00A40A97" w:rsidRPr="00A40A97">
        <w:rPr>
          <w:color w:val="000000" w:themeColor="text1"/>
        </w:rPr>
        <w:fldChar w:fldCharType="end"/>
      </w:r>
      <w:r w:rsidR="00A40A97" w:rsidRPr="00A40A97">
        <w:rPr>
          <w:color w:val="000000" w:themeColor="text1"/>
        </w:rPr>
        <w:t xml:space="preserve"> </w:t>
      </w:r>
      <w:r w:rsidR="00A40A97" w:rsidRPr="00A40A97">
        <w:rPr>
          <w:color w:val="000000" w:themeColor="text1"/>
        </w:rPr>
        <w:fldChar w:fldCharType="begin"/>
      </w:r>
      <w:r w:rsidR="00A40A97" w:rsidRPr="00A40A97">
        <w:rPr>
          <w:color w:val="000000" w:themeColor="text1"/>
        </w:rPr>
        <w:instrText xml:space="preserve"> REF _Ref455843257 \r \h </w:instrText>
      </w:r>
      <w:r w:rsidR="00A40A97">
        <w:rPr>
          <w:color w:val="000000" w:themeColor="text1"/>
        </w:rPr>
        <w:instrText xml:space="preserve"> \* MERGEFORMAT </w:instrText>
      </w:r>
      <w:r w:rsidR="00A40A97" w:rsidRPr="00A40A97">
        <w:rPr>
          <w:color w:val="000000" w:themeColor="text1"/>
        </w:rPr>
      </w:r>
      <w:r w:rsidR="00A40A97" w:rsidRPr="00A40A97">
        <w:rPr>
          <w:color w:val="000000" w:themeColor="text1"/>
        </w:rPr>
        <w:fldChar w:fldCharType="separate"/>
      </w:r>
      <w:r w:rsidR="000A0E3D">
        <w:rPr>
          <w:color w:val="000000" w:themeColor="text1"/>
        </w:rPr>
        <w:t>Chapter III</w:t>
      </w:r>
      <w:r w:rsidR="00A40A97" w:rsidRPr="00A40A97">
        <w:rPr>
          <w:color w:val="000000" w:themeColor="text1"/>
        </w:rPr>
        <w:fldChar w:fldCharType="end"/>
      </w:r>
      <w:r w:rsidRPr="00A40A97">
        <w:rPr>
          <w:color w:val="000000" w:themeColor="text1"/>
        </w:rPr>
        <w:t>. Also</w:t>
      </w:r>
      <w:r w:rsidRPr="00894CF8">
        <w:rPr>
          <w:color w:val="000000" w:themeColor="text1"/>
        </w:rPr>
        <w:t xml:space="preserve"> to date there is only one report of carbon monoxide as a DODH reducing agent from Gopaladasu and Nicholas and this system uses a vanadium catalyst.</w:t>
      </w:r>
      <w:r w:rsidRPr="00894CF8">
        <w:rPr>
          <w:color w:val="000000" w:themeColor="text1"/>
        </w:rPr>
        <w:fldChar w:fldCharType="begin"/>
      </w:r>
      <w:r>
        <w:rPr>
          <w:color w:val="000000" w:themeColor="text1"/>
        </w:rPr>
        <w:instrText xml:space="preserve"> ADDIN ZOTERO_ITEM CSL_CITATION {"citationID":"2e2daf3iig","properties":{"formattedCitation":"{\\rtf \\super 66\\nosupersub{}}","plainCitation":"66"},"citationItems":[{"id":1514,"uris":["http://zotero.org/users/1624234/items/VH5HCU5E"],"uri":["http://zotero.org/users/1624234/items/VH5HCU5E"],"itemData":{"id":1514,"type":"article-journal","title":"Carbon Monoxide (CO)- and Hydrogen-Driven, Vanadium-Catalyzed Deoxydehydration of Glycols","container-title":"ACS Catalysis","page":"1901-1904","volume":"6","issue":"3","source":"ACS Publications","abstract":"Four oxo-vanadium complexes of the type Z+LVO2? (1?4) have been evaluated for activity as catalysts for the deoxydehydration (DODH) of glycols to olefins with various reductants. Among these, a new complex, [Bu4N](Salhyd)VO2 (4), is found to be uniquely effective for the DODH reaction using the practical reductants: hydrogen and carbon monoxide (CO).","DOI":"10.1021/acscatal.5b02667","journalAbbreviation":"ACS Catal.","author":[{"family":"Gopaladasu","given":"Tirupathi V."},{"family":"Nicholas","given":"Kenneth M."}],"issued":{"date-parts":[["2016",3,4]]}}}],"schema":"https://github.com/citation-style-language/schema/raw/master/csl-citation.json"} </w:instrText>
      </w:r>
      <w:r w:rsidRPr="00894CF8">
        <w:rPr>
          <w:color w:val="000000" w:themeColor="text1"/>
        </w:rPr>
        <w:fldChar w:fldCharType="separate"/>
      </w:r>
      <w:r w:rsidRPr="00894CF8">
        <w:rPr>
          <w:rFonts w:ascii="Times New Roman" w:hAnsi="Times New Roman"/>
          <w:vertAlign w:val="superscript"/>
        </w:rPr>
        <w:t>66</w:t>
      </w:r>
      <w:r w:rsidRPr="00894CF8">
        <w:rPr>
          <w:color w:val="000000" w:themeColor="text1"/>
        </w:rPr>
        <w:fldChar w:fldCharType="end"/>
      </w:r>
      <w:r w:rsidRPr="00894CF8">
        <w:rPr>
          <w:color w:val="000000" w:themeColor="text1"/>
        </w:rPr>
        <w:t xml:space="preserve"> </w:t>
      </w:r>
    </w:p>
    <w:p w14:paraId="03994191" w14:textId="77777777" w:rsidR="00894CF8" w:rsidRPr="00894CF8" w:rsidRDefault="00894CF8" w:rsidP="00894CF8">
      <w:pPr>
        <w:jc w:val="both"/>
        <w:rPr>
          <w:color w:val="000000" w:themeColor="text1"/>
        </w:rPr>
      </w:pPr>
    </w:p>
    <w:p w14:paraId="297509CE" w14:textId="77777777" w:rsidR="002B11DB" w:rsidRDefault="00810326" w:rsidP="002B11DB">
      <w:pPr>
        <w:keepNext/>
        <w:jc w:val="center"/>
      </w:pPr>
      <w:r w:rsidRPr="00894CF8">
        <w:rPr>
          <w:b/>
          <w:color w:val="000000" w:themeColor="text1"/>
        </w:rPr>
        <w:object w:dxaOrig="6335" w:dyaOrig="2303" w14:anchorId="34E5EED6">
          <v:shape id="_x0000_i1147" type="#_x0000_t75" style="width:298.3pt;height:113.15pt" o:ole="">
            <v:imagedata r:id="rId333" o:title=""/>
          </v:shape>
          <o:OLEObject Type="Embed" ProgID="ChemDraw.Document.6.0" ShapeID="_x0000_i1147" DrawAspect="Content" ObjectID="_1532784987" r:id="rId334"/>
        </w:object>
      </w:r>
    </w:p>
    <w:p w14:paraId="0A05EB2C" w14:textId="77777777" w:rsidR="00894CF8" w:rsidRPr="00A40A97" w:rsidRDefault="002B11DB" w:rsidP="00A40A97">
      <w:pPr>
        <w:pStyle w:val="Caption"/>
      </w:pPr>
      <w:bookmarkStart w:id="336" w:name="_Ref454963254"/>
      <w:bookmarkStart w:id="337" w:name="_Toc457670759"/>
      <w:r w:rsidRPr="00A40A97">
        <w:t xml:space="preserve">Figure III. </w:t>
      </w:r>
      <w:r w:rsidR="00443010">
        <w:fldChar w:fldCharType="begin"/>
      </w:r>
      <w:r w:rsidR="00443010">
        <w:instrText xml:space="preserve"> STYLEREF 2 \s </w:instrText>
      </w:r>
      <w:r w:rsidR="00443010">
        <w:fldChar w:fldCharType="separate"/>
      </w:r>
      <w:r w:rsidR="000A0E3D">
        <w:rPr>
          <w:noProof/>
        </w:rPr>
        <w:t>6</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3</w:t>
      </w:r>
      <w:r w:rsidR="00443010">
        <w:rPr>
          <w:noProof/>
        </w:rPr>
        <w:fldChar w:fldCharType="end"/>
      </w:r>
      <w:bookmarkEnd w:id="336"/>
      <w:r w:rsidRPr="00A40A97">
        <w:t xml:space="preserve"> </w:t>
      </w:r>
      <w:r w:rsidR="00894CF8" w:rsidRPr="00A40A97">
        <w:t xml:space="preserve">DODH/Hydroacylation </w:t>
      </w:r>
      <w:r w:rsidR="00317102">
        <w:t>t</w:t>
      </w:r>
      <w:r w:rsidR="00894CF8" w:rsidRPr="00A40A97">
        <w:t xml:space="preserve">andem </w:t>
      </w:r>
      <w:r w:rsidR="00317102">
        <w:t>c</w:t>
      </w:r>
      <w:r w:rsidR="00894CF8" w:rsidRPr="00A40A97">
        <w:t>oncept</w:t>
      </w:r>
      <w:bookmarkEnd w:id="337"/>
    </w:p>
    <w:p w14:paraId="201BA777" w14:textId="77777777" w:rsidR="00894CF8" w:rsidRPr="00894CF8" w:rsidRDefault="00894CF8" w:rsidP="00894CF8">
      <w:pPr>
        <w:jc w:val="both"/>
        <w:rPr>
          <w:b/>
          <w:color w:val="000000" w:themeColor="text1"/>
        </w:rPr>
      </w:pPr>
    </w:p>
    <w:p w14:paraId="5FF447B6" w14:textId="77777777" w:rsidR="00894CF8" w:rsidRPr="00894CF8" w:rsidRDefault="00894CF8" w:rsidP="00894CF8">
      <w:pPr>
        <w:ind w:firstLine="360"/>
        <w:jc w:val="both"/>
        <w:rPr>
          <w:color w:val="000000" w:themeColor="text1"/>
        </w:rPr>
      </w:pPr>
      <w:r w:rsidRPr="00894CF8">
        <w:rPr>
          <w:color w:val="000000" w:themeColor="text1"/>
        </w:rPr>
        <w:t>With all of the uncertainty of a potential intermolecular tandem DODH/hydroacylation reaction we also imagined an intramolecular version. For this intramolecular system we thought about making a glycerol ether derivative of ortho-hydroxyl benzyl alcohol (</w:t>
      </w:r>
      <w:r w:rsidR="00EB4E40">
        <w:rPr>
          <w:color w:val="000000" w:themeColor="text1"/>
        </w:rPr>
        <w:fldChar w:fldCharType="begin"/>
      </w:r>
      <w:r w:rsidR="00EB4E40">
        <w:rPr>
          <w:color w:val="000000" w:themeColor="text1"/>
        </w:rPr>
        <w:instrText xml:space="preserve"> REF _Ref454963269 \h </w:instrText>
      </w:r>
      <w:r w:rsidR="00EB4E40">
        <w:rPr>
          <w:color w:val="000000" w:themeColor="text1"/>
        </w:rPr>
      </w:r>
      <w:r w:rsidR="00EB4E40">
        <w:rPr>
          <w:color w:val="000000" w:themeColor="text1"/>
        </w:rPr>
        <w:fldChar w:fldCharType="separate"/>
      </w:r>
      <w:r w:rsidR="000A0E3D" w:rsidRPr="00A40A97">
        <w:t xml:space="preserve">Figure III. </w:t>
      </w:r>
      <w:r w:rsidR="000A0E3D">
        <w:rPr>
          <w:noProof/>
        </w:rPr>
        <w:t>6</w:t>
      </w:r>
      <w:r w:rsidR="000A0E3D">
        <w:t>.</w:t>
      </w:r>
      <w:r w:rsidR="000A0E3D">
        <w:rPr>
          <w:noProof/>
        </w:rPr>
        <w:t>4</w:t>
      </w:r>
      <w:r w:rsidR="00EB4E40">
        <w:rPr>
          <w:color w:val="000000" w:themeColor="text1"/>
        </w:rPr>
        <w:fldChar w:fldCharType="end"/>
      </w:r>
      <w:r w:rsidRPr="00894CF8">
        <w:rPr>
          <w:color w:val="000000" w:themeColor="text1"/>
        </w:rPr>
        <w:t xml:space="preserve">) as a model substrate. This substrate would carry both the diol and the reducing agent for the DODH reaction. The allyl aldehyde product of this DODH reaction could undergo intramolecular hydroacylation to provide the heterocyclic ketone. </w:t>
      </w:r>
    </w:p>
    <w:p w14:paraId="396FF5E5" w14:textId="77777777" w:rsidR="002B11DB" w:rsidRDefault="00810326" w:rsidP="002B11DB">
      <w:pPr>
        <w:keepNext/>
        <w:jc w:val="center"/>
      </w:pPr>
      <w:r w:rsidRPr="00894CF8">
        <w:rPr>
          <w:color w:val="000000" w:themeColor="text1"/>
        </w:rPr>
        <w:object w:dxaOrig="5215" w:dyaOrig="2587" w14:anchorId="74085DE9">
          <v:shape id="_x0000_i1148" type="#_x0000_t75" style="width:246.85pt;height:123.45pt" o:ole="">
            <v:imagedata r:id="rId335" o:title=""/>
          </v:shape>
          <o:OLEObject Type="Embed" ProgID="ChemDraw.Document.6.0" ShapeID="_x0000_i1148" DrawAspect="Content" ObjectID="_1532784988" r:id="rId336"/>
        </w:object>
      </w:r>
    </w:p>
    <w:p w14:paraId="173937CC" w14:textId="77777777" w:rsidR="00894CF8" w:rsidRPr="00A40A97" w:rsidRDefault="002B11DB" w:rsidP="00A40A97">
      <w:pPr>
        <w:pStyle w:val="Caption"/>
      </w:pPr>
      <w:bookmarkStart w:id="338" w:name="_Ref454963269"/>
      <w:bookmarkStart w:id="339" w:name="_Toc457670760"/>
      <w:r w:rsidRPr="00A40A97">
        <w:t xml:space="preserve">Figure III. </w:t>
      </w:r>
      <w:r w:rsidR="00443010">
        <w:fldChar w:fldCharType="begin"/>
      </w:r>
      <w:r w:rsidR="00443010">
        <w:instrText xml:space="preserve"> STYLEREF 2 \s </w:instrText>
      </w:r>
      <w:r w:rsidR="00443010">
        <w:fldChar w:fldCharType="separate"/>
      </w:r>
      <w:r w:rsidR="000A0E3D">
        <w:rPr>
          <w:noProof/>
        </w:rPr>
        <w:t>6</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4</w:t>
      </w:r>
      <w:r w:rsidR="00443010">
        <w:rPr>
          <w:noProof/>
        </w:rPr>
        <w:fldChar w:fldCharType="end"/>
      </w:r>
      <w:bookmarkEnd w:id="338"/>
      <w:r w:rsidRPr="00A40A97">
        <w:t xml:space="preserve"> </w:t>
      </w:r>
      <w:r w:rsidR="00894CF8" w:rsidRPr="00A40A97">
        <w:t>Intramolecular DODH/Hydroacylation tandem concept</w:t>
      </w:r>
      <w:bookmarkEnd w:id="339"/>
    </w:p>
    <w:p w14:paraId="091E4C47" w14:textId="77777777" w:rsidR="00894CF8" w:rsidRPr="00894CF8" w:rsidRDefault="00894CF8" w:rsidP="00894CF8">
      <w:pPr>
        <w:jc w:val="both"/>
        <w:rPr>
          <w:b/>
          <w:color w:val="000000" w:themeColor="text1"/>
        </w:rPr>
      </w:pPr>
    </w:p>
    <w:p w14:paraId="6A60F7FD" w14:textId="0C945A99" w:rsidR="00894CF8" w:rsidRPr="00894CF8" w:rsidRDefault="00894CF8" w:rsidP="00894CF8">
      <w:pPr>
        <w:ind w:firstLine="360"/>
        <w:jc w:val="both"/>
        <w:rPr>
          <w:color w:val="000000" w:themeColor="text1"/>
        </w:rPr>
      </w:pPr>
      <w:r w:rsidRPr="00894CF8">
        <w:rPr>
          <w:color w:val="000000" w:themeColor="text1"/>
        </w:rPr>
        <w:t>In either of inter- and intramolecular DODH/</w:t>
      </w:r>
      <w:r w:rsidR="00B22281">
        <w:rPr>
          <w:color w:val="000000" w:themeColor="text1"/>
        </w:rPr>
        <w:t>h</w:t>
      </w:r>
      <w:r w:rsidRPr="00894CF8">
        <w:rPr>
          <w:color w:val="000000" w:themeColor="text1"/>
        </w:rPr>
        <w:t>ydroacylation tandem reactions the products would be of high value and would be applicable to organic synthesis. The intermolecular DODH/Hydroacylation produce</w:t>
      </w:r>
      <w:r w:rsidR="00EA3D4A">
        <w:rPr>
          <w:color w:val="000000" w:themeColor="text1"/>
        </w:rPr>
        <w:t>s</w:t>
      </w:r>
      <w:r w:rsidRPr="00894CF8">
        <w:rPr>
          <w:color w:val="000000" w:themeColor="text1"/>
        </w:rPr>
        <w:t xml:space="preserve"> arylketones. Arylketones are commonly used in the preparation of pharmaceutical molecules and materials. They can also act as useful building blocks in organic chemistry.</w:t>
      </w:r>
      <w:r w:rsidRPr="00894CF8">
        <w:rPr>
          <w:color w:val="000000" w:themeColor="text1"/>
        </w:rPr>
        <w:fldChar w:fldCharType="begin"/>
      </w:r>
      <w:r w:rsidR="00E028D6">
        <w:rPr>
          <w:color w:val="000000" w:themeColor="text1"/>
        </w:rPr>
        <w:instrText xml:space="preserve"> ADDIN ZOTERO_ITEM CSL_CITATION {"citationID":"nh6o6lgjj","properties":{"formattedCitation":"{\\rtf \\super 156\\nosupersub{}}","plainCitation":"156"},"citationItems":[{"id":1763,"uris":["http://zotero.org/users/1624234/items/3T22P4IU"],"uri":["http://zotero.org/users/1624234/items/3T22P4IU"],"itemData":{"id":1763,"type":"article-journal","title":"One-Pot Synthesis of Arylketones from Aromatic Acids via Palladium-Catalyzed Suzuki Coupling","container-title":"The Journal of Organic Chemistry","page":"2987-2992","volume":"81","issue":"7","source":"ACS Publications","abstract":"A palladium-catalyzed one-pot procedure for the synthesis of aryl ketones has been developed. Triazine esters when coupled with aryl boronic acids provided aryl ketones in moderate to excellent yields (up to 95%) in the presence of 1 mol % Pd(PPh3)2Cl2 for 30 min.","DOI":"10.1021/acs.joc.5b02667","ISSN":"0022-3263","journalAbbreviation":"J. Org. Chem.","author":[{"family":"Wu","given":"Hongxiang"},{"family":"Xu","given":"Baiping"},{"family":"Li","given":"Yue"},{"family":"Hong","given":"Fengying"},{"family":"Zhu","given":"Dezhao"},{"family":"Jian","given":"Junsheng"},{"family":"Pu","given":"Xiaoer"},{"family":"Zeng","given":"Zhuo"}],"issued":{"date-parts":[["2016",4,1]]}}}],"schema":"https://github.com/citation-style-language/schema/raw/master/csl-citation.json"} </w:instrText>
      </w:r>
      <w:r w:rsidRPr="00894CF8">
        <w:rPr>
          <w:color w:val="000000" w:themeColor="text1"/>
        </w:rPr>
        <w:fldChar w:fldCharType="separate"/>
      </w:r>
      <w:r w:rsidR="00E028D6" w:rsidRPr="00E028D6">
        <w:rPr>
          <w:rFonts w:ascii="Times New Roman" w:hAnsi="Times New Roman"/>
          <w:vertAlign w:val="superscript"/>
        </w:rPr>
        <w:t>156</w:t>
      </w:r>
      <w:r w:rsidRPr="00894CF8">
        <w:rPr>
          <w:color w:val="000000" w:themeColor="text1"/>
        </w:rPr>
        <w:fldChar w:fldCharType="end"/>
      </w:r>
      <w:r w:rsidRPr="00894CF8">
        <w:rPr>
          <w:color w:val="000000" w:themeColor="text1"/>
        </w:rPr>
        <w:t xml:space="preserve"> The intramolecular DODH/</w:t>
      </w:r>
      <w:r w:rsidR="00B22281">
        <w:rPr>
          <w:color w:val="000000" w:themeColor="text1"/>
        </w:rPr>
        <w:t>h</w:t>
      </w:r>
      <w:r w:rsidRPr="00894CF8">
        <w:rPr>
          <w:color w:val="000000" w:themeColor="text1"/>
        </w:rPr>
        <w:t>ydroacylation provides flavone derivatives. Flavones are attractive molecules as they have several biological activities such as antioxidant, anti-tumor, anti-proliferative, estrogenic, anti-microbial, acetyl cholinesterase,</w:t>
      </w:r>
      <w:r w:rsidR="00EA3D4A">
        <w:rPr>
          <w:color w:val="000000" w:themeColor="text1"/>
        </w:rPr>
        <w:t xml:space="preserve"> and</w:t>
      </w:r>
      <w:r w:rsidRPr="00894CF8">
        <w:rPr>
          <w:color w:val="000000" w:themeColor="text1"/>
        </w:rPr>
        <w:t xml:space="preserve"> anti-inflammatory. They are also used in cancer, cardiovascular disease and neurodegenerative disorders.</w:t>
      </w:r>
      <w:r w:rsidRPr="00894CF8">
        <w:rPr>
          <w:color w:val="000000" w:themeColor="text1"/>
        </w:rPr>
        <w:fldChar w:fldCharType="begin"/>
      </w:r>
      <w:r w:rsidR="00E028D6">
        <w:rPr>
          <w:color w:val="000000" w:themeColor="text1"/>
        </w:rPr>
        <w:instrText xml:space="preserve"> ADDIN ZOTERO_ITEM CSL_CITATION {"citationID":"gb01caihc","properties":{"formattedCitation":"{\\rtf \\super 157\\nosupersub{}}","plainCitation":"157"},"citationItems":[{"id":1760,"uris":["http://zotero.org/users/1624234/items/ZWMCFCKH"],"uri":["http://zotero.org/users/1624234/items/ZWMCFCKH"],"itemData":{"id":1760,"type":"article-journal","title":"Flavones: An important scaffold for medicinal chemistry","container-title":"European Journal of Medicinal Chemistry","page":"206-239","volume":"84","source":"ScienceDirect","abstract":"Flavones have antioxidant, anti-proliferative, anti-tumor, anti-microbial, estrogenic, acetyl cholinesterase, anti-inflammatory activities and are also used in cancer, cardiovascular disease, neurodegenerative disorders, etc. Also, flavonoids are found to have an effect on several mammalian enzymes like protein kinases that regulate multiple cell signaling pathways and alterations in multiple cellular signaling pathways are frequently found in many diseases. Flavones have been an indispensable anchor for the development of new therapeutic agents.\n\nThe majority of metabolic diseases are speculated to originate from oxidative stress, and it is therefore significant that recent studies have shown the positive effect of flavones on diseases related to oxidative stress. Due to the wide range of biological activities of flavones, their structure–activity relationships have generated interest among medicinal chemists. The outstanding development of flavones derivatives in diverse diseases in very short span of time proves its magnitude for medicinal chemistry research. The present review gives detail about the structural requirement of flavone derivatives for various pharmacological activities. This information may provide an opportunity to scientists of medicinal chemistry discipline to design selective, optimize as well as poly-functional flavone derivatives for the treatment of multi-factorial diseases.","DOI":"10.1016/j.ejmech.2014.07.013","ISSN":"0223-5234","shortTitle":"Flavones","journalAbbreviation":"European Journal of Medicinal Chemistry","author":[{"family":"Singh","given":"Manjinder"},{"family":"Kaur","given":"Maninder"},{"family":"Silakari","given":"Om"}],"issued":{"date-parts":[["2014",9,12]]}}}],"schema":"https://github.com/citation-style-language/schema/raw/master/csl-citation.json"} </w:instrText>
      </w:r>
      <w:r w:rsidRPr="00894CF8">
        <w:rPr>
          <w:color w:val="000000" w:themeColor="text1"/>
        </w:rPr>
        <w:fldChar w:fldCharType="separate"/>
      </w:r>
      <w:r w:rsidR="00E028D6" w:rsidRPr="00E028D6">
        <w:rPr>
          <w:rFonts w:ascii="Times New Roman" w:hAnsi="Times New Roman"/>
          <w:vertAlign w:val="superscript"/>
        </w:rPr>
        <w:t>157</w:t>
      </w:r>
      <w:r w:rsidRPr="00894CF8">
        <w:rPr>
          <w:color w:val="000000" w:themeColor="text1"/>
        </w:rPr>
        <w:fldChar w:fldCharType="end"/>
      </w:r>
      <w:r w:rsidRPr="00894CF8">
        <w:rPr>
          <w:color w:val="000000" w:themeColor="text1"/>
        </w:rPr>
        <w:t xml:space="preserve"> </w:t>
      </w:r>
    </w:p>
    <w:p w14:paraId="25168798" w14:textId="77777777" w:rsidR="00894CF8" w:rsidRPr="00894CF8" w:rsidRDefault="00894CF8" w:rsidP="00B22281">
      <w:pPr>
        <w:ind w:firstLine="360"/>
        <w:jc w:val="both"/>
        <w:rPr>
          <w:color w:val="000000" w:themeColor="text1"/>
        </w:rPr>
      </w:pPr>
      <w:r w:rsidRPr="00894CF8">
        <w:rPr>
          <w:color w:val="000000" w:themeColor="text1"/>
        </w:rPr>
        <w:t>In this section we will cover the studies of these two potential DODH/Hydroacylation systems. In the first part we describe our results on the study of the intermolecular hydroacylation reaction step. Then we describe the synthesis and the DODH activity of the glycerol ether derivative of ortho-hydroxyl benzyl alcohol.</w:t>
      </w:r>
    </w:p>
    <w:p w14:paraId="6C5C8E29" w14:textId="77777777" w:rsidR="00894CF8" w:rsidRPr="00894CF8" w:rsidRDefault="00894CF8" w:rsidP="00894CF8">
      <w:pPr>
        <w:jc w:val="both"/>
        <w:rPr>
          <w:color w:val="000000" w:themeColor="text1"/>
        </w:rPr>
      </w:pPr>
    </w:p>
    <w:p w14:paraId="35C6A0B9" w14:textId="77777777" w:rsidR="00894CF8" w:rsidRPr="00894CF8" w:rsidRDefault="00894CF8" w:rsidP="000351A7">
      <w:pPr>
        <w:pStyle w:val="Heading3"/>
      </w:pPr>
      <w:bookmarkStart w:id="340" w:name="_Toc458938328"/>
      <w:r w:rsidRPr="00894CF8">
        <w:t>Intermolecular DODH/Hydroacylation</w:t>
      </w:r>
      <w:bookmarkEnd w:id="340"/>
      <w:r w:rsidRPr="00894CF8">
        <w:t xml:space="preserve"> </w:t>
      </w:r>
    </w:p>
    <w:p w14:paraId="2010AD5B" w14:textId="77777777" w:rsidR="00894CF8" w:rsidRPr="00894CF8" w:rsidRDefault="00894CF8" w:rsidP="00894CF8">
      <w:pPr>
        <w:ind w:firstLine="360"/>
        <w:jc w:val="both"/>
        <w:rPr>
          <w:color w:val="000000" w:themeColor="text1"/>
        </w:rPr>
      </w:pPr>
      <w:r w:rsidRPr="00894CF8">
        <w:rPr>
          <w:color w:val="000000" w:themeColor="text1"/>
        </w:rPr>
        <w:t>In the reported system by Watanabe’s group cyclohexene was used as the solvent as well as reagent (</w:t>
      </w:r>
      <w:r w:rsidR="00EB4E40">
        <w:rPr>
          <w:color w:val="000000" w:themeColor="text1"/>
        </w:rPr>
        <w:fldChar w:fldCharType="begin"/>
      </w:r>
      <w:r w:rsidR="00EB4E40">
        <w:rPr>
          <w:color w:val="000000" w:themeColor="text1"/>
        </w:rPr>
        <w:instrText xml:space="preserve"> REF _Ref454963282 \h </w:instrText>
      </w:r>
      <w:r w:rsidR="00EB4E40">
        <w:rPr>
          <w:color w:val="000000" w:themeColor="text1"/>
        </w:rPr>
      </w:r>
      <w:r w:rsidR="00EB4E40">
        <w:rPr>
          <w:color w:val="000000" w:themeColor="text1"/>
        </w:rPr>
        <w:fldChar w:fldCharType="separate"/>
      </w:r>
      <w:r w:rsidR="000A0E3D" w:rsidRPr="00A40A97">
        <w:t xml:space="preserve">Figure III. </w:t>
      </w:r>
      <w:r w:rsidR="000A0E3D">
        <w:rPr>
          <w:noProof/>
        </w:rPr>
        <w:t>6</w:t>
      </w:r>
      <w:r w:rsidR="000A0E3D">
        <w:t>.</w:t>
      </w:r>
      <w:r w:rsidR="000A0E3D">
        <w:rPr>
          <w:noProof/>
        </w:rPr>
        <w:t>5</w:t>
      </w:r>
      <w:r w:rsidR="00EB4E40">
        <w:rPr>
          <w:color w:val="000000" w:themeColor="text1"/>
        </w:rPr>
        <w:fldChar w:fldCharType="end"/>
      </w:r>
      <w:r w:rsidRPr="00894CF8">
        <w:rPr>
          <w:color w:val="000000" w:themeColor="text1"/>
        </w:rPr>
        <w:t>).</w:t>
      </w:r>
      <w:r w:rsidRPr="00894CF8">
        <w:rPr>
          <w:color w:val="000000" w:themeColor="text1"/>
        </w:rPr>
        <w:fldChar w:fldCharType="begin"/>
      </w:r>
      <w:r w:rsidR="00E028D6">
        <w:rPr>
          <w:color w:val="000000" w:themeColor="text1"/>
        </w:rPr>
        <w:instrText xml:space="preserve"> ADDIN ZOTERO_ITEM CSL_CITATION {"citationID":"2ifetbfalm","properties":{"formattedCitation":"{\\rtf \\super 155\\nosupersub{}}","plainCitation":"155"},"citationItems":[{"id":132,"uris":["http://zotero.org/users/1624234/items/8JBZSIF2"],"uri":["http://zotero.org/users/1624234/items/8JBZSIF2"],"itemData":{"id":132,"type":"article-journal","title":"Ruthenium complex catalyzed intermolecular hydroacylation of olefins","container-title":"Tetrahedron Letters","page":"6229-6230","volume":"28","issue":"49","source":"ScienceDirect","abstract":"Dodecacarbonyltriruthenium (RU3(CO)12) and (η4-1,5-cyclooctadiene)(η6-1,3,5cyclooctatriene) ruthenium (Ru(COD)(COT)) catalyzed the hydroacylation of olefins with aldehydes at 180–200 °C for 48 h under 20 kgcm−2 of carbon monoxide to give unsymmetric ketones in good yields.","DOI":"10.1016/S0040-4039(00)61854-3","ISSN":"0040-4039","journalAbbreviation":"Tetrahedron Letters","author":[{"family":"Kondo","given":"Teruyuki"},{"family":"Tsuji","given":"Yasushi"},{"family":"Watanabe","given":"Yoshishisa"}],"issued":{"date-parts":[["1987"]]}}}],"schema":"https://github.com/citation-style-language/schema/raw/master/csl-citation.json"} </w:instrText>
      </w:r>
      <w:r w:rsidRPr="00894CF8">
        <w:rPr>
          <w:color w:val="000000" w:themeColor="text1"/>
        </w:rPr>
        <w:fldChar w:fldCharType="separate"/>
      </w:r>
      <w:r w:rsidR="00E028D6" w:rsidRPr="00E028D6">
        <w:rPr>
          <w:rFonts w:ascii="Times New Roman" w:hAnsi="Times New Roman"/>
          <w:vertAlign w:val="superscript"/>
        </w:rPr>
        <w:t>155</w:t>
      </w:r>
      <w:r w:rsidRPr="00894CF8">
        <w:rPr>
          <w:color w:val="000000" w:themeColor="text1"/>
        </w:rPr>
        <w:fldChar w:fldCharType="end"/>
      </w:r>
      <w:r w:rsidRPr="00894CF8">
        <w:rPr>
          <w:color w:val="000000" w:themeColor="text1"/>
        </w:rPr>
        <w:t xml:space="preserve"> The choice of the alkene as solvent would be difficult to apply on the DODH side of the tandem system. Also before attempting any tandem reactions we decided to study if the hydroacylation reaction would still work using a 1:8 ratio of aldehyde to alkene but with benzene as a solvent (</w:t>
      </w:r>
      <w:r w:rsidR="00EB4E40">
        <w:rPr>
          <w:color w:val="000000" w:themeColor="text1"/>
        </w:rPr>
        <w:fldChar w:fldCharType="begin"/>
      </w:r>
      <w:r w:rsidR="00EB4E40">
        <w:rPr>
          <w:color w:val="000000" w:themeColor="text1"/>
        </w:rPr>
        <w:instrText xml:space="preserve"> REF _Ref454963282 \h </w:instrText>
      </w:r>
      <w:r w:rsidR="00EB4E40">
        <w:rPr>
          <w:color w:val="000000" w:themeColor="text1"/>
        </w:rPr>
      </w:r>
      <w:r w:rsidR="00EB4E40">
        <w:rPr>
          <w:color w:val="000000" w:themeColor="text1"/>
        </w:rPr>
        <w:fldChar w:fldCharType="separate"/>
      </w:r>
      <w:r w:rsidR="000A0E3D" w:rsidRPr="00A40A97">
        <w:t xml:space="preserve">Figure III. </w:t>
      </w:r>
      <w:r w:rsidR="000A0E3D">
        <w:rPr>
          <w:noProof/>
        </w:rPr>
        <w:t>6</w:t>
      </w:r>
      <w:r w:rsidR="000A0E3D">
        <w:t>.</w:t>
      </w:r>
      <w:r w:rsidR="000A0E3D">
        <w:rPr>
          <w:noProof/>
        </w:rPr>
        <w:t>5</w:t>
      </w:r>
      <w:r w:rsidR="00EB4E40">
        <w:rPr>
          <w:color w:val="000000" w:themeColor="text1"/>
        </w:rPr>
        <w:fldChar w:fldCharType="end"/>
      </w:r>
      <w:r w:rsidRPr="00894CF8">
        <w:rPr>
          <w:color w:val="000000" w:themeColor="text1"/>
        </w:rPr>
        <w:t xml:space="preserve">) to be closer to the known reaction conditions for the DODH reaction. Under these conditions the hydroacylation never took place; we found only unreacted aldehyde and alkene in the </w:t>
      </w:r>
      <w:r w:rsidRPr="00894CF8">
        <w:rPr>
          <w:color w:val="000000" w:themeColor="text1"/>
          <w:vertAlign w:val="superscript"/>
        </w:rPr>
        <w:t>1</w:t>
      </w:r>
      <w:r w:rsidRPr="00894CF8">
        <w:rPr>
          <w:color w:val="000000" w:themeColor="text1"/>
        </w:rPr>
        <w:t>H NMR spectrum after reactions under either 200 or 300 psi CO at 185</w:t>
      </w:r>
      <w:r w:rsidRPr="00894CF8">
        <w:rPr>
          <w:color w:val="000000" w:themeColor="text1"/>
          <w:vertAlign w:val="superscript"/>
        </w:rPr>
        <w:t>o</w:t>
      </w:r>
      <w:r w:rsidRPr="00894CF8">
        <w:rPr>
          <w:color w:val="000000" w:themeColor="text1"/>
        </w:rPr>
        <w:t>C after two to four days.</w:t>
      </w:r>
    </w:p>
    <w:p w14:paraId="3AD72EDC" w14:textId="77777777" w:rsidR="002B11DB" w:rsidRDefault="00894CF8" w:rsidP="002B11DB">
      <w:pPr>
        <w:keepNext/>
        <w:jc w:val="center"/>
      </w:pPr>
      <w:r w:rsidRPr="00894CF8">
        <w:rPr>
          <w:color w:val="000000" w:themeColor="text1"/>
        </w:rPr>
        <w:object w:dxaOrig="4788" w:dyaOrig="1547" w14:anchorId="0007A025">
          <v:shape id="_x0000_i1149" type="#_x0000_t75" style="width:252.4pt;height:82.3pt" o:ole="">
            <v:imagedata r:id="rId337" o:title=""/>
          </v:shape>
          <o:OLEObject Type="Embed" ProgID="ChemDraw.Document.6.0" ShapeID="_x0000_i1149" DrawAspect="Content" ObjectID="_1532784989" r:id="rId338"/>
        </w:object>
      </w:r>
    </w:p>
    <w:p w14:paraId="6C2D8D9A" w14:textId="77777777" w:rsidR="00894CF8" w:rsidRPr="00A40A97" w:rsidRDefault="002B11DB" w:rsidP="00A40A97">
      <w:pPr>
        <w:pStyle w:val="Caption"/>
      </w:pPr>
      <w:bookmarkStart w:id="341" w:name="_Ref454963282"/>
      <w:bookmarkStart w:id="342" w:name="_Toc457670761"/>
      <w:r w:rsidRPr="00A40A97">
        <w:t xml:space="preserve">Figure III. </w:t>
      </w:r>
      <w:r w:rsidR="00443010">
        <w:fldChar w:fldCharType="begin"/>
      </w:r>
      <w:r w:rsidR="00443010">
        <w:instrText xml:space="preserve"> STYLEREF 2 \s </w:instrText>
      </w:r>
      <w:r w:rsidR="00443010">
        <w:fldChar w:fldCharType="separate"/>
      </w:r>
      <w:r w:rsidR="000A0E3D">
        <w:rPr>
          <w:noProof/>
        </w:rPr>
        <w:t>6</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5</w:t>
      </w:r>
      <w:r w:rsidR="00443010">
        <w:rPr>
          <w:noProof/>
        </w:rPr>
        <w:fldChar w:fldCharType="end"/>
      </w:r>
      <w:bookmarkEnd w:id="341"/>
      <w:r w:rsidRPr="00A40A97">
        <w:t xml:space="preserve"> </w:t>
      </w:r>
      <w:r w:rsidR="00894CF8" w:rsidRPr="00A40A97">
        <w:t>General Hydroacylation of cyclohexene and benzaldehyde</w:t>
      </w:r>
      <w:bookmarkEnd w:id="342"/>
    </w:p>
    <w:p w14:paraId="2A9E4B6D" w14:textId="77777777" w:rsidR="00A40A97" w:rsidRDefault="00A40A97">
      <w:pPr>
        <w:spacing w:line="240" w:lineRule="auto"/>
        <w:rPr>
          <w:b/>
          <w:bCs/>
          <w:szCs w:val="18"/>
        </w:rPr>
      </w:pPr>
    </w:p>
    <w:p w14:paraId="15C05F74" w14:textId="77777777" w:rsidR="00894CF8" w:rsidRPr="00A40A97" w:rsidRDefault="00EB4E40" w:rsidP="00A40A97">
      <w:pPr>
        <w:pStyle w:val="Caption"/>
      </w:pPr>
      <w:bookmarkStart w:id="343" w:name="_Toc457670492"/>
      <w:r w:rsidRPr="00A40A97">
        <w:t xml:space="preserve">Table III. </w:t>
      </w:r>
      <w:r w:rsidR="00443010">
        <w:fldChar w:fldCharType="begin"/>
      </w:r>
      <w:r w:rsidR="00443010">
        <w:instrText xml:space="preserve"> STYLEREF 2 \s </w:instrText>
      </w:r>
      <w:r w:rsidR="00443010">
        <w:fldChar w:fldCharType="separate"/>
      </w:r>
      <w:r w:rsidR="000A0E3D">
        <w:rPr>
          <w:noProof/>
        </w:rPr>
        <w:t>6</w:t>
      </w:r>
      <w:r w:rsidR="00443010">
        <w:rPr>
          <w:noProof/>
        </w:rPr>
        <w:fldChar w:fldCharType="end"/>
      </w:r>
      <w:r w:rsidR="00E20ED7">
        <w:t>.</w:t>
      </w:r>
      <w:r w:rsidR="00443010">
        <w:fldChar w:fldCharType="begin"/>
      </w:r>
      <w:r w:rsidR="00443010">
        <w:instrText xml:space="preserve"> SEQ Table_III. \* ARABIC \s 2 </w:instrText>
      </w:r>
      <w:r w:rsidR="00443010">
        <w:fldChar w:fldCharType="separate"/>
      </w:r>
      <w:r w:rsidR="000A0E3D">
        <w:rPr>
          <w:noProof/>
        </w:rPr>
        <w:t>1</w:t>
      </w:r>
      <w:r w:rsidR="00443010">
        <w:rPr>
          <w:noProof/>
        </w:rPr>
        <w:fldChar w:fldCharType="end"/>
      </w:r>
      <w:r w:rsidR="00894CF8" w:rsidRPr="00A40A97">
        <w:t xml:space="preserve"> Reporte</w:t>
      </w:r>
      <w:r w:rsidRPr="00A40A97">
        <w:t>d and Attempted Hydroacylations</w:t>
      </w:r>
      <w:bookmarkEnd w:id="343"/>
      <w:r w:rsidR="00894CF8" w:rsidRPr="00A40A97">
        <w:t xml:space="preserve"> </w:t>
      </w:r>
    </w:p>
    <w:tbl>
      <w:tblPr>
        <w:tblStyle w:val="TableGrid"/>
        <w:tblW w:w="0" w:type="auto"/>
        <w:jc w:val="center"/>
        <w:tblLook w:val="04A0" w:firstRow="1" w:lastRow="0" w:firstColumn="1" w:lastColumn="0" w:noHBand="0" w:noVBand="1"/>
      </w:tblPr>
      <w:tblGrid>
        <w:gridCol w:w="2304"/>
        <w:gridCol w:w="2304"/>
        <w:gridCol w:w="2304"/>
      </w:tblGrid>
      <w:tr w:rsidR="00894CF8" w:rsidRPr="00894CF8" w14:paraId="27354657" w14:textId="77777777" w:rsidTr="00894CF8">
        <w:trPr>
          <w:trHeight w:val="432"/>
          <w:jc w:val="center"/>
        </w:trPr>
        <w:tc>
          <w:tcPr>
            <w:tcW w:w="2304" w:type="dxa"/>
            <w:tcBorders>
              <w:top w:val="nil"/>
              <w:left w:val="nil"/>
              <w:bottom w:val="single" w:sz="18" w:space="0" w:color="auto"/>
              <w:right w:val="single" w:sz="18" w:space="0" w:color="auto"/>
            </w:tcBorders>
            <w:vAlign w:val="center"/>
          </w:tcPr>
          <w:p w14:paraId="101AAA3A" w14:textId="77777777" w:rsidR="00894CF8" w:rsidRPr="00894CF8" w:rsidRDefault="00894CF8" w:rsidP="00894CF8">
            <w:pPr>
              <w:spacing w:line="276" w:lineRule="auto"/>
              <w:jc w:val="both"/>
              <w:rPr>
                <w:color w:val="000000" w:themeColor="text1"/>
              </w:rPr>
            </w:pPr>
          </w:p>
        </w:tc>
        <w:tc>
          <w:tcPr>
            <w:tcW w:w="2304" w:type="dxa"/>
            <w:tcBorders>
              <w:top w:val="nil"/>
              <w:left w:val="single" w:sz="18" w:space="0" w:color="auto"/>
              <w:bottom w:val="single" w:sz="18" w:space="0" w:color="auto"/>
              <w:right w:val="single" w:sz="4" w:space="0" w:color="A6A6A6" w:themeColor="background1" w:themeShade="A6"/>
            </w:tcBorders>
            <w:vAlign w:val="center"/>
          </w:tcPr>
          <w:p w14:paraId="6A0138AD" w14:textId="77777777" w:rsidR="00894CF8" w:rsidRPr="00894CF8" w:rsidRDefault="00894CF8" w:rsidP="00894CF8">
            <w:pPr>
              <w:spacing w:line="276" w:lineRule="auto"/>
              <w:jc w:val="both"/>
              <w:rPr>
                <w:color w:val="000000" w:themeColor="text1"/>
              </w:rPr>
            </w:pPr>
            <w:r w:rsidRPr="00894CF8">
              <w:rPr>
                <w:color w:val="000000" w:themeColor="text1"/>
              </w:rPr>
              <w:t>Reported</w:t>
            </w:r>
          </w:p>
        </w:tc>
        <w:tc>
          <w:tcPr>
            <w:tcW w:w="2304" w:type="dxa"/>
            <w:tcBorders>
              <w:top w:val="nil"/>
              <w:left w:val="single" w:sz="4" w:space="0" w:color="A6A6A6" w:themeColor="background1" w:themeShade="A6"/>
              <w:bottom w:val="single" w:sz="18" w:space="0" w:color="auto"/>
              <w:right w:val="nil"/>
            </w:tcBorders>
            <w:vAlign w:val="center"/>
          </w:tcPr>
          <w:p w14:paraId="4BE83B3C" w14:textId="77777777" w:rsidR="00894CF8" w:rsidRPr="00894CF8" w:rsidRDefault="00894CF8" w:rsidP="00894CF8">
            <w:pPr>
              <w:spacing w:line="276" w:lineRule="auto"/>
              <w:jc w:val="both"/>
              <w:rPr>
                <w:color w:val="000000" w:themeColor="text1"/>
              </w:rPr>
            </w:pPr>
            <w:r w:rsidRPr="00894CF8">
              <w:rPr>
                <w:color w:val="000000" w:themeColor="text1"/>
              </w:rPr>
              <w:t>Attempted</w:t>
            </w:r>
          </w:p>
        </w:tc>
      </w:tr>
      <w:tr w:rsidR="00894CF8" w:rsidRPr="00894CF8" w14:paraId="33E4685D" w14:textId="77777777" w:rsidTr="00894CF8">
        <w:trPr>
          <w:trHeight w:val="1074"/>
          <w:jc w:val="center"/>
        </w:trPr>
        <w:tc>
          <w:tcPr>
            <w:tcW w:w="2304" w:type="dxa"/>
            <w:tcBorders>
              <w:top w:val="single" w:sz="18" w:space="0" w:color="auto"/>
              <w:left w:val="nil"/>
              <w:bottom w:val="nil"/>
              <w:right w:val="single" w:sz="18" w:space="0" w:color="auto"/>
            </w:tcBorders>
            <w:vAlign w:val="center"/>
          </w:tcPr>
          <w:p w14:paraId="41D82D67" w14:textId="77777777" w:rsidR="00894CF8" w:rsidRPr="00894CF8" w:rsidRDefault="00894CF8" w:rsidP="00894CF8">
            <w:pPr>
              <w:spacing w:line="276" w:lineRule="auto"/>
              <w:jc w:val="both"/>
              <w:rPr>
                <w:color w:val="000000" w:themeColor="text1"/>
              </w:rPr>
            </w:pPr>
            <w:r w:rsidRPr="00894CF8">
              <w:rPr>
                <w:color w:val="000000" w:themeColor="text1"/>
              </w:rPr>
              <w:t>Reaction Conditions</w:t>
            </w:r>
          </w:p>
        </w:tc>
        <w:tc>
          <w:tcPr>
            <w:tcW w:w="2304" w:type="dxa"/>
            <w:tcBorders>
              <w:top w:val="single" w:sz="18" w:space="0" w:color="auto"/>
              <w:left w:val="single" w:sz="18" w:space="0" w:color="auto"/>
              <w:bottom w:val="nil"/>
              <w:right w:val="single" w:sz="4" w:space="0" w:color="A6A6A6" w:themeColor="background1" w:themeShade="A6"/>
            </w:tcBorders>
            <w:vAlign w:val="center"/>
          </w:tcPr>
          <w:p w14:paraId="1D52B24B" w14:textId="77777777" w:rsidR="00894CF8" w:rsidRPr="00894CF8" w:rsidRDefault="00894CF8" w:rsidP="00894CF8">
            <w:pPr>
              <w:spacing w:line="276" w:lineRule="auto"/>
              <w:jc w:val="both"/>
              <w:rPr>
                <w:color w:val="000000" w:themeColor="text1"/>
              </w:rPr>
            </w:pPr>
            <w:r w:rsidRPr="00894CF8">
              <w:rPr>
                <w:color w:val="000000" w:themeColor="text1"/>
              </w:rPr>
              <w:t>Ru</w:t>
            </w:r>
            <w:r w:rsidRPr="00894CF8">
              <w:rPr>
                <w:color w:val="000000" w:themeColor="text1"/>
                <w:vertAlign w:val="subscript"/>
              </w:rPr>
              <w:t>3</w:t>
            </w:r>
            <w:r w:rsidRPr="00894CF8">
              <w:rPr>
                <w:color w:val="000000" w:themeColor="text1"/>
              </w:rPr>
              <w:t>(CO)</w:t>
            </w:r>
            <w:r w:rsidRPr="00894CF8">
              <w:rPr>
                <w:color w:val="000000" w:themeColor="text1"/>
                <w:vertAlign w:val="subscript"/>
              </w:rPr>
              <w:t>12</w:t>
            </w:r>
            <w:r w:rsidRPr="00894CF8">
              <w:rPr>
                <w:color w:val="000000" w:themeColor="text1"/>
              </w:rPr>
              <w:t xml:space="preserve"> (1mol%),</w:t>
            </w:r>
          </w:p>
          <w:p w14:paraId="088EB3FA" w14:textId="77777777" w:rsidR="00894CF8" w:rsidRPr="00894CF8" w:rsidRDefault="00894CF8" w:rsidP="00894CF8">
            <w:pPr>
              <w:spacing w:line="276" w:lineRule="auto"/>
              <w:jc w:val="both"/>
              <w:rPr>
                <w:color w:val="000000" w:themeColor="text1"/>
              </w:rPr>
            </w:pPr>
            <w:r w:rsidRPr="00894CF8">
              <w:rPr>
                <w:color w:val="000000" w:themeColor="text1"/>
              </w:rPr>
              <w:t>CO (285 PSI),</w:t>
            </w:r>
          </w:p>
          <w:p w14:paraId="659B314B" w14:textId="77777777" w:rsidR="00894CF8" w:rsidRPr="00894CF8" w:rsidRDefault="00894CF8" w:rsidP="00894CF8">
            <w:pPr>
              <w:spacing w:line="276" w:lineRule="auto"/>
              <w:jc w:val="both"/>
              <w:rPr>
                <w:color w:val="000000" w:themeColor="text1"/>
              </w:rPr>
            </w:pPr>
            <w:r w:rsidRPr="00894CF8">
              <w:rPr>
                <w:color w:val="000000" w:themeColor="text1"/>
              </w:rPr>
              <w:t>200</w:t>
            </w:r>
            <w:r w:rsidRPr="00894CF8">
              <w:rPr>
                <w:color w:val="000000" w:themeColor="text1"/>
                <w:vertAlign w:val="superscript"/>
              </w:rPr>
              <w:t>o</w:t>
            </w:r>
            <w:r w:rsidRPr="00894CF8">
              <w:rPr>
                <w:color w:val="000000" w:themeColor="text1"/>
              </w:rPr>
              <w:t>C, 48h</w:t>
            </w:r>
          </w:p>
        </w:tc>
        <w:tc>
          <w:tcPr>
            <w:tcW w:w="2304" w:type="dxa"/>
            <w:tcBorders>
              <w:top w:val="single" w:sz="18" w:space="0" w:color="auto"/>
              <w:left w:val="single" w:sz="4" w:space="0" w:color="A6A6A6" w:themeColor="background1" w:themeShade="A6"/>
              <w:bottom w:val="nil"/>
              <w:right w:val="nil"/>
            </w:tcBorders>
            <w:vAlign w:val="center"/>
          </w:tcPr>
          <w:p w14:paraId="0DBF0249" w14:textId="77777777" w:rsidR="00894CF8" w:rsidRPr="00894CF8" w:rsidRDefault="00894CF8" w:rsidP="00894CF8">
            <w:pPr>
              <w:spacing w:line="276" w:lineRule="auto"/>
              <w:jc w:val="both"/>
              <w:rPr>
                <w:color w:val="000000" w:themeColor="text1"/>
              </w:rPr>
            </w:pPr>
            <w:r w:rsidRPr="00894CF8">
              <w:rPr>
                <w:color w:val="000000" w:themeColor="text1"/>
              </w:rPr>
              <w:t>Ru</w:t>
            </w:r>
            <w:r w:rsidRPr="00894CF8">
              <w:rPr>
                <w:color w:val="000000" w:themeColor="text1"/>
                <w:vertAlign w:val="subscript"/>
              </w:rPr>
              <w:t>3</w:t>
            </w:r>
            <w:r w:rsidRPr="00894CF8">
              <w:rPr>
                <w:color w:val="000000" w:themeColor="text1"/>
              </w:rPr>
              <w:t>(CO)</w:t>
            </w:r>
            <w:r w:rsidRPr="00894CF8">
              <w:rPr>
                <w:color w:val="000000" w:themeColor="text1"/>
                <w:vertAlign w:val="subscript"/>
              </w:rPr>
              <w:t>12</w:t>
            </w:r>
            <w:r w:rsidRPr="00894CF8">
              <w:rPr>
                <w:color w:val="000000" w:themeColor="text1"/>
              </w:rPr>
              <w:t xml:space="preserve"> (1mol%)</w:t>
            </w:r>
          </w:p>
          <w:p w14:paraId="73C75D8B" w14:textId="77777777" w:rsidR="00894CF8" w:rsidRPr="00894CF8" w:rsidRDefault="00894CF8" w:rsidP="00894CF8">
            <w:pPr>
              <w:spacing w:line="276" w:lineRule="auto"/>
              <w:jc w:val="both"/>
              <w:rPr>
                <w:color w:val="000000" w:themeColor="text1"/>
              </w:rPr>
            </w:pPr>
            <w:r w:rsidRPr="00894CF8">
              <w:rPr>
                <w:color w:val="000000" w:themeColor="text1"/>
              </w:rPr>
              <w:t xml:space="preserve">CO (200-300 PSI), </w:t>
            </w:r>
          </w:p>
          <w:p w14:paraId="425C9216" w14:textId="77777777" w:rsidR="00894CF8" w:rsidRPr="00894CF8" w:rsidRDefault="00894CF8" w:rsidP="00894CF8">
            <w:pPr>
              <w:spacing w:line="276" w:lineRule="auto"/>
              <w:jc w:val="both"/>
              <w:rPr>
                <w:color w:val="000000" w:themeColor="text1"/>
              </w:rPr>
            </w:pPr>
            <w:r w:rsidRPr="00894CF8">
              <w:rPr>
                <w:color w:val="000000" w:themeColor="text1"/>
              </w:rPr>
              <w:t>Benzene (0.2M),</w:t>
            </w:r>
          </w:p>
          <w:p w14:paraId="745D21BE" w14:textId="77777777" w:rsidR="00894CF8" w:rsidRPr="00894CF8" w:rsidRDefault="00894CF8" w:rsidP="00894CF8">
            <w:pPr>
              <w:spacing w:line="276" w:lineRule="auto"/>
              <w:jc w:val="both"/>
              <w:rPr>
                <w:color w:val="000000" w:themeColor="text1"/>
              </w:rPr>
            </w:pPr>
            <w:r w:rsidRPr="00894CF8">
              <w:rPr>
                <w:color w:val="000000" w:themeColor="text1"/>
              </w:rPr>
              <w:t>185</w:t>
            </w:r>
            <w:r w:rsidRPr="00894CF8">
              <w:rPr>
                <w:color w:val="000000" w:themeColor="text1"/>
                <w:vertAlign w:val="superscript"/>
              </w:rPr>
              <w:t>o</w:t>
            </w:r>
            <w:r w:rsidRPr="00894CF8">
              <w:rPr>
                <w:color w:val="000000" w:themeColor="text1"/>
              </w:rPr>
              <w:t>C, 2-4 days</w:t>
            </w:r>
          </w:p>
        </w:tc>
      </w:tr>
    </w:tbl>
    <w:p w14:paraId="5C8498D1" w14:textId="77777777" w:rsidR="00894CF8" w:rsidRPr="00894CF8" w:rsidRDefault="00894CF8" w:rsidP="00894CF8">
      <w:pPr>
        <w:jc w:val="both"/>
        <w:rPr>
          <w:color w:val="000000" w:themeColor="text1"/>
        </w:rPr>
      </w:pPr>
    </w:p>
    <w:p w14:paraId="65E76C61" w14:textId="77777777" w:rsidR="00894CF8" w:rsidRPr="00894CF8" w:rsidRDefault="00894CF8" w:rsidP="00894CF8">
      <w:pPr>
        <w:ind w:firstLine="360"/>
        <w:jc w:val="both"/>
        <w:rPr>
          <w:color w:val="000000" w:themeColor="text1"/>
        </w:rPr>
      </w:pPr>
      <w:r w:rsidRPr="00894CF8">
        <w:rPr>
          <w:color w:val="000000" w:themeColor="text1"/>
        </w:rPr>
        <w:t>From these preliminary results on the use of additional solvent in the hydroacylation reaction it is difficult to envision an efficient intermolecular DODH/hydroxylation reaction with these hydroacylation reaction conditions. To overcome this problem</w:t>
      </w:r>
      <w:r w:rsidR="00B22281">
        <w:rPr>
          <w:color w:val="000000" w:themeColor="text1"/>
        </w:rPr>
        <w:t xml:space="preserve"> we could study a different </w:t>
      </w:r>
      <w:r w:rsidRPr="00894CF8">
        <w:rPr>
          <w:color w:val="000000" w:themeColor="text1"/>
        </w:rPr>
        <w:t>hydroacylation catalyst. Indeed rhodium and cobalt cyclopentadiene complexes have been reported to be efficient for the hydroacylation of 1:1 ratio of alkene to aldehyde using toluene as solvent</w:t>
      </w:r>
      <w:r w:rsidR="00EB4E40">
        <w:rPr>
          <w:color w:val="000000" w:themeColor="text1"/>
        </w:rPr>
        <w:t xml:space="preserve"> (</w:t>
      </w:r>
      <w:r w:rsidR="00EB4E40">
        <w:rPr>
          <w:color w:val="000000" w:themeColor="text1"/>
        </w:rPr>
        <w:fldChar w:fldCharType="begin"/>
      </w:r>
      <w:r w:rsidR="00EB4E40">
        <w:rPr>
          <w:color w:val="000000" w:themeColor="text1"/>
        </w:rPr>
        <w:instrText xml:space="preserve"> REF _Ref454963321 \h </w:instrText>
      </w:r>
      <w:r w:rsidR="00EB4E40">
        <w:rPr>
          <w:color w:val="000000" w:themeColor="text1"/>
        </w:rPr>
      </w:r>
      <w:r w:rsidR="00EB4E40">
        <w:rPr>
          <w:color w:val="000000" w:themeColor="text1"/>
        </w:rPr>
        <w:fldChar w:fldCharType="separate"/>
      </w:r>
      <w:r w:rsidR="000A0E3D" w:rsidRPr="00A40A97">
        <w:t xml:space="preserve">Figure III. </w:t>
      </w:r>
      <w:r w:rsidR="000A0E3D">
        <w:rPr>
          <w:noProof/>
        </w:rPr>
        <w:t>6</w:t>
      </w:r>
      <w:r w:rsidR="000A0E3D">
        <w:t>.</w:t>
      </w:r>
      <w:r w:rsidR="000A0E3D">
        <w:rPr>
          <w:noProof/>
        </w:rPr>
        <w:t>6</w:t>
      </w:r>
      <w:r w:rsidR="00EB4E40">
        <w:rPr>
          <w:color w:val="000000" w:themeColor="text1"/>
        </w:rPr>
        <w:fldChar w:fldCharType="end"/>
      </w:r>
      <w:r w:rsidR="00EB4E40">
        <w:rPr>
          <w:color w:val="000000" w:themeColor="text1"/>
        </w:rPr>
        <w:t>)</w:t>
      </w:r>
      <w:r w:rsidRPr="00894CF8">
        <w:rPr>
          <w:color w:val="000000" w:themeColor="text1"/>
        </w:rPr>
        <w:t>.</w:t>
      </w:r>
      <w:r w:rsidRPr="00894CF8">
        <w:rPr>
          <w:color w:val="000000" w:themeColor="text1"/>
        </w:rPr>
        <w:fldChar w:fldCharType="begin"/>
      </w:r>
      <w:r w:rsidR="00E028D6">
        <w:rPr>
          <w:color w:val="000000" w:themeColor="text1"/>
        </w:rPr>
        <w:instrText xml:space="preserve"> ADDIN ZOTERO_ITEM CSL_CITATION {"citationID":"2n10keksns","properties":{"formattedCitation":"{\\rtf \\super 149\\nosupersub{}}","plainCitation":"149"},"citationItems":[{"id":1717,"uris":["http://zotero.org/users/1624234/items/NRMGXC3V"],"uri":["http://zotero.org/users/1624234/items/NRMGXC3V"],"itemData":{"id":1717,"type":"article-journal","title":"Catalytic intermolecular hydroacylation of C–C π-bonds in the absence of chelation assistance","container-title":"Chemical Science","page":"2202-2209","volume":"3","issue":"7","source":"pubs.rsc.org.ezproxy.lib.ou.edu","abstract":"Intermolecular rhodium catalyzed hydroacylation in the absence of chelation assistance remains a largely unmet challenge due to competing decarbonylation of the acylrhodium intermediates to form catalytically inactive carbonyl complexes. Here, catalytic systems for intermolecular hydroacylation in the absence of chelation assistance are reviewed, with an emphasis on recently described processes that operate through mechanistic pathways beyond aldehyde C–H oxidative addition.","DOI":"10.1039/C2SC20350B","ISSN":"2041-6539","journalAbbreviation":"Chem. Sci.","language":"en","author":[{"family":"Leung","given":"Joyce C."},{"family":"Krische","given":"Michael J."}],"issued":{"date-parts":[["2012",6,6]]}}}],"schema":"https://github.com/citation-style-language/schema/raw/master/csl-citation.json"} </w:instrText>
      </w:r>
      <w:r w:rsidRPr="00894CF8">
        <w:rPr>
          <w:color w:val="000000" w:themeColor="text1"/>
        </w:rPr>
        <w:fldChar w:fldCharType="separate"/>
      </w:r>
      <w:r w:rsidR="00E028D6" w:rsidRPr="00E028D6">
        <w:rPr>
          <w:rFonts w:ascii="Times New Roman" w:hAnsi="Times New Roman"/>
          <w:vertAlign w:val="superscript"/>
        </w:rPr>
        <w:t>149</w:t>
      </w:r>
      <w:r w:rsidRPr="00894CF8">
        <w:rPr>
          <w:color w:val="000000" w:themeColor="text1"/>
        </w:rPr>
        <w:fldChar w:fldCharType="end"/>
      </w:r>
      <w:r w:rsidRPr="00894CF8">
        <w:rPr>
          <w:color w:val="000000" w:themeColor="text1"/>
        </w:rPr>
        <w:t xml:space="preserve"> </w:t>
      </w:r>
    </w:p>
    <w:p w14:paraId="7A35B900" w14:textId="77777777" w:rsidR="002B11DB" w:rsidRDefault="00894CF8" w:rsidP="002B11DB">
      <w:pPr>
        <w:keepNext/>
        <w:jc w:val="center"/>
      </w:pPr>
      <w:r w:rsidRPr="00906A2E">
        <w:rPr>
          <w:b/>
          <w:color w:val="000000" w:themeColor="text1"/>
        </w:rPr>
        <w:object w:dxaOrig="1349" w:dyaOrig="1884" w14:anchorId="3F975F84">
          <v:shape id="_x0000_i1150" type="#_x0000_t75" style="width:66.45pt;height:92.55pt" o:ole="">
            <v:imagedata r:id="rId339" o:title=""/>
          </v:shape>
          <o:OLEObject Type="Embed" ProgID="ChemDraw.Document.6.0" ShapeID="_x0000_i1150" DrawAspect="Content" ObjectID="_1532784990" r:id="rId340"/>
        </w:object>
      </w:r>
    </w:p>
    <w:p w14:paraId="7A072730" w14:textId="77777777" w:rsidR="00894CF8" w:rsidRPr="00A40A97" w:rsidRDefault="002B11DB" w:rsidP="00A40A97">
      <w:pPr>
        <w:pStyle w:val="Caption"/>
      </w:pPr>
      <w:bookmarkStart w:id="344" w:name="_Ref454963321"/>
      <w:bookmarkStart w:id="345" w:name="_Toc457670762"/>
      <w:r w:rsidRPr="00A40A97">
        <w:t xml:space="preserve">Figure III. </w:t>
      </w:r>
      <w:r w:rsidR="00443010">
        <w:fldChar w:fldCharType="begin"/>
      </w:r>
      <w:r w:rsidR="00443010">
        <w:instrText xml:space="preserve"> STYLEREF 2 \s </w:instrText>
      </w:r>
      <w:r w:rsidR="00443010">
        <w:fldChar w:fldCharType="separate"/>
      </w:r>
      <w:r w:rsidR="000A0E3D">
        <w:rPr>
          <w:noProof/>
        </w:rPr>
        <w:t>6</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6</w:t>
      </w:r>
      <w:r w:rsidR="00443010">
        <w:rPr>
          <w:noProof/>
        </w:rPr>
        <w:fldChar w:fldCharType="end"/>
      </w:r>
      <w:bookmarkEnd w:id="344"/>
      <w:r w:rsidRPr="00A40A97">
        <w:t xml:space="preserve"> </w:t>
      </w:r>
      <w:r w:rsidR="00894CF8" w:rsidRPr="00A40A97">
        <w:t>Hydroacylation catalyst</w:t>
      </w:r>
      <w:bookmarkEnd w:id="345"/>
    </w:p>
    <w:p w14:paraId="7F7755BE" w14:textId="77777777" w:rsidR="00894CF8" w:rsidRPr="00894CF8" w:rsidRDefault="00894CF8" w:rsidP="002B11DB"/>
    <w:p w14:paraId="20215D3A" w14:textId="77777777" w:rsidR="00894CF8" w:rsidRPr="002B11DB" w:rsidRDefault="00894CF8" w:rsidP="000351A7">
      <w:pPr>
        <w:pStyle w:val="Heading3"/>
      </w:pPr>
      <w:bookmarkStart w:id="346" w:name="_Toc458938329"/>
      <w:r w:rsidRPr="002B11DB">
        <w:t>Intramolecular DODH/Hydroacylation</w:t>
      </w:r>
      <w:bookmarkEnd w:id="346"/>
    </w:p>
    <w:p w14:paraId="3B022FA5" w14:textId="77777777" w:rsidR="00894CF8" w:rsidRPr="00894CF8" w:rsidRDefault="00894CF8" w:rsidP="001474E0">
      <w:pPr>
        <w:ind w:firstLine="360"/>
        <w:jc w:val="both"/>
        <w:rPr>
          <w:color w:val="000000" w:themeColor="text1"/>
        </w:rPr>
      </w:pPr>
      <w:r w:rsidRPr="00894CF8">
        <w:rPr>
          <w:color w:val="000000" w:themeColor="text1"/>
        </w:rPr>
        <w:t>From our observations in the study of intermolecular hydroacylation we imagined a way to bypass some of the obstacles and limitations of the hydroacylation reaction by making the reaction intramolecular. The intramolecular version should compensate for the unfavorable entropy change of the intermolecular reaction. In fact the intramolecular hydroacylation has been more widely studied and could provide more options for reaction conditions and s</w:t>
      </w:r>
      <w:r w:rsidR="00906A2E">
        <w:rPr>
          <w:color w:val="000000" w:themeColor="text1"/>
        </w:rPr>
        <w:t>h</w:t>
      </w:r>
      <w:r w:rsidRPr="00894CF8">
        <w:rPr>
          <w:color w:val="000000" w:themeColor="text1"/>
        </w:rPr>
        <w:t>ould allow us to avoid the use of a large excess of one of the reagents.</w:t>
      </w:r>
    </w:p>
    <w:p w14:paraId="5DEAA1E9" w14:textId="77777777" w:rsidR="002B11DB" w:rsidRDefault="00894CF8" w:rsidP="002B11DB">
      <w:pPr>
        <w:keepNext/>
        <w:jc w:val="center"/>
      </w:pPr>
      <w:r w:rsidRPr="00894CF8">
        <w:rPr>
          <w:color w:val="000000" w:themeColor="text1"/>
        </w:rPr>
        <w:object w:dxaOrig="10053" w:dyaOrig="3141" w14:anchorId="2D382E03">
          <v:shape id="_x0000_i1151" type="#_x0000_t75" style="width:375.8pt;height:117.9pt" o:ole="">
            <v:imagedata r:id="rId341" o:title=""/>
          </v:shape>
          <o:OLEObject Type="Embed" ProgID="ChemDraw.Document.6.0" ShapeID="_x0000_i1151" DrawAspect="Content" ObjectID="_1532784991" r:id="rId342"/>
        </w:object>
      </w:r>
    </w:p>
    <w:p w14:paraId="0D5240BD" w14:textId="77777777" w:rsidR="00894CF8" w:rsidRPr="00A40A97" w:rsidRDefault="002B11DB" w:rsidP="00A40A97">
      <w:pPr>
        <w:pStyle w:val="Caption"/>
      </w:pPr>
      <w:bookmarkStart w:id="347" w:name="_Ref454963350"/>
      <w:bookmarkStart w:id="348" w:name="_Toc457670763"/>
      <w:r w:rsidRPr="00A40A97">
        <w:t xml:space="preserve">Figure III. </w:t>
      </w:r>
      <w:r w:rsidR="00443010">
        <w:fldChar w:fldCharType="begin"/>
      </w:r>
      <w:r w:rsidR="00443010">
        <w:instrText xml:space="preserve"> STYLEREF 2 \s </w:instrText>
      </w:r>
      <w:r w:rsidR="00443010">
        <w:fldChar w:fldCharType="separate"/>
      </w:r>
      <w:r w:rsidR="000A0E3D">
        <w:rPr>
          <w:noProof/>
        </w:rPr>
        <w:t>6</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7</w:t>
      </w:r>
      <w:r w:rsidR="00443010">
        <w:rPr>
          <w:noProof/>
        </w:rPr>
        <w:fldChar w:fldCharType="end"/>
      </w:r>
      <w:bookmarkEnd w:id="347"/>
      <w:r w:rsidRPr="00A40A97">
        <w:t xml:space="preserve"> </w:t>
      </w:r>
      <w:r w:rsidR="00894CF8" w:rsidRPr="00A40A97">
        <w:t>Intramolecular DODH/Hydroacylation study plan</w:t>
      </w:r>
      <w:bookmarkEnd w:id="348"/>
    </w:p>
    <w:p w14:paraId="278A4504" w14:textId="77777777" w:rsidR="00894CF8" w:rsidRPr="00894CF8" w:rsidRDefault="00894CF8" w:rsidP="00894CF8">
      <w:pPr>
        <w:jc w:val="both"/>
        <w:rPr>
          <w:b/>
          <w:color w:val="000000" w:themeColor="text1"/>
        </w:rPr>
      </w:pPr>
    </w:p>
    <w:p w14:paraId="7E866053" w14:textId="77777777" w:rsidR="002B11DB" w:rsidRDefault="00894CF8" w:rsidP="002B11DB">
      <w:pPr>
        <w:keepNext/>
        <w:jc w:val="center"/>
      </w:pPr>
      <w:r w:rsidRPr="00894CF8">
        <w:rPr>
          <w:color w:val="000000" w:themeColor="text1"/>
        </w:rPr>
        <w:object w:dxaOrig="7348" w:dyaOrig="2469" w14:anchorId="5F49EF25">
          <v:shape id="_x0000_i1152" type="#_x0000_t75" style="width:308.55pt;height:102.85pt" o:ole="">
            <v:imagedata r:id="rId343" o:title=""/>
          </v:shape>
          <o:OLEObject Type="Embed" ProgID="ChemDraw.Document.6.0" ShapeID="_x0000_i1152" DrawAspect="Content" ObjectID="_1532784992" r:id="rId344"/>
        </w:object>
      </w:r>
    </w:p>
    <w:p w14:paraId="640C3F64" w14:textId="1B12BEC2" w:rsidR="00894CF8" w:rsidRPr="001539C6" w:rsidRDefault="002B11DB" w:rsidP="001539C6">
      <w:pPr>
        <w:pStyle w:val="Caption"/>
      </w:pPr>
      <w:bookmarkStart w:id="349" w:name="_Ref454963341"/>
      <w:bookmarkStart w:id="350" w:name="_Toc457670764"/>
      <w:r w:rsidRPr="00A40A97">
        <w:t xml:space="preserve">Figure III. </w:t>
      </w:r>
      <w:r w:rsidR="00443010">
        <w:fldChar w:fldCharType="begin"/>
      </w:r>
      <w:r w:rsidR="00443010">
        <w:instrText xml:space="preserve"> STYLEREF 2 \s </w:instrText>
      </w:r>
      <w:r w:rsidR="00443010">
        <w:fldChar w:fldCharType="separate"/>
      </w:r>
      <w:r w:rsidR="000A0E3D">
        <w:rPr>
          <w:noProof/>
        </w:rPr>
        <w:t>6</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8</w:t>
      </w:r>
      <w:r w:rsidR="00443010">
        <w:rPr>
          <w:noProof/>
        </w:rPr>
        <w:fldChar w:fldCharType="end"/>
      </w:r>
      <w:bookmarkEnd w:id="349"/>
      <w:r w:rsidR="00894CF8" w:rsidRPr="00A40A97">
        <w:t xml:space="preserve"> General synthesis of compound </w:t>
      </w:r>
      <w:r w:rsidR="00894CF8" w:rsidRPr="00A40A97">
        <w:rPr>
          <w:u w:val="single"/>
        </w:rPr>
        <w:t>1</w:t>
      </w:r>
      <w:bookmarkEnd w:id="350"/>
    </w:p>
    <w:p w14:paraId="44E8C77A" w14:textId="77777777" w:rsidR="00894CF8" w:rsidRPr="00894CF8" w:rsidRDefault="00894CF8" w:rsidP="001474E0">
      <w:pPr>
        <w:ind w:firstLine="360"/>
        <w:jc w:val="both"/>
        <w:rPr>
          <w:color w:val="000000" w:themeColor="text1"/>
        </w:rPr>
      </w:pPr>
      <w:r w:rsidRPr="00894CF8">
        <w:rPr>
          <w:color w:val="000000" w:themeColor="text1"/>
        </w:rPr>
        <w:t xml:space="preserve">In order to have an intramolecular hydroacylation the DODH reaction must produce a product alkene with a formyl group in the same molecule. According to this idea we found a synthesis procedure for </w:t>
      </w:r>
      <w:r w:rsidRPr="00894CF8">
        <w:rPr>
          <w:b/>
          <w:color w:val="000000" w:themeColor="text1"/>
        </w:rPr>
        <w:t>1a</w:t>
      </w:r>
      <w:r w:rsidRPr="00894CF8">
        <w:rPr>
          <w:color w:val="000000" w:themeColor="text1"/>
        </w:rPr>
        <w:t xml:space="preserve"> (</w:t>
      </w:r>
      <w:r w:rsidR="00EB4E40">
        <w:rPr>
          <w:color w:val="000000" w:themeColor="text1"/>
        </w:rPr>
        <w:fldChar w:fldCharType="begin"/>
      </w:r>
      <w:r w:rsidR="00EB4E40">
        <w:rPr>
          <w:color w:val="000000" w:themeColor="text1"/>
        </w:rPr>
        <w:instrText xml:space="preserve"> REF _Ref454963341 \h </w:instrText>
      </w:r>
      <w:r w:rsidR="00EB4E40">
        <w:rPr>
          <w:color w:val="000000" w:themeColor="text1"/>
        </w:rPr>
      </w:r>
      <w:r w:rsidR="00EB4E40">
        <w:rPr>
          <w:color w:val="000000" w:themeColor="text1"/>
        </w:rPr>
        <w:fldChar w:fldCharType="separate"/>
      </w:r>
      <w:r w:rsidR="000A0E3D" w:rsidRPr="00A40A97">
        <w:t xml:space="preserve">Figure III. </w:t>
      </w:r>
      <w:r w:rsidR="000A0E3D">
        <w:rPr>
          <w:noProof/>
        </w:rPr>
        <w:t>6</w:t>
      </w:r>
      <w:r w:rsidR="000A0E3D">
        <w:t>.</w:t>
      </w:r>
      <w:r w:rsidR="000A0E3D">
        <w:rPr>
          <w:noProof/>
        </w:rPr>
        <w:t>8</w:t>
      </w:r>
      <w:r w:rsidR="00EB4E40">
        <w:rPr>
          <w:color w:val="000000" w:themeColor="text1"/>
        </w:rPr>
        <w:fldChar w:fldCharType="end"/>
      </w:r>
      <w:r w:rsidRPr="00894CF8">
        <w:rPr>
          <w:color w:val="000000" w:themeColor="text1"/>
        </w:rPr>
        <w:t>)</w:t>
      </w:r>
      <w:r w:rsidRPr="00894CF8">
        <w:rPr>
          <w:color w:val="000000" w:themeColor="text1"/>
        </w:rPr>
        <w:fldChar w:fldCharType="begin"/>
      </w:r>
      <w:r w:rsidR="00E028D6">
        <w:rPr>
          <w:color w:val="000000" w:themeColor="text1"/>
        </w:rPr>
        <w:instrText xml:space="preserve"> ADDIN ZOTERO_ITEM CSL_CITATION {"citationID":"v940gg3ll","properties":{"formattedCitation":"{\\rtf \\super 158\\nosupersub{}}","plainCitation":"158"},"citationItems":[{"id":1736,"uris":["http://zotero.org/users/1624234/items/WVPUJR5W"],"uri":["http://zotero.org/users/1624234/items/WVPUJR5W"],"itemData":{"id":1736,"type":"article-journal","title":"Catalysis through Temporary Intramolecularity: Mechanistic Investigations on Aldehyde-Catalyzed Cope-type Hydroamination Lead to the Discovery of a More Efficient Tethering Catalyst","container-title":"Journal of the American Chemical Society","page":"16571-16577","volume":"134","issue":"40","source":"ACS Publications","abstract":"Mechanistic investigations on the aldehyde-catalyzed intermolecular hydroamination of allylic amines using N-alkylhydroxylamines are presented. Under the reaction conditions, the presence of a specific aldehyde catalyst allows formation of a mixed aminal intermediate, which permits intramolecular Cope-type hydroamination. The reaction was determined to be first-order in both the aldehyde catalyst (α-benzyloxyacetaldehyde) and the allylic amine. However, the reaction displays an inverse order behavior in benzylhydroxylamine, which reveals a significant off-cycle pathway and highlights the importance of an aldehyde catalyst that promotes a reversible aminal formation. Kinetic isotope effect experiments suggest that hydroamination is the rate-limiting step of this catalytic cycle. Overall, these results enabled the elaboration of a more accurate catalytic cycle and led to the development of a more efficient catalytic system for alkene hydroamination. The use of 5–10 mol % of paraformaldehyde proved more effective than the use of 20 mol % of α-benzyloxyacetaldehyde, leading to high yields of intermolecular hydroamination products within 24 h at 30 °C.","DOI":"10.1021/ja303320x","ISSN":"0002-7863","shortTitle":"Catalysis through Temporary Intramolecularity","journalAbbreviation":"J. Am. Chem. Soc.","author":[{"family":"Guimond","given":"Nicolas"},{"family":"MacDonald","given":"Melissa J."},{"family":"Lemieux","given":"Valérie"},{"family":"Beauchemin","given":"André M."}],"issued":{"date-parts":[["2012",10,10]]}}}],"schema":"https://github.com/citation-style-language/schema/raw/master/csl-citation.json"} </w:instrText>
      </w:r>
      <w:r w:rsidRPr="00894CF8">
        <w:rPr>
          <w:color w:val="000000" w:themeColor="text1"/>
        </w:rPr>
        <w:fldChar w:fldCharType="separate"/>
      </w:r>
      <w:r w:rsidR="00E028D6" w:rsidRPr="00E028D6">
        <w:rPr>
          <w:rFonts w:ascii="Times New Roman" w:hAnsi="Times New Roman"/>
          <w:vertAlign w:val="superscript"/>
        </w:rPr>
        <w:t>158</w:t>
      </w:r>
      <w:r w:rsidRPr="00894CF8">
        <w:rPr>
          <w:color w:val="000000" w:themeColor="text1"/>
        </w:rPr>
        <w:fldChar w:fldCharType="end"/>
      </w:r>
      <w:r w:rsidRPr="00894CF8">
        <w:rPr>
          <w:color w:val="000000" w:themeColor="text1"/>
        </w:rPr>
        <w:t xml:space="preserve"> and planned the synthesis of </w:t>
      </w:r>
      <w:r w:rsidRPr="00894CF8">
        <w:rPr>
          <w:b/>
          <w:color w:val="000000" w:themeColor="text1"/>
        </w:rPr>
        <w:t>1b</w:t>
      </w:r>
      <w:r w:rsidRPr="00894CF8">
        <w:rPr>
          <w:color w:val="000000" w:themeColor="text1"/>
        </w:rPr>
        <w:t xml:space="preserve"> and </w:t>
      </w:r>
      <w:r w:rsidRPr="00894CF8">
        <w:rPr>
          <w:b/>
          <w:color w:val="000000" w:themeColor="text1"/>
        </w:rPr>
        <w:t>1c</w:t>
      </w:r>
      <w:r w:rsidRPr="00894CF8">
        <w:rPr>
          <w:color w:val="000000" w:themeColor="text1"/>
        </w:rPr>
        <w:t xml:space="preserve"> (</w:t>
      </w:r>
      <w:r w:rsidR="00EB4E40">
        <w:rPr>
          <w:color w:val="000000" w:themeColor="text1"/>
        </w:rPr>
        <w:fldChar w:fldCharType="begin"/>
      </w:r>
      <w:r w:rsidR="00EB4E40">
        <w:rPr>
          <w:color w:val="000000" w:themeColor="text1"/>
        </w:rPr>
        <w:instrText xml:space="preserve"> REF _Ref454963350 \h </w:instrText>
      </w:r>
      <w:r w:rsidR="00EB4E40">
        <w:rPr>
          <w:color w:val="000000" w:themeColor="text1"/>
        </w:rPr>
      </w:r>
      <w:r w:rsidR="00EB4E40">
        <w:rPr>
          <w:color w:val="000000" w:themeColor="text1"/>
        </w:rPr>
        <w:fldChar w:fldCharType="separate"/>
      </w:r>
      <w:r w:rsidR="000A0E3D" w:rsidRPr="00A40A97">
        <w:t xml:space="preserve">Figure III. </w:t>
      </w:r>
      <w:r w:rsidR="000A0E3D">
        <w:rPr>
          <w:noProof/>
        </w:rPr>
        <w:t>6</w:t>
      </w:r>
      <w:r w:rsidR="000A0E3D">
        <w:t>.</w:t>
      </w:r>
      <w:r w:rsidR="000A0E3D">
        <w:rPr>
          <w:noProof/>
        </w:rPr>
        <w:t>7</w:t>
      </w:r>
      <w:r w:rsidR="00EB4E40">
        <w:rPr>
          <w:color w:val="000000" w:themeColor="text1"/>
        </w:rPr>
        <w:fldChar w:fldCharType="end"/>
      </w:r>
      <w:r w:rsidRPr="00894CF8">
        <w:rPr>
          <w:color w:val="000000" w:themeColor="text1"/>
        </w:rPr>
        <w:t xml:space="preserve">) neither of which had been prepared before. First we carried out the synthesis of </w:t>
      </w:r>
      <w:r w:rsidRPr="00894CF8">
        <w:rPr>
          <w:b/>
          <w:color w:val="000000" w:themeColor="text1"/>
        </w:rPr>
        <w:t>1b</w:t>
      </w:r>
      <w:r w:rsidRPr="00894CF8">
        <w:rPr>
          <w:color w:val="000000" w:themeColor="text1"/>
        </w:rPr>
        <w:t xml:space="preserve"> starting from salicylaldehyde (</w:t>
      </w:r>
      <w:r w:rsidRPr="00894CF8">
        <w:rPr>
          <w:b/>
          <w:color w:val="000000" w:themeColor="text1"/>
        </w:rPr>
        <w:t>4b</w:t>
      </w:r>
      <w:r w:rsidRPr="00894CF8">
        <w:rPr>
          <w:color w:val="000000" w:themeColor="text1"/>
        </w:rPr>
        <w:t xml:space="preserve">, </w:t>
      </w:r>
      <w:r w:rsidR="00EB4E40">
        <w:rPr>
          <w:color w:val="000000" w:themeColor="text1"/>
        </w:rPr>
        <w:fldChar w:fldCharType="begin"/>
      </w:r>
      <w:r w:rsidR="00EB4E40">
        <w:rPr>
          <w:color w:val="000000" w:themeColor="text1"/>
        </w:rPr>
        <w:instrText xml:space="preserve"> REF _Ref454963341 \h </w:instrText>
      </w:r>
      <w:r w:rsidR="00EB4E40">
        <w:rPr>
          <w:color w:val="000000" w:themeColor="text1"/>
        </w:rPr>
      </w:r>
      <w:r w:rsidR="00EB4E40">
        <w:rPr>
          <w:color w:val="000000" w:themeColor="text1"/>
        </w:rPr>
        <w:fldChar w:fldCharType="separate"/>
      </w:r>
      <w:r w:rsidR="000A0E3D" w:rsidRPr="00A40A97">
        <w:t xml:space="preserve">Figure III. </w:t>
      </w:r>
      <w:r w:rsidR="000A0E3D">
        <w:rPr>
          <w:noProof/>
        </w:rPr>
        <w:t>6</w:t>
      </w:r>
      <w:r w:rsidR="000A0E3D">
        <w:t>.</w:t>
      </w:r>
      <w:r w:rsidR="000A0E3D">
        <w:rPr>
          <w:noProof/>
        </w:rPr>
        <w:t>8</w:t>
      </w:r>
      <w:r w:rsidR="00EB4E40">
        <w:rPr>
          <w:color w:val="000000" w:themeColor="text1"/>
        </w:rPr>
        <w:fldChar w:fldCharType="end"/>
      </w:r>
      <w:r w:rsidRPr="00894CF8">
        <w:rPr>
          <w:color w:val="000000" w:themeColor="text1"/>
        </w:rPr>
        <w:t xml:space="preserve">) as reported for phenol itself (80% yield). Then we ran the DODH reaction of </w:t>
      </w:r>
      <w:r w:rsidRPr="00894CF8">
        <w:rPr>
          <w:b/>
          <w:color w:val="000000" w:themeColor="text1"/>
        </w:rPr>
        <w:t>1b</w:t>
      </w:r>
      <w:r w:rsidRPr="00894CF8">
        <w:rPr>
          <w:color w:val="000000" w:themeColor="text1"/>
        </w:rPr>
        <w:t xml:space="preserve"> using benzyl alcohol as reducing agent (</w:t>
      </w:r>
      <w:r w:rsidR="00EB4E40">
        <w:rPr>
          <w:color w:val="000000" w:themeColor="text1"/>
        </w:rPr>
        <w:fldChar w:fldCharType="begin"/>
      </w:r>
      <w:r w:rsidR="00EB4E40">
        <w:rPr>
          <w:color w:val="000000" w:themeColor="text1"/>
        </w:rPr>
        <w:instrText xml:space="preserve"> REF _Ref454963366 \h </w:instrText>
      </w:r>
      <w:r w:rsidR="00EB4E40">
        <w:rPr>
          <w:color w:val="000000" w:themeColor="text1"/>
        </w:rPr>
      </w:r>
      <w:r w:rsidR="00EB4E40">
        <w:rPr>
          <w:color w:val="000000" w:themeColor="text1"/>
        </w:rPr>
        <w:fldChar w:fldCharType="separate"/>
      </w:r>
      <w:r w:rsidR="000A0E3D" w:rsidRPr="00A40A97">
        <w:t xml:space="preserve">Figure III. </w:t>
      </w:r>
      <w:r w:rsidR="000A0E3D">
        <w:rPr>
          <w:noProof/>
        </w:rPr>
        <w:t>6</w:t>
      </w:r>
      <w:r w:rsidR="000A0E3D">
        <w:t>.</w:t>
      </w:r>
      <w:r w:rsidR="000A0E3D">
        <w:rPr>
          <w:noProof/>
        </w:rPr>
        <w:t>9</w:t>
      </w:r>
      <w:r w:rsidR="00EB4E40">
        <w:rPr>
          <w:color w:val="000000" w:themeColor="text1"/>
        </w:rPr>
        <w:fldChar w:fldCharType="end"/>
      </w:r>
      <w:r w:rsidRPr="00894CF8">
        <w:rPr>
          <w:color w:val="000000" w:themeColor="text1"/>
        </w:rPr>
        <w:t xml:space="preserve">) under the usual conditions. </w:t>
      </w:r>
      <w:r w:rsidRPr="00894CF8">
        <w:rPr>
          <w:color w:val="000000" w:themeColor="text1"/>
          <w:vertAlign w:val="superscript"/>
        </w:rPr>
        <w:t>1</w:t>
      </w:r>
      <w:r w:rsidRPr="00894CF8">
        <w:rPr>
          <w:color w:val="000000" w:themeColor="text1"/>
        </w:rPr>
        <w:t xml:space="preserve">H NMR analysis of this reaction mixture did not indicate the presence of any allylic benzaldehyde product </w:t>
      </w:r>
      <w:r w:rsidRPr="00894CF8">
        <w:rPr>
          <w:b/>
          <w:color w:val="000000" w:themeColor="text1"/>
        </w:rPr>
        <w:t>2.</w:t>
      </w:r>
      <w:r w:rsidRPr="00894CF8">
        <w:rPr>
          <w:color w:val="000000" w:themeColor="text1"/>
        </w:rPr>
        <w:t xml:space="preserve"> Instead, we detected the formation of a cyclic acetal </w:t>
      </w:r>
      <w:r w:rsidRPr="00894CF8">
        <w:rPr>
          <w:b/>
          <w:color w:val="000000" w:themeColor="text1"/>
        </w:rPr>
        <w:t>5</w:t>
      </w:r>
      <w:r w:rsidRPr="00894CF8">
        <w:rPr>
          <w:color w:val="000000" w:themeColor="text1"/>
        </w:rPr>
        <w:t xml:space="preserve"> (singlet at 6.3 ppm) resulting from an intramolecular reaction. This product is not too surprising since the DODH catalyst, ammonium perrhenate, is acidic and in the past we have detected acetal formation under these conditions.</w:t>
      </w:r>
      <w:r w:rsidRPr="00894CF8">
        <w:rPr>
          <w:color w:val="000000" w:themeColor="text1"/>
        </w:rPr>
        <w:fldChar w:fldCharType="begin"/>
      </w:r>
      <w:r>
        <w:rPr>
          <w:color w:val="000000" w:themeColor="text1"/>
        </w:rPr>
        <w:instrText xml:space="preserve"> ADDIN ZOTERO_ITEM CSL_CITATION {"citationID":"2kkod8qhov","properties":{"formattedCitation":"{\\rtf \\super 46\\nosupersub{}}","plainCitation":"46"},"citationItems":[{"id":435,"uris":["http://zotero.org/users/1624234/items/VS4SE8DS"],"uri":["http://zotero.org/users/1624234/items/VS4SE8DS"],"itemData":{"id":435,"type":"article-journal","title":"Catalytic Deoxydehydration of Glycols with Alcohol Reductants","container-title":"ChemSusChem","page":"597-599","volume":"6","issue":"4","source":"CrossRef","DOI":"10.1002/cssc.201200781","ISSN":"18645631","author":[{"family":"Boucher-Jacobs","given":"Camille"},{"family":"Nicholas","given":"Kenneth M."}],"issued":{"date-parts":[["2013",4]]}}}],"schema":"https://github.com/citation-style-language/schema/raw/master/csl-citation.json"} </w:instrText>
      </w:r>
      <w:r w:rsidRPr="00894CF8">
        <w:rPr>
          <w:color w:val="000000" w:themeColor="text1"/>
        </w:rPr>
        <w:fldChar w:fldCharType="separate"/>
      </w:r>
      <w:r w:rsidRPr="00894CF8">
        <w:rPr>
          <w:rFonts w:ascii="Times New Roman" w:hAnsi="Times New Roman"/>
          <w:vertAlign w:val="superscript"/>
        </w:rPr>
        <w:t>46</w:t>
      </w:r>
      <w:r w:rsidRPr="00894CF8">
        <w:rPr>
          <w:color w:val="000000" w:themeColor="text1"/>
        </w:rPr>
        <w:fldChar w:fldCharType="end"/>
      </w:r>
      <w:r w:rsidRPr="00894CF8">
        <w:rPr>
          <w:color w:val="000000" w:themeColor="text1"/>
        </w:rPr>
        <w:t xml:space="preserve"> In the same way we designed this polyol to later favor the intramolecular hydroacylation reaction from this diol, </w:t>
      </w:r>
      <w:r w:rsidRPr="00894CF8">
        <w:rPr>
          <w:b/>
          <w:color w:val="000000" w:themeColor="text1"/>
        </w:rPr>
        <w:t>1b</w:t>
      </w:r>
      <w:r w:rsidRPr="00894CF8">
        <w:rPr>
          <w:color w:val="000000" w:themeColor="text1"/>
        </w:rPr>
        <w:t>, and the acetal formation would be entropically favored as well. The formation of this acetal was reported previously.</w:t>
      </w:r>
      <w:r w:rsidRPr="00894CF8">
        <w:rPr>
          <w:color w:val="000000" w:themeColor="text1"/>
        </w:rPr>
        <w:fldChar w:fldCharType="begin"/>
      </w:r>
      <w:r w:rsidR="00E028D6">
        <w:rPr>
          <w:color w:val="000000" w:themeColor="text1"/>
        </w:rPr>
        <w:instrText xml:space="preserve"> ADDIN ZOTERO_ITEM CSL_CITATION {"citationID":"r23f0v8n9","properties":{"formattedCitation":"{\\rtf \\super 159\\nosupersub{}}","plainCitation":"159"},"citationItems":[{"id":1739,"uris":["http://zotero.org/users/1624234/items/ZGZPJKTQ"],"uri":["http://zotero.org/users/1624234/items/ZGZPJKTQ"],"itemData":{"id":1739,"type":"article-journal","title":"Study of the interaction of salicyl aldehydes with epichlorohydrin: a simple, convenient, and efficient method for the synthesis of 3,6-epoxy[1,5]dioxocines","container-title":"Tetrahedron","page":"8407-8411","volume":"65","issue":"40","source":"ScienceDirect","abstract":"An efficient synthetic method for 3,6-epoxy[1,5]dioxocines via the condensation of salicyl aldehydes and epichlorohydrin, using benzyl triethylammonium chloride as catalyst, is described. The use of neutral or electron-deficient salicyl aldehydes in all cases was found to give 3,6-epoxy[1,5]dioxocine derivatives in good yields. The structural features were resolved by IR, NMR spectroscopy, mass spectrometry, and ultimately proved by X-ray crystallographic analysis.","DOI":"10.1016/j.tet.2009.07.093","ISSN":"0040-4020","shortTitle":"Study of the interaction of salicyl aldehydes with epichlorohydrin","journalAbbreviation":"Tetrahedron","author":[{"family":"Janeliunas","given":"Dainius"},{"family":"Daskeviciene","given":"Maryte"},{"family":"Malinauskas","given":"Tadas"},{"family":"Getautis","given":"Vytautas"}],"issued":{"date-parts":[["2009",10,3]]}}}],"schema":"https://github.com/citation-style-language/schema/raw/master/csl-citation.json"} </w:instrText>
      </w:r>
      <w:r w:rsidRPr="00894CF8">
        <w:rPr>
          <w:color w:val="000000" w:themeColor="text1"/>
        </w:rPr>
        <w:fldChar w:fldCharType="separate"/>
      </w:r>
      <w:r w:rsidR="00E028D6" w:rsidRPr="00E028D6">
        <w:rPr>
          <w:rFonts w:ascii="Times New Roman" w:hAnsi="Times New Roman"/>
          <w:vertAlign w:val="superscript"/>
        </w:rPr>
        <w:t>159</w:t>
      </w:r>
      <w:r w:rsidRPr="00894CF8">
        <w:rPr>
          <w:color w:val="000000" w:themeColor="text1"/>
        </w:rPr>
        <w:fldChar w:fldCharType="end"/>
      </w:r>
      <w:r w:rsidRPr="00894CF8">
        <w:rPr>
          <w:color w:val="000000" w:themeColor="text1"/>
        </w:rPr>
        <w:t xml:space="preserve"> </w:t>
      </w:r>
    </w:p>
    <w:p w14:paraId="31397F98" w14:textId="77777777" w:rsidR="00894CF8" w:rsidRPr="00894CF8" w:rsidRDefault="00894CF8" w:rsidP="00894CF8">
      <w:pPr>
        <w:jc w:val="both"/>
        <w:rPr>
          <w:color w:val="000000" w:themeColor="text1"/>
        </w:rPr>
      </w:pPr>
    </w:p>
    <w:p w14:paraId="05E0AFC2" w14:textId="77777777" w:rsidR="002B11DB" w:rsidRDefault="00906A2E" w:rsidP="002B11DB">
      <w:pPr>
        <w:keepNext/>
        <w:jc w:val="center"/>
      </w:pPr>
      <w:r w:rsidRPr="00894CF8">
        <w:rPr>
          <w:color w:val="000000" w:themeColor="text1"/>
        </w:rPr>
        <w:object w:dxaOrig="10164" w:dyaOrig="1687" w14:anchorId="32685847">
          <v:shape id="_x0000_i1153" type="#_x0000_t75" style="width:386.1pt;height:61.7pt" o:ole="">
            <v:imagedata r:id="rId345" o:title=""/>
          </v:shape>
          <o:OLEObject Type="Embed" ProgID="ChemDraw.Document.6.0" ShapeID="_x0000_i1153" DrawAspect="Content" ObjectID="_1532784993" r:id="rId346"/>
        </w:object>
      </w:r>
    </w:p>
    <w:p w14:paraId="17C3482C" w14:textId="77777777" w:rsidR="00894CF8" w:rsidRPr="00A40A97" w:rsidRDefault="002B11DB" w:rsidP="00A40A97">
      <w:pPr>
        <w:pStyle w:val="Caption"/>
      </w:pPr>
      <w:bookmarkStart w:id="351" w:name="_Ref454963366"/>
      <w:bookmarkStart w:id="352" w:name="_Toc457670765"/>
      <w:r w:rsidRPr="00A40A97">
        <w:t xml:space="preserve">Figure III. </w:t>
      </w:r>
      <w:r w:rsidR="00443010">
        <w:fldChar w:fldCharType="begin"/>
      </w:r>
      <w:r w:rsidR="00443010">
        <w:instrText xml:space="preserve"> STYLEREF 2 \s </w:instrText>
      </w:r>
      <w:r w:rsidR="00443010">
        <w:fldChar w:fldCharType="separate"/>
      </w:r>
      <w:r w:rsidR="000A0E3D">
        <w:rPr>
          <w:noProof/>
        </w:rPr>
        <w:t>6</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9</w:t>
      </w:r>
      <w:r w:rsidR="00443010">
        <w:rPr>
          <w:noProof/>
        </w:rPr>
        <w:fldChar w:fldCharType="end"/>
      </w:r>
      <w:bookmarkEnd w:id="351"/>
      <w:r w:rsidRPr="00A40A97">
        <w:t xml:space="preserve"> </w:t>
      </w:r>
      <w:r w:rsidR="00894CF8" w:rsidRPr="00A40A97">
        <w:t xml:space="preserve">DODH of </w:t>
      </w:r>
      <w:r w:rsidR="00894CF8" w:rsidRPr="00317102">
        <w:rPr>
          <w:u w:val="single"/>
        </w:rPr>
        <w:t>1b</w:t>
      </w:r>
      <w:bookmarkEnd w:id="352"/>
    </w:p>
    <w:p w14:paraId="39B47748" w14:textId="77777777" w:rsidR="00894CF8" w:rsidRPr="00894CF8" w:rsidRDefault="00894CF8" w:rsidP="00894CF8">
      <w:pPr>
        <w:jc w:val="both"/>
        <w:rPr>
          <w:b/>
          <w:color w:val="000000" w:themeColor="text1"/>
        </w:rPr>
      </w:pPr>
    </w:p>
    <w:p w14:paraId="5B50E0F1" w14:textId="77777777" w:rsidR="00894CF8" w:rsidRPr="00894CF8" w:rsidRDefault="00894CF8" w:rsidP="001474E0">
      <w:pPr>
        <w:ind w:firstLine="360"/>
        <w:jc w:val="both"/>
        <w:rPr>
          <w:color w:val="000000" w:themeColor="text1"/>
        </w:rPr>
      </w:pPr>
      <w:r w:rsidRPr="00894CF8">
        <w:rPr>
          <w:color w:val="000000" w:themeColor="text1"/>
        </w:rPr>
        <w:t xml:space="preserve">Using the procedure reported for </w:t>
      </w:r>
      <w:r w:rsidRPr="00894CF8">
        <w:rPr>
          <w:b/>
          <w:color w:val="000000" w:themeColor="text1"/>
        </w:rPr>
        <w:t>1a</w:t>
      </w:r>
      <w:r w:rsidRPr="00894CF8">
        <w:rPr>
          <w:color w:val="000000" w:themeColor="text1"/>
        </w:rPr>
        <w:t xml:space="preserve">, we then prepared </w:t>
      </w:r>
      <w:r w:rsidRPr="00894CF8">
        <w:rPr>
          <w:b/>
          <w:color w:val="000000" w:themeColor="text1"/>
        </w:rPr>
        <w:t>1c</w:t>
      </w:r>
      <w:r w:rsidRPr="00894CF8">
        <w:rPr>
          <w:color w:val="000000" w:themeColor="text1"/>
        </w:rPr>
        <w:t xml:space="preserve"> starting from salicylalcohol (</w:t>
      </w:r>
      <w:r w:rsidRPr="00894CF8">
        <w:rPr>
          <w:b/>
          <w:color w:val="000000" w:themeColor="text1"/>
        </w:rPr>
        <w:t>4c</w:t>
      </w:r>
      <w:r w:rsidRPr="00894CF8">
        <w:rPr>
          <w:color w:val="000000" w:themeColor="text1"/>
        </w:rPr>
        <w:t xml:space="preserve">, </w:t>
      </w:r>
      <w:r w:rsidR="00EB4E40">
        <w:rPr>
          <w:color w:val="000000" w:themeColor="text1"/>
        </w:rPr>
        <w:fldChar w:fldCharType="begin"/>
      </w:r>
      <w:r w:rsidR="00EB4E40">
        <w:rPr>
          <w:color w:val="000000" w:themeColor="text1"/>
        </w:rPr>
        <w:instrText xml:space="preserve"> REF _Ref454963341 \h </w:instrText>
      </w:r>
      <w:r w:rsidR="00EB4E40">
        <w:rPr>
          <w:color w:val="000000" w:themeColor="text1"/>
        </w:rPr>
      </w:r>
      <w:r w:rsidR="00EB4E40">
        <w:rPr>
          <w:color w:val="000000" w:themeColor="text1"/>
        </w:rPr>
        <w:fldChar w:fldCharType="separate"/>
      </w:r>
      <w:r w:rsidR="000A0E3D" w:rsidRPr="00A40A97">
        <w:t xml:space="preserve">Figure III. </w:t>
      </w:r>
      <w:r w:rsidR="000A0E3D">
        <w:rPr>
          <w:noProof/>
        </w:rPr>
        <w:t>6</w:t>
      </w:r>
      <w:r w:rsidR="000A0E3D">
        <w:t>.</w:t>
      </w:r>
      <w:r w:rsidR="000A0E3D">
        <w:rPr>
          <w:noProof/>
        </w:rPr>
        <w:t>8</w:t>
      </w:r>
      <w:r w:rsidR="00EB4E40">
        <w:rPr>
          <w:color w:val="000000" w:themeColor="text1"/>
        </w:rPr>
        <w:fldChar w:fldCharType="end"/>
      </w:r>
      <w:r w:rsidRPr="00894CF8">
        <w:rPr>
          <w:color w:val="000000" w:themeColor="text1"/>
        </w:rPr>
        <w:t xml:space="preserve">) (76% yield). This compound was characterized by </w:t>
      </w:r>
      <w:r w:rsidRPr="00894CF8">
        <w:rPr>
          <w:color w:val="000000" w:themeColor="text1"/>
          <w:vertAlign w:val="superscript"/>
        </w:rPr>
        <w:t>1</w:t>
      </w:r>
      <w:r w:rsidRPr="00894CF8">
        <w:rPr>
          <w:color w:val="000000" w:themeColor="text1"/>
        </w:rPr>
        <w:t xml:space="preserve">H NMR. We did not expect the benzylic hydroxyl to be reactive in this step as its pKa is about 16 vs. the pKa of the phenol is around 10 and the pKa of the conjugate acid of the base potassium hydroxide is around 15. We tested the DODH reaction of this polyol </w:t>
      </w:r>
      <w:r w:rsidRPr="00894CF8">
        <w:rPr>
          <w:b/>
          <w:color w:val="000000" w:themeColor="text1"/>
        </w:rPr>
        <w:t>1c</w:t>
      </w:r>
      <w:r w:rsidRPr="00894CF8">
        <w:rPr>
          <w:color w:val="000000" w:themeColor="text1"/>
        </w:rPr>
        <w:t xml:space="preserve"> (</w:t>
      </w:r>
      <w:r w:rsidR="00EB4E40">
        <w:rPr>
          <w:color w:val="000000" w:themeColor="text1"/>
        </w:rPr>
        <w:fldChar w:fldCharType="begin"/>
      </w:r>
      <w:r w:rsidR="00EB4E40">
        <w:rPr>
          <w:color w:val="000000" w:themeColor="text1"/>
        </w:rPr>
        <w:instrText xml:space="preserve"> REF _Ref454963392 \h </w:instrText>
      </w:r>
      <w:r w:rsidR="00EB4E40">
        <w:rPr>
          <w:color w:val="000000" w:themeColor="text1"/>
        </w:rPr>
      </w:r>
      <w:r w:rsidR="00EB4E40">
        <w:rPr>
          <w:color w:val="000000" w:themeColor="text1"/>
        </w:rPr>
        <w:fldChar w:fldCharType="separate"/>
      </w:r>
      <w:r w:rsidR="000A0E3D" w:rsidRPr="00A40A97">
        <w:t xml:space="preserve">Figure III. </w:t>
      </w:r>
      <w:r w:rsidR="000A0E3D">
        <w:rPr>
          <w:noProof/>
        </w:rPr>
        <w:t>6</w:t>
      </w:r>
      <w:r w:rsidR="000A0E3D">
        <w:t>.</w:t>
      </w:r>
      <w:r w:rsidR="000A0E3D">
        <w:rPr>
          <w:noProof/>
        </w:rPr>
        <w:t>10</w:t>
      </w:r>
      <w:r w:rsidR="00EB4E40">
        <w:rPr>
          <w:color w:val="000000" w:themeColor="text1"/>
        </w:rPr>
        <w:fldChar w:fldCharType="end"/>
      </w:r>
      <w:r w:rsidRPr="00894CF8">
        <w:rPr>
          <w:color w:val="000000" w:themeColor="text1"/>
        </w:rPr>
        <w:t>) employing the usual reaction conditions- benzene 0.2M, ammonium perrhenate (10 mol%), 150</w:t>
      </w:r>
      <w:r w:rsidRPr="00894CF8">
        <w:rPr>
          <w:color w:val="000000" w:themeColor="text1"/>
          <w:vertAlign w:val="superscript"/>
        </w:rPr>
        <w:t>o</w:t>
      </w:r>
      <w:r w:rsidRPr="00894CF8">
        <w:rPr>
          <w:color w:val="000000" w:themeColor="text1"/>
        </w:rPr>
        <w:t xml:space="preserve">C, 24h, entry </w:t>
      </w:r>
      <w:r w:rsidR="00EB4E40">
        <w:rPr>
          <w:color w:val="000000" w:themeColor="text1"/>
        </w:rPr>
        <w:t>III.6.</w:t>
      </w:r>
      <w:r w:rsidRPr="00894CF8">
        <w:rPr>
          <w:color w:val="000000" w:themeColor="text1"/>
        </w:rPr>
        <w:t xml:space="preserve">2.1. We did not observe the formation of </w:t>
      </w:r>
      <w:r w:rsidRPr="00894CF8">
        <w:rPr>
          <w:b/>
          <w:color w:val="000000" w:themeColor="text1"/>
        </w:rPr>
        <w:t>2</w:t>
      </w:r>
      <w:r w:rsidRPr="00894CF8">
        <w:rPr>
          <w:color w:val="000000" w:themeColor="text1"/>
        </w:rPr>
        <w:t xml:space="preserve">. It was difficult to estimate the conversion as </w:t>
      </w:r>
      <w:r w:rsidRPr="00894CF8">
        <w:rPr>
          <w:b/>
          <w:color w:val="000000" w:themeColor="text1"/>
        </w:rPr>
        <w:t>1c</w:t>
      </w:r>
      <w:r w:rsidRPr="00894CF8">
        <w:rPr>
          <w:color w:val="000000" w:themeColor="text1"/>
        </w:rPr>
        <w:t xml:space="preserve"> is not soluble in the reaction solvent benzene nor the NMR solvent chloroform-</w:t>
      </w:r>
      <w:r w:rsidRPr="00894CF8">
        <w:rPr>
          <w:i/>
          <w:color w:val="000000" w:themeColor="text1"/>
        </w:rPr>
        <w:t>d</w:t>
      </w:r>
      <w:r w:rsidRPr="00894CF8">
        <w:rPr>
          <w:color w:val="000000" w:themeColor="text1"/>
        </w:rPr>
        <w:t>. We then decided to run the reaction in a more polar solvent, 1-butanol, since it was previously used for the DODH of glycerol with indoline as reducing agent.</w:t>
      </w:r>
      <w:r w:rsidRPr="00894CF8">
        <w:rPr>
          <w:color w:val="000000" w:themeColor="text1"/>
        </w:rPr>
        <w:fldChar w:fldCharType="begin"/>
      </w:r>
      <w:r>
        <w:rPr>
          <w:color w:val="000000" w:themeColor="text1"/>
        </w:rPr>
        <w:instrText xml:space="preserve"> ADDIN ZOTERO_ITEM CSL_CITATION {"citationID":"919e3dems","properties":{"formattedCitation":"{\\rtf \\super 83\\nosupersub{}}","plainCitation":"83"},"citationItems":[{"id":1671,"uris":["http://zotero.org/users/1624234/items/BTSVQIK3"],"uri":["http://zotero.org/users/1624234/items/BTSVQIK3"],"itemData":{"id":1671,"type":"article-journal","title":"Oxo-Rhenium-Catalyzed Deoxydehydration of Polyols with Hydroaromatic Reductants","container-title":"Organometallics","page":"1985-1990","volume":"34","issue":"10","source":"ACS Publications","abstract":"Several dihydroaromatic compounds are shown to be effective reducing agents in the oxo-metal-catalyzed deoxydehydration of diols and polyols to produce olefins and the corresponding arenes. NH4ReO4 and MeReO3 are active catalysts for the reactions. The most effective of the hydroaromatic reductants is indoline, which is oxidized to indole. Yields for a variety of diols and polyols range from 35% to 99%. Two hydrogen donors, 1,3-cyclohexadiene and dihydroanthracene, engage in tandem DODH/cycloaddition reactions. Competition experiments show that indoline is more reactive than representative alcohols in H-transfer. Indoline is shown to reduce MeReO3 to MeReO2 via an isolable adduct, MeReO3(indoline) (4), which has been structurally characterized and is suggested to be an intermediate in the catalytic DODH process.","DOI":"10.1021/acs.organomet.5b00226","ISSN":"0276-7333","journalAbbreviation":"Organometallics","author":[{"family":"Boucher-Jacobs","given":"Camille"},{"family":"Nicholas","given":"Kenneth M."}],"issued":{"date-parts":[["2015",5,26]]}}}],"schema":"https://github.com/citation-style-language/schema/raw/master/csl-citation.json"} </w:instrText>
      </w:r>
      <w:r w:rsidRPr="00894CF8">
        <w:rPr>
          <w:color w:val="000000" w:themeColor="text1"/>
        </w:rPr>
        <w:fldChar w:fldCharType="separate"/>
      </w:r>
      <w:r w:rsidRPr="00894CF8">
        <w:rPr>
          <w:rFonts w:ascii="Times New Roman" w:hAnsi="Times New Roman"/>
          <w:vertAlign w:val="superscript"/>
        </w:rPr>
        <w:t>83</w:t>
      </w:r>
      <w:r w:rsidRPr="00894CF8">
        <w:rPr>
          <w:color w:val="000000" w:themeColor="text1"/>
        </w:rPr>
        <w:fldChar w:fldCharType="end"/>
      </w:r>
      <w:r w:rsidRPr="00894CF8">
        <w:rPr>
          <w:color w:val="000000" w:themeColor="text1"/>
        </w:rPr>
        <w:t xml:space="preserve"> For this reaction in 1-butanol we used methyl trioxorhenium (10 mol%) as the catalyst at 150</w:t>
      </w:r>
      <w:r w:rsidRPr="00894CF8">
        <w:rPr>
          <w:color w:val="000000" w:themeColor="text1"/>
          <w:vertAlign w:val="superscript"/>
        </w:rPr>
        <w:t>o</w:t>
      </w:r>
      <w:r w:rsidRPr="00894CF8">
        <w:rPr>
          <w:color w:val="000000" w:themeColor="text1"/>
        </w:rPr>
        <w:t>C for 24h; entry 2.2, the NMR spectrum in DMSO-</w:t>
      </w:r>
      <w:r w:rsidRPr="00894CF8">
        <w:rPr>
          <w:i/>
          <w:color w:val="000000" w:themeColor="text1"/>
        </w:rPr>
        <w:t>d</w:t>
      </w:r>
      <w:r w:rsidRPr="00894CF8">
        <w:rPr>
          <w:i/>
          <w:color w:val="000000" w:themeColor="text1"/>
          <w:vertAlign w:val="superscript"/>
        </w:rPr>
        <w:t>6</w:t>
      </w:r>
      <w:r w:rsidRPr="00894CF8">
        <w:rPr>
          <w:color w:val="000000" w:themeColor="text1"/>
        </w:rPr>
        <w:t xml:space="preserve">. revealed a set of signals for a terminal alkene (multiplet at 6 ppm and two doublets at 5.5 and 5.3 ppm), but no signal was present around 10 ppm for an aldehyde. However, we detected a singlet at 5.6 ppm indicative of an acetal. Apparently, the solvent 1-butanol formed an acetal with the aldehyde product. We can then conclude that the DODH of </w:t>
      </w:r>
      <w:r w:rsidRPr="00894CF8">
        <w:rPr>
          <w:b/>
          <w:color w:val="000000" w:themeColor="text1"/>
        </w:rPr>
        <w:t>1c</w:t>
      </w:r>
      <w:r w:rsidRPr="00894CF8">
        <w:rPr>
          <w:color w:val="000000" w:themeColor="text1"/>
        </w:rPr>
        <w:t xml:space="preserve"> gave about an 80% yield, but the product </w:t>
      </w:r>
      <w:r w:rsidRPr="00894CF8">
        <w:rPr>
          <w:b/>
          <w:color w:val="000000" w:themeColor="text1"/>
        </w:rPr>
        <w:t>2</w:t>
      </w:r>
      <w:r w:rsidR="00B22281">
        <w:rPr>
          <w:color w:val="000000" w:themeColor="text1"/>
        </w:rPr>
        <w:t xml:space="preserve"> formed an acetal </w:t>
      </w:r>
      <w:r w:rsidRPr="00894CF8">
        <w:rPr>
          <w:b/>
          <w:color w:val="000000" w:themeColor="text1"/>
        </w:rPr>
        <w:t>6,</w:t>
      </w:r>
      <w:r w:rsidRPr="00894CF8">
        <w:rPr>
          <w:color w:val="000000" w:themeColor="text1"/>
        </w:rPr>
        <w:t xml:space="preserve"> </w:t>
      </w:r>
      <w:r w:rsidR="00EB4E40">
        <w:rPr>
          <w:color w:val="000000" w:themeColor="text1"/>
        </w:rPr>
        <w:fldChar w:fldCharType="begin"/>
      </w:r>
      <w:r w:rsidR="00EB4E40">
        <w:rPr>
          <w:color w:val="000000" w:themeColor="text1"/>
        </w:rPr>
        <w:instrText xml:space="preserve"> REF _Ref454963403 \h </w:instrText>
      </w:r>
      <w:r w:rsidR="00EB4E40">
        <w:rPr>
          <w:color w:val="000000" w:themeColor="text1"/>
        </w:rPr>
      </w:r>
      <w:r w:rsidR="00EB4E40">
        <w:rPr>
          <w:color w:val="000000" w:themeColor="text1"/>
        </w:rPr>
        <w:fldChar w:fldCharType="separate"/>
      </w:r>
      <w:r w:rsidR="000A0E3D" w:rsidRPr="00A40A97">
        <w:t xml:space="preserve">Figure III. </w:t>
      </w:r>
      <w:r w:rsidR="000A0E3D">
        <w:rPr>
          <w:noProof/>
        </w:rPr>
        <w:t>6</w:t>
      </w:r>
      <w:r w:rsidR="000A0E3D">
        <w:t>.</w:t>
      </w:r>
      <w:r w:rsidR="000A0E3D">
        <w:rPr>
          <w:noProof/>
        </w:rPr>
        <w:t>11</w:t>
      </w:r>
      <w:r w:rsidR="00EB4E40">
        <w:rPr>
          <w:color w:val="000000" w:themeColor="text1"/>
        </w:rPr>
        <w:fldChar w:fldCharType="end"/>
      </w:r>
      <w:r w:rsidR="00B22281">
        <w:rPr>
          <w:color w:val="000000" w:themeColor="text1"/>
        </w:rPr>
        <w:t>,</w:t>
      </w:r>
      <w:r w:rsidRPr="00894CF8">
        <w:rPr>
          <w:color w:val="000000" w:themeColor="text1"/>
        </w:rPr>
        <w:t xml:space="preserve"> with the solvent. Since we are studying this polyol in order to use it in a tandem DODH/Hydroacylation reaction, the conversion of the aldehyde to acetal would not allow the hydroacylation step of the tandem reaction. In an attempt to have a suitable solvent for the DODH of the polyol </w:t>
      </w:r>
      <w:r w:rsidRPr="00894CF8">
        <w:rPr>
          <w:b/>
          <w:color w:val="000000" w:themeColor="text1"/>
        </w:rPr>
        <w:t>1c</w:t>
      </w:r>
      <w:r w:rsidRPr="00894CF8">
        <w:rPr>
          <w:color w:val="000000" w:themeColor="text1"/>
        </w:rPr>
        <w:t xml:space="preserve"> we tested 1,2-dimethoxy ethane. Matt Slief, an undergraduate student in our laboratory, briefly studied this solvent for the DODH of polyols such as xylitol with some limited success (~20% yield of diene). In the DODH of </w:t>
      </w:r>
      <w:r w:rsidRPr="00894CF8">
        <w:rPr>
          <w:b/>
          <w:color w:val="000000" w:themeColor="text1"/>
        </w:rPr>
        <w:t>1c</w:t>
      </w:r>
      <w:r w:rsidRPr="00894CF8">
        <w:rPr>
          <w:color w:val="000000" w:themeColor="text1"/>
        </w:rPr>
        <w:t xml:space="preserve"> in 1,2-dimethoxy ethane (0.3M), 10 mol % ammonium perrhenate, 150</w:t>
      </w:r>
      <w:r w:rsidRPr="00894CF8">
        <w:rPr>
          <w:color w:val="000000" w:themeColor="text1"/>
          <w:vertAlign w:val="superscript"/>
        </w:rPr>
        <w:t>o</w:t>
      </w:r>
      <w:r w:rsidRPr="00894CF8">
        <w:rPr>
          <w:color w:val="000000" w:themeColor="text1"/>
        </w:rPr>
        <w:t xml:space="preserve">C , 24h; entry </w:t>
      </w:r>
      <w:r w:rsidR="00EB4E40">
        <w:rPr>
          <w:color w:val="000000" w:themeColor="text1"/>
        </w:rPr>
        <w:t>III.6.</w:t>
      </w:r>
      <w:r w:rsidRPr="00894CF8">
        <w:rPr>
          <w:color w:val="000000" w:themeColor="text1"/>
        </w:rPr>
        <w:t xml:space="preserve">2.3, we could detect a small amount of allylic product (&lt;10 % yield), but no signal was detected for an aldehyde. </w:t>
      </w:r>
    </w:p>
    <w:p w14:paraId="48D26AF2" w14:textId="77777777" w:rsidR="002B11DB" w:rsidRDefault="00906A2E" w:rsidP="002B11DB">
      <w:pPr>
        <w:keepNext/>
        <w:jc w:val="center"/>
      </w:pPr>
      <w:r w:rsidRPr="00894CF8">
        <w:rPr>
          <w:color w:val="000000" w:themeColor="text1"/>
        </w:rPr>
        <w:object w:dxaOrig="6266" w:dyaOrig="1541" w14:anchorId="680F5C9B">
          <v:shape id="_x0000_i1154" type="#_x0000_t75" style="width:293.55pt;height:1in" o:ole="">
            <v:imagedata r:id="rId347" o:title=""/>
          </v:shape>
          <o:OLEObject Type="Embed" ProgID="ChemDraw.Document.6.0" ShapeID="_x0000_i1154" DrawAspect="Content" ObjectID="_1532784994" r:id="rId348"/>
        </w:object>
      </w:r>
    </w:p>
    <w:p w14:paraId="4B5DA73F" w14:textId="77777777" w:rsidR="00894CF8" w:rsidRPr="00A40A97" w:rsidRDefault="002B11DB" w:rsidP="00A40A97">
      <w:pPr>
        <w:pStyle w:val="Caption"/>
      </w:pPr>
      <w:bookmarkStart w:id="353" w:name="_Ref454963392"/>
      <w:bookmarkStart w:id="354" w:name="_Toc457670766"/>
      <w:r w:rsidRPr="00A40A97">
        <w:t xml:space="preserve">Figure III. </w:t>
      </w:r>
      <w:r w:rsidR="00443010">
        <w:fldChar w:fldCharType="begin"/>
      </w:r>
      <w:r w:rsidR="00443010">
        <w:instrText xml:space="preserve"> STYLEREF 2 \s </w:instrText>
      </w:r>
      <w:r w:rsidR="00443010">
        <w:fldChar w:fldCharType="separate"/>
      </w:r>
      <w:r w:rsidR="000A0E3D">
        <w:rPr>
          <w:noProof/>
        </w:rPr>
        <w:t>6</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10</w:t>
      </w:r>
      <w:r w:rsidR="00443010">
        <w:rPr>
          <w:noProof/>
        </w:rPr>
        <w:fldChar w:fldCharType="end"/>
      </w:r>
      <w:bookmarkEnd w:id="353"/>
      <w:r w:rsidRPr="00A40A97">
        <w:t xml:space="preserve"> </w:t>
      </w:r>
      <w:r w:rsidR="00894CF8" w:rsidRPr="00A40A97">
        <w:t xml:space="preserve">DODH of </w:t>
      </w:r>
      <w:r w:rsidR="00894CF8" w:rsidRPr="00A40A97">
        <w:rPr>
          <w:u w:val="single"/>
        </w:rPr>
        <w:t>1c</w:t>
      </w:r>
      <w:bookmarkEnd w:id="354"/>
    </w:p>
    <w:p w14:paraId="62E5F3DA" w14:textId="77777777" w:rsidR="00A40A97" w:rsidRDefault="00A40A97">
      <w:pPr>
        <w:spacing w:line="240" w:lineRule="auto"/>
        <w:rPr>
          <w:b/>
          <w:bCs/>
          <w:szCs w:val="18"/>
        </w:rPr>
      </w:pPr>
    </w:p>
    <w:p w14:paraId="2AC8D57A" w14:textId="77777777" w:rsidR="00894CF8" w:rsidRPr="00EB4E40" w:rsidRDefault="00EB4E40" w:rsidP="00EB4E40">
      <w:pPr>
        <w:pStyle w:val="Caption"/>
        <w:jc w:val="both"/>
      </w:pPr>
      <w:bookmarkStart w:id="355" w:name="_Toc457670493"/>
      <w:r w:rsidRPr="00A40A97">
        <w:t xml:space="preserve">Table III. </w:t>
      </w:r>
      <w:r w:rsidR="00443010">
        <w:fldChar w:fldCharType="begin"/>
      </w:r>
      <w:r w:rsidR="00443010">
        <w:instrText xml:space="preserve"> STYLEREF 2 \s </w:instrText>
      </w:r>
      <w:r w:rsidR="00443010">
        <w:fldChar w:fldCharType="separate"/>
      </w:r>
      <w:r w:rsidR="000A0E3D">
        <w:rPr>
          <w:noProof/>
        </w:rPr>
        <w:t>6</w:t>
      </w:r>
      <w:r w:rsidR="00443010">
        <w:rPr>
          <w:noProof/>
        </w:rPr>
        <w:fldChar w:fldCharType="end"/>
      </w:r>
      <w:r w:rsidR="00E20ED7">
        <w:t>.</w:t>
      </w:r>
      <w:r w:rsidR="00443010">
        <w:fldChar w:fldCharType="begin"/>
      </w:r>
      <w:r w:rsidR="00443010">
        <w:instrText xml:space="preserve"> SEQ Table_III. \* ARABIC \s 2 </w:instrText>
      </w:r>
      <w:r w:rsidR="00443010">
        <w:fldChar w:fldCharType="separate"/>
      </w:r>
      <w:r w:rsidR="000A0E3D">
        <w:rPr>
          <w:noProof/>
        </w:rPr>
        <w:t>2</w:t>
      </w:r>
      <w:r w:rsidR="00443010">
        <w:rPr>
          <w:noProof/>
        </w:rPr>
        <w:fldChar w:fldCharType="end"/>
      </w:r>
      <w:r w:rsidRPr="00A40A97">
        <w:t xml:space="preserve"> </w:t>
      </w:r>
      <w:r w:rsidR="00894CF8" w:rsidRPr="00A40A97">
        <w:t>Reaction conditions tested on the DODH of</w:t>
      </w:r>
      <w:r w:rsidR="00894CF8" w:rsidRPr="00EB4E40">
        <w:rPr>
          <w:color w:val="000000" w:themeColor="text1"/>
        </w:rPr>
        <w:t xml:space="preserve"> </w:t>
      </w:r>
      <w:r w:rsidR="00894CF8" w:rsidRPr="00EB4E40">
        <w:rPr>
          <w:color w:val="000000" w:themeColor="text1"/>
          <w:u w:val="single"/>
        </w:rPr>
        <w:t>1c</w:t>
      </w:r>
      <w:bookmarkEnd w:id="355"/>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584"/>
        <w:gridCol w:w="1584"/>
        <w:gridCol w:w="2592"/>
        <w:gridCol w:w="1296"/>
      </w:tblGrid>
      <w:tr w:rsidR="00894CF8" w:rsidRPr="00894CF8" w14:paraId="76D0CD70" w14:textId="77777777" w:rsidTr="001539C6">
        <w:trPr>
          <w:trHeight w:val="689"/>
          <w:jc w:val="center"/>
        </w:trPr>
        <w:tc>
          <w:tcPr>
            <w:tcW w:w="1584" w:type="dxa"/>
            <w:tcBorders>
              <w:bottom w:val="single" w:sz="12" w:space="0" w:color="auto"/>
              <w:right w:val="single" w:sz="12" w:space="0" w:color="auto"/>
            </w:tcBorders>
            <w:vAlign w:val="center"/>
          </w:tcPr>
          <w:p w14:paraId="75B276A5" w14:textId="77777777" w:rsidR="00894CF8" w:rsidRPr="00894CF8" w:rsidRDefault="00894CF8" w:rsidP="001539C6">
            <w:pPr>
              <w:spacing w:line="240" w:lineRule="auto"/>
              <w:rPr>
                <w:b/>
                <w:bCs/>
                <w:color w:val="000000" w:themeColor="text1"/>
              </w:rPr>
            </w:pPr>
            <w:r w:rsidRPr="00894CF8">
              <w:rPr>
                <w:b/>
                <w:bCs/>
                <w:color w:val="000000" w:themeColor="text1"/>
              </w:rPr>
              <w:t>Entry</w:t>
            </w:r>
          </w:p>
        </w:tc>
        <w:tc>
          <w:tcPr>
            <w:tcW w:w="1584" w:type="dxa"/>
            <w:tcBorders>
              <w:left w:val="single" w:sz="12" w:space="0" w:color="auto"/>
              <w:bottom w:val="single" w:sz="12" w:space="0" w:color="auto"/>
              <w:right w:val="dotted" w:sz="4" w:space="0" w:color="808080" w:themeColor="background1" w:themeShade="80"/>
            </w:tcBorders>
            <w:vAlign w:val="center"/>
            <w:hideMark/>
          </w:tcPr>
          <w:p w14:paraId="5A7E832A" w14:textId="77777777" w:rsidR="00894CF8" w:rsidRPr="00894CF8" w:rsidRDefault="00894CF8" w:rsidP="001539C6">
            <w:pPr>
              <w:spacing w:line="240" w:lineRule="auto"/>
              <w:rPr>
                <w:color w:val="000000" w:themeColor="text1"/>
              </w:rPr>
            </w:pPr>
            <w:r w:rsidRPr="00894CF8">
              <w:rPr>
                <w:b/>
                <w:bCs/>
                <w:color w:val="000000" w:themeColor="text1"/>
              </w:rPr>
              <w:t>Catalyst</w:t>
            </w:r>
          </w:p>
        </w:tc>
        <w:tc>
          <w:tcPr>
            <w:tcW w:w="2592" w:type="dxa"/>
            <w:tcBorders>
              <w:left w:val="dotted" w:sz="4" w:space="0" w:color="808080" w:themeColor="background1" w:themeShade="80"/>
              <w:bottom w:val="single" w:sz="12" w:space="0" w:color="auto"/>
              <w:right w:val="dotted" w:sz="4" w:space="0" w:color="808080" w:themeColor="background1" w:themeShade="80"/>
            </w:tcBorders>
            <w:vAlign w:val="center"/>
            <w:hideMark/>
          </w:tcPr>
          <w:p w14:paraId="427AB966" w14:textId="77777777" w:rsidR="00894CF8" w:rsidRPr="00894CF8" w:rsidRDefault="00894CF8" w:rsidP="001539C6">
            <w:pPr>
              <w:spacing w:line="240" w:lineRule="auto"/>
              <w:rPr>
                <w:color w:val="000000" w:themeColor="text1"/>
              </w:rPr>
            </w:pPr>
            <w:r w:rsidRPr="00894CF8">
              <w:rPr>
                <w:b/>
                <w:bCs/>
                <w:color w:val="000000" w:themeColor="text1"/>
              </w:rPr>
              <w:t>Solvent</w:t>
            </w:r>
          </w:p>
        </w:tc>
        <w:tc>
          <w:tcPr>
            <w:tcW w:w="1296" w:type="dxa"/>
            <w:tcBorders>
              <w:left w:val="dotted" w:sz="4" w:space="0" w:color="808080" w:themeColor="background1" w:themeShade="80"/>
              <w:bottom w:val="single" w:sz="12" w:space="0" w:color="auto"/>
            </w:tcBorders>
            <w:vAlign w:val="center"/>
          </w:tcPr>
          <w:p w14:paraId="79276168" w14:textId="77777777" w:rsidR="00894CF8" w:rsidRPr="00894CF8" w:rsidRDefault="00894CF8" w:rsidP="001539C6">
            <w:pPr>
              <w:spacing w:line="240" w:lineRule="auto"/>
              <w:rPr>
                <w:b/>
                <w:bCs/>
                <w:color w:val="000000" w:themeColor="text1"/>
              </w:rPr>
            </w:pPr>
            <w:r w:rsidRPr="00894CF8">
              <w:rPr>
                <w:b/>
                <w:bCs/>
                <w:color w:val="000000" w:themeColor="text1"/>
              </w:rPr>
              <w:t>Yields</w:t>
            </w:r>
          </w:p>
        </w:tc>
      </w:tr>
      <w:tr w:rsidR="00894CF8" w:rsidRPr="00894CF8" w14:paraId="374628DF" w14:textId="77777777" w:rsidTr="001539C6">
        <w:trPr>
          <w:trHeight w:val="506"/>
          <w:jc w:val="center"/>
        </w:trPr>
        <w:tc>
          <w:tcPr>
            <w:tcW w:w="1584" w:type="dxa"/>
            <w:tcBorders>
              <w:top w:val="single" w:sz="12" w:space="0" w:color="auto"/>
              <w:right w:val="single" w:sz="12" w:space="0" w:color="auto"/>
            </w:tcBorders>
            <w:vAlign w:val="center"/>
          </w:tcPr>
          <w:p w14:paraId="436628DD" w14:textId="77777777" w:rsidR="00894CF8" w:rsidRPr="00894CF8" w:rsidRDefault="00EB4E40" w:rsidP="001539C6">
            <w:pPr>
              <w:spacing w:line="240" w:lineRule="auto"/>
              <w:rPr>
                <w:color w:val="000000" w:themeColor="text1"/>
              </w:rPr>
            </w:pPr>
            <w:r>
              <w:rPr>
                <w:color w:val="000000" w:themeColor="text1"/>
              </w:rPr>
              <w:t>III.6.2.1</w:t>
            </w:r>
          </w:p>
        </w:tc>
        <w:tc>
          <w:tcPr>
            <w:tcW w:w="1584" w:type="dxa"/>
            <w:tcBorders>
              <w:top w:val="single" w:sz="12" w:space="0" w:color="auto"/>
              <w:left w:val="single" w:sz="12" w:space="0" w:color="auto"/>
              <w:right w:val="dotted" w:sz="4" w:space="0" w:color="808080" w:themeColor="background1" w:themeShade="80"/>
            </w:tcBorders>
            <w:vAlign w:val="center"/>
            <w:hideMark/>
          </w:tcPr>
          <w:p w14:paraId="413A84C5" w14:textId="77777777" w:rsidR="00894CF8" w:rsidRPr="00894CF8" w:rsidRDefault="00894CF8" w:rsidP="001539C6">
            <w:pPr>
              <w:spacing w:line="240" w:lineRule="auto"/>
              <w:rPr>
                <w:color w:val="000000" w:themeColor="text1"/>
              </w:rPr>
            </w:pPr>
            <w:r w:rsidRPr="00894CF8">
              <w:rPr>
                <w:color w:val="000000" w:themeColor="text1"/>
              </w:rPr>
              <w:t>NH</w:t>
            </w:r>
            <w:r w:rsidRPr="00894CF8">
              <w:rPr>
                <w:color w:val="000000" w:themeColor="text1"/>
                <w:vertAlign w:val="subscript"/>
              </w:rPr>
              <w:t>4</w:t>
            </w:r>
            <w:r w:rsidRPr="00894CF8">
              <w:rPr>
                <w:color w:val="000000" w:themeColor="text1"/>
              </w:rPr>
              <w:t>ReO</w:t>
            </w:r>
            <w:r w:rsidRPr="00894CF8">
              <w:rPr>
                <w:color w:val="000000" w:themeColor="text1"/>
                <w:vertAlign w:val="subscript"/>
              </w:rPr>
              <w:t>4</w:t>
            </w:r>
          </w:p>
        </w:tc>
        <w:tc>
          <w:tcPr>
            <w:tcW w:w="2592" w:type="dxa"/>
            <w:tcBorders>
              <w:top w:val="single" w:sz="12" w:space="0" w:color="auto"/>
              <w:left w:val="dotted" w:sz="4" w:space="0" w:color="808080" w:themeColor="background1" w:themeShade="80"/>
              <w:right w:val="dotted" w:sz="4" w:space="0" w:color="808080" w:themeColor="background1" w:themeShade="80"/>
            </w:tcBorders>
            <w:vAlign w:val="center"/>
            <w:hideMark/>
          </w:tcPr>
          <w:p w14:paraId="7D045546" w14:textId="77777777" w:rsidR="00894CF8" w:rsidRPr="00894CF8" w:rsidRDefault="00894CF8" w:rsidP="001539C6">
            <w:pPr>
              <w:spacing w:line="240" w:lineRule="auto"/>
              <w:rPr>
                <w:color w:val="000000" w:themeColor="text1"/>
              </w:rPr>
            </w:pPr>
            <w:r w:rsidRPr="00894CF8">
              <w:rPr>
                <w:color w:val="000000" w:themeColor="text1"/>
              </w:rPr>
              <w:t>benzene</w:t>
            </w:r>
          </w:p>
        </w:tc>
        <w:tc>
          <w:tcPr>
            <w:tcW w:w="1296" w:type="dxa"/>
            <w:tcBorders>
              <w:top w:val="single" w:sz="12" w:space="0" w:color="auto"/>
              <w:left w:val="dotted" w:sz="4" w:space="0" w:color="808080" w:themeColor="background1" w:themeShade="80"/>
            </w:tcBorders>
            <w:vAlign w:val="center"/>
          </w:tcPr>
          <w:p w14:paraId="2A486B39" w14:textId="77777777" w:rsidR="00894CF8" w:rsidRPr="00894CF8" w:rsidRDefault="00894CF8" w:rsidP="001539C6">
            <w:pPr>
              <w:spacing w:line="240" w:lineRule="auto"/>
              <w:rPr>
                <w:color w:val="000000" w:themeColor="text1"/>
              </w:rPr>
            </w:pPr>
            <w:r w:rsidRPr="00894CF8">
              <w:rPr>
                <w:color w:val="000000" w:themeColor="text1"/>
              </w:rPr>
              <w:t>0%</w:t>
            </w:r>
          </w:p>
        </w:tc>
      </w:tr>
      <w:tr w:rsidR="00894CF8" w:rsidRPr="00894CF8" w14:paraId="69F642FE" w14:textId="77777777" w:rsidTr="001539C6">
        <w:trPr>
          <w:trHeight w:val="506"/>
          <w:jc w:val="center"/>
        </w:trPr>
        <w:tc>
          <w:tcPr>
            <w:tcW w:w="1584" w:type="dxa"/>
            <w:tcBorders>
              <w:right w:val="single" w:sz="12" w:space="0" w:color="auto"/>
            </w:tcBorders>
            <w:vAlign w:val="center"/>
          </w:tcPr>
          <w:p w14:paraId="199AD193" w14:textId="77777777" w:rsidR="00894CF8" w:rsidRPr="00894CF8" w:rsidRDefault="00EB4E40" w:rsidP="001539C6">
            <w:pPr>
              <w:spacing w:line="240" w:lineRule="auto"/>
              <w:rPr>
                <w:color w:val="000000" w:themeColor="text1"/>
              </w:rPr>
            </w:pPr>
            <w:r>
              <w:rPr>
                <w:color w:val="000000" w:themeColor="text1"/>
              </w:rPr>
              <w:t>III.6.2.2</w:t>
            </w:r>
          </w:p>
        </w:tc>
        <w:tc>
          <w:tcPr>
            <w:tcW w:w="1584" w:type="dxa"/>
            <w:tcBorders>
              <w:left w:val="single" w:sz="12" w:space="0" w:color="auto"/>
              <w:right w:val="dotted" w:sz="4" w:space="0" w:color="808080" w:themeColor="background1" w:themeShade="80"/>
            </w:tcBorders>
            <w:vAlign w:val="center"/>
            <w:hideMark/>
          </w:tcPr>
          <w:p w14:paraId="6366B0B8" w14:textId="77777777" w:rsidR="00894CF8" w:rsidRPr="00894CF8" w:rsidRDefault="00894CF8" w:rsidP="001539C6">
            <w:pPr>
              <w:spacing w:line="240" w:lineRule="auto"/>
              <w:rPr>
                <w:color w:val="000000" w:themeColor="text1"/>
              </w:rPr>
            </w:pPr>
            <w:r w:rsidRPr="00894CF8">
              <w:rPr>
                <w:color w:val="000000" w:themeColor="text1"/>
              </w:rPr>
              <w:t>MeReO</w:t>
            </w:r>
            <w:r w:rsidRPr="00894CF8">
              <w:rPr>
                <w:color w:val="000000" w:themeColor="text1"/>
                <w:vertAlign w:val="subscript"/>
              </w:rPr>
              <w:t>3</w:t>
            </w:r>
          </w:p>
        </w:tc>
        <w:tc>
          <w:tcPr>
            <w:tcW w:w="2592" w:type="dxa"/>
            <w:tcBorders>
              <w:left w:val="dotted" w:sz="4" w:space="0" w:color="808080" w:themeColor="background1" w:themeShade="80"/>
              <w:right w:val="dotted" w:sz="4" w:space="0" w:color="808080" w:themeColor="background1" w:themeShade="80"/>
            </w:tcBorders>
            <w:vAlign w:val="center"/>
            <w:hideMark/>
          </w:tcPr>
          <w:p w14:paraId="75966526" w14:textId="77777777" w:rsidR="00894CF8" w:rsidRPr="00894CF8" w:rsidRDefault="00894CF8" w:rsidP="001539C6">
            <w:pPr>
              <w:spacing w:line="240" w:lineRule="auto"/>
              <w:rPr>
                <w:color w:val="000000" w:themeColor="text1"/>
              </w:rPr>
            </w:pPr>
            <w:r w:rsidRPr="00894CF8">
              <w:rPr>
                <w:color w:val="000000" w:themeColor="text1"/>
              </w:rPr>
              <w:t>1-butanol</w:t>
            </w:r>
          </w:p>
        </w:tc>
        <w:tc>
          <w:tcPr>
            <w:tcW w:w="1296" w:type="dxa"/>
            <w:tcBorders>
              <w:left w:val="dotted" w:sz="4" w:space="0" w:color="808080" w:themeColor="background1" w:themeShade="80"/>
            </w:tcBorders>
            <w:vAlign w:val="center"/>
          </w:tcPr>
          <w:p w14:paraId="25B348A2" w14:textId="77777777" w:rsidR="00894CF8" w:rsidRPr="00894CF8" w:rsidRDefault="00894CF8" w:rsidP="001539C6">
            <w:pPr>
              <w:spacing w:line="240" w:lineRule="auto"/>
              <w:rPr>
                <w:color w:val="000000" w:themeColor="text1"/>
              </w:rPr>
            </w:pPr>
            <w:r w:rsidRPr="00894CF8">
              <w:rPr>
                <w:color w:val="000000" w:themeColor="text1"/>
              </w:rPr>
              <w:t xml:space="preserve">80% </w:t>
            </w:r>
            <w:r w:rsidRPr="00894CF8">
              <w:rPr>
                <w:b/>
                <w:color w:val="000000" w:themeColor="text1"/>
              </w:rPr>
              <w:t>6</w:t>
            </w:r>
          </w:p>
        </w:tc>
      </w:tr>
      <w:tr w:rsidR="00894CF8" w:rsidRPr="00894CF8" w14:paraId="2EB15FFB" w14:textId="77777777" w:rsidTr="001539C6">
        <w:trPr>
          <w:trHeight w:val="506"/>
          <w:jc w:val="center"/>
        </w:trPr>
        <w:tc>
          <w:tcPr>
            <w:tcW w:w="1584" w:type="dxa"/>
            <w:tcBorders>
              <w:right w:val="single" w:sz="12" w:space="0" w:color="auto"/>
            </w:tcBorders>
            <w:vAlign w:val="center"/>
          </w:tcPr>
          <w:p w14:paraId="277509CE" w14:textId="77777777" w:rsidR="00894CF8" w:rsidRPr="00894CF8" w:rsidRDefault="00EB4E40" w:rsidP="001539C6">
            <w:pPr>
              <w:spacing w:line="240" w:lineRule="auto"/>
              <w:rPr>
                <w:color w:val="000000" w:themeColor="text1"/>
              </w:rPr>
            </w:pPr>
            <w:r>
              <w:rPr>
                <w:color w:val="000000" w:themeColor="text1"/>
              </w:rPr>
              <w:t>III.6.2.3</w:t>
            </w:r>
          </w:p>
        </w:tc>
        <w:tc>
          <w:tcPr>
            <w:tcW w:w="1584" w:type="dxa"/>
            <w:tcBorders>
              <w:left w:val="single" w:sz="12" w:space="0" w:color="auto"/>
              <w:right w:val="dotted" w:sz="4" w:space="0" w:color="808080" w:themeColor="background1" w:themeShade="80"/>
            </w:tcBorders>
            <w:vAlign w:val="center"/>
            <w:hideMark/>
          </w:tcPr>
          <w:p w14:paraId="5005DD28" w14:textId="77777777" w:rsidR="00894CF8" w:rsidRPr="00894CF8" w:rsidRDefault="00894CF8" w:rsidP="001539C6">
            <w:pPr>
              <w:spacing w:line="240" w:lineRule="auto"/>
              <w:rPr>
                <w:color w:val="000000" w:themeColor="text1"/>
              </w:rPr>
            </w:pPr>
            <w:r w:rsidRPr="00894CF8">
              <w:rPr>
                <w:color w:val="000000" w:themeColor="text1"/>
              </w:rPr>
              <w:t>NH</w:t>
            </w:r>
            <w:r w:rsidRPr="00894CF8">
              <w:rPr>
                <w:color w:val="000000" w:themeColor="text1"/>
                <w:vertAlign w:val="subscript"/>
              </w:rPr>
              <w:t>4</w:t>
            </w:r>
            <w:r w:rsidRPr="00894CF8">
              <w:rPr>
                <w:color w:val="000000" w:themeColor="text1"/>
              </w:rPr>
              <w:t>ReO</w:t>
            </w:r>
            <w:r w:rsidRPr="00894CF8">
              <w:rPr>
                <w:color w:val="000000" w:themeColor="text1"/>
                <w:vertAlign w:val="subscript"/>
              </w:rPr>
              <w:t>4</w:t>
            </w:r>
          </w:p>
        </w:tc>
        <w:tc>
          <w:tcPr>
            <w:tcW w:w="2592" w:type="dxa"/>
            <w:tcBorders>
              <w:left w:val="dotted" w:sz="4" w:space="0" w:color="808080" w:themeColor="background1" w:themeShade="80"/>
              <w:right w:val="dotted" w:sz="4" w:space="0" w:color="808080" w:themeColor="background1" w:themeShade="80"/>
            </w:tcBorders>
            <w:vAlign w:val="center"/>
            <w:hideMark/>
          </w:tcPr>
          <w:p w14:paraId="0C021FA7" w14:textId="77777777" w:rsidR="00894CF8" w:rsidRPr="00894CF8" w:rsidRDefault="00894CF8" w:rsidP="001539C6">
            <w:pPr>
              <w:spacing w:line="240" w:lineRule="auto"/>
              <w:rPr>
                <w:color w:val="000000" w:themeColor="text1"/>
              </w:rPr>
            </w:pPr>
            <w:r w:rsidRPr="00894CF8">
              <w:rPr>
                <w:color w:val="000000" w:themeColor="text1"/>
              </w:rPr>
              <w:t>1,2-dimethoxy ethane</w:t>
            </w:r>
          </w:p>
        </w:tc>
        <w:tc>
          <w:tcPr>
            <w:tcW w:w="1296" w:type="dxa"/>
            <w:tcBorders>
              <w:left w:val="dotted" w:sz="4" w:space="0" w:color="808080" w:themeColor="background1" w:themeShade="80"/>
            </w:tcBorders>
            <w:vAlign w:val="center"/>
          </w:tcPr>
          <w:p w14:paraId="4884EE28" w14:textId="77777777" w:rsidR="00894CF8" w:rsidRPr="00894CF8" w:rsidRDefault="00894CF8" w:rsidP="001539C6">
            <w:pPr>
              <w:spacing w:line="240" w:lineRule="auto"/>
              <w:rPr>
                <w:color w:val="000000" w:themeColor="text1"/>
              </w:rPr>
            </w:pPr>
            <w:r w:rsidRPr="00894CF8">
              <w:rPr>
                <w:color w:val="000000" w:themeColor="text1"/>
              </w:rPr>
              <w:t>&lt;10%</w:t>
            </w:r>
          </w:p>
        </w:tc>
      </w:tr>
    </w:tbl>
    <w:p w14:paraId="65BBE5CA" w14:textId="77777777" w:rsidR="00894CF8" w:rsidRPr="00894CF8" w:rsidRDefault="00894CF8" w:rsidP="00894CF8">
      <w:pPr>
        <w:jc w:val="both"/>
        <w:rPr>
          <w:color w:val="000000" w:themeColor="text1"/>
        </w:rPr>
      </w:pPr>
    </w:p>
    <w:p w14:paraId="746B6CC4" w14:textId="77777777" w:rsidR="002B11DB" w:rsidRDefault="00894CF8" w:rsidP="002B11DB">
      <w:pPr>
        <w:keepNext/>
        <w:jc w:val="center"/>
      </w:pPr>
      <w:r w:rsidRPr="00894CF8">
        <w:rPr>
          <w:color w:val="000000" w:themeColor="text1"/>
        </w:rPr>
        <w:object w:dxaOrig="4771" w:dyaOrig="2138" w14:anchorId="306084B8">
          <v:shape id="_x0000_i1155" type="#_x0000_t75" style="width:205.7pt;height:92.55pt" o:ole="">
            <v:imagedata r:id="rId349" o:title=""/>
          </v:shape>
          <o:OLEObject Type="Embed" ProgID="ChemDraw.Document.6.0" ShapeID="_x0000_i1155" DrawAspect="Content" ObjectID="_1532784995" r:id="rId350"/>
        </w:object>
      </w:r>
    </w:p>
    <w:p w14:paraId="58389B1B" w14:textId="77777777" w:rsidR="00894CF8" w:rsidRPr="00A40A97" w:rsidRDefault="002B11DB" w:rsidP="00A40A97">
      <w:pPr>
        <w:pStyle w:val="Caption"/>
      </w:pPr>
      <w:bookmarkStart w:id="356" w:name="_Ref454963403"/>
      <w:bookmarkStart w:id="357" w:name="_Toc457670767"/>
      <w:r w:rsidRPr="00A40A97">
        <w:t xml:space="preserve">Figure III. </w:t>
      </w:r>
      <w:r w:rsidR="00443010">
        <w:fldChar w:fldCharType="begin"/>
      </w:r>
      <w:r w:rsidR="00443010">
        <w:instrText xml:space="preserve"> STYLEREF 2 \s </w:instrText>
      </w:r>
      <w:r w:rsidR="00443010">
        <w:fldChar w:fldCharType="separate"/>
      </w:r>
      <w:r w:rsidR="000A0E3D">
        <w:rPr>
          <w:noProof/>
        </w:rPr>
        <w:t>6</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11</w:t>
      </w:r>
      <w:r w:rsidR="00443010">
        <w:rPr>
          <w:noProof/>
        </w:rPr>
        <w:fldChar w:fldCharType="end"/>
      </w:r>
      <w:bookmarkEnd w:id="356"/>
      <w:r w:rsidRPr="00A40A97">
        <w:t xml:space="preserve"> </w:t>
      </w:r>
      <w:r w:rsidR="00894CF8" w:rsidRPr="00A40A97">
        <w:t xml:space="preserve">Reaction of 2 with 1-butanol to form acetal </w:t>
      </w:r>
      <w:r w:rsidR="00894CF8" w:rsidRPr="00A40A97">
        <w:rPr>
          <w:u w:val="single"/>
        </w:rPr>
        <w:t>6</w:t>
      </w:r>
      <w:bookmarkEnd w:id="357"/>
    </w:p>
    <w:p w14:paraId="0EA3370C" w14:textId="77777777" w:rsidR="00894CF8" w:rsidRPr="00894CF8" w:rsidRDefault="00894CF8" w:rsidP="00894CF8">
      <w:pPr>
        <w:jc w:val="both"/>
        <w:rPr>
          <w:b/>
          <w:color w:val="000000" w:themeColor="text1"/>
        </w:rPr>
      </w:pPr>
    </w:p>
    <w:p w14:paraId="268391D7" w14:textId="54B2318F" w:rsidR="00894CF8" w:rsidRPr="00894CF8" w:rsidRDefault="00894CF8" w:rsidP="001474E0">
      <w:pPr>
        <w:ind w:firstLine="360"/>
        <w:jc w:val="both"/>
        <w:rPr>
          <w:color w:val="000000" w:themeColor="text1"/>
        </w:rPr>
      </w:pPr>
      <w:r w:rsidRPr="00894CF8">
        <w:rPr>
          <w:color w:val="000000" w:themeColor="text1"/>
        </w:rPr>
        <w:t xml:space="preserve">Our study of the reactivity of </w:t>
      </w:r>
      <w:r w:rsidRPr="00894CF8">
        <w:rPr>
          <w:b/>
          <w:color w:val="000000" w:themeColor="text1"/>
        </w:rPr>
        <w:t>1b</w:t>
      </w:r>
      <w:r w:rsidRPr="00894CF8">
        <w:rPr>
          <w:color w:val="000000" w:themeColor="text1"/>
        </w:rPr>
        <w:t xml:space="preserve"> and </w:t>
      </w:r>
      <w:r w:rsidRPr="00894CF8">
        <w:rPr>
          <w:b/>
          <w:color w:val="000000" w:themeColor="text1"/>
        </w:rPr>
        <w:t>1c</w:t>
      </w:r>
      <w:r w:rsidRPr="00894CF8">
        <w:rPr>
          <w:color w:val="000000" w:themeColor="text1"/>
        </w:rPr>
        <w:t xml:space="preserve"> in the DODH reaction </w:t>
      </w:r>
      <w:r w:rsidR="00B22281">
        <w:rPr>
          <w:color w:val="000000" w:themeColor="text1"/>
        </w:rPr>
        <w:t xml:space="preserve">demonstrated </w:t>
      </w:r>
      <w:r w:rsidR="00EA3D4A">
        <w:rPr>
          <w:color w:val="000000" w:themeColor="text1"/>
        </w:rPr>
        <w:t xml:space="preserve">they’re </w:t>
      </w:r>
      <w:r w:rsidR="00CF62BD">
        <w:rPr>
          <w:color w:val="000000" w:themeColor="text1"/>
        </w:rPr>
        <w:t>in</w:t>
      </w:r>
      <w:r w:rsidRPr="00894CF8">
        <w:rPr>
          <w:color w:val="000000" w:themeColor="text1"/>
        </w:rPr>
        <w:t xml:space="preserve">effective at producing compound </w:t>
      </w:r>
      <w:r w:rsidRPr="00894CF8">
        <w:rPr>
          <w:b/>
          <w:color w:val="000000" w:themeColor="text1"/>
        </w:rPr>
        <w:t>2</w:t>
      </w:r>
      <w:r w:rsidRPr="00894CF8">
        <w:rPr>
          <w:color w:val="000000" w:themeColor="text1"/>
        </w:rPr>
        <w:t xml:space="preserve">. The diol </w:t>
      </w:r>
      <w:r w:rsidRPr="00894CF8">
        <w:rPr>
          <w:b/>
          <w:color w:val="000000" w:themeColor="text1"/>
        </w:rPr>
        <w:t>1b</w:t>
      </w:r>
      <w:r w:rsidRPr="00894CF8">
        <w:rPr>
          <w:color w:val="000000" w:themeColor="text1"/>
        </w:rPr>
        <w:t xml:space="preserve"> directly formed an intramolecular acetal before the DODH reaction has a chance to even start. The polyol </w:t>
      </w:r>
      <w:r w:rsidRPr="00894CF8">
        <w:rPr>
          <w:b/>
          <w:color w:val="000000" w:themeColor="text1"/>
        </w:rPr>
        <w:t>1c</w:t>
      </w:r>
      <w:r w:rsidRPr="00894CF8">
        <w:rPr>
          <w:color w:val="000000" w:themeColor="text1"/>
        </w:rPr>
        <w:t xml:space="preserve"> has a low solubility in regular DODH solvent such as benzene. The DODH of </w:t>
      </w:r>
      <w:r w:rsidRPr="00894CF8">
        <w:rPr>
          <w:b/>
          <w:color w:val="000000" w:themeColor="text1"/>
        </w:rPr>
        <w:t>1c</w:t>
      </w:r>
      <w:r w:rsidRPr="00894CF8">
        <w:rPr>
          <w:color w:val="000000" w:themeColor="text1"/>
        </w:rPr>
        <w:t xml:space="preserve"> was very efficient in more polar solvent, 1-butanol, but this solvent was reactive with the product and formed an acetal with the aldehyde making it unavailable for a potential tandem reaction. Our attempt of using a 1,2-dimethoxyethane as solvent showed limited quantity of DODH product and some evidence of reactivity of this solvent in these reaction conditions. It would then require a study of more solvents to optimize the DODH step for the formation of </w:t>
      </w:r>
      <w:r w:rsidRPr="00894CF8">
        <w:rPr>
          <w:b/>
          <w:color w:val="000000" w:themeColor="text1"/>
        </w:rPr>
        <w:t>2</w:t>
      </w:r>
      <w:r w:rsidRPr="00894CF8">
        <w:rPr>
          <w:color w:val="000000" w:themeColor="text1"/>
        </w:rPr>
        <w:t xml:space="preserve"> and without further reaction. Before going in this direction we decided to collect reference for the hydroacylation of </w:t>
      </w:r>
      <w:r w:rsidRPr="00894CF8">
        <w:rPr>
          <w:b/>
          <w:color w:val="000000" w:themeColor="text1"/>
        </w:rPr>
        <w:t>2</w:t>
      </w:r>
      <w:r w:rsidRPr="00894CF8">
        <w:rPr>
          <w:color w:val="000000" w:themeColor="text1"/>
        </w:rPr>
        <w:t xml:space="preserve">. We discovered in a report from Glorius and co-workers the inefficiency of the intramolecular hydroacylation of analogs of </w:t>
      </w:r>
      <w:r w:rsidRPr="00894CF8">
        <w:rPr>
          <w:b/>
          <w:color w:val="000000" w:themeColor="text1"/>
        </w:rPr>
        <w:t>2</w:t>
      </w:r>
      <w:r w:rsidRPr="00894CF8">
        <w:rPr>
          <w:color w:val="000000" w:themeColor="text1"/>
        </w:rPr>
        <w:t xml:space="preserve"> </w:t>
      </w:r>
      <w:r w:rsidR="00EB4E40">
        <w:rPr>
          <w:color w:val="000000" w:themeColor="text1"/>
        </w:rPr>
        <w:t>(</w:t>
      </w:r>
      <w:r w:rsidR="00EB4E40">
        <w:rPr>
          <w:color w:val="000000" w:themeColor="text1"/>
        </w:rPr>
        <w:fldChar w:fldCharType="begin"/>
      </w:r>
      <w:r w:rsidR="00EB4E40">
        <w:rPr>
          <w:color w:val="000000" w:themeColor="text1"/>
        </w:rPr>
        <w:instrText xml:space="preserve"> REF _Ref454963453 \h </w:instrText>
      </w:r>
      <w:r w:rsidR="00EB4E40">
        <w:rPr>
          <w:color w:val="000000" w:themeColor="text1"/>
        </w:rPr>
      </w:r>
      <w:r w:rsidR="00EB4E40">
        <w:rPr>
          <w:color w:val="000000" w:themeColor="text1"/>
        </w:rPr>
        <w:fldChar w:fldCharType="separate"/>
      </w:r>
      <w:r w:rsidR="000A0E3D" w:rsidRPr="00A40A97">
        <w:t xml:space="preserve">Figure III. </w:t>
      </w:r>
      <w:r w:rsidR="000A0E3D">
        <w:rPr>
          <w:noProof/>
        </w:rPr>
        <w:t>6</w:t>
      </w:r>
      <w:r w:rsidR="000A0E3D">
        <w:t>.</w:t>
      </w:r>
      <w:r w:rsidR="000A0E3D">
        <w:rPr>
          <w:noProof/>
        </w:rPr>
        <w:t>12</w:t>
      </w:r>
      <w:r w:rsidR="00EB4E40">
        <w:rPr>
          <w:color w:val="000000" w:themeColor="text1"/>
        </w:rPr>
        <w:fldChar w:fldCharType="end"/>
      </w:r>
      <w:r w:rsidR="00EB4E40">
        <w:rPr>
          <w:color w:val="000000" w:themeColor="text1"/>
        </w:rPr>
        <w:t>)</w:t>
      </w:r>
      <w:r w:rsidRPr="00894CF8">
        <w:rPr>
          <w:color w:val="000000" w:themeColor="text1"/>
        </w:rPr>
        <w:t>.</w:t>
      </w:r>
      <w:r w:rsidRPr="00894CF8">
        <w:rPr>
          <w:color w:val="000000" w:themeColor="text1"/>
        </w:rPr>
        <w:fldChar w:fldCharType="begin"/>
      </w:r>
      <w:r w:rsidR="00E028D6">
        <w:rPr>
          <w:color w:val="000000" w:themeColor="text1"/>
        </w:rPr>
        <w:instrText xml:space="preserve"> ADDIN ZOTERO_ITEM CSL_CITATION {"citationID":"1949jifejn","properties":{"formattedCitation":"{\\rtf \\super 160\\nosupersub{}}","plainCitation":"160"},"citationItems":[{"id":339,"uris":["http://zotero.org/users/1624234/items/NVUWGKE8"],"uri":["http://zotero.org/users/1624234/items/NVUWGKE8"],"itemData":{"id":339,"type":"article-journal","title":"N-Heterocyclic Carbene-Catalyzed Hydroacylation of Unactivated Double Bonds","container-title":"Journal of the American Chemical Society","page":"14190-14191","volume":"131","issue":"40","source":"ACS Publications","abstract":"An intramolecular N-heterocyclic carbene (NHC)-catalyzed hydroacylation of unactivated double bonds is reported. Systematic variation of the catalyst structure revealed an N-mesitylthiazolylidene annulated with a seven-membered ring to be especially reactive. This NHC enables a unique C?C bond-forming reaction to afford substituted chroman-4-ones in moderate to excellent yields, even ones containing all-carbon quaternary centers.","DOI":"10.1021/ja906361g","ISSN":"0002-7863","journalAbbreviation":"J. Am. Chem. Soc.","author":[{"family":"Hirano","given":"Keiichi"},{"family":"Biju","given":"Akkattu T."},{"family":"Piel","given":"Isabel"},{"family":"Glorius","given":"Frank"}],"issued":{"date-parts":[["2009",10,14]]}}}],"schema":"https://github.com/citation-style-language/schema/raw/master/csl-citation.json"} </w:instrText>
      </w:r>
      <w:r w:rsidRPr="00894CF8">
        <w:rPr>
          <w:color w:val="000000" w:themeColor="text1"/>
        </w:rPr>
        <w:fldChar w:fldCharType="separate"/>
      </w:r>
      <w:r w:rsidR="00E028D6" w:rsidRPr="00E028D6">
        <w:rPr>
          <w:rFonts w:ascii="Times New Roman" w:hAnsi="Times New Roman"/>
          <w:vertAlign w:val="superscript"/>
        </w:rPr>
        <w:t>160</w:t>
      </w:r>
      <w:r w:rsidRPr="00894CF8">
        <w:rPr>
          <w:color w:val="000000" w:themeColor="text1"/>
        </w:rPr>
        <w:fldChar w:fldCharType="end"/>
      </w:r>
      <w:r w:rsidRPr="00894CF8">
        <w:rPr>
          <w:color w:val="000000" w:themeColor="text1"/>
        </w:rPr>
        <w:t xml:space="preserve"> They described the hydroacylation of </w:t>
      </w:r>
      <w:r w:rsidRPr="00B37AEF">
        <w:rPr>
          <w:b/>
          <w:color w:val="000000" w:themeColor="text1"/>
        </w:rPr>
        <w:t>2'</w:t>
      </w:r>
      <w:r w:rsidRPr="00894CF8">
        <w:rPr>
          <w:color w:val="000000" w:themeColor="text1"/>
        </w:rPr>
        <w:t xml:space="preserve"> </w:t>
      </w:r>
      <w:r w:rsidR="00B37AEF">
        <w:rPr>
          <w:color w:val="000000" w:themeColor="text1"/>
        </w:rPr>
        <w:t>with</w:t>
      </w:r>
      <w:r w:rsidRPr="00894CF8">
        <w:rPr>
          <w:color w:val="000000" w:themeColor="text1"/>
        </w:rPr>
        <w:t xml:space="preserve"> 56% when employing 20 mol% of N-heterocyclic carbene (</w:t>
      </w:r>
      <w:r w:rsidRPr="00894CF8">
        <w:rPr>
          <w:b/>
          <w:color w:val="000000" w:themeColor="text1"/>
        </w:rPr>
        <w:t>NHC-1</w:t>
      </w:r>
      <w:r w:rsidRPr="00894CF8">
        <w:rPr>
          <w:color w:val="000000" w:themeColor="text1"/>
        </w:rPr>
        <w:t>) and 40 mol% of 1,8-Diazabicyclo[5.4.0]undec-7-ene (</w:t>
      </w:r>
      <w:r w:rsidRPr="00894CF8">
        <w:rPr>
          <w:b/>
          <w:color w:val="000000" w:themeColor="text1"/>
        </w:rPr>
        <w:t>DBU</w:t>
      </w:r>
      <w:r w:rsidRPr="00894CF8">
        <w:rPr>
          <w:color w:val="000000" w:themeColor="text1"/>
        </w:rPr>
        <w:t xml:space="preserve">) additives. In light of the required ligand and additive in the hydroacylation step we decided not to pursue the study of a DODH-Hydroacylation tandem reaction. </w:t>
      </w:r>
    </w:p>
    <w:p w14:paraId="207EADB7" w14:textId="77777777" w:rsidR="002B11DB" w:rsidRDefault="001474E0" w:rsidP="002B11DB">
      <w:pPr>
        <w:keepNext/>
        <w:jc w:val="center"/>
      </w:pPr>
      <w:r w:rsidRPr="00894CF8">
        <w:rPr>
          <w:color w:val="000000" w:themeColor="text1"/>
        </w:rPr>
        <w:object w:dxaOrig="9585" w:dyaOrig="2829" w14:anchorId="01D05B97">
          <v:shape id="_x0000_i1156" type="#_x0000_t75" style="width:390.85pt;height:113.15pt" o:ole="">
            <v:imagedata r:id="rId351" o:title=""/>
          </v:shape>
          <o:OLEObject Type="Embed" ProgID="ChemDraw.Document.6.0" ShapeID="_x0000_i1156" DrawAspect="Content" ObjectID="_1532784996" r:id="rId352"/>
        </w:object>
      </w:r>
    </w:p>
    <w:p w14:paraId="36DAF955" w14:textId="77777777" w:rsidR="00894CF8" w:rsidRPr="00A40A97" w:rsidRDefault="002B11DB" w:rsidP="00A40A97">
      <w:pPr>
        <w:pStyle w:val="Caption"/>
      </w:pPr>
      <w:bookmarkStart w:id="358" w:name="_Ref454963453"/>
      <w:bookmarkStart w:id="359" w:name="_Toc457670768"/>
      <w:r w:rsidRPr="00A40A97">
        <w:t xml:space="preserve">Figure III. </w:t>
      </w:r>
      <w:r w:rsidR="00443010">
        <w:fldChar w:fldCharType="begin"/>
      </w:r>
      <w:r w:rsidR="00443010">
        <w:instrText xml:space="preserve"> STYLEREF 2 \s </w:instrText>
      </w:r>
      <w:r w:rsidR="00443010">
        <w:fldChar w:fldCharType="separate"/>
      </w:r>
      <w:r w:rsidR="000A0E3D">
        <w:rPr>
          <w:noProof/>
        </w:rPr>
        <w:t>6</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12</w:t>
      </w:r>
      <w:r w:rsidR="00443010">
        <w:rPr>
          <w:noProof/>
        </w:rPr>
        <w:fldChar w:fldCharType="end"/>
      </w:r>
      <w:bookmarkEnd w:id="358"/>
      <w:r w:rsidRPr="00A40A97">
        <w:t xml:space="preserve"> </w:t>
      </w:r>
      <w:r w:rsidR="00894CF8" w:rsidRPr="00A40A97">
        <w:t>Reported hydroacylation by Glorius and co-worker</w:t>
      </w:r>
      <w:bookmarkEnd w:id="359"/>
    </w:p>
    <w:p w14:paraId="099C0008" w14:textId="77777777" w:rsidR="00894CF8" w:rsidRPr="00894CF8" w:rsidRDefault="00894CF8" w:rsidP="00894CF8">
      <w:pPr>
        <w:jc w:val="both"/>
        <w:rPr>
          <w:b/>
          <w:color w:val="000000" w:themeColor="text1"/>
        </w:rPr>
      </w:pPr>
    </w:p>
    <w:p w14:paraId="40B9F7B1" w14:textId="1C31915A" w:rsidR="00894CF8" w:rsidRPr="00894CF8" w:rsidRDefault="00894CF8" w:rsidP="000351A7">
      <w:pPr>
        <w:pStyle w:val="Heading3"/>
      </w:pPr>
      <w:bookmarkStart w:id="360" w:name="_Toc458938330"/>
      <w:r w:rsidRPr="00894CF8">
        <w:t xml:space="preserve">Conclusions and </w:t>
      </w:r>
      <w:r w:rsidR="00F02193">
        <w:t>f</w:t>
      </w:r>
      <w:r w:rsidRPr="00894CF8">
        <w:t xml:space="preserve">uture </w:t>
      </w:r>
      <w:r w:rsidR="00F02193">
        <w:t>p</w:t>
      </w:r>
      <w:r w:rsidRPr="00894CF8">
        <w:t>rospects</w:t>
      </w:r>
      <w:bookmarkEnd w:id="360"/>
    </w:p>
    <w:p w14:paraId="39601166" w14:textId="77777777" w:rsidR="00894CF8" w:rsidRPr="00894CF8" w:rsidRDefault="00894CF8" w:rsidP="001474E0">
      <w:pPr>
        <w:ind w:firstLine="360"/>
        <w:jc w:val="both"/>
        <w:rPr>
          <w:color w:val="000000" w:themeColor="text1"/>
        </w:rPr>
      </w:pPr>
      <w:r w:rsidRPr="00894CF8">
        <w:rPr>
          <w:color w:val="000000" w:themeColor="text1"/>
        </w:rPr>
        <w:t xml:space="preserve">We studied both inter and intramolecular potential DODH/Hydroacylation reaction systems. We did not observe appreciable hydroacylation product in the Ru-catalyzed intermolecular reaction between cyclohexene and benzaldehyde. The stoichiometry of the reagents and solvent/molarity of the reaction are the main parameters that we think that are limiting the hydroacylation reaction in this case. </w:t>
      </w:r>
    </w:p>
    <w:p w14:paraId="35885690" w14:textId="72A647F7" w:rsidR="00894CF8" w:rsidRPr="00894CF8" w:rsidRDefault="00894CF8" w:rsidP="001474E0">
      <w:pPr>
        <w:ind w:firstLine="360"/>
        <w:jc w:val="both"/>
        <w:rPr>
          <w:color w:val="000000" w:themeColor="text1"/>
        </w:rPr>
      </w:pPr>
      <w:r w:rsidRPr="00894CF8">
        <w:rPr>
          <w:color w:val="000000" w:themeColor="text1"/>
        </w:rPr>
        <w:t>In order to favor the hydroacylation reaction step we decided to attempt the reaction in an intramolecular system with glycerol ether derivatives of salicyl aldehyde and alcohol. We tested the DODH reaction step on these polyols. We found the salicyl alcohol derivative of glycerol to undergo DODH in 1-butanol reaction with 80% yield. Although the allyl ether salicyl aldehyde product reacted with the solvent to form</w:t>
      </w:r>
      <w:r w:rsidR="00F505AF">
        <w:rPr>
          <w:color w:val="000000" w:themeColor="text1"/>
        </w:rPr>
        <w:t xml:space="preserve"> an</w:t>
      </w:r>
      <w:r w:rsidRPr="00894CF8">
        <w:rPr>
          <w:color w:val="000000" w:themeColor="text1"/>
        </w:rPr>
        <w:t xml:space="preserve"> acetal. With this type of further transformation of the product the hydroacylation would not be able to take place in a tandem</w:t>
      </w:r>
      <w:r w:rsidR="00F505AF">
        <w:rPr>
          <w:color w:val="000000" w:themeColor="text1"/>
        </w:rPr>
        <w:t xml:space="preserve"> system</w:t>
      </w:r>
      <w:r w:rsidRPr="00894CF8">
        <w:rPr>
          <w:color w:val="000000" w:themeColor="text1"/>
        </w:rPr>
        <w:t>. Also when we investigated the reported reaction conditions for a similar intramolecular hydroacylation system we found that commercially available rhodium catalyst such as [Rh(cod)Cl]</w:t>
      </w:r>
      <w:r w:rsidRPr="00894CF8">
        <w:rPr>
          <w:color w:val="000000" w:themeColor="text1"/>
          <w:vertAlign w:val="subscript"/>
        </w:rPr>
        <w:t>2</w:t>
      </w:r>
      <w:r w:rsidRPr="00894CF8">
        <w:rPr>
          <w:color w:val="000000" w:themeColor="text1"/>
        </w:rPr>
        <w:t xml:space="preserve"> would require the use of a </w:t>
      </w:r>
      <w:r w:rsidRPr="000F36C2">
        <w:rPr>
          <w:b/>
          <w:color w:val="000000" w:themeColor="text1"/>
        </w:rPr>
        <w:t>NHC-1</w:t>
      </w:r>
      <w:r w:rsidRPr="00894CF8">
        <w:rPr>
          <w:color w:val="000000" w:themeColor="text1"/>
        </w:rPr>
        <w:t xml:space="preserve"> and </w:t>
      </w:r>
      <w:r w:rsidRPr="000F36C2">
        <w:rPr>
          <w:b/>
          <w:color w:val="000000" w:themeColor="text1"/>
        </w:rPr>
        <w:t>DBU</w:t>
      </w:r>
      <w:r w:rsidRPr="00894CF8">
        <w:rPr>
          <w:color w:val="000000" w:themeColor="text1"/>
        </w:rPr>
        <w:t xml:space="preserve"> to provide 56% yield in the heterocyclic ketone. We think that both </w:t>
      </w:r>
      <w:r w:rsidRPr="000F36C2">
        <w:rPr>
          <w:b/>
          <w:color w:val="000000" w:themeColor="text1"/>
        </w:rPr>
        <w:t>DBU</w:t>
      </w:r>
      <w:r w:rsidRPr="00894CF8">
        <w:rPr>
          <w:color w:val="000000" w:themeColor="text1"/>
        </w:rPr>
        <w:t xml:space="preserve"> and the </w:t>
      </w:r>
      <w:r w:rsidRPr="000F36C2">
        <w:rPr>
          <w:b/>
          <w:color w:val="000000" w:themeColor="text1"/>
        </w:rPr>
        <w:t>NHC-1</w:t>
      </w:r>
      <w:r w:rsidRPr="00894CF8">
        <w:rPr>
          <w:color w:val="000000" w:themeColor="text1"/>
        </w:rPr>
        <w:t xml:space="preserve"> additive could interact with the DODH reaction or could have unpredicted activity in the DODH reaction. </w:t>
      </w:r>
    </w:p>
    <w:p w14:paraId="4A6DAA5A" w14:textId="77777777" w:rsidR="00894CF8" w:rsidRPr="00894CF8" w:rsidRDefault="00894CF8" w:rsidP="001474E0">
      <w:pPr>
        <w:ind w:firstLine="360"/>
        <w:jc w:val="both"/>
        <w:rPr>
          <w:color w:val="000000" w:themeColor="text1"/>
        </w:rPr>
      </w:pPr>
      <w:r w:rsidRPr="00894CF8">
        <w:rPr>
          <w:color w:val="000000" w:themeColor="text1"/>
        </w:rPr>
        <w:t xml:space="preserve">A study of rhenium and NHC ligand could benefit to this tandem reaction system. Recently Chongmin and co-worker have reported the first </w:t>
      </w:r>
      <w:r w:rsidRPr="000F36C2">
        <w:rPr>
          <w:b/>
          <w:color w:val="000000" w:themeColor="text1"/>
        </w:rPr>
        <w:t>NHC</w:t>
      </w:r>
      <w:r w:rsidRPr="00894CF8">
        <w:rPr>
          <w:color w:val="000000" w:themeColor="text1"/>
        </w:rPr>
        <w:t xml:space="preserve"> cationic perrhenium complex for the DODH reaction and could be used to start a compatibility study of </w:t>
      </w:r>
      <w:r w:rsidRPr="00894CF8">
        <w:rPr>
          <w:b/>
          <w:color w:val="000000" w:themeColor="text1"/>
        </w:rPr>
        <w:t>NHC-1</w:t>
      </w:r>
      <w:r w:rsidRPr="00894CF8">
        <w:rPr>
          <w:color w:val="000000" w:themeColor="text1"/>
        </w:rPr>
        <w:t xml:space="preserve"> with the DODH reaction system by making a </w:t>
      </w:r>
      <w:r w:rsidRPr="00894CF8">
        <w:rPr>
          <w:b/>
          <w:color w:val="000000" w:themeColor="text1"/>
        </w:rPr>
        <w:t>NHC-1</w:t>
      </w:r>
      <w:r w:rsidRPr="00894CF8">
        <w:rPr>
          <w:color w:val="000000" w:themeColor="text1"/>
        </w:rPr>
        <w:t>:NH</w:t>
      </w:r>
      <w:r w:rsidRPr="00894CF8">
        <w:rPr>
          <w:color w:val="000000" w:themeColor="text1"/>
          <w:vertAlign w:val="subscript"/>
        </w:rPr>
        <w:t>4</w:t>
      </w:r>
      <w:r w:rsidRPr="00894CF8">
        <w:rPr>
          <w:color w:val="000000" w:themeColor="text1"/>
        </w:rPr>
        <w:t>ReO</w:t>
      </w:r>
      <w:r w:rsidRPr="00894CF8">
        <w:rPr>
          <w:color w:val="000000" w:themeColor="text1"/>
          <w:vertAlign w:val="subscript"/>
        </w:rPr>
        <w:t>4</w:t>
      </w:r>
      <w:r w:rsidRPr="00894CF8">
        <w:rPr>
          <w:color w:val="000000" w:themeColor="text1"/>
        </w:rPr>
        <w:t xml:space="preserve"> complex.</w:t>
      </w:r>
      <w:r w:rsidRPr="00894CF8">
        <w:rPr>
          <w:color w:val="000000" w:themeColor="text1"/>
        </w:rPr>
        <w:fldChar w:fldCharType="begin"/>
      </w:r>
      <w:r w:rsidR="00E028D6">
        <w:rPr>
          <w:color w:val="000000" w:themeColor="text1"/>
        </w:rPr>
        <w:instrText xml:space="preserve"> ADDIN ZOTERO_ITEM CSL_CITATION {"citationID":"2dkpr5i9te","properties":{"formattedCitation":"{\\rtf \\super 161\\nosupersub{}}","plainCitation":"161"},"citationItems":[{"id":1550,"uris":["http://zotero.org/users/1624234/items/PQI2ZFB3"],"uri":["http://zotero.org/users/1624234/items/PQI2ZFB3"],"itemData":{"id":1550,"type":"article-journal","title":"Imidazolinium Perrhenate-Catalyzed Deoxydehydration of Vicinal Diols to Alkenes","container-title":"Chinese Journal of Organic Chemistry","page":"1904","volume":"35","issue":"9","source":"CrossRef","DOI":"10.6023/cjoc201503015","ISSN":"0253-2786","language":"en","author":[{"family":"Sun","given":"Huimin"},{"family":"Hu","given":"Chen"},{"family":"Hao","given":"Zhiming"},{"family":"Zuo","given":"Yajie"},{"family":"Wang","given":"Tianchi"},{"family":"Zhong","given":"Chongmin"}],"issued":{"date-parts":[["2015"]]}}}],"schema":"https://github.com/citation-style-language/schema/raw/master/csl-citation.json"} </w:instrText>
      </w:r>
      <w:r w:rsidRPr="00894CF8">
        <w:rPr>
          <w:color w:val="000000" w:themeColor="text1"/>
        </w:rPr>
        <w:fldChar w:fldCharType="separate"/>
      </w:r>
      <w:r w:rsidR="00E028D6" w:rsidRPr="00E028D6">
        <w:rPr>
          <w:rFonts w:ascii="Times New Roman" w:hAnsi="Times New Roman"/>
          <w:vertAlign w:val="superscript"/>
        </w:rPr>
        <w:t>161</w:t>
      </w:r>
      <w:r w:rsidRPr="00894CF8">
        <w:rPr>
          <w:color w:val="000000" w:themeColor="text1"/>
        </w:rPr>
        <w:fldChar w:fldCharType="end"/>
      </w:r>
      <w:r w:rsidRPr="00894CF8">
        <w:rPr>
          <w:color w:val="000000" w:themeColor="text1"/>
        </w:rPr>
        <w:t xml:space="preserve"> It would be even desirable to have the same </w:t>
      </w:r>
      <w:r w:rsidRPr="000F36C2">
        <w:rPr>
          <w:b/>
          <w:color w:val="000000" w:themeColor="text1"/>
        </w:rPr>
        <w:t>NHC</w:t>
      </w:r>
      <w:r w:rsidRPr="00894CF8">
        <w:rPr>
          <w:color w:val="000000" w:themeColor="text1"/>
        </w:rPr>
        <w:t xml:space="preserve"> ligand in the hydroacylation and DODH catalyst. The need and use for </w:t>
      </w:r>
      <w:r w:rsidRPr="000F36C2">
        <w:rPr>
          <w:b/>
          <w:color w:val="000000" w:themeColor="text1"/>
        </w:rPr>
        <w:t>DBU</w:t>
      </w:r>
      <w:r w:rsidRPr="00894CF8">
        <w:rPr>
          <w:color w:val="000000" w:themeColor="text1"/>
        </w:rPr>
        <w:t xml:space="preserve"> as an additive would still have to be assessed. </w:t>
      </w:r>
    </w:p>
    <w:p w14:paraId="6C2D28F1" w14:textId="77777777" w:rsidR="00894CF8" w:rsidRPr="00894CF8" w:rsidRDefault="00894CF8" w:rsidP="001474E0">
      <w:pPr>
        <w:ind w:firstLine="360"/>
        <w:jc w:val="both"/>
        <w:rPr>
          <w:color w:val="000000" w:themeColor="text1"/>
        </w:rPr>
      </w:pPr>
      <w:r w:rsidRPr="00894CF8">
        <w:rPr>
          <w:color w:val="000000" w:themeColor="text1"/>
        </w:rPr>
        <w:t>In the case of the successful intramolecular DODH/hydroacylation tandem reaction we can envision an increase of its scope by replacing glycerol for xylitol or other polyols such as glyceric or gluconic acids (</w:t>
      </w:r>
      <w:r w:rsidR="00EB4E40">
        <w:rPr>
          <w:color w:val="000000" w:themeColor="text1"/>
        </w:rPr>
        <w:fldChar w:fldCharType="begin"/>
      </w:r>
      <w:r w:rsidR="00EB4E40">
        <w:rPr>
          <w:color w:val="000000" w:themeColor="text1"/>
        </w:rPr>
        <w:instrText xml:space="preserve"> REF _Ref454963486 \h </w:instrText>
      </w:r>
      <w:r w:rsidR="00EB4E40">
        <w:rPr>
          <w:color w:val="000000" w:themeColor="text1"/>
        </w:rPr>
      </w:r>
      <w:r w:rsidR="00EB4E40">
        <w:rPr>
          <w:color w:val="000000" w:themeColor="text1"/>
        </w:rPr>
        <w:fldChar w:fldCharType="separate"/>
      </w:r>
      <w:r w:rsidR="000A0E3D" w:rsidRPr="00A40A97">
        <w:t xml:space="preserve">Figure III. </w:t>
      </w:r>
      <w:r w:rsidR="000A0E3D">
        <w:rPr>
          <w:noProof/>
        </w:rPr>
        <w:t>6</w:t>
      </w:r>
      <w:r w:rsidR="000A0E3D">
        <w:t>.</w:t>
      </w:r>
      <w:r w:rsidR="000A0E3D">
        <w:rPr>
          <w:noProof/>
        </w:rPr>
        <w:t>13</w:t>
      </w:r>
      <w:r w:rsidR="00EB4E40">
        <w:rPr>
          <w:color w:val="000000" w:themeColor="text1"/>
        </w:rPr>
        <w:fldChar w:fldCharType="end"/>
      </w:r>
      <w:r w:rsidRPr="00894CF8">
        <w:rPr>
          <w:color w:val="000000" w:themeColor="text1"/>
        </w:rPr>
        <w:t>). These polyols have already been studied for the DODH reaction. Since flavones have reported bioactive potentials in cancer and cardiovascular treatments</w:t>
      </w:r>
      <w:r w:rsidRPr="00894CF8">
        <w:rPr>
          <w:color w:val="000000" w:themeColor="text1"/>
        </w:rPr>
        <w:fldChar w:fldCharType="begin"/>
      </w:r>
      <w:r w:rsidR="00E028D6">
        <w:rPr>
          <w:color w:val="000000" w:themeColor="text1"/>
        </w:rPr>
        <w:instrText xml:space="preserve"> ADDIN ZOTERO_ITEM CSL_CITATION {"citationID":"eUMNPS1J","properties":{"formattedCitation":"{\\rtf \\super 157\\nosupersub{}}","plainCitation":"157"},"citationItems":[{"id":1760,"uris":["http://zotero.org/users/1624234/items/ZWMCFCKH"],"uri":["http://zotero.org/users/1624234/items/ZWMCFCKH"],"itemData":{"id":1760,"type":"article-journal","title":"Flavones: An important scaffold for medicinal chemistry","container-title":"European Journal of Medicinal Chemistry","page":"206-239","volume":"84","source":"ScienceDirect","abstract":"Flavones have antioxidant, anti-proliferative, anti-tumor, anti-microbial, estrogenic, acetyl cholinesterase, anti-inflammatory activities and are also used in cancer, cardiovascular disease, neurodegenerative disorders, etc. Also, flavonoids are found to have an effect on several mammalian enzymes like protein kinases that regulate multiple cell signaling pathways and alterations in multiple cellular signaling pathways are frequently found in many diseases. Flavones have been an indispensable anchor for the development of new therapeutic agents.\n\nThe majority of metabolic diseases are speculated to originate from oxidative stress, and it is therefore significant that recent studies have shown the positive effect of flavones on diseases related to oxidative stress. Due to the wide range of biological activities of flavones, their structure–activity relationships have generated interest among medicinal chemists. The outstanding development of flavones derivatives in diverse diseases in very short span of time proves its magnitude for medicinal chemistry research. The present review gives detail about the structural requirement of flavone derivatives for various pharmacological activities. This information may provide an opportunity to scientists of medicinal chemistry discipline to design selective, optimize as well as poly-functional flavone derivatives for the treatment of multi-factorial diseases.","DOI":"10.1016/j.ejmech.2014.07.013","ISSN":"0223-5234","shortTitle":"Flavones","journalAbbreviation":"European Journal of Medicinal Chemistry","author":[{"family":"Singh","given":"Manjinder"},{"family":"Kaur","given":"Maninder"},{"family":"Silakari","given":"Om"}],"issued":{"date-parts":[["2014",9,12]]}}}],"schema":"https://github.com/citation-style-language/schema/raw/master/csl-citation.json"} </w:instrText>
      </w:r>
      <w:r w:rsidRPr="00894CF8">
        <w:rPr>
          <w:color w:val="000000" w:themeColor="text1"/>
        </w:rPr>
        <w:fldChar w:fldCharType="separate"/>
      </w:r>
      <w:r w:rsidR="00E028D6" w:rsidRPr="00E028D6">
        <w:rPr>
          <w:rFonts w:ascii="Times New Roman" w:hAnsi="Times New Roman"/>
          <w:vertAlign w:val="superscript"/>
        </w:rPr>
        <w:t>157</w:t>
      </w:r>
      <w:r w:rsidRPr="00894CF8">
        <w:rPr>
          <w:color w:val="000000" w:themeColor="text1"/>
        </w:rPr>
        <w:fldChar w:fldCharType="end"/>
      </w:r>
      <w:r w:rsidRPr="00894CF8">
        <w:rPr>
          <w:color w:val="000000" w:themeColor="text1"/>
        </w:rPr>
        <w:t xml:space="preserve"> these tandem products would be very attractive. </w:t>
      </w:r>
    </w:p>
    <w:p w14:paraId="1B88951F" w14:textId="77777777" w:rsidR="00894CF8" w:rsidRPr="00894CF8" w:rsidRDefault="00894CF8" w:rsidP="00894CF8">
      <w:pPr>
        <w:jc w:val="both"/>
        <w:rPr>
          <w:color w:val="000000" w:themeColor="text1"/>
        </w:rPr>
      </w:pPr>
    </w:p>
    <w:p w14:paraId="61CD8B92" w14:textId="77777777" w:rsidR="002B11DB" w:rsidRDefault="00894CF8" w:rsidP="002B11DB">
      <w:pPr>
        <w:keepNext/>
        <w:jc w:val="center"/>
      </w:pPr>
      <w:r w:rsidRPr="00894CF8">
        <w:rPr>
          <w:color w:val="000000" w:themeColor="text1"/>
        </w:rPr>
        <w:object w:dxaOrig="11201" w:dyaOrig="5496" w14:anchorId="3156740B">
          <v:shape id="_x0000_i1157" type="#_x0000_t75" style="width:380.55pt;height:185.15pt" o:ole="">
            <v:imagedata r:id="rId353" o:title=""/>
          </v:shape>
          <o:OLEObject Type="Embed" ProgID="ChemDraw.Document.6.0" ShapeID="_x0000_i1157" DrawAspect="Content" ObjectID="_1532784997" r:id="rId354"/>
        </w:object>
      </w:r>
    </w:p>
    <w:p w14:paraId="25703A8E" w14:textId="77777777" w:rsidR="00894CF8" w:rsidRPr="00A40A97" w:rsidRDefault="002B11DB" w:rsidP="00A40A97">
      <w:pPr>
        <w:pStyle w:val="Caption"/>
      </w:pPr>
      <w:bookmarkStart w:id="361" w:name="_Ref454963486"/>
      <w:bookmarkStart w:id="362" w:name="_Toc457670769"/>
      <w:r w:rsidRPr="00A40A97">
        <w:t xml:space="preserve">Figure III. </w:t>
      </w:r>
      <w:r w:rsidR="00443010">
        <w:fldChar w:fldCharType="begin"/>
      </w:r>
      <w:r w:rsidR="00443010">
        <w:instrText xml:space="preserve"> STYLEREF 2 \s </w:instrText>
      </w:r>
      <w:r w:rsidR="00443010">
        <w:fldChar w:fldCharType="separate"/>
      </w:r>
      <w:r w:rsidR="000A0E3D">
        <w:rPr>
          <w:noProof/>
        </w:rPr>
        <w:t>6</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13</w:t>
      </w:r>
      <w:r w:rsidR="00443010">
        <w:rPr>
          <w:noProof/>
        </w:rPr>
        <w:fldChar w:fldCharType="end"/>
      </w:r>
      <w:bookmarkEnd w:id="361"/>
      <w:r w:rsidRPr="00A40A97">
        <w:t xml:space="preserve"> </w:t>
      </w:r>
      <w:r w:rsidR="00894CF8" w:rsidRPr="00A40A97">
        <w:t>Potential scope study for intramolecular DODH/hydroacylation</w:t>
      </w:r>
      <w:bookmarkEnd w:id="362"/>
    </w:p>
    <w:p w14:paraId="5D831D3F" w14:textId="77777777" w:rsidR="00894CF8" w:rsidRPr="00894CF8" w:rsidRDefault="00894CF8" w:rsidP="00894CF8">
      <w:pPr>
        <w:jc w:val="both"/>
        <w:rPr>
          <w:b/>
          <w:color w:val="000000" w:themeColor="text1"/>
        </w:rPr>
      </w:pPr>
    </w:p>
    <w:p w14:paraId="0A05D48E" w14:textId="77777777" w:rsidR="00894CF8" w:rsidRPr="00894CF8" w:rsidRDefault="00894CF8" w:rsidP="000351A7">
      <w:pPr>
        <w:pStyle w:val="Heading3"/>
      </w:pPr>
      <w:bookmarkStart w:id="363" w:name="_Toc458938331"/>
      <w:r w:rsidRPr="00894CF8">
        <w:t>Experimental</w:t>
      </w:r>
      <w:bookmarkEnd w:id="363"/>
      <w:r w:rsidRPr="00894CF8">
        <w:t xml:space="preserve"> </w:t>
      </w:r>
    </w:p>
    <w:p w14:paraId="1CB7F6D2" w14:textId="77777777" w:rsidR="00894CF8" w:rsidRPr="00894CF8" w:rsidRDefault="00894CF8" w:rsidP="00C36752">
      <w:pPr>
        <w:pStyle w:val="Heading41"/>
        <w:numPr>
          <w:ilvl w:val="0"/>
          <w:numId w:val="34"/>
        </w:numPr>
      </w:pPr>
      <w:r w:rsidRPr="00894CF8">
        <w:t>General informa</w:t>
      </w:r>
      <w:r w:rsidR="002B11DB">
        <w:t>tion: reagents and instruments.</w:t>
      </w:r>
    </w:p>
    <w:p w14:paraId="5884A8B6" w14:textId="77777777" w:rsidR="00894CF8" w:rsidRPr="00894CF8" w:rsidRDefault="00894CF8" w:rsidP="001474E0">
      <w:pPr>
        <w:ind w:firstLine="360"/>
        <w:jc w:val="both"/>
        <w:rPr>
          <w:color w:val="000000" w:themeColor="text1"/>
        </w:rPr>
      </w:pPr>
      <w:r w:rsidRPr="00894CF8">
        <w:rPr>
          <w:color w:val="000000" w:themeColor="text1"/>
        </w:rPr>
        <w:t xml:space="preserve">Most reactants were obtained commercially and used without further purification. All solvents were ACS grade and were used directly (unless otherwise described in the procedures). </w:t>
      </w:r>
      <w:r w:rsidRPr="00894CF8">
        <w:rPr>
          <w:color w:val="000000" w:themeColor="text1"/>
          <w:vertAlign w:val="superscript"/>
        </w:rPr>
        <w:t>1</w:t>
      </w:r>
      <w:r w:rsidRPr="00894CF8">
        <w:rPr>
          <w:color w:val="000000" w:themeColor="text1"/>
        </w:rPr>
        <w:t xml:space="preserve">H and </w:t>
      </w:r>
      <w:r w:rsidRPr="00894CF8">
        <w:rPr>
          <w:color w:val="000000" w:themeColor="text1"/>
          <w:vertAlign w:val="superscript"/>
        </w:rPr>
        <w:t>13</w:t>
      </w:r>
      <w:r w:rsidRPr="00894CF8">
        <w:rPr>
          <w:color w:val="000000" w:themeColor="text1"/>
        </w:rPr>
        <w:t>C NMR spectra were collected on Varian VX300 MHz or VNMRS 400 MHz instruments. The NMR data were processed using SpinWorks</w:t>
      </w:r>
      <w:r w:rsidRPr="00894CF8">
        <w:rPr>
          <w:color w:val="000000" w:themeColor="text1"/>
        </w:rPr>
        <w:fldChar w:fldCharType="begin"/>
      </w:r>
      <w:r>
        <w:rPr>
          <w:color w:val="000000" w:themeColor="text1"/>
        </w:rPr>
        <w:instrText xml:space="preserve"> ADDIN ZOTERO_ITEM CSL_CITATION {"citationID":"FRZoQoWB","properties":{"formattedCitation":"{\\rtf \\super 102\\nosupersub{}}","plainCitation":"102"},"citationItems":[{"id":1498,"uris":["http://zotero.org/users/1624234/items/2R52QEZC"],"uri":["http://zotero.org/users/1624234/items/2R52QEZC"],"itemData":{"id":1498,"type":"book","title":"SpinWorks 4","publisher":"University of Manitoba : Winnipeg Canada","version":"4.1.0.0","author":[{"family":"Marat","given":"K."}]}}],"schema":"https://github.com/citation-style-language/schema/raw/master/csl-citation.json"} </w:instrText>
      </w:r>
      <w:r w:rsidRPr="00894CF8">
        <w:rPr>
          <w:color w:val="000000" w:themeColor="text1"/>
        </w:rPr>
        <w:fldChar w:fldCharType="separate"/>
      </w:r>
      <w:r w:rsidRPr="00894CF8">
        <w:rPr>
          <w:rFonts w:ascii="Times New Roman" w:hAnsi="Times New Roman"/>
          <w:vertAlign w:val="superscript"/>
        </w:rPr>
        <w:t>102</w:t>
      </w:r>
      <w:r w:rsidRPr="00894CF8">
        <w:rPr>
          <w:color w:val="000000" w:themeColor="text1"/>
        </w:rPr>
        <w:fldChar w:fldCharType="end"/>
      </w:r>
      <w:r w:rsidRPr="00894CF8">
        <w:rPr>
          <w:color w:val="000000" w:themeColor="text1"/>
        </w:rPr>
        <w:t xml:space="preserve"> and ACD</w:t>
      </w:r>
      <w:r w:rsidRPr="00894CF8">
        <w:rPr>
          <w:color w:val="000000" w:themeColor="text1"/>
        </w:rPr>
        <w:fldChar w:fldCharType="begin"/>
      </w:r>
      <w:r>
        <w:rPr>
          <w:color w:val="000000" w:themeColor="text1"/>
        </w:rPr>
        <w:instrText xml:space="preserve"> ADDIN ZOTERO_ITEM CSL_CITATION {"citationID":"QVuJTlDs","properties":{"formattedCitation":"{\\rtf \\super 103\\nosupersub{}}","plainCitation":"103"},"citationItems":[{"id":1512,"uris":["http://zotero.org/users/1624234/items/VJU6SH7K"],"uri":["http://zotero.org/users/1624234/items/VJU6SH7K"],"itemData":{"id":1512,"type":"book","title":"ACD/Structure Elucidator","publisher":"Advanced Chemistry Development, Inc.","version":"12.01","URL":"www.acdlabs.com","issued":{"date-parts":[["2014"]]}}}],"schema":"https://github.com/citation-style-language/schema/raw/master/csl-citation.json"} </w:instrText>
      </w:r>
      <w:r w:rsidRPr="00894CF8">
        <w:rPr>
          <w:color w:val="000000" w:themeColor="text1"/>
        </w:rPr>
        <w:fldChar w:fldCharType="separate"/>
      </w:r>
      <w:r w:rsidRPr="00894CF8">
        <w:rPr>
          <w:rFonts w:ascii="Times New Roman" w:hAnsi="Times New Roman"/>
          <w:vertAlign w:val="superscript"/>
        </w:rPr>
        <w:t>103</w:t>
      </w:r>
      <w:r w:rsidRPr="00894CF8">
        <w:rPr>
          <w:color w:val="000000" w:themeColor="text1"/>
        </w:rPr>
        <w:fldChar w:fldCharType="end"/>
      </w:r>
      <w:r w:rsidRPr="00894CF8">
        <w:rPr>
          <w:color w:val="000000" w:themeColor="text1"/>
        </w:rPr>
        <w:t xml:space="preserve"> software. </w:t>
      </w:r>
    </w:p>
    <w:p w14:paraId="74492076" w14:textId="77777777" w:rsidR="00894CF8" w:rsidRPr="00894CF8" w:rsidRDefault="00894CF8" w:rsidP="00894CF8">
      <w:pPr>
        <w:jc w:val="both"/>
        <w:rPr>
          <w:color w:val="000000" w:themeColor="text1"/>
        </w:rPr>
      </w:pPr>
    </w:p>
    <w:p w14:paraId="346F409C" w14:textId="77777777" w:rsidR="00894CF8" w:rsidRPr="00894CF8" w:rsidRDefault="00894CF8" w:rsidP="002B11DB">
      <w:pPr>
        <w:pStyle w:val="Heading41"/>
      </w:pPr>
      <w:r w:rsidRPr="00894CF8">
        <w:t>Representative procedure for intermole</w:t>
      </w:r>
      <w:r w:rsidR="002B11DB">
        <w:t>cular hydroacylation reactions.</w:t>
      </w:r>
    </w:p>
    <w:p w14:paraId="2B0E7052" w14:textId="51E5630C" w:rsidR="00894CF8" w:rsidRDefault="008633A9" w:rsidP="001474E0">
      <w:pPr>
        <w:ind w:firstLine="360"/>
        <w:jc w:val="both"/>
        <w:rPr>
          <w:color w:val="000000" w:themeColor="text1"/>
        </w:rPr>
      </w:pPr>
      <w:r>
        <w:rPr>
          <w:color w:val="000000" w:themeColor="text1"/>
        </w:rPr>
        <w:t>Benzaldehyde (4.00 mmol, 0.41 m</w:t>
      </w:r>
      <w:r w:rsidR="00011660">
        <w:rPr>
          <w:color w:val="000000" w:themeColor="text1"/>
        </w:rPr>
        <w:t>L), cyclohexene (32.0 mmol, 3.2</w:t>
      </w:r>
      <w:r w:rsidR="00894CF8" w:rsidRPr="00894CF8">
        <w:rPr>
          <w:color w:val="000000" w:themeColor="text1"/>
        </w:rPr>
        <w:t xml:space="preserve"> mL), Ru</w:t>
      </w:r>
      <w:r w:rsidR="00894CF8" w:rsidRPr="00894CF8">
        <w:rPr>
          <w:color w:val="000000" w:themeColor="text1"/>
          <w:vertAlign w:val="subscript"/>
        </w:rPr>
        <w:t>3</w:t>
      </w:r>
      <w:r w:rsidR="00894CF8" w:rsidRPr="00894CF8">
        <w:rPr>
          <w:color w:val="000000" w:themeColor="text1"/>
        </w:rPr>
        <w:t>(CO)</w:t>
      </w:r>
      <w:r w:rsidR="00894CF8" w:rsidRPr="00894CF8">
        <w:rPr>
          <w:color w:val="000000" w:themeColor="text1"/>
          <w:vertAlign w:val="subscript"/>
        </w:rPr>
        <w:t>12</w:t>
      </w:r>
      <w:r w:rsidR="00011660">
        <w:rPr>
          <w:color w:val="000000" w:themeColor="text1"/>
        </w:rPr>
        <w:t xml:space="preserve"> (0.07 mmol, 44</w:t>
      </w:r>
      <w:r w:rsidR="00894CF8" w:rsidRPr="00894CF8">
        <w:rPr>
          <w:color w:val="000000" w:themeColor="text1"/>
        </w:rPr>
        <w:t xml:space="preserve"> mg) and benzene (20 mL) were added to a stainless-steel Parr reactor. The reactor was purged three times with carbon monoxide before being pressurized to 300 PSI and placed in an oil bath at 190</w:t>
      </w:r>
      <w:r w:rsidR="00894CF8" w:rsidRPr="00894CF8">
        <w:rPr>
          <w:color w:val="000000" w:themeColor="text1"/>
          <w:vertAlign w:val="superscript"/>
        </w:rPr>
        <w:t>o</w:t>
      </w:r>
      <w:r w:rsidR="00894CF8" w:rsidRPr="00894CF8">
        <w:rPr>
          <w:color w:val="000000" w:themeColor="text1"/>
        </w:rPr>
        <w:t>C for 2 to 4 days while stirring magnetically. After cooling to room temperature, the pressure was released in a fume hood and a 100 µL aliquot of the reaction mixture was removed and added to CDCl</w:t>
      </w:r>
      <w:r w:rsidR="00894CF8" w:rsidRPr="00894CF8">
        <w:rPr>
          <w:color w:val="000000" w:themeColor="text1"/>
          <w:vertAlign w:val="subscript"/>
        </w:rPr>
        <w:t>3</w:t>
      </w:r>
      <w:r>
        <w:rPr>
          <w:color w:val="000000" w:themeColor="text1"/>
        </w:rPr>
        <w:t xml:space="preserve"> (0.5</w:t>
      </w:r>
      <w:r w:rsidR="00894CF8" w:rsidRPr="00894CF8">
        <w:rPr>
          <w:color w:val="000000" w:themeColor="text1"/>
        </w:rPr>
        <w:t xml:space="preserve"> mL) for </w:t>
      </w:r>
      <w:r w:rsidR="00894CF8" w:rsidRPr="00894CF8">
        <w:rPr>
          <w:color w:val="000000" w:themeColor="text1"/>
          <w:vertAlign w:val="superscript"/>
        </w:rPr>
        <w:t>1</w:t>
      </w:r>
      <w:r w:rsidR="00894CF8" w:rsidRPr="00894CF8">
        <w:rPr>
          <w:color w:val="000000" w:themeColor="text1"/>
        </w:rPr>
        <w:t>H NMR analysis.</w:t>
      </w:r>
    </w:p>
    <w:p w14:paraId="6F76BDB9" w14:textId="77777777" w:rsidR="008633A9" w:rsidRPr="00894CF8" w:rsidRDefault="008633A9" w:rsidP="001474E0">
      <w:pPr>
        <w:ind w:firstLine="360"/>
        <w:jc w:val="both"/>
        <w:rPr>
          <w:color w:val="000000" w:themeColor="text1"/>
        </w:rPr>
      </w:pPr>
    </w:p>
    <w:p w14:paraId="63F7D6D9" w14:textId="77777777" w:rsidR="00894CF8" w:rsidRPr="00894CF8" w:rsidRDefault="00894CF8" w:rsidP="00894CF8">
      <w:pPr>
        <w:jc w:val="both"/>
        <w:rPr>
          <w:color w:val="000000" w:themeColor="text1"/>
        </w:rPr>
      </w:pPr>
      <w:r w:rsidRPr="00894CF8">
        <w:rPr>
          <w:i/>
          <w:color w:val="000000" w:themeColor="text1"/>
        </w:rPr>
        <w:t>Intermolecular hydroacylation reactions</w:t>
      </w:r>
    </w:p>
    <w:p w14:paraId="35FA339A" w14:textId="77777777" w:rsidR="00894CF8" w:rsidRPr="00894CF8" w:rsidRDefault="00443010" w:rsidP="001474E0">
      <w:pPr>
        <w:jc w:val="center"/>
        <w:rPr>
          <w:color w:val="000000" w:themeColor="text1"/>
        </w:rPr>
      </w:pPr>
      <w:r>
        <w:rPr>
          <w:color w:val="000000" w:themeColor="text1"/>
        </w:rPr>
        <w:object w:dxaOrig="0" w:dyaOrig="0" w14:anchorId="5CAE88B6">
          <v:shape id="_x0000_s1389" type="#_x0000_t75" style="position:absolute;left:0;text-align:left;margin-left:167.25pt;margin-top:.5pt;width:183.15pt;height:59.3pt;z-index:251671040">
            <v:imagedata r:id="rId355" o:title=""/>
          </v:shape>
          <o:OLEObject Type="Embed" ProgID="ChemDraw.Document.6.0" ShapeID="_x0000_s1389" DrawAspect="Content" ObjectID="_1532785070" r:id="rId356"/>
        </w:object>
      </w:r>
      <w:r w:rsidR="00894CF8" w:rsidRPr="00894CF8">
        <w:rPr>
          <w:noProof/>
          <w:color w:val="000000" w:themeColor="text1"/>
          <w:lang w:bidi="ar-SA"/>
        </w:rPr>
        <w:drawing>
          <wp:inline distT="0" distB="0" distL="0" distR="0" wp14:anchorId="2EBFA03C" wp14:editId="0838AD46">
            <wp:extent cx="4114800" cy="2492366"/>
            <wp:effectExtent l="0" t="0" r="0" b="381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57" cstate="print">
                      <a:extLst>
                        <a:ext uri="{28A0092B-C50C-407E-A947-70E740481C1C}">
                          <a14:useLocalDpi xmlns:a14="http://schemas.microsoft.com/office/drawing/2010/main" val="0"/>
                        </a:ext>
                      </a:extLst>
                    </a:blip>
                    <a:srcRect t="8356" b="12815"/>
                    <a:stretch/>
                  </pic:blipFill>
                  <pic:spPr bwMode="auto">
                    <a:xfrm>
                      <a:off x="0" y="0"/>
                      <a:ext cx="4114800" cy="2492366"/>
                    </a:xfrm>
                    <a:prstGeom prst="rect">
                      <a:avLst/>
                    </a:prstGeom>
                    <a:noFill/>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5A9A5C95" w14:textId="77777777" w:rsidR="00894CF8" w:rsidRPr="00894CF8" w:rsidRDefault="00894CF8" w:rsidP="00894CF8">
      <w:pPr>
        <w:jc w:val="both"/>
        <w:rPr>
          <w:color w:val="000000" w:themeColor="text1"/>
        </w:rPr>
      </w:pPr>
    </w:p>
    <w:p w14:paraId="6EDE9E76" w14:textId="77777777" w:rsidR="00894CF8" w:rsidRPr="00894CF8" w:rsidRDefault="00894CF8" w:rsidP="002B11DB">
      <w:pPr>
        <w:pStyle w:val="Heading41"/>
      </w:pPr>
      <w:r w:rsidRPr="00894CF8">
        <w:t xml:space="preserve">Synthesis of compound </w:t>
      </w:r>
      <w:r w:rsidRPr="00894CF8">
        <w:rPr>
          <w:b/>
        </w:rPr>
        <w:t>1b</w:t>
      </w:r>
      <w:r w:rsidRPr="00894CF8">
        <w:t xml:space="preserve"> and </w:t>
      </w:r>
      <w:r w:rsidRPr="00894CF8">
        <w:rPr>
          <w:b/>
        </w:rPr>
        <w:t>1c</w:t>
      </w:r>
    </w:p>
    <w:p w14:paraId="6D720901" w14:textId="77777777" w:rsidR="00894CF8" w:rsidRPr="00894CF8" w:rsidRDefault="00894CF8" w:rsidP="001474E0">
      <w:pPr>
        <w:jc w:val="center"/>
        <w:rPr>
          <w:color w:val="000000" w:themeColor="text1"/>
        </w:rPr>
      </w:pPr>
      <w:r w:rsidRPr="00894CF8">
        <w:rPr>
          <w:color w:val="000000" w:themeColor="text1"/>
        </w:rPr>
        <w:object w:dxaOrig="7348" w:dyaOrig="2469" w14:anchorId="3B7F31D0">
          <v:shape id="_x0000_i1159" type="#_x0000_t75" style="width:308.55pt;height:102.85pt" o:ole="">
            <v:imagedata r:id="rId358" o:title=""/>
          </v:shape>
          <o:OLEObject Type="Embed" ProgID="ChemDraw.Document.6.0" ShapeID="_x0000_i1159" DrawAspect="Content" ObjectID="_1532784998" r:id="rId359"/>
        </w:object>
      </w:r>
    </w:p>
    <w:p w14:paraId="4AD05A2F" w14:textId="77777777" w:rsidR="00894CF8" w:rsidRDefault="00894CF8" w:rsidP="00810326">
      <w:pPr>
        <w:jc w:val="center"/>
        <w:rPr>
          <w:b/>
          <w:color w:val="000000" w:themeColor="text1"/>
          <w:u w:val="single"/>
        </w:rPr>
      </w:pPr>
      <w:r w:rsidRPr="00894CF8">
        <w:rPr>
          <w:b/>
          <w:color w:val="000000" w:themeColor="text1"/>
        </w:rPr>
        <w:t xml:space="preserve">General synthesis scheme for </w:t>
      </w:r>
      <w:r w:rsidRPr="00894CF8">
        <w:rPr>
          <w:b/>
          <w:color w:val="000000" w:themeColor="text1"/>
          <w:u w:val="single"/>
        </w:rPr>
        <w:t>1</w:t>
      </w:r>
    </w:p>
    <w:p w14:paraId="39595D51" w14:textId="77777777" w:rsidR="008633A9" w:rsidRDefault="008633A9" w:rsidP="00810326">
      <w:pPr>
        <w:jc w:val="center"/>
        <w:rPr>
          <w:b/>
          <w:color w:val="000000" w:themeColor="text1"/>
          <w:u w:val="single"/>
        </w:rPr>
      </w:pPr>
    </w:p>
    <w:p w14:paraId="345DB0B0" w14:textId="77777777" w:rsidR="008633A9" w:rsidRPr="00894CF8" w:rsidRDefault="008633A9" w:rsidP="00810326">
      <w:pPr>
        <w:jc w:val="center"/>
        <w:rPr>
          <w:b/>
          <w:color w:val="000000" w:themeColor="text1"/>
        </w:rPr>
      </w:pPr>
    </w:p>
    <w:p w14:paraId="3620896D" w14:textId="77777777" w:rsidR="00894CF8" w:rsidRPr="00894CF8" w:rsidRDefault="00894CF8" w:rsidP="001474E0">
      <w:pPr>
        <w:ind w:firstLine="360"/>
        <w:jc w:val="both"/>
        <w:rPr>
          <w:color w:val="000000" w:themeColor="text1"/>
        </w:rPr>
      </w:pPr>
      <w:r w:rsidRPr="00894CF8">
        <w:rPr>
          <w:color w:val="000000" w:themeColor="text1"/>
        </w:rPr>
        <w:t xml:space="preserve">We followed the same literature procedure for the synthesis of </w:t>
      </w:r>
      <w:r w:rsidRPr="00894CF8">
        <w:rPr>
          <w:b/>
          <w:color w:val="000000" w:themeColor="text1"/>
        </w:rPr>
        <w:t>1a</w:t>
      </w:r>
      <w:r w:rsidRPr="00894CF8">
        <w:rPr>
          <w:color w:val="000000" w:themeColor="text1"/>
        </w:rPr>
        <w:t xml:space="preserve"> from phenol and 3-chloropropane-1,2-diol for the synthesis of </w:t>
      </w:r>
      <w:r w:rsidRPr="00894CF8">
        <w:rPr>
          <w:b/>
          <w:color w:val="000000" w:themeColor="text1"/>
        </w:rPr>
        <w:t>1b</w:t>
      </w:r>
      <w:r w:rsidRPr="00894CF8">
        <w:rPr>
          <w:color w:val="000000" w:themeColor="text1"/>
        </w:rPr>
        <w:t xml:space="preserve"> and </w:t>
      </w:r>
      <w:r w:rsidRPr="00894CF8">
        <w:rPr>
          <w:b/>
          <w:color w:val="000000" w:themeColor="text1"/>
        </w:rPr>
        <w:t>1c</w:t>
      </w:r>
      <w:r w:rsidRPr="00894CF8">
        <w:rPr>
          <w:color w:val="000000" w:themeColor="text1"/>
        </w:rPr>
        <w:t xml:space="preserve">. </w:t>
      </w:r>
    </w:p>
    <w:p w14:paraId="1944F7F6" w14:textId="20E337B3" w:rsidR="00894CF8" w:rsidRDefault="008633A9" w:rsidP="008633A9">
      <w:pPr>
        <w:ind w:firstLine="360"/>
        <w:jc w:val="both"/>
        <w:rPr>
          <w:color w:val="000000" w:themeColor="text1"/>
        </w:rPr>
      </w:pPr>
      <w:r>
        <w:rPr>
          <w:color w:val="000000" w:themeColor="text1"/>
        </w:rPr>
        <w:t>A solution of KOH (3.5</w:t>
      </w:r>
      <w:r w:rsidR="00894CF8" w:rsidRPr="00894CF8">
        <w:rPr>
          <w:color w:val="000000" w:themeColor="text1"/>
        </w:rPr>
        <w:t xml:space="preserve"> g, 6.25 mmol, 1.25 equiv.) in H</w:t>
      </w:r>
      <w:r w:rsidR="00894CF8" w:rsidRPr="00894CF8">
        <w:rPr>
          <w:color w:val="000000" w:themeColor="text1"/>
          <w:vertAlign w:val="subscript"/>
        </w:rPr>
        <w:t>2</w:t>
      </w:r>
      <w:r w:rsidR="00894CF8" w:rsidRPr="00894CF8">
        <w:rPr>
          <w:color w:val="000000" w:themeColor="text1"/>
        </w:rPr>
        <w:t>O (1 mL) was added to a solution of the ap</w:t>
      </w:r>
      <w:r w:rsidR="00011660">
        <w:rPr>
          <w:color w:val="000000" w:themeColor="text1"/>
        </w:rPr>
        <w:t>propriate phenol (5.0 mmol, 1.0</w:t>
      </w:r>
      <w:r w:rsidR="00894CF8" w:rsidRPr="00894CF8">
        <w:rPr>
          <w:color w:val="000000" w:themeColor="text1"/>
        </w:rPr>
        <w:t xml:space="preserve"> equiv.; 0.53 mL salicylaldehyde or 621 mg salicyl alcohol) in EtOH (3 mL). The resulting mixture was heated under reflux for 10 min. Then, a solu</w:t>
      </w:r>
      <w:r w:rsidR="000F36C2">
        <w:rPr>
          <w:color w:val="000000" w:themeColor="text1"/>
        </w:rPr>
        <w:t>tion of 3-chloro-1,2-</w:t>
      </w:r>
      <w:r w:rsidR="00894CF8" w:rsidRPr="00894CF8">
        <w:rPr>
          <w:color w:val="000000" w:themeColor="text1"/>
        </w:rPr>
        <w:t>prop</w:t>
      </w:r>
      <w:r>
        <w:rPr>
          <w:color w:val="000000" w:themeColor="text1"/>
        </w:rPr>
        <w:t>anediol (6.0 mmol, 0.50 mL, 1.2</w:t>
      </w:r>
      <w:r w:rsidR="00894CF8" w:rsidRPr="00894CF8">
        <w:rPr>
          <w:color w:val="000000" w:themeColor="text1"/>
        </w:rPr>
        <w:t xml:space="preserve"> equiv.) in EtOH (0.5 mL) was slowly added and the mixture was further heated under reflux until completion, 16 h. The ethanol was then removed under reduced pressure and Et</w:t>
      </w:r>
      <w:r w:rsidR="00894CF8" w:rsidRPr="00894CF8">
        <w:rPr>
          <w:color w:val="000000" w:themeColor="text1"/>
          <w:vertAlign w:val="subscript"/>
        </w:rPr>
        <w:t>2</w:t>
      </w:r>
      <w:r w:rsidR="00894CF8" w:rsidRPr="00894CF8">
        <w:rPr>
          <w:color w:val="000000" w:themeColor="text1"/>
        </w:rPr>
        <w:t>O was added, along with more water. The aqueous phase was extracted twice with Et</w:t>
      </w:r>
      <w:r w:rsidR="00894CF8" w:rsidRPr="00894CF8">
        <w:rPr>
          <w:color w:val="000000" w:themeColor="text1"/>
          <w:vertAlign w:val="subscript"/>
        </w:rPr>
        <w:t>2</w:t>
      </w:r>
      <w:r w:rsidR="00894CF8" w:rsidRPr="00894CF8">
        <w:rPr>
          <w:color w:val="000000" w:themeColor="text1"/>
        </w:rPr>
        <w:t>O and the combined organic layers were dried over MgSO</w:t>
      </w:r>
      <w:r w:rsidR="00894CF8" w:rsidRPr="00894CF8">
        <w:rPr>
          <w:color w:val="000000" w:themeColor="text1"/>
          <w:vertAlign w:val="subscript"/>
        </w:rPr>
        <w:t>4</w:t>
      </w:r>
      <w:r w:rsidR="00894CF8" w:rsidRPr="00894CF8">
        <w:rPr>
          <w:color w:val="000000" w:themeColor="text1"/>
        </w:rPr>
        <w:t xml:space="preserve">, filtered and evaporated under reduced pressure. Both </w:t>
      </w:r>
      <w:r w:rsidR="00894CF8" w:rsidRPr="00894CF8">
        <w:rPr>
          <w:b/>
          <w:color w:val="000000" w:themeColor="text1"/>
        </w:rPr>
        <w:t>1b</w:t>
      </w:r>
      <w:r w:rsidR="00894CF8" w:rsidRPr="00894CF8">
        <w:rPr>
          <w:color w:val="000000" w:themeColor="text1"/>
        </w:rPr>
        <w:t xml:space="preserve"> and </w:t>
      </w:r>
      <w:r w:rsidR="00894CF8" w:rsidRPr="00894CF8">
        <w:rPr>
          <w:b/>
          <w:color w:val="000000" w:themeColor="text1"/>
        </w:rPr>
        <w:t xml:space="preserve">1c </w:t>
      </w:r>
      <w:r w:rsidR="00894CF8" w:rsidRPr="00894CF8">
        <w:rPr>
          <w:color w:val="000000" w:themeColor="text1"/>
        </w:rPr>
        <w:t>were pale yellow oils.</w:t>
      </w:r>
    </w:p>
    <w:p w14:paraId="05E95849" w14:textId="77777777" w:rsidR="001474E0" w:rsidRPr="00894CF8" w:rsidRDefault="001474E0" w:rsidP="00894CF8">
      <w:pPr>
        <w:jc w:val="both"/>
        <w:rPr>
          <w:color w:val="000000" w:themeColor="text1"/>
        </w:rPr>
      </w:pPr>
    </w:p>
    <w:p w14:paraId="63EC99AC" w14:textId="6EA8C612" w:rsidR="00894CF8" w:rsidRPr="00894CF8" w:rsidRDefault="00894CF8" w:rsidP="00894CF8">
      <w:pPr>
        <w:jc w:val="both"/>
        <w:rPr>
          <w:color w:val="000000" w:themeColor="text1"/>
        </w:rPr>
      </w:pPr>
      <w:r w:rsidRPr="00894CF8">
        <w:rPr>
          <w:b/>
          <w:color w:val="000000" w:themeColor="text1"/>
        </w:rPr>
        <w:t>1b</w:t>
      </w:r>
      <w:r w:rsidRPr="00894CF8">
        <w:rPr>
          <w:color w:val="000000" w:themeColor="text1"/>
        </w:rPr>
        <w:t xml:space="preserve"> </w:t>
      </w:r>
      <w:r w:rsidRPr="00894CF8">
        <w:rPr>
          <w:color w:val="000000" w:themeColor="text1"/>
          <w:vertAlign w:val="superscript"/>
        </w:rPr>
        <w:t>1</w:t>
      </w:r>
      <w:r w:rsidRPr="00894CF8">
        <w:rPr>
          <w:color w:val="000000" w:themeColor="text1"/>
        </w:rPr>
        <w:t>H NMR (400 MHz; CDCl</w:t>
      </w:r>
      <w:r w:rsidRPr="00894CF8">
        <w:rPr>
          <w:color w:val="000000" w:themeColor="text1"/>
          <w:vertAlign w:val="subscript"/>
        </w:rPr>
        <w:t>3</w:t>
      </w:r>
      <w:r w:rsidR="008633A9">
        <w:rPr>
          <w:color w:val="000000" w:themeColor="text1"/>
        </w:rPr>
        <w:t>): 10.3 (s, 1H), 7.6</w:t>
      </w:r>
      <w:r w:rsidRPr="00894CF8">
        <w:rPr>
          <w:color w:val="000000" w:themeColor="text1"/>
        </w:rPr>
        <w:t xml:space="preserve"> (</w:t>
      </w:r>
      <w:r w:rsidR="008633A9">
        <w:rPr>
          <w:color w:val="000000" w:themeColor="text1"/>
        </w:rPr>
        <w:t>dd, J = 1.61, 7.68 Hz, 1H), 7.4</w:t>
      </w:r>
      <w:r w:rsidRPr="00894CF8">
        <w:rPr>
          <w:color w:val="000000" w:themeColor="text1"/>
        </w:rPr>
        <w:t xml:space="preserve"> </w:t>
      </w:r>
      <w:r w:rsidR="008633A9">
        <w:rPr>
          <w:color w:val="000000" w:themeColor="text1"/>
        </w:rPr>
        <w:t>(td, J = 1.66, 8.56 Hz 1H), 6.9 (t, J = 7.68 Hz, 1H), 4.1 (m, 4H), 3.8</w:t>
      </w:r>
      <w:r w:rsidRPr="00894CF8">
        <w:rPr>
          <w:color w:val="000000" w:themeColor="text1"/>
        </w:rPr>
        <w:t xml:space="preserve"> (m, 1H).</w:t>
      </w:r>
    </w:p>
    <w:p w14:paraId="06D03B52" w14:textId="77777777" w:rsidR="00894CF8" w:rsidRPr="00894CF8" w:rsidRDefault="00443010" w:rsidP="001474E0">
      <w:pPr>
        <w:jc w:val="center"/>
        <w:rPr>
          <w:b/>
          <w:color w:val="000000" w:themeColor="text1"/>
        </w:rPr>
      </w:pPr>
      <w:r>
        <w:rPr>
          <w:color w:val="000000" w:themeColor="text1"/>
        </w:rPr>
        <w:object w:dxaOrig="0" w:dyaOrig="0" w14:anchorId="19A6CD16">
          <v:shape id="_x0000_s1391" type="#_x0000_t75" style="position:absolute;left:0;text-align:left;margin-left:242.7pt;margin-top:.35pt;width:102.4pt;height:70.05pt;z-index:251673088">
            <v:imagedata r:id="rId360" o:title=""/>
          </v:shape>
          <o:OLEObject Type="Embed" ProgID="ChemDraw.Document.6.0" ShapeID="_x0000_s1391" DrawAspect="Content" ObjectID="_1532785071" r:id="rId361"/>
        </w:object>
      </w:r>
      <w:r w:rsidR="00894CF8" w:rsidRPr="00894CF8">
        <w:rPr>
          <w:b/>
          <w:noProof/>
          <w:color w:val="000000" w:themeColor="text1"/>
          <w:lang w:bidi="ar-SA"/>
        </w:rPr>
        <w:drawing>
          <wp:inline distT="0" distB="0" distL="0" distR="0" wp14:anchorId="2F167446" wp14:editId="54AE6ABD">
            <wp:extent cx="4114800" cy="2498937"/>
            <wp:effectExtent l="0" t="0" r="0"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362" cstate="print">
                      <a:extLst>
                        <a:ext uri="{28A0092B-C50C-407E-A947-70E740481C1C}">
                          <a14:useLocalDpi xmlns:a14="http://schemas.microsoft.com/office/drawing/2010/main" val="0"/>
                        </a:ext>
                      </a:extLst>
                    </a:blip>
                    <a:srcRect t="8139" b="12823"/>
                    <a:stretch/>
                  </pic:blipFill>
                  <pic:spPr bwMode="auto">
                    <a:xfrm>
                      <a:off x="0" y="0"/>
                      <a:ext cx="4114800" cy="2498937"/>
                    </a:xfrm>
                    <a:prstGeom prst="rect">
                      <a:avLst/>
                    </a:prstGeom>
                    <a:noFill/>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7D80787A" w14:textId="77777777" w:rsidR="00894CF8" w:rsidRPr="00894CF8" w:rsidRDefault="00894CF8" w:rsidP="00894CF8">
      <w:pPr>
        <w:jc w:val="both"/>
        <w:rPr>
          <w:b/>
          <w:color w:val="000000" w:themeColor="text1"/>
        </w:rPr>
      </w:pPr>
    </w:p>
    <w:p w14:paraId="449AC94B" w14:textId="24BBE79B" w:rsidR="00894CF8" w:rsidRPr="00894CF8" w:rsidRDefault="00894CF8" w:rsidP="00894CF8">
      <w:pPr>
        <w:jc w:val="both"/>
        <w:rPr>
          <w:color w:val="000000" w:themeColor="text1"/>
        </w:rPr>
      </w:pPr>
      <w:r w:rsidRPr="00894CF8">
        <w:rPr>
          <w:b/>
          <w:color w:val="000000" w:themeColor="text1"/>
        </w:rPr>
        <w:t>1c</w:t>
      </w:r>
      <w:r w:rsidRPr="00894CF8">
        <w:rPr>
          <w:color w:val="000000" w:themeColor="text1"/>
        </w:rPr>
        <w:t xml:space="preserve"> </w:t>
      </w:r>
      <w:r w:rsidRPr="00894CF8">
        <w:rPr>
          <w:color w:val="000000" w:themeColor="text1"/>
          <w:vertAlign w:val="superscript"/>
        </w:rPr>
        <w:t>1</w:t>
      </w:r>
      <w:r w:rsidRPr="00894CF8">
        <w:rPr>
          <w:color w:val="000000" w:themeColor="text1"/>
        </w:rPr>
        <w:t>H NMR (400 MHz; MeOH-</w:t>
      </w:r>
      <w:r w:rsidRPr="00894CF8">
        <w:rPr>
          <w:i/>
          <w:color w:val="000000" w:themeColor="text1"/>
        </w:rPr>
        <w:t>d</w:t>
      </w:r>
      <w:r w:rsidRPr="00894CF8">
        <w:rPr>
          <w:i/>
          <w:color w:val="000000" w:themeColor="text1"/>
          <w:vertAlign w:val="superscript"/>
        </w:rPr>
        <w:t>4</w:t>
      </w:r>
      <w:r w:rsidR="00630CBC">
        <w:rPr>
          <w:color w:val="000000" w:themeColor="text1"/>
        </w:rPr>
        <w:t>): 7.3</w:t>
      </w:r>
      <w:r w:rsidRPr="00894CF8">
        <w:rPr>
          <w:color w:val="000000" w:themeColor="text1"/>
        </w:rPr>
        <w:t xml:space="preserve"> (d, J = 6.85 Hz, 1H), 7.</w:t>
      </w:r>
      <w:r w:rsidR="00630CBC">
        <w:rPr>
          <w:color w:val="000000" w:themeColor="text1"/>
        </w:rPr>
        <w:t>2 (t, J = 8.22 Hz, 1H), 6.9 (m, 2H), 4.6 (s, 2H), 4.1 (m, 1H), 4.0 (m, 2H), 3.7</w:t>
      </w:r>
      <w:r w:rsidRPr="00894CF8">
        <w:rPr>
          <w:color w:val="000000" w:themeColor="text1"/>
        </w:rPr>
        <w:t xml:space="preserve"> (m, 2H).</w:t>
      </w:r>
    </w:p>
    <w:p w14:paraId="01292E86" w14:textId="77777777" w:rsidR="00894CF8" w:rsidRPr="00894CF8" w:rsidRDefault="00443010" w:rsidP="001474E0">
      <w:pPr>
        <w:jc w:val="center"/>
        <w:rPr>
          <w:color w:val="000000" w:themeColor="text1"/>
        </w:rPr>
      </w:pPr>
      <w:r>
        <w:rPr>
          <w:color w:val="000000" w:themeColor="text1"/>
        </w:rPr>
        <w:object w:dxaOrig="0" w:dyaOrig="0" w14:anchorId="7F8A9136">
          <v:shape id="_x0000_s1390" type="#_x0000_t75" style="position:absolute;left:0;text-align:left;margin-left:245.65pt;margin-top:2.75pt;width:102.4pt;height:70.05pt;z-index:251672064">
            <v:imagedata r:id="rId363" o:title=""/>
          </v:shape>
          <o:OLEObject Type="Embed" ProgID="ChemDraw.Document.6.0" ShapeID="_x0000_s1390" DrawAspect="Content" ObjectID="_1532785072" r:id="rId364"/>
        </w:object>
      </w:r>
      <w:r w:rsidR="00894CF8" w:rsidRPr="00894CF8">
        <w:rPr>
          <w:noProof/>
          <w:color w:val="000000" w:themeColor="text1"/>
          <w:lang w:bidi="ar-SA"/>
        </w:rPr>
        <w:drawing>
          <wp:inline distT="0" distB="0" distL="0" distR="0" wp14:anchorId="01F1CA98" wp14:editId="078425FD">
            <wp:extent cx="4114800" cy="2515552"/>
            <wp:effectExtent l="0" t="0" r="0"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365" cstate="print">
                      <a:extLst>
                        <a:ext uri="{28A0092B-C50C-407E-A947-70E740481C1C}">
                          <a14:useLocalDpi xmlns:a14="http://schemas.microsoft.com/office/drawing/2010/main" val="0"/>
                        </a:ext>
                      </a:extLst>
                    </a:blip>
                    <a:srcRect t="7819" b="12617"/>
                    <a:stretch/>
                  </pic:blipFill>
                  <pic:spPr bwMode="auto">
                    <a:xfrm>
                      <a:off x="0" y="0"/>
                      <a:ext cx="4114800" cy="2515552"/>
                    </a:xfrm>
                    <a:prstGeom prst="rect">
                      <a:avLst/>
                    </a:prstGeom>
                    <a:noFill/>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23EA69DA" w14:textId="77777777" w:rsidR="00894CF8" w:rsidRPr="00894CF8" w:rsidRDefault="00894CF8" w:rsidP="00894CF8">
      <w:pPr>
        <w:jc w:val="both"/>
        <w:rPr>
          <w:color w:val="000000" w:themeColor="text1"/>
        </w:rPr>
      </w:pPr>
    </w:p>
    <w:p w14:paraId="72EB9940" w14:textId="77777777" w:rsidR="00894CF8" w:rsidRPr="00894CF8" w:rsidRDefault="00894CF8" w:rsidP="002B11DB">
      <w:pPr>
        <w:pStyle w:val="Heading41"/>
      </w:pPr>
      <w:r w:rsidRPr="00894CF8">
        <w:t xml:space="preserve">Synthesis of compound </w:t>
      </w:r>
      <w:r w:rsidRPr="00894CF8">
        <w:rPr>
          <w:b/>
        </w:rPr>
        <w:t>2</w:t>
      </w:r>
    </w:p>
    <w:p w14:paraId="53631569" w14:textId="77777777" w:rsidR="00894CF8" w:rsidRPr="00894CF8" w:rsidRDefault="00894CF8" w:rsidP="001474E0">
      <w:pPr>
        <w:jc w:val="center"/>
        <w:rPr>
          <w:color w:val="000000" w:themeColor="text1"/>
        </w:rPr>
      </w:pPr>
      <w:r w:rsidRPr="00894CF8">
        <w:rPr>
          <w:color w:val="000000" w:themeColor="text1"/>
        </w:rPr>
        <w:object w:dxaOrig="6350" w:dyaOrig="1180" w14:anchorId="78D2F956">
          <v:shape id="_x0000_i1162" type="#_x0000_t75" style="width:318.85pt;height:56.2pt" o:ole="">
            <v:imagedata r:id="rId366" o:title=""/>
          </v:shape>
          <o:OLEObject Type="Embed" ProgID="ChemDraw.Document.6.0" ShapeID="_x0000_i1162" DrawAspect="Content" ObjectID="_1532784999" r:id="rId367"/>
        </w:object>
      </w:r>
    </w:p>
    <w:p w14:paraId="1B39479F" w14:textId="77777777" w:rsidR="00894CF8" w:rsidRPr="00894CF8" w:rsidRDefault="00894CF8" w:rsidP="001474E0">
      <w:pPr>
        <w:ind w:firstLine="360"/>
        <w:jc w:val="both"/>
        <w:rPr>
          <w:color w:val="000000" w:themeColor="text1"/>
        </w:rPr>
      </w:pPr>
      <w:r w:rsidRPr="00894CF8">
        <w:rPr>
          <w:color w:val="000000" w:themeColor="text1"/>
        </w:rPr>
        <w:t xml:space="preserve">We followed the same literature procedure for the synthesis of </w:t>
      </w:r>
      <w:r w:rsidRPr="00894CF8">
        <w:rPr>
          <w:b/>
          <w:color w:val="000000" w:themeColor="text1"/>
        </w:rPr>
        <w:t>2</w:t>
      </w:r>
      <w:r w:rsidRPr="00894CF8">
        <w:rPr>
          <w:color w:val="000000" w:themeColor="text1"/>
        </w:rPr>
        <w:t xml:space="preserve"> from salicyl aldehyde and allyl bromide.</w:t>
      </w:r>
      <w:r w:rsidRPr="00894CF8">
        <w:rPr>
          <w:color w:val="000000" w:themeColor="text1"/>
        </w:rPr>
        <w:fldChar w:fldCharType="begin"/>
      </w:r>
      <w:r w:rsidR="00E028D6">
        <w:rPr>
          <w:color w:val="000000" w:themeColor="text1"/>
        </w:rPr>
        <w:instrText xml:space="preserve"> ADDIN ZOTERO_ITEM CSL_CITATION {"citationID":"h0jej4c4","properties":{"formattedCitation":"{\\rtf \\super 162\\nosupersub{}}","plainCitation":"162"},"citationItems":[{"id":1743,"uris":["http://zotero.org/users/1624234/items/JEM8FRDG"],"uri":["http://zotero.org/users/1624234/items/JEM8FRDG"],"itemData":{"id":1743,"type":"article-journal","title":"Extending the Stetter Reaction with 1,6-Acceptors","container-title":"Chemistry – A European Journal","page":"15852-15855","volume":"19","issue":"47","source":"Wiley Online Library","DOI":"10.1002/chem.201303435","ISSN":"1521-3765","journalAbbreviation":"Chem. Eur. J.","language":"en","author":[{"family":"Law","given":"Katherine R."},{"family":"McErlean","given":"Christopher S. P."}],"issued":{"date-parts":[["2013",11,18]]}}}],"schema":"https://github.com/citation-style-language/schema/raw/master/csl-citation.json"} </w:instrText>
      </w:r>
      <w:r w:rsidRPr="00894CF8">
        <w:rPr>
          <w:color w:val="000000" w:themeColor="text1"/>
        </w:rPr>
        <w:fldChar w:fldCharType="separate"/>
      </w:r>
      <w:r w:rsidR="00E028D6" w:rsidRPr="00E028D6">
        <w:rPr>
          <w:rFonts w:ascii="Times New Roman" w:hAnsi="Times New Roman"/>
          <w:vertAlign w:val="superscript"/>
        </w:rPr>
        <w:t>162</w:t>
      </w:r>
      <w:r w:rsidRPr="00894CF8">
        <w:rPr>
          <w:color w:val="000000" w:themeColor="text1"/>
        </w:rPr>
        <w:fldChar w:fldCharType="end"/>
      </w:r>
    </w:p>
    <w:p w14:paraId="7F7D5681" w14:textId="77777777" w:rsidR="00894CF8" w:rsidRPr="00894CF8" w:rsidRDefault="00894CF8" w:rsidP="001474E0">
      <w:pPr>
        <w:ind w:firstLine="360"/>
        <w:jc w:val="both"/>
        <w:rPr>
          <w:color w:val="000000" w:themeColor="text1"/>
        </w:rPr>
      </w:pPr>
      <w:r w:rsidRPr="00894CF8">
        <w:rPr>
          <w:color w:val="000000" w:themeColor="text1"/>
        </w:rPr>
        <w:t>Salicylaldehyde (0.27 mL, 2.5 mmol), allyl bromide (0.28 mL, 3.3 mmol) and potassium carbonate (520 mg, 3.8 mmol) were mixed in acetonitrile (10 mL) and the reaction mixture was heated to 60 °C (reflux, 3 h). The mixture was cooled to room temperature and diluted with ethyl acetate. The reaction mixture was washed with saturated aqueous ammonium chloride, 1 M aqueous sodium hydroxide and brine. The separated organic phase was dried over Na</w:t>
      </w:r>
      <w:r w:rsidRPr="00894CF8">
        <w:rPr>
          <w:color w:val="000000" w:themeColor="text1"/>
          <w:vertAlign w:val="subscript"/>
        </w:rPr>
        <w:t>2</w:t>
      </w:r>
      <w:r w:rsidRPr="00894CF8">
        <w:rPr>
          <w:color w:val="000000" w:themeColor="text1"/>
        </w:rPr>
        <w:t>SO</w:t>
      </w:r>
      <w:r w:rsidRPr="00894CF8">
        <w:rPr>
          <w:color w:val="000000" w:themeColor="text1"/>
          <w:vertAlign w:val="subscript"/>
        </w:rPr>
        <w:t>4</w:t>
      </w:r>
      <w:r w:rsidRPr="00894CF8">
        <w:rPr>
          <w:color w:val="000000" w:themeColor="text1"/>
        </w:rPr>
        <w:t xml:space="preserve"> and the solvent was removed to give the title compound (404 mg, 100%) as a pale yellow oil.</w:t>
      </w:r>
    </w:p>
    <w:p w14:paraId="066C9877" w14:textId="61CA1DF2" w:rsidR="00894CF8" w:rsidRPr="00894CF8" w:rsidRDefault="00894CF8" w:rsidP="00894CF8">
      <w:pPr>
        <w:jc w:val="both"/>
        <w:rPr>
          <w:color w:val="000000" w:themeColor="text1"/>
        </w:rPr>
      </w:pPr>
      <w:r w:rsidRPr="00894CF8">
        <w:rPr>
          <w:color w:val="000000" w:themeColor="text1"/>
          <w:vertAlign w:val="superscript"/>
        </w:rPr>
        <w:t>1</w:t>
      </w:r>
      <w:r w:rsidRPr="00894CF8">
        <w:rPr>
          <w:color w:val="000000" w:themeColor="text1"/>
        </w:rPr>
        <w:t>H NMR (400 MHz; CDCl</w:t>
      </w:r>
      <w:r w:rsidRPr="00894CF8">
        <w:rPr>
          <w:color w:val="000000" w:themeColor="text1"/>
          <w:vertAlign w:val="subscript"/>
        </w:rPr>
        <w:t>3</w:t>
      </w:r>
      <w:r w:rsidR="00630CBC">
        <w:rPr>
          <w:color w:val="000000" w:themeColor="text1"/>
        </w:rPr>
        <w:t>): 10.5 (s, 1H), 7.8 (d, J = 7.8 Hz, 1 H), 7.5</w:t>
      </w:r>
      <w:r w:rsidRPr="00894CF8">
        <w:rPr>
          <w:color w:val="000000" w:themeColor="text1"/>
        </w:rPr>
        <w:t xml:space="preserve"> </w:t>
      </w:r>
      <w:r w:rsidR="00630CBC">
        <w:rPr>
          <w:color w:val="000000" w:themeColor="text1"/>
        </w:rPr>
        <w:t>(dd, J = 8.1, 7.8 Hz, 1 H), 6.9</w:t>
      </w:r>
      <w:r w:rsidRPr="00894CF8">
        <w:rPr>
          <w:color w:val="000000" w:themeColor="text1"/>
        </w:rPr>
        <w:t xml:space="preserve"> (m, 2H)</w:t>
      </w:r>
      <w:r w:rsidR="00630CBC">
        <w:rPr>
          <w:color w:val="000000" w:themeColor="text1"/>
        </w:rPr>
        <w:t>, 6.0 (m, 1H), 5.4 (d, J = 17.4 Hz, 1 H), 5.3 (d, J = 10.5 Hz, 1H), 4.6</w:t>
      </w:r>
      <w:r w:rsidRPr="00894CF8">
        <w:rPr>
          <w:color w:val="000000" w:themeColor="text1"/>
        </w:rPr>
        <w:t xml:space="preserve"> (d, J = 4.8 Hz, 2H); </w:t>
      </w:r>
    </w:p>
    <w:p w14:paraId="0F21BB9D" w14:textId="77777777" w:rsidR="00894CF8" w:rsidRPr="00894CF8" w:rsidRDefault="00443010" w:rsidP="001474E0">
      <w:pPr>
        <w:jc w:val="center"/>
        <w:rPr>
          <w:color w:val="000000" w:themeColor="text1"/>
        </w:rPr>
      </w:pPr>
      <w:r>
        <w:rPr>
          <w:color w:val="000000" w:themeColor="text1"/>
        </w:rPr>
        <w:object w:dxaOrig="0" w:dyaOrig="0" w14:anchorId="50B45A51">
          <v:shape id="_x0000_s1392" type="#_x0000_t75" style="position:absolute;left:0;text-align:left;margin-left:269.75pt;margin-top:1.8pt;width:78.55pt;height:37.35pt;z-index:251674112">
            <v:imagedata r:id="rId368" o:title=""/>
          </v:shape>
          <o:OLEObject Type="Embed" ProgID="ChemDraw.Document.6.0" ShapeID="_x0000_s1392" DrawAspect="Content" ObjectID="_1532785073" r:id="rId369"/>
        </w:object>
      </w:r>
      <w:r w:rsidR="00894CF8" w:rsidRPr="00894CF8">
        <w:rPr>
          <w:noProof/>
          <w:color w:val="000000" w:themeColor="text1"/>
          <w:lang w:bidi="ar-SA"/>
        </w:rPr>
        <w:drawing>
          <wp:inline distT="0" distB="0" distL="0" distR="0" wp14:anchorId="31F9BBDB" wp14:editId="38F6FB71">
            <wp:extent cx="4114800" cy="2547881"/>
            <wp:effectExtent l="0" t="0" r="0" b="508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rotWithShape="1">
                    <a:blip r:embed="rId370" cstate="print">
                      <a:extLst>
                        <a:ext uri="{28A0092B-C50C-407E-A947-70E740481C1C}">
                          <a14:useLocalDpi xmlns:a14="http://schemas.microsoft.com/office/drawing/2010/main" val="0"/>
                        </a:ext>
                      </a:extLst>
                    </a:blip>
                    <a:srcRect t="8179" b="11235"/>
                    <a:stretch/>
                  </pic:blipFill>
                  <pic:spPr bwMode="auto">
                    <a:xfrm>
                      <a:off x="0" y="0"/>
                      <a:ext cx="4114800" cy="2547881"/>
                    </a:xfrm>
                    <a:prstGeom prst="rect">
                      <a:avLst/>
                    </a:prstGeom>
                    <a:noFill/>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1C273A39" w14:textId="77777777" w:rsidR="00894CF8" w:rsidRPr="00894CF8" w:rsidRDefault="00894CF8" w:rsidP="00894CF8">
      <w:pPr>
        <w:jc w:val="both"/>
        <w:rPr>
          <w:color w:val="000000" w:themeColor="text1"/>
        </w:rPr>
      </w:pPr>
    </w:p>
    <w:p w14:paraId="27F15B6C" w14:textId="77777777" w:rsidR="00894CF8" w:rsidRPr="00894CF8" w:rsidRDefault="00894CF8" w:rsidP="002B11DB">
      <w:pPr>
        <w:pStyle w:val="Heading41"/>
      </w:pPr>
      <w:r w:rsidRPr="00894CF8">
        <w:t xml:space="preserve">Representative procedure for DODH reactions. </w:t>
      </w:r>
    </w:p>
    <w:p w14:paraId="714D1958" w14:textId="75BC515B" w:rsidR="00894CF8" w:rsidRDefault="00894CF8" w:rsidP="001474E0">
      <w:pPr>
        <w:ind w:firstLine="360"/>
        <w:jc w:val="both"/>
        <w:rPr>
          <w:color w:val="000000" w:themeColor="text1"/>
        </w:rPr>
      </w:pPr>
      <w:r w:rsidRPr="00894CF8">
        <w:rPr>
          <w:color w:val="000000" w:themeColor="text1"/>
        </w:rPr>
        <w:t>Compound</w:t>
      </w:r>
      <w:r w:rsidRPr="00894CF8">
        <w:rPr>
          <w:b/>
          <w:color w:val="000000" w:themeColor="text1"/>
        </w:rPr>
        <w:t xml:space="preserve"> 1b</w:t>
      </w:r>
      <w:r w:rsidRPr="00894CF8">
        <w:rPr>
          <w:color w:val="000000" w:themeColor="text1"/>
        </w:rPr>
        <w:t xml:space="preserve"> (1.00 mmol, 198 mg), NH</w:t>
      </w:r>
      <w:r w:rsidRPr="00894CF8">
        <w:rPr>
          <w:color w:val="000000" w:themeColor="text1"/>
          <w:vertAlign w:val="subscript"/>
        </w:rPr>
        <w:t>4</w:t>
      </w:r>
      <w:r w:rsidRPr="00894CF8">
        <w:rPr>
          <w:color w:val="000000" w:themeColor="text1"/>
        </w:rPr>
        <w:t>ReO</w:t>
      </w:r>
      <w:r w:rsidRPr="00894CF8">
        <w:rPr>
          <w:color w:val="000000" w:themeColor="text1"/>
          <w:vertAlign w:val="subscript"/>
        </w:rPr>
        <w:t>4</w:t>
      </w:r>
      <w:r w:rsidR="00630CBC">
        <w:rPr>
          <w:color w:val="000000" w:themeColor="text1"/>
        </w:rPr>
        <w:t xml:space="preserve"> (0.10 mmol, 25</w:t>
      </w:r>
      <w:r w:rsidRPr="00894CF8">
        <w:rPr>
          <w:color w:val="000000" w:themeColor="text1"/>
        </w:rPr>
        <w:t xml:space="preserve"> mg), </w:t>
      </w:r>
      <w:r w:rsidR="00630CBC">
        <w:rPr>
          <w:color w:val="000000" w:themeColor="text1"/>
        </w:rPr>
        <w:t>benzyl alcohol (1.00 mmol, 0.11</w:t>
      </w:r>
      <w:r w:rsidRPr="00894CF8">
        <w:rPr>
          <w:color w:val="000000" w:themeColor="text1"/>
        </w:rPr>
        <w:t xml:space="preserve"> mL), and benzene (5 mL) were added to a thick-walled Ace glass reactor tube. A N</w:t>
      </w:r>
      <w:r w:rsidRPr="00894CF8">
        <w:rPr>
          <w:color w:val="000000" w:themeColor="text1"/>
          <w:vertAlign w:val="subscript"/>
        </w:rPr>
        <w:t>2</w:t>
      </w:r>
      <w:r w:rsidRPr="00894CF8">
        <w:rPr>
          <w:color w:val="000000" w:themeColor="text1"/>
        </w:rPr>
        <w:t xml:space="preserve"> flow was bubbled into the mixture for at least 60 sec before the Teflon seal was closed. The reactor was placed in an oil bath at 150 </w:t>
      </w:r>
      <w:r w:rsidRPr="00894CF8">
        <w:rPr>
          <w:color w:val="000000" w:themeColor="text1"/>
          <w:vertAlign w:val="superscript"/>
        </w:rPr>
        <w:t>o</w:t>
      </w:r>
      <w:r w:rsidRPr="00894CF8">
        <w:rPr>
          <w:color w:val="000000" w:themeColor="text1"/>
        </w:rPr>
        <w:t>C for 24 h while stirring magnetically. After cooling to room temperature, a 100 µL aliquot of the reaction mixture was removed and added to CDCl</w:t>
      </w:r>
      <w:r w:rsidRPr="00894CF8">
        <w:rPr>
          <w:color w:val="000000" w:themeColor="text1"/>
          <w:vertAlign w:val="subscript"/>
        </w:rPr>
        <w:t>3</w:t>
      </w:r>
      <w:r w:rsidR="00011660">
        <w:rPr>
          <w:color w:val="000000" w:themeColor="text1"/>
        </w:rPr>
        <w:t xml:space="preserve"> (0.5</w:t>
      </w:r>
      <w:r w:rsidRPr="00894CF8">
        <w:rPr>
          <w:color w:val="000000" w:themeColor="text1"/>
        </w:rPr>
        <w:t xml:space="preserve"> mL) and 2.0 µL DMSO as internal standard for NMR analysis. The resulting spectr</w:t>
      </w:r>
      <w:r w:rsidR="00B37AEF">
        <w:rPr>
          <w:color w:val="000000" w:themeColor="text1"/>
        </w:rPr>
        <w:t>um</w:t>
      </w:r>
      <w:r w:rsidRPr="00894CF8">
        <w:rPr>
          <w:color w:val="000000" w:themeColor="text1"/>
        </w:rPr>
        <w:t xml:space="preserve"> was compared to the expected product (</w:t>
      </w:r>
      <w:r w:rsidRPr="00894CF8">
        <w:rPr>
          <w:b/>
          <w:color w:val="000000" w:themeColor="text1"/>
        </w:rPr>
        <w:t>2</w:t>
      </w:r>
      <w:r w:rsidRPr="00894CF8">
        <w:rPr>
          <w:color w:val="000000" w:themeColor="text1"/>
        </w:rPr>
        <w:t>).</w:t>
      </w:r>
    </w:p>
    <w:p w14:paraId="25FD7085" w14:textId="77777777" w:rsidR="00630CBC" w:rsidRDefault="00630CBC" w:rsidP="001474E0">
      <w:pPr>
        <w:ind w:firstLine="360"/>
        <w:jc w:val="both"/>
        <w:rPr>
          <w:color w:val="000000" w:themeColor="text1"/>
        </w:rPr>
      </w:pPr>
    </w:p>
    <w:p w14:paraId="06D274B6" w14:textId="77777777" w:rsidR="00630CBC" w:rsidRDefault="00630CBC" w:rsidP="001474E0">
      <w:pPr>
        <w:ind w:firstLine="360"/>
        <w:jc w:val="both"/>
        <w:rPr>
          <w:color w:val="000000" w:themeColor="text1"/>
        </w:rPr>
      </w:pPr>
    </w:p>
    <w:p w14:paraId="52D42E27" w14:textId="77777777" w:rsidR="00630CBC" w:rsidRPr="00894CF8" w:rsidRDefault="00630CBC" w:rsidP="001474E0">
      <w:pPr>
        <w:ind w:firstLine="360"/>
        <w:jc w:val="both"/>
        <w:rPr>
          <w:color w:val="000000" w:themeColor="text1"/>
        </w:rPr>
      </w:pPr>
    </w:p>
    <w:p w14:paraId="35D24060" w14:textId="77777777" w:rsidR="00894CF8" w:rsidRPr="00894CF8" w:rsidRDefault="00894CF8" w:rsidP="00894CF8">
      <w:pPr>
        <w:jc w:val="both"/>
        <w:rPr>
          <w:i/>
          <w:color w:val="000000" w:themeColor="text1"/>
        </w:rPr>
      </w:pPr>
      <w:r w:rsidRPr="00894CF8">
        <w:rPr>
          <w:i/>
          <w:color w:val="000000" w:themeColor="text1"/>
          <w:vertAlign w:val="superscript"/>
        </w:rPr>
        <w:t>1</w:t>
      </w:r>
      <w:r w:rsidRPr="00894CF8">
        <w:rPr>
          <w:i/>
          <w:color w:val="000000" w:themeColor="text1"/>
        </w:rPr>
        <w:t>H NMR DODH reaction of 1b (</w:t>
      </w:r>
      <w:r w:rsidR="00810326">
        <w:rPr>
          <w:i/>
          <w:color w:val="000000" w:themeColor="text1"/>
        </w:rPr>
        <w:fldChar w:fldCharType="begin"/>
      </w:r>
      <w:r w:rsidR="00810326">
        <w:rPr>
          <w:i/>
          <w:color w:val="000000" w:themeColor="text1"/>
        </w:rPr>
        <w:instrText xml:space="preserve"> REF _Ref454963366 \h </w:instrText>
      </w:r>
      <w:r w:rsidR="00810326">
        <w:rPr>
          <w:i/>
          <w:color w:val="000000" w:themeColor="text1"/>
        </w:rPr>
      </w:r>
      <w:r w:rsidR="00810326">
        <w:rPr>
          <w:i/>
          <w:color w:val="000000" w:themeColor="text1"/>
        </w:rPr>
        <w:fldChar w:fldCharType="separate"/>
      </w:r>
      <w:r w:rsidR="000A0E3D" w:rsidRPr="00A40A97">
        <w:t xml:space="preserve">Figure III. </w:t>
      </w:r>
      <w:r w:rsidR="000A0E3D">
        <w:rPr>
          <w:noProof/>
        </w:rPr>
        <w:t>6</w:t>
      </w:r>
      <w:r w:rsidR="000A0E3D">
        <w:t>.</w:t>
      </w:r>
      <w:r w:rsidR="000A0E3D">
        <w:rPr>
          <w:noProof/>
        </w:rPr>
        <w:t>9</w:t>
      </w:r>
      <w:r w:rsidR="00810326">
        <w:rPr>
          <w:i/>
          <w:color w:val="000000" w:themeColor="text1"/>
        </w:rPr>
        <w:fldChar w:fldCharType="end"/>
      </w:r>
      <w:r w:rsidRPr="00894CF8">
        <w:rPr>
          <w:i/>
          <w:color w:val="000000" w:themeColor="text1"/>
        </w:rPr>
        <w:t>)</w:t>
      </w:r>
    </w:p>
    <w:p w14:paraId="5DFC8302" w14:textId="77777777" w:rsidR="00894CF8" w:rsidRDefault="00443010" w:rsidP="001474E0">
      <w:pPr>
        <w:jc w:val="center"/>
        <w:rPr>
          <w:color w:val="000000" w:themeColor="text1"/>
        </w:rPr>
      </w:pPr>
      <w:r>
        <w:rPr>
          <w:color w:val="000000" w:themeColor="text1"/>
        </w:rPr>
        <w:object w:dxaOrig="0" w:dyaOrig="0" w14:anchorId="5F35DAE5">
          <v:shape id="_x0000_s1393" type="#_x0000_t75" style="position:absolute;left:0;text-align:left;margin-left:180.15pt;margin-top:8.15pt;width:63.9pt;height:69.35pt;z-index:251675136">
            <v:imagedata r:id="rId371" o:title=""/>
          </v:shape>
          <o:OLEObject Type="Embed" ProgID="ChemDraw.Document.6.0" ShapeID="_x0000_s1393" DrawAspect="Content" ObjectID="_1532785074" r:id="rId372"/>
        </w:object>
      </w:r>
      <w:r w:rsidR="00894CF8" w:rsidRPr="00894CF8">
        <w:rPr>
          <w:noProof/>
          <w:color w:val="000000" w:themeColor="text1"/>
          <w:lang w:bidi="ar-SA"/>
        </w:rPr>
        <mc:AlternateContent>
          <mc:Choice Requires="wps">
            <w:drawing>
              <wp:anchor distT="0" distB="0" distL="114300" distR="114300" simplePos="0" relativeHeight="251676160" behindDoc="0" locked="0" layoutInCell="1" allowOverlap="1" wp14:anchorId="301B69FF" wp14:editId="26BE1735">
                <wp:simplePos x="0" y="0"/>
                <wp:positionH relativeFrom="column">
                  <wp:posOffset>2449195</wp:posOffset>
                </wp:positionH>
                <wp:positionV relativeFrom="paragraph">
                  <wp:posOffset>791845</wp:posOffset>
                </wp:positionV>
                <wp:extent cx="116966" cy="234712"/>
                <wp:effectExtent l="38100" t="0" r="35560" b="51435"/>
                <wp:wrapNone/>
                <wp:docPr id="389" name="Straight Arrow Connector 389"/>
                <wp:cNvGraphicFramePr/>
                <a:graphic xmlns:a="http://schemas.openxmlformats.org/drawingml/2006/main">
                  <a:graphicData uri="http://schemas.microsoft.com/office/word/2010/wordprocessingShape">
                    <wps:wsp>
                      <wps:cNvCnPr/>
                      <wps:spPr>
                        <a:xfrm flipH="1">
                          <a:off x="0" y="0"/>
                          <a:ext cx="116966" cy="23471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5C2AA699" id="_x0000_t32" coordsize="21600,21600" o:spt="32" o:oned="t" path="m,l21600,21600e" filled="f">
                <v:path arrowok="t" fillok="f" o:connecttype="none"/>
                <o:lock v:ext="edit" shapetype="t"/>
              </v:shapetype>
              <v:shape id="Straight Arrow Connector 389" o:spid="_x0000_s1026" type="#_x0000_t32" style="position:absolute;margin-left:192.85pt;margin-top:62.35pt;width:9.2pt;height:18.5pt;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" strokecolor="black [3213]">
                <v:stroke endarrow="block"/>
              </v:shape>
            </w:pict>
          </mc:Fallback>
        </mc:AlternateContent>
      </w:r>
      <w:r w:rsidR="00894CF8" w:rsidRPr="00894CF8">
        <w:rPr>
          <w:noProof/>
          <w:color w:val="000000" w:themeColor="text1"/>
          <w:lang w:bidi="ar-SA"/>
        </w:rPr>
        <w:drawing>
          <wp:inline distT="0" distB="0" distL="0" distR="0" wp14:anchorId="658D0F3D" wp14:editId="34FA9E32">
            <wp:extent cx="4114800" cy="2499015"/>
            <wp:effectExtent l="0" t="0" r="0"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rotWithShape="1">
                    <a:blip r:embed="rId373" cstate="print">
                      <a:extLst>
                        <a:ext uri="{28A0092B-C50C-407E-A947-70E740481C1C}">
                          <a14:useLocalDpi xmlns:a14="http://schemas.microsoft.com/office/drawing/2010/main" val="0"/>
                        </a:ext>
                      </a:extLst>
                    </a:blip>
                    <a:srcRect t="8567" b="12393"/>
                    <a:stretch/>
                  </pic:blipFill>
                  <pic:spPr bwMode="auto">
                    <a:xfrm>
                      <a:off x="0" y="0"/>
                      <a:ext cx="4114800" cy="2499015"/>
                    </a:xfrm>
                    <a:prstGeom prst="rect">
                      <a:avLst/>
                    </a:prstGeom>
                    <a:noFill/>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3B3ABF4A" w14:textId="77777777" w:rsidR="001474E0" w:rsidRPr="00894CF8" w:rsidRDefault="001474E0" w:rsidP="001474E0">
      <w:pPr>
        <w:jc w:val="center"/>
        <w:rPr>
          <w:color w:val="000000" w:themeColor="text1"/>
        </w:rPr>
      </w:pPr>
    </w:p>
    <w:p w14:paraId="57C9525F" w14:textId="6F6911C9" w:rsidR="00894CF8" w:rsidRDefault="00894CF8" w:rsidP="00894CF8">
      <w:pPr>
        <w:jc w:val="both"/>
        <w:rPr>
          <w:color w:val="000000" w:themeColor="text1"/>
        </w:rPr>
      </w:pPr>
      <w:r w:rsidRPr="00894CF8">
        <w:rPr>
          <w:iCs/>
          <w:color w:val="000000" w:themeColor="text1"/>
        </w:rPr>
        <w:t xml:space="preserve">Reported </w:t>
      </w:r>
      <w:r w:rsidRPr="00894CF8">
        <w:rPr>
          <w:iCs/>
          <w:color w:val="000000" w:themeColor="text1"/>
          <w:vertAlign w:val="superscript"/>
        </w:rPr>
        <w:t>1</w:t>
      </w:r>
      <w:r w:rsidRPr="00894CF8">
        <w:rPr>
          <w:iCs/>
          <w:color w:val="000000" w:themeColor="text1"/>
        </w:rPr>
        <w:t xml:space="preserve">H NMR for </w:t>
      </w:r>
      <w:r w:rsidRPr="00894CF8">
        <w:rPr>
          <w:b/>
          <w:iCs/>
          <w:color w:val="000000" w:themeColor="text1"/>
        </w:rPr>
        <w:t>5</w:t>
      </w:r>
      <w:r w:rsidRPr="00894CF8">
        <w:rPr>
          <w:b/>
          <w:iCs/>
          <w:color w:val="000000" w:themeColor="text1"/>
        </w:rPr>
        <w:fldChar w:fldCharType="begin"/>
      </w:r>
      <w:r w:rsidR="00E028D6">
        <w:rPr>
          <w:b/>
          <w:iCs/>
          <w:color w:val="000000" w:themeColor="text1"/>
        </w:rPr>
        <w:instrText xml:space="preserve"> ADDIN ZOTERO_ITEM CSL_CITATION {"citationID":"2aj0s952mh","properties":{"formattedCitation":"{\\rtf \\super 159\\nosupersub{}}","plainCitation":"159"},"citationItems":[{"id":1739,"uris":["http://zotero.org/users/1624234/items/ZGZPJKTQ"],"uri":["http://zotero.org/users/1624234/items/ZGZPJKTQ"],"itemData":{"id":1739,"type":"article-journal","title":"Study of the interaction of salicyl aldehydes with epichlorohydrin: a simple, convenient, and efficient method for the synthesis of 3,6-epoxy[1,5]dioxocines","container-title":"Tetrahedron","page":"8407-8411","volume":"65","issue":"40","source":"ScienceDirect","abstract":"An efficient synthetic method for 3,6-epoxy[1,5]dioxocines via the condensation of salicyl aldehydes and epichlorohydrin, using benzyl triethylammonium chloride as catalyst, is described. The use of neutral or electron-deficient salicyl aldehydes in all cases was found to give 3,6-epoxy[1,5]dioxocine derivatives in good yields. The structural features were resolved by IR, NMR spectroscopy, mass spectrometry, and ultimately proved by X-ray crystallographic analysis.","DOI":"10.1016/j.tet.2009.07.093","ISSN":"0040-4020","shortTitle":"Study of the interaction of salicyl aldehydes with epichlorohydrin","journalAbbreviation":"Tetrahedron","author":[{"family":"Janeliunas","given":"Dainius"},{"family":"Daskeviciene","given":"Maryte"},{"family":"Malinauskas","given":"Tadas"},{"family":"Getautis","given":"Vytautas"}],"issued":{"date-parts":[["2009",10,3]]}}}],"schema":"https://github.com/citation-style-language/schema/raw/master/csl-citation.json"} </w:instrText>
      </w:r>
      <w:r w:rsidRPr="00894CF8">
        <w:rPr>
          <w:b/>
          <w:iCs/>
          <w:color w:val="000000" w:themeColor="text1"/>
        </w:rPr>
        <w:fldChar w:fldCharType="separate"/>
      </w:r>
      <w:r w:rsidR="00E028D6" w:rsidRPr="00E028D6">
        <w:rPr>
          <w:rFonts w:ascii="Times New Roman" w:hAnsi="Times New Roman"/>
          <w:vertAlign w:val="superscript"/>
        </w:rPr>
        <w:t>159</w:t>
      </w:r>
      <w:r w:rsidRPr="00894CF8">
        <w:rPr>
          <w:color w:val="000000" w:themeColor="text1"/>
        </w:rPr>
        <w:fldChar w:fldCharType="end"/>
      </w:r>
      <w:r w:rsidRPr="00894CF8">
        <w:rPr>
          <w:i/>
          <w:iCs/>
          <w:color w:val="000000" w:themeColor="text1"/>
        </w:rPr>
        <w:t xml:space="preserve"> </w:t>
      </w:r>
      <w:r w:rsidRPr="00894CF8">
        <w:rPr>
          <w:color w:val="000000" w:themeColor="text1"/>
        </w:rPr>
        <w:t>(300MHz, CDCl</w:t>
      </w:r>
      <w:r w:rsidRPr="00894CF8">
        <w:rPr>
          <w:color w:val="000000" w:themeColor="text1"/>
          <w:vertAlign w:val="subscript"/>
        </w:rPr>
        <w:t>3</w:t>
      </w:r>
      <w:r w:rsidR="00630CBC">
        <w:rPr>
          <w:color w:val="000000" w:themeColor="text1"/>
        </w:rPr>
        <w:t>): 7.3–7.2 (m, 2H), 7.0–6.9 (m, 2H), 6.0 (s, 1H), 4.7–4.6 (m, 1H), 4.3–4.2 (m, 2H), 4.0–3.9</w:t>
      </w:r>
      <w:r w:rsidRPr="00894CF8">
        <w:rPr>
          <w:color w:val="000000" w:themeColor="text1"/>
        </w:rPr>
        <w:t xml:space="preserve"> (m, 2H)</w:t>
      </w:r>
    </w:p>
    <w:p w14:paraId="6169F434" w14:textId="77777777" w:rsidR="001474E0" w:rsidRPr="00894CF8" w:rsidRDefault="001474E0" w:rsidP="00894CF8">
      <w:pPr>
        <w:jc w:val="both"/>
        <w:rPr>
          <w:color w:val="000000" w:themeColor="text1"/>
        </w:rPr>
      </w:pPr>
    </w:p>
    <w:p w14:paraId="38CA6C19" w14:textId="76B9C624" w:rsidR="00894CF8" w:rsidRDefault="00894CF8" w:rsidP="001474E0">
      <w:pPr>
        <w:ind w:firstLine="360"/>
        <w:jc w:val="both"/>
        <w:rPr>
          <w:color w:val="000000" w:themeColor="text1"/>
        </w:rPr>
      </w:pPr>
      <w:r w:rsidRPr="00894CF8">
        <w:rPr>
          <w:color w:val="000000" w:themeColor="text1"/>
        </w:rPr>
        <w:t xml:space="preserve">Compound </w:t>
      </w:r>
      <w:r w:rsidRPr="00894CF8">
        <w:rPr>
          <w:b/>
          <w:color w:val="000000" w:themeColor="text1"/>
        </w:rPr>
        <w:t>1c</w:t>
      </w:r>
      <w:r w:rsidRPr="00894CF8">
        <w:rPr>
          <w:color w:val="000000" w:themeColor="text1"/>
        </w:rPr>
        <w:t xml:space="preserve"> (1.00 mmol, 198 mg), MeReO</w:t>
      </w:r>
      <w:r w:rsidRPr="00894CF8">
        <w:rPr>
          <w:color w:val="000000" w:themeColor="text1"/>
          <w:vertAlign w:val="subscript"/>
        </w:rPr>
        <w:t>3</w:t>
      </w:r>
      <w:r w:rsidR="00630CBC">
        <w:rPr>
          <w:color w:val="000000" w:themeColor="text1"/>
        </w:rPr>
        <w:t xml:space="preserve"> (0.10 mmol, 24</w:t>
      </w:r>
      <w:r w:rsidRPr="00894CF8">
        <w:rPr>
          <w:color w:val="000000" w:themeColor="text1"/>
        </w:rPr>
        <w:t xml:space="preserve"> mg) and 1-butanol (3.3 mL) were added to a thick-walled Ace glass reactor tube. A N</w:t>
      </w:r>
      <w:r w:rsidRPr="00894CF8">
        <w:rPr>
          <w:color w:val="000000" w:themeColor="text1"/>
          <w:vertAlign w:val="subscript"/>
        </w:rPr>
        <w:t>2</w:t>
      </w:r>
      <w:r w:rsidRPr="00894CF8">
        <w:rPr>
          <w:color w:val="000000" w:themeColor="text1"/>
        </w:rPr>
        <w:t xml:space="preserve"> flow was bubbled into the mixture for at least 60 sec before the Teflon seal was closed. The reactor was placed in an oil bath at 150 </w:t>
      </w:r>
      <w:r w:rsidRPr="00894CF8">
        <w:rPr>
          <w:color w:val="000000" w:themeColor="text1"/>
          <w:vertAlign w:val="superscript"/>
        </w:rPr>
        <w:t>o</w:t>
      </w:r>
      <w:r w:rsidRPr="00894CF8">
        <w:rPr>
          <w:color w:val="000000" w:themeColor="text1"/>
        </w:rPr>
        <w:t>C for 24 h while stirring magnetically. After cooling to room temperature, a 100 µL aliquot of the reaction mixture was removed and added to DMSO-</w:t>
      </w:r>
      <w:r w:rsidRPr="00894CF8">
        <w:rPr>
          <w:i/>
          <w:color w:val="000000" w:themeColor="text1"/>
        </w:rPr>
        <w:t>d</w:t>
      </w:r>
      <w:r w:rsidRPr="00894CF8">
        <w:rPr>
          <w:i/>
          <w:color w:val="000000" w:themeColor="text1"/>
          <w:vertAlign w:val="superscript"/>
        </w:rPr>
        <w:t>6</w:t>
      </w:r>
      <w:r w:rsidR="00630CBC">
        <w:rPr>
          <w:color w:val="000000" w:themeColor="text1"/>
        </w:rPr>
        <w:t xml:space="preserve"> (0.5</w:t>
      </w:r>
      <w:r w:rsidRPr="00894CF8">
        <w:rPr>
          <w:color w:val="000000" w:themeColor="text1"/>
        </w:rPr>
        <w:t xml:space="preserve"> mL) and 2.0 µL DMSO as internal standard for NMR analysis. The resulting spectrum was compared to the expected product </w:t>
      </w:r>
      <w:r w:rsidRPr="00894CF8">
        <w:rPr>
          <w:b/>
          <w:color w:val="000000" w:themeColor="text1"/>
        </w:rPr>
        <w:t>2</w:t>
      </w:r>
      <w:r w:rsidRPr="00894CF8">
        <w:rPr>
          <w:color w:val="000000" w:themeColor="text1"/>
        </w:rPr>
        <w:t xml:space="preserve">. </w:t>
      </w:r>
    </w:p>
    <w:p w14:paraId="48A1C290" w14:textId="77777777" w:rsidR="00CF62BD" w:rsidRDefault="00CF62BD" w:rsidP="001474E0">
      <w:pPr>
        <w:ind w:firstLine="360"/>
        <w:jc w:val="both"/>
        <w:rPr>
          <w:color w:val="000000" w:themeColor="text1"/>
        </w:rPr>
      </w:pPr>
    </w:p>
    <w:p w14:paraId="00B1F318" w14:textId="77777777" w:rsidR="00CF62BD" w:rsidRDefault="00CF62BD" w:rsidP="001474E0">
      <w:pPr>
        <w:ind w:firstLine="360"/>
        <w:jc w:val="both"/>
        <w:rPr>
          <w:color w:val="000000" w:themeColor="text1"/>
        </w:rPr>
      </w:pPr>
    </w:p>
    <w:p w14:paraId="45C79EF5" w14:textId="77777777" w:rsidR="00CF62BD" w:rsidRDefault="00CF62BD" w:rsidP="001474E0">
      <w:pPr>
        <w:ind w:firstLine="360"/>
        <w:jc w:val="both"/>
        <w:rPr>
          <w:color w:val="000000" w:themeColor="text1"/>
        </w:rPr>
      </w:pPr>
    </w:p>
    <w:p w14:paraId="5467A231" w14:textId="77777777" w:rsidR="005D4B4F" w:rsidRPr="00894CF8" w:rsidRDefault="005D4B4F" w:rsidP="001539C6">
      <w:pPr>
        <w:jc w:val="both"/>
        <w:rPr>
          <w:color w:val="000000" w:themeColor="text1"/>
        </w:rPr>
      </w:pPr>
    </w:p>
    <w:p w14:paraId="64B0056E" w14:textId="77777777" w:rsidR="00894CF8" w:rsidRPr="00894CF8" w:rsidRDefault="00894CF8" w:rsidP="00894CF8">
      <w:pPr>
        <w:jc w:val="both"/>
        <w:rPr>
          <w:i/>
          <w:color w:val="000000" w:themeColor="text1"/>
        </w:rPr>
      </w:pPr>
      <w:r w:rsidRPr="00894CF8">
        <w:rPr>
          <w:i/>
          <w:color w:val="000000" w:themeColor="text1"/>
          <w:vertAlign w:val="superscript"/>
        </w:rPr>
        <w:t>1</w:t>
      </w:r>
      <w:r w:rsidRPr="00894CF8">
        <w:rPr>
          <w:i/>
          <w:color w:val="000000" w:themeColor="text1"/>
        </w:rPr>
        <w:t>H NMR of the reaction entry 2 table 2</w:t>
      </w:r>
    </w:p>
    <w:p w14:paraId="4FCD27A0" w14:textId="7ABCBF6E" w:rsidR="00894CF8" w:rsidRPr="00894CF8" w:rsidRDefault="001539C6" w:rsidP="001474E0">
      <w:pPr>
        <w:jc w:val="center"/>
        <w:rPr>
          <w:color w:val="000000" w:themeColor="text1"/>
        </w:rPr>
      </w:pPr>
      <w:r>
        <w:rPr>
          <w:color w:val="000000" w:themeColor="text1"/>
        </w:rPr>
        <w:object w:dxaOrig="0" w:dyaOrig="0" w14:anchorId="7C4378BF">
          <v:shape id="_x0000_s1394" type="#_x0000_t75" style="position:absolute;left:0;text-align:left;margin-left:73.8pt;margin-top:11.25pt;width:81.25pt;height:90.85pt;z-index:251677184;mso-position-horizontal-relative:text;mso-position-vertical-relative:text" filled="t" fillcolor="white [3212]">
            <v:imagedata r:id="rId374" o:title=""/>
          </v:shape>
          <o:OLEObject Type="Embed" ProgID="ChemDraw.Document.6.0" ShapeID="_x0000_s1394" DrawAspect="Content" ObjectID="_1532785075" r:id="rId375"/>
        </w:object>
      </w:r>
      <w:r w:rsidR="001474E0" w:rsidRPr="00894CF8">
        <w:rPr>
          <w:noProof/>
          <w:color w:val="000000" w:themeColor="text1"/>
          <w:lang w:bidi="ar-SA"/>
        </w:rPr>
        <mc:AlternateContent>
          <mc:Choice Requires="wps">
            <w:drawing>
              <wp:anchor distT="0" distB="0" distL="114300" distR="114300" simplePos="0" relativeHeight="251678208" behindDoc="0" locked="0" layoutInCell="1" allowOverlap="1" wp14:anchorId="48CB0511" wp14:editId="08E3C519">
                <wp:simplePos x="0" y="0"/>
                <wp:positionH relativeFrom="column">
                  <wp:posOffset>1704243</wp:posOffset>
                </wp:positionH>
                <wp:positionV relativeFrom="paragraph">
                  <wp:posOffset>797462</wp:posOffset>
                </wp:positionV>
                <wp:extent cx="698500" cy="882650"/>
                <wp:effectExtent l="0" t="0" r="82550" b="50800"/>
                <wp:wrapNone/>
                <wp:docPr id="390" name="Straight Arrow Connector 390"/>
                <wp:cNvGraphicFramePr/>
                <a:graphic xmlns:a="http://schemas.openxmlformats.org/drawingml/2006/main">
                  <a:graphicData uri="http://schemas.microsoft.com/office/word/2010/wordprocessingShape">
                    <wps:wsp>
                      <wps:cNvCnPr/>
                      <wps:spPr>
                        <a:xfrm>
                          <a:off x="0" y="0"/>
                          <a:ext cx="698500" cy="8826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9451EB1" id="_x0000_t32" coordsize="21600,21600" o:spt="32" o:oned="t" path="m,l21600,21600e" filled="f">
                <v:path arrowok="t" fillok="f" o:connecttype="none"/>
                <o:lock v:ext="edit" shapetype="t"/>
              </v:shapetype>
              <v:shape id="Straight Arrow Connector 390" o:spid="_x0000_s1026" type="#_x0000_t32" style="position:absolute;margin-left:134.2pt;margin-top:62.8pt;width:55pt;height:69.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" strokecolor="black [3213]">
                <v:stroke endarrow="block"/>
              </v:shape>
            </w:pict>
          </mc:Fallback>
        </mc:AlternateContent>
      </w:r>
      <w:r w:rsidR="00894CF8" w:rsidRPr="00894CF8">
        <w:rPr>
          <w:noProof/>
          <w:color w:val="000000" w:themeColor="text1"/>
          <w:lang w:bidi="ar-SA"/>
        </w:rPr>
        <w:drawing>
          <wp:inline distT="0" distB="0" distL="0" distR="0" wp14:anchorId="437C22C2" wp14:editId="513DA003">
            <wp:extent cx="4114800" cy="2505638"/>
            <wp:effectExtent l="0" t="0" r="0" b="9525"/>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rotWithShape="1">
                    <a:blip r:embed="rId376" cstate="print">
                      <a:extLst>
                        <a:ext uri="{28A0092B-C50C-407E-A947-70E740481C1C}">
                          <a14:useLocalDpi xmlns:a14="http://schemas.microsoft.com/office/drawing/2010/main" val="0"/>
                        </a:ext>
                      </a:extLst>
                    </a:blip>
                    <a:srcRect t="8031" b="12718"/>
                    <a:stretch/>
                  </pic:blipFill>
                  <pic:spPr bwMode="auto">
                    <a:xfrm>
                      <a:off x="0" y="0"/>
                      <a:ext cx="4114800" cy="2505638"/>
                    </a:xfrm>
                    <a:prstGeom prst="rect">
                      <a:avLst/>
                    </a:prstGeom>
                    <a:noFill/>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0C75F6BA" w14:textId="3E539DAF" w:rsidR="00894CF8" w:rsidRPr="00894CF8" w:rsidRDefault="00894CF8" w:rsidP="00894CF8">
      <w:pPr>
        <w:jc w:val="both"/>
        <w:rPr>
          <w:color w:val="000000" w:themeColor="text1"/>
        </w:rPr>
      </w:pPr>
      <w:r w:rsidRPr="00894CF8">
        <w:rPr>
          <w:iCs/>
          <w:color w:val="000000" w:themeColor="text1"/>
          <w:vertAlign w:val="superscript"/>
        </w:rPr>
        <w:t>1</w:t>
      </w:r>
      <w:r w:rsidRPr="00894CF8">
        <w:rPr>
          <w:iCs/>
          <w:color w:val="000000" w:themeColor="text1"/>
        </w:rPr>
        <w:t xml:space="preserve">H NMR for </w:t>
      </w:r>
      <w:r w:rsidRPr="00894CF8">
        <w:rPr>
          <w:b/>
          <w:iCs/>
          <w:color w:val="000000" w:themeColor="text1"/>
        </w:rPr>
        <w:t>6</w:t>
      </w:r>
      <w:r w:rsidRPr="00894CF8">
        <w:rPr>
          <w:i/>
          <w:iCs/>
          <w:color w:val="000000" w:themeColor="text1"/>
        </w:rPr>
        <w:t xml:space="preserve"> </w:t>
      </w:r>
      <w:r w:rsidRPr="00894CF8">
        <w:rPr>
          <w:color w:val="000000" w:themeColor="text1"/>
        </w:rPr>
        <w:t>(400MHz, DMSO-</w:t>
      </w:r>
      <w:r w:rsidRPr="00894CF8">
        <w:rPr>
          <w:i/>
          <w:color w:val="000000" w:themeColor="text1"/>
        </w:rPr>
        <w:t>d</w:t>
      </w:r>
      <w:r w:rsidRPr="00894CF8">
        <w:rPr>
          <w:i/>
          <w:color w:val="000000" w:themeColor="text1"/>
          <w:vertAlign w:val="superscript"/>
        </w:rPr>
        <w:t>6</w:t>
      </w:r>
      <w:r w:rsidR="00630CBC">
        <w:rPr>
          <w:color w:val="000000" w:themeColor="text1"/>
        </w:rPr>
        <w:t>): 7.2 (m, 1H), 6.9 (m, 3H), 6.0 (m, 1H), 5.6 (s, 1H), 5.4 (d, J = 10.75 Hz, 1H), 5.2 (d, J = 5.25 Hz, 1H), 4.5</w:t>
      </w:r>
      <w:r w:rsidRPr="00894CF8">
        <w:rPr>
          <w:color w:val="000000" w:themeColor="text1"/>
        </w:rPr>
        <w:t xml:space="preserve"> (d, J = 1.75 Hz, 2H)</w:t>
      </w:r>
    </w:p>
    <w:p w14:paraId="2486E9A1" w14:textId="77777777" w:rsidR="00894CF8" w:rsidRPr="00894CF8" w:rsidRDefault="00B37AEF" w:rsidP="00B37AEF">
      <w:pPr>
        <w:spacing w:line="240" w:lineRule="auto"/>
        <w:rPr>
          <w:color w:val="000000" w:themeColor="text1"/>
        </w:rPr>
      </w:pPr>
      <w:r>
        <w:rPr>
          <w:color w:val="000000" w:themeColor="text1"/>
        </w:rPr>
        <w:br w:type="page"/>
      </w:r>
    </w:p>
    <w:p w14:paraId="66BD97D5" w14:textId="77777777" w:rsidR="00921E85" w:rsidRPr="00045480" w:rsidRDefault="00921E85" w:rsidP="00BA0582">
      <w:pPr>
        <w:pStyle w:val="Heading2"/>
      </w:pPr>
      <w:bookmarkStart w:id="364" w:name="_Ref455939843"/>
      <w:bookmarkStart w:id="365" w:name="_Toc458938332"/>
      <w:r w:rsidRPr="00045480">
        <w:t>DODH/Hydroformylation</w:t>
      </w:r>
      <w:bookmarkEnd w:id="364"/>
      <w:r w:rsidR="00317102" w:rsidRPr="00317102">
        <w:t xml:space="preserve"> </w:t>
      </w:r>
      <w:r w:rsidR="00317102" w:rsidRPr="00045480">
        <w:t>Tandem</w:t>
      </w:r>
      <w:r w:rsidR="00317102">
        <w:t xml:space="preserve"> Reaction</w:t>
      </w:r>
      <w:bookmarkEnd w:id="365"/>
    </w:p>
    <w:p w14:paraId="1276B820" w14:textId="77777777" w:rsidR="00921E85" w:rsidRPr="00045480" w:rsidRDefault="00921E85" w:rsidP="000351A7">
      <w:pPr>
        <w:pStyle w:val="Heading3"/>
        <w:numPr>
          <w:ilvl w:val="0"/>
          <w:numId w:val="35"/>
        </w:numPr>
      </w:pPr>
      <w:bookmarkStart w:id="366" w:name="_Toc458938333"/>
      <w:r w:rsidRPr="00045480">
        <w:t>Introduction and Background</w:t>
      </w:r>
      <w:bookmarkEnd w:id="366"/>
    </w:p>
    <w:p w14:paraId="6F824CC2" w14:textId="77777777" w:rsidR="00921E85" w:rsidRPr="00045480" w:rsidRDefault="00921E85" w:rsidP="00C36752">
      <w:pPr>
        <w:pStyle w:val="Heading41"/>
        <w:numPr>
          <w:ilvl w:val="0"/>
          <w:numId w:val="36"/>
        </w:numPr>
      </w:pPr>
      <w:r w:rsidRPr="00045480">
        <w:t>The hydroformylation reaction</w:t>
      </w:r>
    </w:p>
    <w:p w14:paraId="74C7A3F6" w14:textId="0D8C75BB" w:rsidR="00921E85" w:rsidRDefault="00921E85" w:rsidP="002145C2">
      <w:pPr>
        <w:ind w:firstLine="360"/>
        <w:jc w:val="both"/>
      </w:pPr>
      <w:r>
        <w:t xml:space="preserve">The </w:t>
      </w:r>
      <w:r w:rsidRPr="00202B1C">
        <w:t>hydroformylation reaction was discovered in 1938 by Otto Roelen</w:t>
      </w:r>
      <w:r w:rsidRPr="00B37AEF">
        <w:rPr>
          <w:rFonts w:cstheme="minorHAnsi"/>
        </w:rPr>
        <w:t>.</w:t>
      </w:r>
      <w:r w:rsidRPr="00B37AEF">
        <w:rPr>
          <w:rFonts w:cstheme="minorHAnsi"/>
        </w:rPr>
        <w:fldChar w:fldCharType="begin"/>
      </w:r>
      <w:r w:rsidR="00E028D6" w:rsidRPr="00B37AEF">
        <w:rPr>
          <w:rFonts w:cstheme="minorHAnsi"/>
        </w:rPr>
        <w:instrText xml:space="preserve"> ADDIN ZOTERO_ITEM CSL_CITATION {"citationID":"14nu2mvoom","properties":{"formattedCitation":"{\\rtf \\super 163\\nosupersub{}}","plainCitation":"163"},"citationItems":[{"id":414,"uris":["http://zotero.org/users/1624234/items/TP6WWUUA"],"uri":["http://zotero.org/users/1624234/items/TP6WWUUA"],"itemData":{"id":414,"type":"article-journal","title":"Otto Roelen, Pioneer in Industrial Homogeneous Catalysis","container-title":"Angewandte Chemie International Edition in English","page":"2144-2163","volume":"33","issue":"21","source":"Wiley Online Library","abstract":"Otto Roelen discovered the oxo synthesis (hydroformylation) in 1938, and despite all the problems created by the war years he was able to explore successfully the fundamental aspects related to its application up to the point of building the first plant. At the same time he laid the groundwork for industrial utilization of homogeneous organometallic catalysts. Almost simultaneously, his contemporary, Walter Hieber, was investigating the basic chemistry of the same catalysts, but with no knowledge whatsoever of their potential application. Hydroformylation today constitutes one of the most important industrial examples of a homogeneous catalytic process. For corrigendum see DOI:10.1002/anie.199423481","DOI":"10.1002/anie.199421441","ISSN":"1521-3773","journalAbbreviation":"Angew. Chem. Int. Ed. Engl.","language":"en","author":[{"family":"Cornils","given":"Boy"},{"family":"Herrmann","given":"Wolfgang A."},{"family":"Rasch","given":"Manfred"}],"issued":{"date-parts":[["1994",11,17]]}}}],"schema":"https://github.com/citation-style-language/schema/raw/master/csl-citation.json"} </w:instrText>
      </w:r>
      <w:r w:rsidRPr="00B37AEF">
        <w:rPr>
          <w:rFonts w:cstheme="minorHAnsi"/>
        </w:rPr>
        <w:fldChar w:fldCharType="separate"/>
      </w:r>
      <w:r w:rsidR="00E028D6" w:rsidRPr="00B37AEF">
        <w:rPr>
          <w:rFonts w:cstheme="minorHAnsi"/>
          <w:vertAlign w:val="superscript"/>
        </w:rPr>
        <w:t>163</w:t>
      </w:r>
      <w:r w:rsidRPr="00B37AEF">
        <w:rPr>
          <w:rFonts w:cstheme="minorHAnsi"/>
        </w:rPr>
        <w:fldChar w:fldCharType="end"/>
      </w:r>
      <w:r w:rsidRPr="00B37AEF">
        <w:rPr>
          <w:rFonts w:cstheme="minorHAnsi"/>
        </w:rPr>
        <w:t xml:space="preserve"> </w:t>
      </w:r>
      <w:r w:rsidRPr="00202B1C">
        <w:t>It is a metal-catalyzed process in which an alkene</w:t>
      </w:r>
      <w:r w:rsidR="00B37AEF">
        <w:t xml:space="preserve"> reacts with CO and H</w:t>
      </w:r>
      <w:r w:rsidR="00B37AEF" w:rsidRPr="00B37AEF">
        <w:rPr>
          <w:vertAlign w:val="subscript"/>
        </w:rPr>
        <w:t>2</w:t>
      </w:r>
      <w:r w:rsidR="00B37AEF" w:rsidRPr="00B37AEF">
        <w:t xml:space="preserve"> </w:t>
      </w:r>
      <w:r w:rsidR="00B37AEF">
        <w:t>and</w:t>
      </w:r>
      <w:r w:rsidRPr="00202B1C">
        <w:t xml:space="preserve"> is transformed into a</w:t>
      </w:r>
      <w:r w:rsidR="00FB6114">
        <w:t>n</w:t>
      </w:r>
      <w:r w:rsidRPr="00202B1C">
        <w:t xml:space="preserve"> aldehyde by the addition of a formyl group and a hydrogen to the alkene double bond (</w:t>
      </w:r>
      <w:r w:rsidR="000A5739">
        <w:fldChar w:fldCharType="begin"/>
      </w:r>
      <w:r w:rsidR="000A5739">
        <w:instrText xml:space="preserve"> REF _Ref455841698 \h </w:instrText>
      </w:r>
      <w:r w:rsidR="000A5739">
        <w:fldChar w:fldCharType="separate"/>
      </w:r>
      <w:r w:rsidR="000A0E3D" w:rsidRPr="00A40A97">
        <w:t xml:space="preserve">Figure III. </w:t>
      </w:r>
      <w:r w:rsidR="000A0E3D">
        <w:rPr>
          <w:noProof/>
        </w:rPr>
        <w:t>7</w:t>
      </w:r>
      <w:r w:rsidR="000A0E3D">
        <w:t>.</w:t>
      </w:r>
      <w:r w:rsidR="000A0E3D">
        <w:rPr>
          <w:noProof/>
        </w:rPr>
        <w:t>1</w:t>
      </w:r>
      <w:r w:rsidR="000A5739">
        <w:fldChar w:fldCharType="end"/>
      </w:r>
      <w:r w:rsidRPr="00202B1C">
        <w:t>). Because of the formation of a carbon-carbon bond in this process, this reaction has been the focus of many studies. The aldehyde formed can be oxidized to the carboxylic acid or it can be hydrogenated to the alcohol. These products are key building blocks for the synthesis of plastics, detergents, surfactants, lubricants and dialkyl phthalate plasticizers,</w:t>
      </w:r>
      <w:r w:rsidRPr="00B37AEF">
        <w:rPr>
          <w:rFonts w:cstheme="minorHAnsi"/>
        </w:rPr>
        <w:fldChar w:fldCharType="begin"/>
      </w:r>
      <w:r w:rsidR="00E028D6" w:rsidRPr="00B37AEF">
        <w:rPr>
          <w:rFonts w:cstheme="minorHAnsi"/>
        </w:rPr>
        <w:instrText xml:space="preserve"> ADDIN ZOTERO_ITEM CSL_CITATION {"citationID":"1633mgvbas","properties":{"formattedCitation":"{\\rtf \\super 164\\nosupersub{}}","plainCitation":"164"},"citationItems":[{"id":1752,"uris":["http://zotero.org/users/1624234/items/6B4EZN5E"],"uri":["http://zotero.org/users/1624234/items/6B4EZN5E"],"itemData":{"id":1752,"type":"book","title":"New Syntheses with Carbon Monoxide | J. Falbe | Springer","source":"www.springer.com","abstract":"More than a decade has passed since the appearance of the last edition of the book \"Carbon Monoxide in Organic Synthesis\". During the intervening period,...","URL":"http://www.springer.com/us/book/9783540096740","accessed":{"date-parts":[["2016",6,25]]}}}],"schema":"https://github.com/citation-style-language/schema/raw/master/csl-citation.json"} </w:instrText>
      </w:r>
      <w:r w:rsidRPr="00B37AEF">
        <w:rPr>
          <w:rFonts w:cstheme="minorHAnsi"/>
        </w:rPr>
        <w:fldChar w:fldCharType="separate"/>
      </w:r>
      <w:r w:rsidR="00E028D6" w:rsidRPr="00B37AEF">
        <w:rPr>
          <w:rFonts w:cstheme="minorHAnsi"/>
          <w:vertAlign w:val="superscript"/>
        </w:rPr>
        <w:t>164</w:t>
      </w:r>
      <w:r w:rsidRPr="00B37AEF">
        <w:rPr>
          <w:rFonts w:cstheme="minorHAnsi"/>
        </w:rPr>
        <w:fldChar w:fldCharType="end"/>
      </w:r>
      <w:r w:rsidRPr="00202B1C">
        <w:t xml:space="preserve"> making the hydroformylation reaction an important industrial process. </w:t>
      </w:r>
    </w:p>
    <w:p w14:paraId="29EA0D61" w14:textId="77777777" w:rsidR="000A5739" w:rsidRDefault="00921E85" w:rsidP="005D4B4F">
      <w:pPr>
        <w:keepNext/>
        <w:jc w:val="center"/>
      </w:pPr>
      <w:r>
        <w:object w:dxaOrig="4827" w:dyaOrig="965" w14:anchorId="339B8FB3">
          <v:shape id="_x0000_i1166" type="#_x0000_t75" style="width:231.8pt;height:46.7pt" o:ole="">
            <v:imagedata r:id="rId377" o:title=""/>
          </v:shape>
          <o:OLEObject Type="Embed" ProgID="ChemDraw.Document.6.0" ShapeID="_x0000_i1166" DrawAspect="Content" ObjectID="_1532785000" r:id="rId378"/>
        </w:object>
      </w:r>
    </w:p>
    <w:p w14:paraId="13100334" w14:textId="77777777" w:rsidR="00921E85" w:rsidRPr="00A40A97" w:rsidRDefault="000A5739" w:rsidP="00A40A97">
      <w:pPr>
        <w:pStyle w:val="Caption"/>
      </w:pPr>
      <w:bookmarkStart w:id="367" w:name="_Ref455841698"/>
      <w:bookmarkStart w:id="368" w:name="_Toc457670770"/>
      <w:r w:rsidRPr="00A40A97">
        <w:t xml:space="preserve">Figure III. </w:t>
      </w:r>
      <w:r w:rsidR="00443010">
        <w:fldChar w:fldCharType="begin"/>
      </w:r>
      <w:r w:rsidR="00443010">
        <w:instrText xml:space="preserve"> STYLEREF 2 \s </w:instrText>
      </w:r>
      <w:r w:rsidR="00443010">
        <w:fldChar w:fldCharType="separate"/>
      </w:r>
      <w:r w:rsidR="000A0E3D">
        <w:rPr>
          <w:noProof/>
        </w:rPr>
        <w:t>7</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1</w:t>
      </w:r>
      <w:r w:rsidR="00443010">
        <w:rPr>
          <w:noProof/>
        </w:rPr>
        <w:fldChar w:fldCharType="end"/>
      </w:r>
      <w:bookmarkEnd w:id="367"/>
      <w:r w:rsidRPr="00A40A97">
        <w:t xml:space="preserve"> </w:t>
      </w:r>
      <w:r w:rsidR="00921E85" w:rsidRPr="00A40A97">
        <w:t>General Hydroformylation reaction</w:t>
      </w:r>
      <w:bookmarkEnd w:id="368"/>
    </w:p>
    <w:p w14:paraId="6857A7DF" w14:textId="77777777" w:rsidR="00921E85" w:rsidRPr="00522ECF" w:rsidRDefault="00921E85" w:rsidP="002145C2">
      <w:pPr>
        <w:ind w:firstLine="360"/>
        <w:jc w:val="center"/>
        <w:rPr>
          <w:b/>
        </w:rPr>
      </w:pPr>
    </w:p>
    <w:p w14:paraId="05D008E1" w14:textId="77777777" w:rsidR="00921E85" w:rsidRDefault="00921E85" w:rsidP="002145C2">
      <w:pPr>
        <w:ind w:firstLine="360"/>
        <w:jc w:val="both"/>
      </w:pPr>
      <w:r w:rsidRPr="00202B1C">
        <w:t>The initial hydroformylation reaction discovered by Roelen was the transformation of ethylene into propanal catalyzed by cobalt tetracarbonyl hydride under an atmosphere of hydrogen and carbon monoxide gas. The system was first improved by the use of phosphine ligands on the cobalt catalyst. A major improvement to the hydroformylation reaction was made with the discovery of rhodium catalysts in the 1970’s.</w:t>
      </w:r>
      <w:r w:rsidRPr="00B37AEF">
        <w:rPr>
          <w:rFonts w:cstheme="minorHAnsi"/>
        </w:rPr>
        <w:fldChar w:fldCharType="begin"/>
      </w:r>
      <w:r w:rsidR="00E028D6" w:rsidRPr="00B37AEF">
        <w:rPr>
          <w:rFonts w:cstheme="minorHAnsi"/>
        </w:rPr>
        <w:instrText xml:space="preserve"> ADDIN ZOTERO_ITEM CSL_CITATION {"citationID":"2jbg02mf5k","properties":{"formattedCitation":"{\\rtf \\super 164\\nosupersub{}}","plainCitation":"164"},"citationItems":[{"id":1752,"uris":["http://zotero.org/users/1624234/items/6B4EZN5E"],"uri":["http://zotero.org/users/1624234/items/6B4EZN5E"],"itemData":{"id":1752,"type":"book","title":"New Syntheses with Carbon Monoxide | J. Falbe | Springer","source":"www.springer.com","abstract":"More than a decade has passed since the appearance of the last edition of the book \"Carbon Monoxide in Organic Synthesis\". During the intervening period,...","URL":"http://www.springer.com/us/book/9783540096740","accessed":{"date-parts":[["2016",6,25]]}}}],"schema":"https://github.com/citation-style-language/schema/raw/master/csl-citation.json"} </w:instrText>
      </w:r>
      <w:r w:rsidRPr="00B37AEF">
        <w:rPr>
          <w:rFonts w:cstheme="minorHAnsi"/>
        </w:rPr>
        <w:fldChar w:fldCharType="separate"/>
      </w:r>
      <w:r w:rsidR="00E028D6" w:rsidRPr="00B37AEF">
        <w:rPr>
          <w:rFonts w:cstheme="minorHAnsi"/>
          <w:vertAlign w:val="superscript"/>
        </w:rPr>
        <w:t>164</w:t>
      </w:r>
      <w:r w:rsidRPr="00B37AEF">
        <w:rPr>
          <w:rFonts w:cstheme="minorHAnsi"/>
        </w:rPr>
        <w:fldChar w:fldCharType="end"/>
      </w:r>
      <w:r w:rsidRPr="00202B1C">
        <w:t xml:space="preserve"> These highly active precious metal catalysts were found to be particularly efficient on small chain alkenes, eight carbons or less. Nowadays most hydroformylation processes are catalyzed by triarylphosphine rhodium complexes</w:t>
      </w:r>
      <w:r>
        <w:t xml:space="preserve">. </w:t>
      </w:r>
    </w:p>
    <w:p w14:paraId="18F164AD" w14:textId="77777777" w:rsidR="00921E85" w:rsidRDefault="00921E85" w:rsidP="002145C2">
      <w:pPr>
        <w:ind w:firstLine="360"/>
        <w:jc w:val="both"/>
      </w:pPr>
    </w:p>
    <w:p w14:paraId="7FAFF884" w14:textId="77777777" w:rsidR="000A5739" w:rsidRDefault="000A5739" w:rsidP="005D4B4F">
      <w:pPr>
        <w:keepNext/>
        <w:jc w:val="center"/>
      </w:pPr>
      <w:r>
        <w:object w:dxaOrig="9240" w:dyaOrig="3741" w14:anchorId="71E49B11">
          <v:shape id="_x0000_i1167" type="#_x0000_t75" style="width:5in;height:2in" o:ole="">
            <v:imagedata r:id="rId379" o:title=""/>
          </v:shape>
          <o:OLEObject Type="Embed" ProgID="ChemDraw.Document.6.0" ShapeID="_x0000_i1167" DrawAspect="Content" ObjectID="_1532785001" r:id="rId380"/>
        </w:object>
      </w:r>
    </w:p>
    <w:p w14:paraId="1CDDDE96" w14:textId="77777777" w:rsidR="00921E85" w:rsidRPr="00A40A97" w:rsidRDefault="000A5739" w:rsidP="00A40A97">
      <w:pPr>
        <w:pStyle w:val="Caption"/>
      </w:pPr>
      <w:bookmarkStart w:id="369" w:name="_Ref455841722"/>
      <w:bookmarkStart w:id="370" w:name="_Toc457670771"/>
      <w:r w:rsidRPr="00A40A97">
        <w:t xml:space="preserve">Figure III. </w:t>
      </w:r>
      <w:r w:rsidR="00443010">
        <w:fldChar w:fldCharType="begin"/>
      </w:r>
      <w:r w:rsidR="00443010">
        <w:instrText xml:space="preserve"> STYLEREF 2 \s </w:instrText>
      </w:r>
      <w:r w:rsidR="00443010">
        <w:fldChar w:fldCharType="separate"/>
      </w:r>
      <w:r w:rsidR="000A0E3D">
        <w:rPr>
          <w:noProof/>
        </w:rPr>
        <w:t>7</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2</w:t>
      </w:r>
      <w:r w:rsidR="00443010">
        <w:rPr>
          <w:noProof/>
        </w:rPr>
        <w:fldChar w:fldCharType="end"/>
      </w:r>
      <w:bookmarkEnd w:id="369"/>
      <w:r w:rsidRPr="00A40A97">
        <w:t xml:space="preserve"> </w:t>
      </w:r>
      <w:r w:rsidR="00921E85" w:rsidRPr="00A40A97">
        <w:t>Rhodium catalyzed hydrofomylation mechanistic cycle</w:t>
      </w:r>
      <w:bookmarkEnd w:id="370"/>
    </w:p>
    <w:p w14:paraId="06B0D313" w14:textId="77777777" w:rsidR="00457EC7" w:rsidRPr="0064554B" w:rsidRDefault="00457EC7" w:rsidP="00457EC7">
      <w:pPr>
        <w:ind w:hanging="90"/>
        <w:jc w:val="center"/>
        <w:rPr>
          <w:b/>
        </w:rPr>
      </w:pPr>
    </w:p>
    <w:p w14:paraId="489E2451" w14:textId="77777777" w:rsidR="00921E85" w:rsidRPr="00202B1C" w:rsidRDefault="00921E85" w:rsidP="002145C2">
      <w:pPr>
        <w:ind w:firstLine="360"/>
        <w:jc w:val="both"/>
      </w:pPr>
      <w:r w:rsidRPr="00202B1C">
        <w:t>Depending on the catalyst used, hydroformylation reactions are run at temperatures between 40 and 200</w:t>
      </w:r>
      <w:r w:rsidRPr="00202B1C">
        <w:rPr>
          <w:vertAlign w:val="superscript"/>
        </w:rPr>
        <w:t>o</w:t>
      </w:r>
      <w:r w:rsidRPr="00202B1C">
        <w:t>C under high pressures, from 10 to 100 atmospheres, of a carbon monoxide and hydrogen mixture</w:t>
      </w:r>
      <w:r w:rsidRPr="00B37AEF">
        <w:rPr>
          <w:rFonts w:cstheme="minorHAnsi"/>
        </w:rPr>
        <w:t>.</w:t>
      </w:r>
      <w:r w:rsidRPr="00B37AEF">
        <w:rPr>
          <w:rFonts w:cstheme="minorHAnsi"/>
        </w:rPr>
        <w:fldChar w:fldCharType="begin"/>
      </w:r>
      <w:r w:rsidR="00E028D6" w:rsidRPr="00B37AEF">
        <w:rPr>
          <w:rFonts w:cstheme="minorHAnsi"/>
        </w:rPr>
        <w:instrText xml:space="preserve"> ADDIN ZOTERO_ITEM CSL_CITATION {"citationID":"15utt09ths","properties":{"formattedCitation":"{\\rtf \\super 165\\nosupersub{}}","plainCitation":"165"},"citationItems":[{"id":340,"uris":["http://zotero.org/users/1624234/items/P2C2K4HR"],"uri":["http://zotero.org/users/1624234/items/P2C2K4HR"],"itemData":{"id":340,"type":"chapter","title":"The Hydroformylation Reaction","container-title":"Organic Reactions","publisher":"John Wiley &amp; Sons, Inc.","source":"Wiley Online Library","abstract":"The reaction of 1-alkenes with carbon monoxide and hydrogen in the presence of a catalyst gives the corresponding homologous aldehydes. The discovery of this reaction was made by Roelen in 1938 using Co2(CO)8 as the catalyst at high temperature (120–170°) and high pressure of carbon monoxide/hydrogen (200–300 bar). This reaction has been called the “Oxo reaction”, “Roelen reaction” or “hydroformylation”. Hydroformylation is a general term indicating that both a hydrogen and a formyl group are introduced to unsaturated bonds, especially olefins. Later this reaction was developed as an industrial process, i.e., the Oxo Process, for the production of alkanals from 1-alkenes using a cobalt or rhodium catalyst. Most noteworthy is the conversion of propene to butanal, which can be subsequently hydrogenated to 1-butanol or converted to 2-ethylhexanol by self-aldol condensation. 2-Ethylhexanol, a crucial intermediate for the production of ester-type plasticizers, is the most important bulk chemical produced by the Oxo Process. A variety of transition metal catalysts other than Co2(CO)8 have been investigated, including phosphine complexes of cobalt and hydridocobalt clusters. Platinum and ruthenium complexes show reasonably good catalytic activities, but modified cobalt catalysts are still much more advantageous. However, various rhodium complexes demonstrate higher catalytic activity (103–104 times) than the cobalt complexes. Although the price of rhodium is higher than cobalt, reactions using rhodium catalysts require lower temperature (50–80°) and pressure (10–50 atm). Other important commercial applications of hydroformylation include the production of long-chain alcohols from C5–C17 isomeric linear alkenes. These long-chain alcohols serve as intermediates for lubricants, plasticizers and detergents. The hydroformylation of ethene to propanal is another important Oxo Process. In this chapter, the authors put clear emphasis on the scope of the hydroformylation reaction in organic synthesis. In this context, there is a relevant review in 1987 of the hydroformylation of functionalized alkenes. The hydroformylation reaction now can be performed under very mild conditions using a variety of functionalized alkenes. Reactions in aqueous biphase, supercritical carbon dioxide or fluorous biphase have recently emerged in response to separation and environmental issues. In fact, a highly efficient Oxo Process using a water-soluble rhodium catalyst in aqueous biphasic conditions has been commercialized by Ruhrchemie/Rhône-Poulenc for the production of butanal. Asymmetric hydroformylation of prochiral olefins catalyzed by enantiopure rhodium complexes has been developed to the level that practical applications appear possible. Although the reactions of formaldehyde, oxiranes, and others with carbon monoxide and hydrogen in the presence of transition metal catalyst could be considered as variations of hydroformylation, this chapter only deals with hydroformylation of carbon-carbon multiple bonds.","URL":"http://onlinelibrary.wiley.com/doi/10.1002/0471264180.or056.01/abstract","ISBN":"978-0-471-26418-7","language":"en","author":[{"family":"Ojima","given":"Iwao"},{"family":"Tsai","given":"Chung-Ying"},{"family":"Tzamarioudaki","given":"Maria"},{"family":"Bonafoux","given":"Dominique"}],"issued":{"date-parts":[["2004"]]},"accessed":{"date-parts":[["2014",6,25]]}}}],"schema":"https://github.com/citation-style-language/schema/raw/master/csl-citation.json"} </w:instrText>
      </w:r>
      <w:r w:rsidRPr="00B37AEF">
        <w:rPr>
          <w:rFonts w:cstheme="minorHAnsi"/>
        </w:rPr>
        <w:fldChar w:fldCharType="separate"/>
      </w:r>
      <w:r w:rsidR="00E028D6" w:rsidRPr="00B37AEF">
        <w:rPr>
          <w:rFonts w:cstheme="minorHAnsi"/>
          <w:vertAlign w:val="superscript"/>
        </w:rPr>
        <w:t>165</w:t>
      </w:r>
      <w:r w:rsidRPr="00B37AEF">
        <w:rPr>
          <w:rFonts w:cstheme="minorHAnsi"/>
        </w:rPr>
        <w:fldChar w:fldCharType="end"/>
      </w:r>
      <w:r w:rsidRPr="00202B1C">
        <w:t xml:space="preserve"> Terminal alkenes are more reactive than internal alkenes. These conditions make the hydroformylation process an attractive reaction to be coupled with deoxydehydration.</w:t>
      </w:r>
    </w:p>
    <w:p w14:paraId="4B0F5D03" w14:textId="429E8239" w:rsidR="00921E85" w:rsidRDefault="00921E85" w:rsidP="00652153">
      <w:pPr>
        <w:ind w:firstLine="360"/>
        <w:jc w:val="both"/>
      </w:pPr>
      <w:r w:rsidRPr="00202B1C">
        <w:t>The rhodium-based catalytic cycle is believed to follow either an associative or dissociative pathway (</w:t>
      </w:r>
      <w:r w:rsidR="000A5739">
        <w:fldChar w:fldCharType="begin"/>
      </w:r>
      <w:r w:rsidR="000A5739">
        <w:instrText xml:space="preserve"> REF _Ref455841722 \h </w:instrText>
      </w:r>
      <w:r w:rsidR="000A5739">
        <w:fldChar w:fldCharType="separate"/>
      </w:r>
      <w:r w:rsidR="000A0E3D" w:rsidRPr="00A40A97">
        <w:t xml:space="preserve">Figure III. </w:t>
      </w:r>
      <w:r w:rsidR="000A0E3D">
        <w:rPr>
          <w:noProof/>
        </w:rPr>
        <w:t>7</w:t>
      </w:r>
      <w:r w:rsidR="000A0E3D">
        <w:t>.</w:t>
      </w:r>
      <w:r w:rsidR="000A0E3D">
        <w:rPr>
          <w:noProof/>
        </w:rPr>
        <w:t>2</w:t>
      </w:r>
      <w:r w:rsidR="000A5739">
        <w:fldChar w:fldCharType="end"/>
      </w:r>
      <w:r w:rsidRPr="00202B1C">
        <w:t>). In either of these pathways the alkene coordinates to the metal-hydride</w:t>
      </w:r>
      <w:r>
        <w:t xml:space="preserve"> followed </w:t>
      </w:r>
      <w:r w:rsidRPr="00202B1C">
        <w:t>by migratory insertion of the olefin to form metal-alkyl after which CO insert into metal-alkyl. With the oxidative addition of hydrogen and reductive elimination of the aldehyde product the catalyst is regenerated.</w:t>
      </w:r>
      <w:r>
        <w:t xml:space="preserve"> </w:t>
      </w:r>
      <w:r w:rsidR="00CF62BD">
        <w:t>Depending on the catalyst and/or the alkene u</w:t>
      </w:r>
      <w:r>
        <w:t>nsymmetrical alkene can form both normal (lin</w:t>
      </w:r>
      <w:r w:rsidR="00CF62BD">
        <w:t>e</w:t>
      </w:r>
      <w:r>
        <w:t xml:space="preserve">ar) and iso (branched) aldehyde product and result from the way alkene is inserting into the metal hydride bond (M-O). </w:t>
      </w:r>
    </w:p>
    <w:p w14:paraId="27700BBE" w14:textId="61FEB80A" w:rsidR="00921E85" w:rsidRPr="0064554B" w:rsidRDefault="00921E85" w:rsidP="002145C2">
      <w:pPr>
        <w:pStyle w:val="Heading41"/>
      </w:pPr>
      <w:r w:rsidRPr="0064554B">
        <w:t>DODH/</w:t>
      </w:r>
      <w:r>
        <w:t>H</w:t>
      </w:r>
      <w:r w:rsidRPr="0064554B">
        <w:t>ydrof</w:t>
      </w:r>
      <w:r>
        <w:t>o</w:t>
      </w:r>
      <w:r w:rsidRPr="0064554B">
        <w:t xml:space="preserve">rmylation </w:t>
      </w:r>
      <w:r w:rsidR="00F02193">
        <w:t>t</w:t>
      </w:r>
      <w:r w:rsidRPr="0064554B">
        <w:t xml:space="preserve">andem </w:t>
      </w:r>
      <w:r w:rsidR="00F02193">
        <w:t>c</w:t>
      </w:r>
      <w:r w:rsidRPr="0064554B">
        <w:t>oncept</w:t>
      </w:r>
    </w:p>
    <w:p w14:paraId="107F2EB9" w14:textId="0E89F9A4" w:rsidR="00921E85" w:rsidRDefault="00B37AEF" w:rsidP="002145C2">
      <w:pPr>
        <w:ind w:firstLine="360"/>
        <w:jc w:val="both"/>
      </w:pPr>
      <w:r>
        <w:t>A</w:t>
      </w:r>
      <w:r w:rsidR="00921E85">
        <w:t xml:space="preserve"> </w:t>
      </w:r>
      <w:r w:rsidR="00921E85" w:rsidRPr="00202B1C">
        <w:t>tandem DODH/hydroformylation</w:t>
      </w:r>
      <w:r w:rsidR="00921E85">
        <w:t xml:space="preserve"> (DODH/HF)</w:t>
      </w:r>
      <w:r w:rsidR="00921E85" w:rsidRPr="00202B1C">
        <w:t xml:space="preserve"> reaction is to start with a C</w:t>
      </w:r>
      <w:r w:rsidR="00921E85" w:rsidRPr="00202B1C">
        <w:rPr>
          <w:vertAlign w:val="subscript"/>
        </w:rPr>
        <w:t>n</w:t>
      </w:r>
      <w:r w:rsidR="00921E85" w:rsidRPr="00202B1C">
        <w:t xml:space="preserve"> linear terminal vicinal diol to form a terminal olefin via the deoxydehydration process that could then undergo hydroformylation to provide a linear and/or branched C</w:t>
      </w:r>
      <w:r w:rsidR="00921E85" w:rsidRPr="00202B1C">
        <w:rPr>
          <w:vertAlign w:val="subscript"/>
        </w:rPr>
        <w:t>n+1</w:t>
      </w:r>
      <w:r w:rsidR="00921E85" w:rsidRPr="00202B1C">
        <w:t xml:space="preserve"> aldehyde</w:t>
      </w:r>
      <w:r w:rsidR="00503297">
        <w:t xml:space="preserve"> (</w:t>
      </w:r>
      <w:r w:rsidR="00503297">
        <w:fldChar w:fldCharType="begin"/>
      </w:r>
      <w:r w:rsidR="00503297">
        <w:instrText xml:space="preserve"> REF _Ref455842024 \h </w:instrText>
      </w:r>
      <w:r w:rsidR="00503297">
        <w:fldChar w:fldCharType="separate"/>
      </w:r>
      <w:r w:rsidR="000A0E3D" w:rsidRPr="00A40A97">
        <w:t xml:space="preserve">Figure III. </w:t>
      </w:r>
      <w:r w:rsidR="000A0E3D">
        <w:rPr>
          <w:noProof/>
        </w:rPr>
        <w:t>7</w:t>
      </w:r>
      <w:r w:rsidR="000A0E3D">
        <w:t>.</w:t>
      </w:r>
      <w:r w:rsidR="000A0E3D">
        <w:rPr>
          <w:noProof/>
        </w:rPr>
        <w:t>3</w:t>
      </w:r>
      <w:r w:rsidR="00503297">
        <w:fldChar w:fldCharType="end"/>
      </w:r>
      <w:r w:rsidR="00503297">
        <w:t>)</w:t>
      </w:r>
      <w:r w:rsidR="00921E85" w:rsidRPr="00202B1C">
        <w:t xml:space="preserve">. In an ideal case the hydrogen and carbon monoxide gas mixture could also serve as the reducing agent in the DODH process. Other reported DODH reducing agent could be </w:t>
      </w:r>
      <w:r w:rsidR="00A9617B" w:rsidRPr="00202B1C">
        <w:t>consider</w:t>
      </w:r>
      <w:r w:rsidR="00A9617B">
        <w:t>ed</w:t>
      </w:r>
      <w:r w:rsidR="00A9617B" w:rsidRPr="00202B1C">
        <w:t xml:space="preserve"> </w:t>
      </w:r>
      <w:r w:rsidR="00921E85" w:rsidRPr="00202B1C">
        <w:t xml:space="preserve">also </w:t>
      </w:r>
      <w:r w:rsidR="00921E85">
        <w:t>as long as these or their product</w:t>
      </w:r>
      <w:r w:rsidR="00A9617B">
        <w:t>s</w:t>
      </w:r>
      <w:r w:rsidR="00921E85">
        <w:t xml:space="preserve"> will not </w:t>
      </w:r>
      <w:r w:rsidR="00921E85" w:rsidRPr="00202B1C">
        <w:t xml:space="preserve">disturb the subsequent </w:t>
      </w:r>
      <w:r w:rsidR="00921E85">
        <w:t>hydroformylation step. Our main concern in this tandem system is the compatibility of the high oxidation state rhenium complex with the low oxidation state rhodium complex.</w:t>
      </w:r>
    </w:p>
    <w:p w14:paraId="7A30399C" w14:textId="77777777" w:rsidR="00921E85" w:rsidRDefault="00921E85" w:rsidP="002145C2">
      <w:pPr>
        <w:ind w:firstLine="360"/>
        <w:jc w:val="both"/>
      </w:pPr>
    </w:p>
    <w:p w14:paraId="271EFDAD" w14:textId="77777777" w:rsidR="000A5739" w:rsidRDefault="00921E85" w:rsidP="000A5739">
      <w:pPr>
        <w:keepNext/>
        <w:jc w:val="center"/>
      </w:pPr>
      <w:r w:rsidRPr="00E518D3">
        <w:object w:dxaOrig="5534" w:dyaOrig="2434" w14:anchorId="6A1DE198">
          <v:shape id="_x0000_i1168" type="#_x0000_t75" style="width:267.45pt;height:118.7pt" o:ole="">
            <v:imagedata r:id="rId381" o:title=""/>
          </v:shape>
          <o:OLEObject Type="Embed" ProgID="ChemDraw.Document.6.0" ShapeID="_x0000_i1168" DrawAspect="Content" ObjectID="_1532785002" r:id="rId382"/>
        </w:object>
      </w:r>
    </w:p>
    <w:p w14:paraId="6AF68DD1" w14:textId="77777777" w:rsidR="00921E85" w:rsidRPr="00A40A97" w:rsidRDefault="000A5739" w:rsidP="00A40A97">
      <w:pPr>
        <w:pStyle w:val="Caption"/>
      </w:pPr>
      <w:bookmarkStart w:id="371" w:name="_Ref455842024"/>
      <w:bookmarkStart w:id="372" w:name="_Toc457670772"/>
      <w:r w:rsidRPr="00A40A97">
        <w:t xml:space="preserve">Figure III. </w:t>
      </w:r>
      <w:r w:rsidR="00443010">
        <w:fldChar w:fldCharType="begin"/>
      </w:r>
      <w:r w:rsidR="00443010">
        <w:instrText xml:space="preserve"> STYLEREF 2 \s </w:instrText>
      </w:r>
      <w:r w:rsidR="00443010">
        <w:fldChar w:fldCharType="separate"/>
      </w:r>
      <w:r w:rsidR="000A0E3D">
        <w:rPr>
          <w:noProof/>
        </w:rPr>
        <w:t>7</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3</w:t>
      </w:r>
      <w:r w:rsidR="00443010">
        <w:rPr>
          <w:noProof/>
        </w:rPr>
        <w:fldChar w:fldCharType="end"/>
      </w:r>
      <w:bookmarkEnd w:id="371"/>
      <w:r w:rsidRPr="00A40A97">
        <w:t xml:space="preserve"> </w:t>
      </w:r>
      <w:r w:rsidR="00921E85" w:rsidRPr="00A40A97">
        <w:t xml:space="preserve">DODH/Hydroformylation </w:t>
      </w:r>
      <w:r w:rsidR="00317102">
        <w:t>t</w:t>
      </w:r>
      <w:r w:rsidR="00921E85" w:rsidRPr="00A40A97">
        <w:t xml:space="preserve">andem </w:t>
      </w:r>
      <w:r w:rsidR="00317102">
        <w:t>c</w:t>
      </w:r>
      <w:r w:rsidR="00921E85" w:rsidRPr="00A40A97">
        <w:t>oncept</w:t>
      </w:r>
      <w:bookmarkEnd w:id="372"/>
    </w:p>
    <w:p w14:paraId="0FAB7F11" w14:textId="77777777" w:rsidR="000A5739" w:rsidRDefault="000A5739" w:rsidP="00457EC7">
      <w:pPr>
        <w:jc w:val="center"/>
      </w:pPr>
    </w:p>
    <w:p w14:paraId="61984E20" w14:textId="55F6A7D6" w:rsidR="00921E85" w:rsidRDefault="00921E85" w:rsidP="00652153">
      <w:pPr>
        <w:ind w:firstLine="360"/>
        <w:jc w:val="both"/>
      </w:pPr>
      <w:r>
        <w:t>In this section we will describe the preliminary studies conducted to evaluate the potential of</w:t>
      </w:r>
      <w:r w:rsidR="00B37AEF">
        <w:t xml:space="preserve"> a</w:t>
      </w:r>
      <w:r>
        <w:t xml:space="preserve"> hydrogen and carbon monoxide gas mixture as reducing agent in the DODH reaction. As a model diol we studied the DODH reaction </w:t>
      </w:r>
      <w:r w:rsidRPr="00202B1C">
        <w:t>of 1,2-hexanediol. The hydroformylation of 1-hexene has been well studied and provides several catalyst and condition options. We will then report our study of the hydroformylation reaction of 1-hexene before reporting the results obtained for the DODH/hydroformylation tandem reaction.</w:t>
      </w:r>
    </w:p>
    <w:p w14:paraId="2AFA1E62" w14:textId="77777777" w:rsidR="00921E85" w:rsidRPr="00202B1C" w:rsidRDefault="00921E85" w:rsidP="000351A7">
      <w:pPr>
        <w:pStyle w:val="Heading3"/>
      </w:pPr>
      <w:bookmarkStart w:id="373" w:name="_Toc458938334"/>
      <w:r w:rsidRPr="00F228B7">
        <w:t xml:space="preserve">Hydrogen and Carbon monoxide as DODH </w:t>
      </w:r>
      <w:r w:rsidRPr="00202B1C">
        <w:t>reducing agents</w:t>
      </w:r>
      <w:bookmarkEnd w:id="373"/>
      <w:r w:rsidRPr="00202B1C">
        <w:t xml:space="preserve"> </w:t>
      </w:r>
    </w:p>
    <w:p w14:paraId="586C59A3" w14:textId="7D24B967" w:rsidR="00921E85" w:rsidRDefault="00921E85" w:rsidP="002145C2">
      <w:pPr>
        <w:ind w:firstLine="360"/>
        <w:jc w:val="both"/>
        <w:rPr>
          <w:rFonts w:cstheme="minorHAnsi"/>
        </w:rPr>
      </w:pPr>
      <w:r w:rsidRPr="00202B1C">
        <w:t>Hydrogen was reported as an effective reducing agent for the deoxygenation of epoxides catalyzed by MeReO</w:t>
      </w:r>
      <w:r w:rsidRPr="00202B1C">
        <w:rPr>
          <w:vertAlign w:val="subscript"/>
        </w:rPr>
        <w:t>3</w:t>
      </w:r>
      <w:r w:rsidRPr="00202B1C">
        <w:t xml:space="preserve"> by </w:t>
      </w:r>
      <w:r w:rsidR="00A9617B">
        <w:t>A</w:t>
      </w:r>
      <w:r w:rsidR="00A9617B" w:rsidRPr="00202B1C">
        <w:t>bu</w:t>
      </w:r>
      <w:r w:rsidRPr="00202B1C">
        <w:t>-Omar and co-</w:t>
      </w:r>
      <w:r w:rsidRPr="00B37AEF">
        <w:rPr>
          <w:rFonts w:cstheme="minorHAnsi"/>
        </w:rPr>
        <w:t>workers.</w:t>
      </w:r>
      <w:r w:rsidRPr="00B37AEF">
        <w:rPr>
          <w:rFonts w:cstheme="minorHAnsi"/>
        </w:rPr>
        <w:fldChar w:fldCharType="begin"/>
      </w:r>
      <w:r w:rsidR="00F8513E" w:rsidRPr="00B37AEF">
        <w:rPr>
          <w:rFonts w:cstheme="minorHAnsi"/>
        </w:rPr>
        <w:instrText xml:space="preserve"> ADDIN ZOTERO_ITEM CSL_CITATION {"citationID":"1mht09hrn","properties":{"formattedCitation":"{\\rtf \\super 33\\nosupersub{}}","plainCitation":"33"},"citationItems":[{"id":422,"uris":["http://zotero.org/users/1624234/items/UDXKBHCJ"],"uri":["http://zotero.org/users/1624234/items/UDXKBHCJ"],"itemData":{"id":422,"type":"article-journal","title":"H &lt;sub&gt;2&lt;/sub&gt; -Driven Deoxygenation of Epoxides and Diols to Alkenes Catalyzed by Methyltrioxorhenium","container-title":"Inorganic Chemistry","page":"9998-10000","volume":"48","issue":"21","source":"CrossRef","DOI":"10.1021/ic901792b","ISSN":"0020-1669, 1520-510X","author":[{"family":"Ziegler","given":"Jeanette E."},{"family":"Zdilla","given":"Michael J."},{"family":"Evans","given":"Andrew J."},{"family":"Abu-Omar","given":"Mahdi M."}],"issued":{"date-parts":[["2009",11,2]]}}}],"schema":"https://github.com/citation-style-language/schema/raw/master/csl-citation.json"} </w:instrText>
      </w:r>
      <w:r w:rsidRPr="00B37AEF">
        <w:rPr>
          <w:rFonts w:cstheme="minorHAnsi"/>
        </w:rPr>
        <w:fldChar w:fldCharType="separate"/>
      </w:r>
      <w:r w:rsidR="00F8513E" w:rsidRPr="00B37AEF">
        <w:rPr>
          <w:rFonts w:cstheme="minorHAnsi"/>
          <w:vertAlign w:val="superscript"/>
        </w:rPr>
        <w:t>33</w:t>
      </w:r>
      <w:r w:rsidRPr="00B37AEF">
        <w:rPr>
          <w:rFonts w:cstheme="minorHAnsi"/>
        </w:rPr>
        <w:fldChar w:fldCharType="end"/>
      </w:r>
      <w:r w:rsidRPr="00B37AEF">
        <w:rPr>
          <w:rFonts w:cstheme="minorHAnsi"/>
        </w:rPr>
        <w:t xml:space="preserve"> When</w:t>
      </w:r>
      <w:r w:rsidRPr="00202B1C">
        <w:t xml:space="preserve"> </w:t>
      </w:r>
      <w:r>
        <w:t xml:space="preserve">applied to </w:t>
      </w:r>
      <w:r w:rsidRPr="00202B1C">
        <w:t xml:space="preserve">the DODH of </w:t>
      </w:r>
      <w:r>
        <w:t>1,2-hexanediol</w:t>
      </w:r>
      <w:r w:rsidRPr="00202B1C">
        <w:t xml:space="preserve"> this </w:t>
      </w:r>
      <w:r>
        <w:t>reducing agent had only 18% yield in alkene (</w:t>
      </w:r>
      <w:r w:rsidR="00503297">
        <w:fldChar w:fldCharType="begin"/>
      </w:r>
      <w:r w:rsidR="00503297">
        <w:instrText xml:space="preserve"> REF _Ref455842076 \h </w:instrText>
      </w:r>
      <w:r w:rsidR="00503297">
        <w:fldChar w:fldCharType="separate"/>
      </w:r>
      <w:r w:rsidR="000A0E3D" w:rsidRPr="00A40A97">
        <w:t xml:space="preserve">Figure III. </w:t>
      </w:r>
      <w:r w:rsidR="000A0E3D">
        <w:rPr>
          <w:noProof/>
        </w:rPr>
        <w:t>7</w:t>
      </w:r>
      <w:r w:rsidR="000A0E3D">
        <w:t>.</w:t>
      </w:r>
      <w:r w:rsidR="000A0E3D">
        <w:rPr>
          <w:noProof/>
        </w:rPr>
        <w:t>4</w:t>
      </w:r>
      <w:r w:rsidR="00503297">
        <w:fldChar w:fldCharType="end"/>
      </w:r>
      <w:r>
        <w:t xml:space="preserve">). At higher pressure, 300 psi, the main product detected was hexane (50% Yield). </w:t>
      </w:r>
      <w:r w:rsidRPr="00202B1C">
        <w:t>More recently carbon monoxide was also reported as a reducing agent for the DODH reaction by Gopaladasu and Nicholas with a vanadium-oxo</w:t>
      </w:r>
      <w:r>
        <w:t xml:space="preserve"> </w:t>
      </w:r>
      <w:r w:rsidRPr="00B37AEF">
        <w:rPr>
          <w:rFonts w:cstheme="minorHAnsi"/>
        </w:rPr>
        <w:t>catalyst.</w:t>
      </w:r>
      <w:r w:rsidRPr="00B37AEF">
        <w:rPr>
          <w:rFonts w:cstheme="minorHAnsi"/>
        </w:rPr>
        <w:fldChar w:fldCharType="begin"/>
      </w:r>
      <w:r w:rsidR="00F8513E" w:rsidRPr="00B37AEF">
        <w:rPr>
          <w:rFonts w:cstheme="minorHAnsi"/>
        </w:rPr>
        <w:instrText xml:space="preserve"> ADDIN ZOTERO_ITEM CSL_CITATION {"citationID":"90hkk47ig","properties":{"formattedCitation":"{\\rtf \\super 66\\nosupersub{}}","plainCitation":"66"},"citationItems":[{"id":1514,"uris":["http://zotero.org/users/1624234/items/VH5HCU5E"],"uri":["http://zotero.org/users/1624234/items/VH5HCU5E"],"itemData":{"id":1514,"type":"article-journal","title":"Carbon Monoxide (CO)- and Hydrogen-Driven, Vanadium-Catalyzed Deoxydehydration of Glycols","container-title":"ACS Catalysis","page":"1901-1904","volume":"6","issue":"3","source":"ACS Publications","abstract":"Four oxo-vanadium complexes of the type Z+LVO2? (1?4) have been evaluated for activity as catalysts for the deoxydehydration (DODH) of glycols to olefins with various reductants. Among these, a new complex, [Bu4N](Salhyd)VO2 (4), is found to be uniquely effective for the DODH reaction using the practical reductants: hydrogen and carbon monoxide (CO).","DOI":"10.1021/acscatal.5b02667","journalAbbreviation":"ACS Catal.","author":[{"family":"Gopaladasu","given":"Tirupathi V."},{"family":"Nicholas","given":"Kenneth M."}],"issued":{"date-parts":[["2016",3,4]]}}}],"schema":"https://github.com/citation-style-language/schema/raw/master/csl-citation.json"} </w:instrText>
      </w:r>
      <w:r w:rsidRPr="00B37AEF">
        <w:rPr>
          <w:rFonts w:cstheme="minorHAnsi"/>
        </w:rPr>
        <w:fldChar w:fldCharType="separate"/>
      </w:r>
      <w:r w:rsidR="00F8513E" w:rsidRPr="00B37AEF">
        <w:rPr>
          <w:rFonts w:cstheme="minorHAnsi"/>
          <w:vertAlign w:val="superscript"/>
        </w:rPr>
        <w:t>66</w:t>
      </w:r>
      <w:r w:rsidRPr="00B37AEF">
        <w:rPr>
          <w:rFonts w:cstheme="minorHAnsi"/>
        </w:rPr>
        <w:fldChar w:fldCharType="end"/>
      </w:r>
    </w:p>
    <w:p w14:paraId="4FB7995B" w14:textId="77777777" w:rsidR="00B37AEF" w:rsidRPr="00B37AEF" w:rsidRDefault="00B37AEF" w:rsidP="002145C2">
      <w:pPr>
        <w:ind w:firstLine="360"/>
        <w:jc w:val="both"/>
        <w:rPr>
          <w:rFonts w:cstheme="minorHAnsi"/>
        </w:rPr>
      </w:pPr>
    </w:p>
    <w:p w14:paraId="51831B6A" w14:textId="77777777" w:rsidR="00503297" w:rsidRDefault="00921E85" w:rsidP="005D4B4F">
      <w:pPr>
        <w:keepNext/>
        <w:jc w:val="center"/>
      </w:pPr>
      <w:r w:rsidRPr="003A67C2">
        <w:object w:dxaOrig="4905" w:dyaOrig="1154" w14:anchorId="17647F54">
          <v:shape id="_x0000_i1169" type="#_x0000_t75" style="width:246.85pt;height:56.2pt" o:ole="">
            <v:imagedata r:id="rId383" o:title=""/>
          </v:shape>
          <o:OLEObject Type="Embed" ProgID="ChemDraw.Document.6.0" ShapeID="_x0000_i1169" DrawAspect="Content" ObjectID="_1532785003" r:id="rId384"/>
        </w:object>
      </w:r>
    </w:p>
    <w:p w14:paraId="2DBF85CE" w14:textId="77777777" w:rsidR="00921E85" w:rsidRPr="00A40A97" w:rsidRDefault="00503297" w:rsidP="00A40A97">
      <w:pPr>
        <w:pStyle w:val="Caption"/>
      </w:pPr>
      <w:bookmarkStart w:id="374" w:name="_Ref455842076"/>
      <w:bookmarkStart w:id="375" w:name="_Toc457670773"/>
      <w:r w:rsidRPr="00A40A97">
        <w:t xml:space="preserve">Figure III. </w:t>
      </w:r>
      <w:r w:rsidR="00443010">
        <w:fldChar w:fldCharType="begin"/>
      </w:r>
      <w:r w:rsidR="00443010">
        <w:instrText xml:space="preserve"> STYLEREF 2 \s </w:instrText>
      </w:r>
      <w:r w:rsidR="00443010">
        <w:fldChar w:fldCharType="separate"/>
      </w:r>
      <w:r w:rsidR="000A0E3D">
        <w:rPr>
          <w:noProof/>
        </w:rPr>
        <w:t>7</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4</w:t>
      </w:r>
      <w:r w:rsidR="00443010">
        <w:rPr>
          <w:noProof/>
        </w:rPr>
        <w:fldChar w:fldCharType="end"/>
      </w:r>
      <w:bookmarkEnd w:id="374"/>
      <w:r w:rsidRPr="00A40A97">
        <w:t xml:space="preserve"> </w:t>
      </w:r>
      <w:r w:rsidR="00921E85" w:rsidRPr="00A40A97">
        <w:t>Abu-Omar DODH of 1,2-hexanediol with H</w:t>
      </w:r>
      <w:r w:rsidR="00921E85" w:rsidRPr="00B72DED">
        <w:rPr>
          <w:vertAlign w:val="subscript"/>
        </w:rPr>
        <w:t>2</w:t>
      </w:r>
      <w:r w:rsidRPr="00A40A97">
        <w:t xml:space="preserve"> as reducing agent</w:t>
      </w:r>
      <w:bookmarkEnd w:id="375"/>
    </w:p>
    <w:p w14:paraId="277CF093" w14:textId="77777777" w:rsidR="00503297" w:rsidRPr="00503297" w:rsidRDefault="00503297" w:rsidP="00503297"/>
    <w:p w14:paraId="7F260ED7" w14:textId="77777777" w:rsidR="00921E85" w:rsidRDefault="00921E85" w:rsidP="002145C2">
      <w:pPr>
        <w:ind w:firstLine="360"/>
        <w:jc w:val="both"/>
      </w:pPr>
      <w:r>
        <w:t xml:space="preserve">We tested several reaction conditions (catalyst, time, temperature, pressure; </w:t>
      </w:r>
      <w:r w:rsidR="00503297">
        <w:fldChar w:fldCharType="begin"/>
      </w:r>
      <w:r w:rsidR="00503297">
        <w:instrText xml:space="preserve"> REF _Ref455842123 \h </w:instrText>
      </w:r>
      <w:r w:rsidR="00503297">
        <w:fldChar w:fldCharType="separate"/>
      </w:r>
      <w:r w:rsidR="000A0E3D" w:rsidRPr="00B72DED">
        <w:t xml:space="preserve">Figure III. </w:t>
      </w:r>
      <w:r w:rsidR="000A0E3D">
        <w:rPr>
          <w:noProof/>
        </w:rPr>
        <w:t>7</w:t>
      </w:r>
      <w:r w:rsidR="000A0E3D">
        <w:t>.</w:t>
      </w:r>
      <w:r w:rsidR="000A0E3D">
        <w:rPr>
          <w:noProof/>
        </w:rPr>
        <w:t>5</w:t>
      </w:r>
      <w:r w:rsidR="00503297">
        <w:fldChar w:fldCharType="end"/>
      </w:r>
      <w:r>
        <w:t>) for the DODH of 1,2-hexanediol using hydrogen and carbon monoxide as reducing agent (</w:t>
      </w:r>
      <w:r w:rsidR="00503297">
        <w:fldChar w:fldCharType="begin"/>
      </w:r>
      <w:r w:rsidR="00503297">
        <w:instrText xml:space="preserve"> REF _Ref455842231 \h </w:instrText>
      </w:r>
      <w:r w:rsidR="00503297">
        <w:fldChar w:fldCharType="separate"/>
      </w:r>
      <w:r w:rsidR="000A0E3D" w:rsidRPr="00B72DED">
        <w:t xml:space="preserve">Table III. </w:t>
      </w:r>
      <w:r w:rsidR="000A0E3D">
        <w:rPr>
          <w:noProof/>
        </w:rPr>
        <w:t>7</w:t>
      </w:r>
      <w:r w:rsidR="000A0E3D">
        <w:t>.</w:t>
      </w:r>
      <w:r w:rsidR="000A0E3D">
        <w:rPr>
          <w:noProof/>
        </w:rPr>
        <w:t>1</w:t>
      </w:r>
      <w:r w:rsidR="00503297">
        <w:fldChar w:fldCharType="end"/>
      </w:r>
      <w:r>
        <w:t xml:space="preserve">). We started by mimicking the reported reaction conditions which used hydrogen as reducing agent and we used methyl trioxorhenium as catalyst (entries 1.1-1.2). We observed the same </w:t>
      </w:r>
      <w:r w:rsidR="00B37AEF">
        <w:t xml:space="preserve">30% </w:t>
      </w:r>
      <w:r>
        <w:t xml:space="preserve">yield </w:t>
      </w:r>
      <w:r w:rsidR="00B37AEF">
        <w:t xml:space="preserve">(95% conversion) </w:t>
      </w:r>
      <w:r>
        <w:t xml:space="preserve">after 22.5h </w:t>
      </w:r>
      <w:r w:rsidR="00B37AEF">
        <w:t>and 6h</w:t>
      </w:r>
      <w:r>
        <w:t xml:space="preserve">. Variations of the rhenium </w:t>
      </w:r>
      <w:r w:rsidRPr="00202B1C">
        <w:t xml:space="preserve">catalyst entries 1.3 to 1.6 did not improve the yield with a maximum of 30% and up to 90% conversion. We also tried the vanadium complex reported effective for DODH with carbon monoxide as reducing agent, but with the gas mixture of hydrogen and carbon monoxide the yield dropped to 24% with 90% conversion (entries 1.7 and 1.9). When ammonium perrhenate was employed as catalyst we could see a drop in the </w:t>
      </w:r>
      <w:r w:rsidR="00CF62BD">
        <w:t xml:space="preserve">diol </w:t>
      </w:r>
      <w:r w:rsidRPr="00202B1C">
        <w:t xml:space="preserve">conversion </w:t>
      </w:r>
      <w:r w:rsidR="00CF62BD">
        <w:t>(</w:t>
      </w:r>
      <w:r w:rsidRPr="00202B1C">
        <w:t>21%</w:t>
      </w:r>
      <w:r w:rsidR="00CF62BD">
        <w:t>)</w:t>
      </w:r>
      <w:r>
        <w:t xml:space="preserve"> with</w:t>
      </w:r>
      <w:r w:rsidRPr="00202B1C">
        <w:t xml:space="preserve"> approximately 20%</w:t>
      </w:r>
      <w:r>
        <w:t xml:space="preserve"> </w:t>
      </w:r>
      <w:r w:rsidRPr="00202B1C">
        <w:t>yield</w:t>
      </w:r>
      <w:r>
        <w:t xml:space="preserve"> after 24h. We let the reaction going for 48h and found 43% yield in alkene with 81% conversion.</w:t>
      </w:r>
    </w:p>
    <w:p w14:paraId="72144D55" w14:textId="77777777" w:rsidR="00503297" w:rsidRDefault="00503297" w:rsidP="009F393B">
      <w:pPr>
        <w:spacing w:line="240" w:lineRule="auto"/>
        <w:ind w:firstLine="360"/>
        <w:jc w:val="both"/>
      </w:pPr>
    </w:p>
    <w:p w14:paraId="0FE7A035" w14:textId="77777777" w:rsidR="00503297" w:rsidRDefault="009F393B" w:rsidP="00503297">
      <w:pPr>
        <w:keepNext/>
        <w:jc w:val="center"/>
      </w:pPr>
      <w:r w:rsidRPr="007100A8">
        <w:object w:dxaOrig="4906" w:dyaOrig="1235" w14:anchorId="05757DB4">
          <v:shape id="_x0000_i1170" type="#_x0000_t75" style="width:231.8pt;height:56.2pt" o:ole="">
            <v:imagedata r:id="rId385" o:title=""/>
          </v:shape>
          <o:OLEObject Type="Embed" ProgID="ChemDraw.Document.6.0" ShapeID="_x0000_i1170" DrawAspect="Content" ObjectID="_1532785004" r:id="rId386"/>
        </w:object>
      </w:r>
    </w:p>
    <w:p w14:paraId="43F9BB24" w14:textId="77777777" w:rsidR="00921E85" w:rsidRPr="00B72DED" w:rsidRDefault="00503297" w:rsidP="00B72DED">
      <w:pPr>
        <w:pStyle w:val="Caption"/>
      </w:pPr>
      <w:bookmarkStart w:id="376" w:name="_Ref455842123"/>
      <w:bookmarkStart w:id="377" w:name="_Toc457670774"/>
      <w:r w:rsidRPr="00B72DED">
        <w:t xml:space="preserve">Figure III. </w:t>
      </w:r>
      <w:r w:rsidR="00443010">
        <w:fldChar w:fldCharType="begin"/>
      </w:r>
      <w:r w:rsidR="00443010">
        <w:instrText xml:space="preserve"> STYLEREF 2 \s </w:instrText>
      </w:r>
      <w:r w:rsidR="00443010">
        <w:fldChar w:fldCharType="separate"/>
      </w:r>
      <w:r w:rsidR="000A0E3D">
        <w:rPr>
          <w:noProof/>
        </w:rPr>
        <w:t>7</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5</w:t>
      </w:r>
      <w:r w:rsidR="00443010">
        <w:rPr>
          <w:noProof/>
        </w:rPr>
        <w:fldChar w:fldCharType="end"/>
      </w:r>
      <w:bookmarkEnd w:id="376"/>
      <w:r w:rsidRPr="00B72DED">
        <w:t xml:space="preserve"> </w:t>
      </w:r>
      <w:r w:rsidR="00921E85" w:rsidRPr="00B72DED">
        <w:t>DODH of 1,2-hexanediol using H</w:t>
      </w:r>
      <w:r w:rsidR="00921E85" w:rsidRPr="00B72DED">
        <w:rPr>
          <w:vertAlign w:val="subscript"/>
        </w:rPr>
        <w:t>2</w:t>
      </w:r>
      <w:r w:rsidR="00921E85" w:rsidRPr="00B72DED">
        <w:t>/CO as reducing agent</w:t>
      </w:r>
      <w:bookmarkEnd w:id="377"/>
    </w:p>
    <w:p w14:paraId="5E8D1C28" w14:textId="77777777" w:rsidR="00921E85" w:rsidRDefault="00921E85" w:rsidP="002145C2">
      <w:pPr>
        <w:rPr>
          <w:b/>
        </w:rPr>
      </w:pPr>
    </w:p>
    <w:p w14:paraId="667E20B1" w14:textId="77777777" w:rsidR="00921E85" w:rsidRDefault="00503297" w:rsidP="00B72DED">
      <w:pPr>
        <w:pStyle w:val="Caption"/>
      </w:pPr>
      <w:bookmarkStart w:id="378" w:name="_Ref455842231"/>
      <w:bookmarkStart w:id="379" w:name="_Toc457670494"/>
      <w:r w:rsidRPr="00B72DED">
        <w:t xml:space="preserve">Table III. </w:t>
      </w:r>
      <w:r w:rsidR="00443010">
        <w:fldChar w:fldCharType="begin"/>
      </w:r>
      <w:r w:rsidR="00443010">
        <w:instrText xml:space="preserve"> STYLEREF 2 \s </w:instrText>
      </w:r>
      <w:r w:rsidR="00443010">
        <w:fldChar w:fldCharType="separate"/>
      </w:r>
      <w:r w:rsidR="000A0E3D">
        <w:rPr>
          <w:noProof/>
        </w:rPr>
        <w:t>7</w:t>
      </w:r>
      <w:r w:rsidR="00443010">
        <w:rPr>
          <w:noProof/>
        </w:rPr>
        <w:fldChar w:fldCharType="end"/>
      </w:r>
      <w:r w:rsidR="00E20ED7">
        <w:t>.</w:t>
      </w:r>
      <w:r w:rsidR="00443010">
        <w:fldChar w:fldCharType="begin"/>
      </w:r>
      <w:r w:rsidR="00443010">
        <w:instrText xml:space="preserve"> SEQ Table_III. \* ARABIC \s 2 </w:instrText>
      </w:r>
      <w:r w:rsidR="00443010">
        <w:fldChar w:fldCharType="separate"/>
      </w:r>
      <w:r w:rsidR="000A0E3D">
        <w:rPr>
          <w:noProof/>
        </w:rPr>
        <w:t>1</w:t>
      </w:r>
      <w:r w:rsidR="00443010">
        <w:rPr>
          <w:noProof/>
        </w:rPr>
        <w:fldChar w:fldCharType="end"/>
      </w:r>
      <w:bookmarkEnd w:id="378"/>
      <w:r w:rsidR="00921E85" w:rsidRPr="00B72DED">
        <w:t xml:space="preserve"> Results of the DODH of 1,2-hexane diol (</w:t>
      </w:r>
      <w:r w:rsidR="00810326" w:rsidRPr="00B72DED">
        <w:fldChar w:fldCharType="begin"/>
      </w:r>
      <w:r w:rsidR="00810326" w:rsidRPr="00B72DED">
        <w:instrText xml:space="preserve"> REF _Ref455842123 \h </w:instrText>
      </w:r>
      <w:r w:rsidR="00B72DED">
        <w:instrText xml:space="preserve"> \* MERGEFORMAT </w:instrText>
      </w:r>
      <w:r w:rsidR="00810326" w:rsidRPr="00B72DED">
        <w:fldChar w:fldCharType="separate"/>
      </w:r>
      <w:r w:rsidR="000A0E3D" w:rsidRPr="00B72DED">
        <w:t xml:space="preserve">Figure III. </w:t>
      </w:r>
      <w:r w:rsidR="000A0E3D">
        <w:t>7.5</w:t>
      </w:r>
      <w:r w:rsidR="00810326" w:rsidRPr="00B72DED">
        <w:fldChar w:fldCharType="end"/>
      </w:r>
      <w:r w:rsidR="00921E85" w:rsidRPr="00B72DED">
        <w:t>) with hydrogen and carbon monoxide under various reaction conditions</w:t>
      </w:r>
      <w:bookmarkEnd w:id="379"/>
    </w:p>
    <w:p w14:paraId="77BC0BB1" w14:textId="77777777" w:rsidR="001539C6" w:rsidRPr="001539C6" w:rsidRDefault="001539C6" w:rsidP="001539C6"/>
    <w:tbl>
      <w:tblPr>
        <w:tblStyle w:val="TableGrid"/>
        <w:tblW w:w="0" w:type="auto"/>
        <w:jc w:val="center"/>
        <w:tblLook w:val="04A0" w:firstRow="1" w:lastRow="0" w:firstColumn="1" w:lastColumn="0" w:noHBand="0" w:noVBand="1"/>
      </w:tblPr>
      <w:tblGrid>
        <w:gridCol w:w="1238"/>
        <w:gridCol w:w="1729"/>
        <w:gridCol w:w="1691"/>
        <w:gridCol w:w="1958"/>
        <w:gridCol w:w="1880"/>
      </w:tblGrid>
      <w:tr w:rsidR="00921E85" w14:paraId="47AD5FE8" w14:textId="77777777" w:rsidTr="000A5739">
        <w:trPr>
          <w:trHeight w:val="90"/>
          <w:jc w:val="center"/>
        </w:trPr>
        <w:tc>
          <w:tcPr>
            <w:tcW w:w="1240" w:type="dxa"/>
            <w:tcBorders>
              <w:top w:val="nil"/>
              <w:left w:val="nil"/>
              <w:bottom w:val="single" w:sz="12" w:space="0" w:color="auto"/>
              <w:right w:val="nil"/>
            </w:tcBorders>
            <w:vAlign w:val="center"/>
          </w:tcPr>
          <w:p w14:paraId="0FB9114D" w14:textId="77777777" w:rsidR="00921E85" w:rsidRDefault="00921E85" w:rsidP="001539C6">
            <w:pPr>
              <w:spacing w:line="276" w:lineRule="auto"/>
              <w:jc w:val="center"/>
            </w:pPr>
            <w:r>
              <w:t>Entry</w:t>
            </w:r>
          </w:p>
        </w:tc>
        <w:tc>
          <w:tcPr>
            <w:tcW w:w="1730" w:type="dxa"/>
            <w:tcBorders>
              <w:top w:val="nil"/>
              <w:left w:val="nil"/>
              <w:bottom w:val="single" w:sz="12" w:space="0" w:color="auto"/>
              <w:right w:val="nil"/>
            </w:tcBorders>
            <w:vAlign w:val="center"/>
          </w:tcPr>
          <w:p w14:paraId="49D97922" w14:textId="77777777" w:rsidR="00921E85" w:rsidRDefault="00921E85" w:rsidP="001539C6">
            <w:pPr>
              <w:spacing w:line="276" w:lineRule="auto"/>
              <w:jc w:val="center"/>
            </w:pPr>
            <w:r>
              <w:t>L</w:t>
            </w:r>
            <w:r w:rsidRPr="00F402B3">
              <w:rPr>
                <w:vertAlign w:val="subscript"/>
              </w:rPr>
              <w:t>n</w:t>
            </w:r>
            <w:r>
              <w:t>MO</w:t>
            </w:r>
            <w:r w:rsidRPr="000468F7">
              <w:rPr>
                <w:vertAlign w:val="subscript"/>
              </w:rPr>
              <w:t>x</w:t>
            </w:r>
          </w:p>
        </w:tc>
        <w:tc>
          <w:tcPr>
            <w:tcW w:w="1710" w:type="dxa"/>
            <w:tcBorders>
              <w:top w:val="nil"/>
              <w:left w:val="nil"/>
              <w:bottom w:val="single" w:sz="12" w:space="0" w:color="auto"/>
              <w:right w:val="single" w:sz="4" w:space="0" w:color="808080" w:themeColor="background1" w:themeShade="80"/>
            </w:tcBorders>
            <w:vAlign w:val="center"/>
          </w:tcPr>
          <w:p w14:paraId="3708F61A" w14:textId="77777777" w:rsidR="00921E85" w:rsidRDefault="00921E85" w:rsidP="001539C6">
            <w:pPr>
              <w:spacing w:line="276" w:lineRule="auto"/>
              <w:jc w:val="center"/>
            </w:pPr>
            <w:r>
              <w:t>Time</w:t>
            </w:r>
          </w:p>
        </w:tc>
        <w:tc>
          <w:tcPr>
            <w:tcW w:w="1980" w:type="dxa"/>
            <w:tcBorders>
              <w:top w:val="nil"/>
              <w:left w:val="single" w:sz="4" w:space="0" w:color="808080" w:themeColor="background1" w:themeShade="80"/>
              <w:bottom w:val="single" w:sz="12" w:space="0" w:color="auto"/>
              <w:right w:val="dashed" w:sz="4" w:space="0" w:color="808080" w:themeColor="background1" w:themeShade="80"/>
            </w:tcBorders>
            <w:vAlign w:val="center"/>
          </w:tcPr>
          <w:p w14:paraId="6DD61ABC" w14:textId="77777777" w:rsidR="00921E85" w:rsidRDefault="00921E85" w:rsidP="001539C6">
            <w:pPr>
              <w:spacing w:line="276" w:lineRule="auto"/>
              <w:jc w:val="center"/>
            </w:pPr>
            <w:r>
              <w:t>Alkene Yield</w:t>
            </w:r>
            <w:r w:rsidRPr="009774E0">
              <w:rPr>
                <w:vertAlign w:val="superscript"/>
              </w:rPr>
              <w:t>a</w:t>
            </w:r>
          </w:p>
        </w:tc>
        <w:tc>
          <w:tcPr>
            <w:tcW w:w="1890" w:type="dxa"/>
            <w:tcBorders>
              <w:top w:val="nil"/>
              <w:left w:val="dashed" w:sz="4" w:space="0" w:color="808080" w:themeColor="background1" w:themeShade="80"/>
              <w:bottom w:val="single" w:sz="12" w:space="0" w:color="auto"/>
              <w:right w:val="nil"/>
            </w:tcBorders>
            <w:vAlign w:val="center"/>
          </w:tcPr>
          <w:p w14:paraId="49CC8F97" w14:textId="77777777" w:rsidR="00921E85" w:rsidRPr="009774E0" w:rsidRDefault="00921E85" w:rsidP="001539C6">
            <w:pPr>
              <w:spacing w:line="276" w:lineRule="auto"/>
              <w:jc w:val="center"/>
              <w:rPr>
                <w:vertAlign w:val="superscript"/>
              </w:rPr>
            </w:pPr>
            <w:r>
              <w:t>Diol Conversion</w:t>
            </w:r>
            <w:r>
              <w:rPr>
                <w:vertAlign w:val="superscript"/>
              </w:rPr>
              <w:t>a</w:t>
            </w:r>
          </w:p>
        </w:tc>
      </w:tr>
      <w:tr w:rsidR="00921E85" w14:paraId="14AD45B8" w14:textId="77777777" w:rsidTr="000A5739">
        <w:trPr>
          <w:jc w:val="center"/>
        </w:trPr>
        <w:tc>
          <w:tcPr>
            <w:tcW w:w="1240" w:type="dxa"/>
            <w:tcBorders>
              <w:top w:val="single" w:sz="12" w:space="0" w:color="auto"/>
              <w:left w:val="nil"/>
              <w:bottom w:val="nil"/>
              <w:right w:val="single" w:sz="12" w:space="0" w:color="auto"/>
            </w:tcBorders>
            <w:vAlign w:val="center"/>
          </w:tcPr>
          <w:p w14:paraId="61452F21" w14:textId="77777777" w:rsidR="00921E85" w:rsidRDefault="00921E85" w:rsidP="001539C6">
            <w:pPr>
              <w:spacing w:line="360" w:lineRule="auto"/>
              <w:jc w:val="center"/>
            </w:pPr>
            <w:r>
              <w:t>III.7.1.1</w:t>
            </w:r>
          </w:p>
          <w:p w14:paraId="362DFBC0" w14:textId="77777777" w:rsidR="00921E85" w:rsidRDefault="00921E85" w:rsidP="001539C6">
            <w:pPr>
              <w:spacing w:line="360" w:lineRule="auto"/>
              <w:jc w:val="center"/>
            </w:pPr>
            <w:r>
              <w:t>III.7.1.2</w:t>
            </w:r>
          </w:p>
        </w:tc>
        <w:tc>
          <w:tcPr>
            <w:tcW w:w="1730" w:type="dxa"/>
            <w:tcBorders>
              <w:top w:val="single" w:sz="12" w:space="0" w:color="auto"/>
              <w:left w:val="single" w:sz="12" w:space="0" w:color="auto"/>
              <w:bottom w:val="single" w:sz="4" w:space="0" w:color="808080" w:themeColor="background1" w:themeShade="80"/>
              <w:right w:val="nil"/>
            </w:tcBorders>
            <w:vAlign w:val="center"/>
          </w:tcPr>
          <w:p w14:paraId="1D1FCAC5" w14:textId="77777777" w:rsidR="00921E85" w:rsidRDefault="00921E85" w:rsidP="001539C6">
            <w:pPr>
              <w:spacing w:line="360" w:lineRule="auto"/>
              <w:jc w:val="center"/>
            </w:pPr>
            <w:r>
              <w:t>MeReO</w:t>
            </w:r>
            <w:r w:rsidRPr="009774E0">
              <w:rPr>
                <w:vertAlign w:val="subscript"/>
              </w:rPr>
              <w:t>3</w:t>
            </w:r>
          </w:p>
        </w:tc>
        <w:tc>
          <w:tcPr>
            <w:tcW w:w="1710" w:type="dxa"/>
            <w:tcBorders>
              <w:top w:val="single" w:sz="12" w:space="0" w:color="auto"/>
              <w:left w:val="nil"/>
              <w:bottom w:val="single" w:sz="4" w:space="0" w:color="808080" w:themeColor="background1" w:themeShade="80"/>
              <w:right w:val="single" w:sz="4" w:space="0" w:color="808080" w:themeColor="background1" w:themeShade="80"/>
            </w:tcBorders>
            <w:vAlign w:val="center"/>
          </w:tcPr>
          <w:p w14:paraId="67B2AF1F" w14:textId="77777777" w:rsidR="00921E85" w:rsidRPr="00202B1C" w:rsidRDefault="00921E85" w:rsidP="001539C6">
            <w:pPr>
              <w:spacing w:line="360" w:lineRule="auto"/>
              <w:jc w:val="center"/>
            </w:pPr>
            <w:r w:rsidRPr="00202B1C">
              <w:t>22.5h</w:t>
            </w:r>
          </w:p>
          <w:p w14:paraId="4CF52402" w14:textId="77777777" w:rsidR="00921E85" w:rsidRPr="00202B1C" w:rsidRDefault="00921E85" w:rsidP="001539C6">
            <w:pPr>
              <w:spacing w:line="360" w:lineRule="auto"/>
              <w:jc w:val="center"/>
            </w:pPr>
            <w:r w:rsidRPr="00202B1C">
              <w:t>6 h</w:t>
            </w:r>
          </w:p>
        </w:tc>
        <w:tc>
          <w:tcPr>
            <w:tcW w:w="1980" w:type="dxa"/>
            <w:tcBorders>
              <w:top w:val="single" w:sz="12" w:space="0" w:color="auto"/>
              <w:left w:val="single" w:sz="4" w:space="0" w:color="808080" w:themeColor="background1" w:themeShade="80"/>
              <w:bottom w:val="single" w:sz="4" w:space="0" w:color="808080" w:themeColor="background1" w:themeShade="80"/>
              <w:right w:val="dashed" w:sz="4" w:space="0" w:color="808080" w:themeColor="background1" w:themeShade="80"/>
            </w:tcBorders>
            <w:vAlign w:val="center"/>
          </w:tcPr>
          <w:p w14:paraId="73734235" w14:textId="77777777" w:rsidR="00921E85" w:rsidRDefault="00921E85" w:rsidP="001539C6">
            <w:pPr>
              <w:spacing w:line="360" w:lineRule="auto"/>
              <w:jc w:val="center"/>
            </w:pPr>
            <w:r>
              <w:t>30%</w:t>
            </w:r>
          </w:p>
          <w:p w14:paraId="27BFD128" w14:textId="77777777" w:rsidR="00921E85" w:rsidRDefault="00921E85" w:rsidP="001539C6">
            <w:pPr>
              <w:spacing w:line="360" w:lineRule="auto"/>
              <w:jc w:val="center"/>
            </w:pPr>
            <w:r>
              <w:t>30%</w:t>
            </w:r>
          </w:p>
        </w:tc>
        <w:tc>
          <w:tcPr>
            <w:tcW w:w="1890" w:type="dxa"/>
            <w:tcBorders>
              <w:top w:val="single" w:sz="12" w:space="0" w:color="auto"/>
              <w:left w:val="dashed" w:sz="4" w:space="0" w:color="808080" w:themeColor="background1" w:themeShade="80"/>
              <w:bottom w:val="single" w:sz="4" w:space="0" w:color="808080" w:themeColor="background1" w:themeShade="80"/>
              <w:right w:val="nil"/>
            </w:tcBorders>
            <w:vAlign w:val="center"/>
          </w:tcPr>
          <w:p w14:paraId="04C7C693" w14:textId="77777777" w:rsidR="00921E85" w:rsidRDefault="00921E85" w:rsidP="001539C6">
            <w:pPr>
              <w:spacing w:line="360" w:lineRule="auto"/>
              <w:jc w:val="center"/>
            </w:pPr>
            <w:r>
              <w:t>95%</w:t>
            </w:r>
          </w:p>
          <w:p w14:paraId="7F199D1C" w14:textId="77777777" w:rsidR="00921E85" w:rsidRDefault="00921E85" w:rsidP="001539C6">
            <w:pPr>
              <w:spacing w:line="360" w:lineRule="auto"/>
              <w:jc w:val="center"/>
            </w:pPr>
            <w:r>
              <w:t>95%</w:t>
            </w:r>
          </w:p>
        </w:tc>
      </w:tr>
      <w:tr w:rsidR="00921E85" w14:paraId="6B71ACD7" w14:textId="77777777" w:rsidTr="000A5739">
        <w:trPr>
          <w:jc w:val="center"/>
        </w:trPr>
        <w:tc>
          <w:tcPr>
            <w:tcW w:w="1240" w:type="dxa"/>
            <w:tcBorders>
              <w:top w:val="nil"/>
              <w:left w:val="nil"/>
              <w:bottom w:val="nil"/>
              <w:right w:val="single" w:sz="12" w:space="0" w:color="auto"/>
            </w:tcBorders>
            <w:vAlign w:val="center"/>
          </w:tcPr>
          <w:p w14:paraId="565851C6" w14:textId="77777777" w:rsidR="00921E85" w:rsidRDefault="00921E85" w:rsidP="001539C6">
            <w:pPr>
              <w:spacing w:line="360" w:lineRule="auto"/>
              <w:jc w:val="center"/>
            </w:pPr>
            <w:r>
              <w:t>III.7.1.3</w:t>
            </w:r>
          </w:p>
        </w:tc>
        <w:tc>
          <w:tcPr>
            <w:tcW w:w="1730" w:type="dxa"/>
            <w:tcBorders>
              <w:top w:val="single" w:sz="4" w:space="0" w:color="808080" w:themeColor="background1" w:themeShade="80"/>
              <w:left w:val="single" w:sz="12" w:space="0" w:color="auto"/>
              <w:bottom w:val="single" w:sz="4" w:space="0" w:color="808080" w:themeColor="background1" w:themeShade="80"/>
              <w:right w:val="nil"/>
            </w:tcBorders>
            <w:vAlign w:val="center"/>
          </w:tcPr>
          <w:p w14:paraId="15460009" w14:textId="77777777" w:rsidR="00921E85" w:rsidRDefault="00921E85" w:rsidP="001539C6">
            <w:pPr>
              <w:spacing w:line="360" w:lineRule="auto"/>
              <w:jc w:val="center"/>
            </w:pPr>
            <w:r>
              <w:t>ReOCl</w:t>
            </w:r>
            <w:r w:rsidRPr="009774E0">
              <w:rPr>
                <w:vertAlign w:val="subscript"/>
              </w:rPr>
              <w:t>3</w:t>
            </w:r>
            <w:r w:rsidRPr="00F23F7D">
              <w:t>(</w:t>
            </w:r>
            <w:r>
              <w:t>PPh</w:t>
            </w:r>
            <w:r w:rsidRPr="00F23F7D">
              <w:rPr>
                <w:vertAlign w:val="subscript"/>
              </w:rPr>
              <w:t>3</w:t>
            </w:r>
            <w:r>
              <w:t>)</w:t>
            </w:r>
            <w:r w:rsidRPr="009774E0">
              <w:rPr>
                <w:vertAlign w:val="subscript"/>
              </w:rPr>
              <w:t>3</w:t>
            </w:r>
          </w:p>
        </w:tc>
        <w:tc>
          <w:tcPr>
            <w:tcW w:w="171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97C0A59" w14:textId="77777777" w:rsidR="00921E85" w:rsidRPr="00202B1C" w:rsidRDefault="00921E85" w:rsidP="001539C6">
            <w:pPr>
              <w:spacing w:line="360" w:lineRule="auto"/>
              <w:jc w:val="center"/>
            </w:pPr>
            <w:r w:rsidRPr="00202B1C">
              <w:t>24 h</w:t>
            </w:r>
          </w:p>
        </w:tc>
        <w:tc>
          <w:tcPr>
            <w:tcW w:w="1980" w:type="dxa"/>
            <w:tcBorders>
              <w:top w:val="single" w:sz="4" w:space="0" w:color="808080" w:themeColor="background1" w:themeShade="80"/>
              <w:left w:val="single" w:sz="4" w:space="0" w:color="808080" w:themeColor="background1" w:themeShade="80"/>
              <w:bottom w:val="single" w:sz="4" w:space="0" w:color="808080" w:themeColor="background1" w:themeShade="80"/>
              <w:right w:val="dashed" w:sz="4" w:space="0" w:color="808080" w:themeColor="background1" w:themeShade="80"/>
            </w:tcBorders>
            <w:vAlign w:val="center"/>
          </w:tcPr>
          <w:p w14:paraId="66A5D132" w14:textId="77777777" w:rsidR="00921E85" w:rsidRDefault="00921E85" w:rsidP="001539C6">
            <w:pPr>
              <w:spacing w:line="360" w:lineRule="auto"/>
              <w:jc w:val="center"/>
            </w:pPr>
            <w:r>
              <w:t>&lt;10%</w:t>
            </w:r>
          </w:p>
        </w:tc>
        <w:tc>
          <w:tcPr>
            <w:tcW w:w="1890" w:type="dxa"/>
            <w:tcBorders>
              <w:top w:val="single" w:sz="4" w:space="0" w:color="808080" w:themeColor="background1" w:themeShade="80"/>
              <w:left w:val="dashed" w:sz="4" w:space="0" w:color="808080" w:themeColor="background1" w:themeShade="80"/>
              <w:bottom w:val="single" w:sz="4" w:space="0" w:color="808080" w:themeColor="background1" w:themeShade="80"/>
              <w:right w:val="nil"/>
            </w:tcBorders>
            <w:vAlign w:val="center"/>
          </w:tcPr>
          <w:p w14:paraId="02575557" w14:textId="77777777" w:rsidR="00921E85" w:rsidRDefault="00921E85" w:rsidP="001539C6">
            <w:pPr>
              <w:spacing w:line="360" w:lineRule="auto"/>
              <w:jc w:val="center"/>
            </w:pPr>
            <w:r>
              <w:t>&gt;90%</w:t>
            </w:r>
          </w:p>
        </w:tc>
      </w:tr>
      <w:tr w:rsidR="00921E85" w14:paraId="10AEF242" w14:textId="77777777" w:rsidTr="000A5739">
        <w:trPr>
          <w:jc w:val="center"/>
        </w:trPr>
        <w:tc>
          <w:tcPr>
            <w:tcW w:w="1240" w:type="dxa"/>
            <w:tcBorders>
              <w:top w:val="nil"/>
              <w:left w:val="nil"/>
              <w:bottom w:val="nil"/>
              <w:right w:val="single" w:sz="12" w:space="0" w:color="auto"/>
            </w:tcBorders>
            <w:vAlign w:val="center"/>
          </w:tcPr>
          <w:p w14:paraId="0300A3D4" w14:textId="77777777" w:rsidR="00921E85" w:rsidRDefault="00921E85" w:rsidP="001539C6">
            <w:pPr>
              <w:spacing w:line="360" w:lineRule="auto"/>
              <w:jc w:val="center"/>
            </w:pPr>
            <w:r>
              <w:t>III.7.1.4</w:t>
            </w:r>
          </w:p>
          <w:p w14:paraId="4A99BFD3" w14:textId="77777777" w:rsidR="00921E85" w:rsidRDefault="00921E85" w:rsidP="001539C6">
            <w:pPr>
              <w:spacing w:line="360" w:lineRule="auto"/>
              <w:jc w:val="center"/>
            </w:pPr>
            <w:r>
              <w:t>III.7.1.5</w:t>
            </w:r>
            <w:r w:rsidRPr="00011231">
              <w:rPr>
                <w:vertAlign w:val="superscript"/>
              </w:rPr>
              <w:t>b</w:t>
            </w:r>
          </w:p>
        </w:tc>
        <w:tc>
          <w:tcPr>
            <w:tcW w:w="1730" w:type="dxa"/>
            <w:tcBorders>
              <w:top w:val="single" w:sz="4" w:space="0" w:color="808080" w:themeColor="background1" w:themeShade="80"/>
              <w:left w:val="single" w:sz="12" w:space="0" w:color="auto"/>
              <w:bottom w:val="single" w:sz="4" w:space="0" w:color="808080" w:themeColor="background1" w:themeShade="80"/>
              <w:right w:val="nil"/>
            </w:tcBorders>
            <w:vAlign w:val="center"/>
          </w:tcPr>
          <w:p w14:paraId="0760EA42" w14:textId="77777777" w:rsidR="00921E85" w:rsidRPr="009774E0" w:rsidRDefault="00921E85" w:rsidP="001539C6">
            <w:pPr>
              <w:spacing w:line="360" w:lineRule="auto"/>
              <w:jc w:val="center"/>
              <w:rPr>
                <w:vertAlign w:val="subscript"/>
              </w:rPr>
            </w:pPr>
            <w:r>
              <w:t>IReO</w:t>
            </w:r>
            <w:r w:rsidRPr="009774E0">
              <w:rPr>
                <w:vertAlign w:val="subscript"/>
              </w:rPr>
              <w:t>2</w:t>
            </w:r>
            <w:r w:rsidRPr="00F23F7D">
              <w:t>(</w:t>
            </w:r>
            <w:r>
              <w:t>PPh</w:t>
            </w:r>
            <w:r w:rsidRPr="00F23F7D">
              <w:rPr>
                <w:vertAlign w:val="subscript"/>
              </w:rPr>
              <w:t>3</w:t>
            </w:r>
            <w:r>
              <w:t>)</w:t>
            </w:r>
            <w:r w:rsidRPr="009774E0">
              <w:rPr>
                <w:vertAlign w:val="subscript"/>
              </w:rPr>
              <w:t>3</w:t>
            </w:r>
          </w:p>
        </w:tc>
        <w:tc>
          <w:tcPr>
            <w:tcW w:w="171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C079FF9" w14:textId="77777777" w:rsidR="00921E85" w:rsidRPr="00202B1C" w:rsidRDefault="00921E85" w:rsidP="001539C6">
            <w:pPr>
              <w:spacing w:line="360" w:lineRule="auto"/>
              <w:jc w:val="center"/>
            </w:pPr>
            <w:r w:rsidRPr="00202B1C">
              <w:t>24 h</w:t>
            </w:r>
          </w:p>
        </w:tc>
        <w:tc>
          <w:tcPr>
            <w:tcW w:w="1980" w:type="dxa"/>
            <w:tcBorders>
              <w:top w:val="single" w:sz="4" w:space="0" w:color="808080" w:themeColor="background1" w:themeShade="80"/>
              <w:left w:val="single" w:sz="4" w:space="0" w:color="808080" w:themeColor="background1" w:themeShade="80"/>
              <w:bottom w:val="single" w:sz="4" w:space="0" w:color="808080" w:themeColor="background1" w:themeShade="80"/>
              <w:right w:val="dashed" w:sz="4" w:space="0" w:color="808080" w:themeColor="background1" w:themeShade="80"/>
            </w:tcBorders>
            <w:vAlign w:val="center"/>
          </w:tcPr>
          <w:p w14:paraId="3B90DD90" w14:textId="77777777" w:rsidR="00921E85" w:rsidRDefault="00921E85" w:rsidP="001539C6">
            <w:pPr>
              <w:spacing w:line="360" w:lineRule="auto"/>
              <w:jc w:val="center"/>
            </w:pPr>
            <w:r>
              <w:t>17%</w:t>
            </w:r>
          </w:p>
          <w:p w14:paraId="3F90A971" w14:textId="77777777" w:rsidR="00921E85" w:rsidRDefault="00921E85" w:rsidP="001539C6">
            <w:pPr>
              <w:spacing w:line="360" w:lineRule="auto"/>
              <w:jc w:val="center"/>
            </w:pPr>
            <w:r>
              <w:t>30%</w:t>
            </w:r>
          </w:p>
        </w:tc>
        <w:tc>
          <w:tcPr>
            <w:tcW w:w="1890" w:type="dxa"/>
            <w:tcBorders>
              <w:top w:val="single" w:sz="4" w:space="0" w:color="808080" w:themeColor="background1" w:themeShade="80"/>
              <w:left w:val="dashed" w:sz="4" w:space="0" w:color="808080" w:themeColor="background1" w:themeShade="80"/>
              <w:bottom w:val="single" w:sz="4" w:space="0" w:color="808080" w:themeColor="background1" w:themeShade="80"/>
              <w:right w:val="nil"/>
            </w:tcBorders>
            <w:vAlign w:val="center"/>
          </w:tcPr>
          <w:p w14:paraId="2BC11C82" w14:textId="77777777" w:rsidR="00921E85" w:rsidRDefault="00921E85" w:rsidP="001539C6">
            <w:pPr>
              <w:spacing w:line="360" w:lineRule="auto"/>
              <w:jc w:val="center"/>
            </w:pPr>
            <w:r>
              <w:t>&gt;90%</w:t>
            </w:r>
          </w:p>
          <w:p w14:paraId="2A6F7381" w14:textId="77777777" w:rsidR="00921E85" w:rsidRDefault="00921E85" w:rsidP="001539C6">
            <w:pPr>
              <w:spacing w:line="360" w:lineRule="auto"/>
              <w:jc w:val="center"/>
            </w:pPr>
            <w:r>
              <w:t>&gt;90%</w:t>
            </w:r>
          </w:p>
        </w:tc>
      </w:tr>
      <w:tr w:rsidR="00921E85" w14:paraId="6D54BFB7" w14:textId="77777777" w:rsidTr="000A5739">
        <w:trPr>
          <w:jc w:val="center"/>
        </w:trPr>
        <w:tc>
          <w:tcPr>
            <w:tcW w:w="1240" w:type="dxa"/>
            <w:tcBorders>
              <w:top w:val="nil"/>
              <w:left w:val="nil"/>
              <w:bottom w:val="nil"/>
              <w:right w:val="single" w:sz="12" w:space="0" w:color="auto"/>
            </w:tcBorders>
            <w:vAlign w:val="center"/>
          </w:tcPr>
          <w:p w14:paraId="22909203" w14:textId="77777777" w:rsidR="00921E85" w:rsidRDefault="00921E85" w:rsidP="001539C6">
            <w:pPr>
              <w:spacing w:line="360" w:lineRule="auto"/>
              <w:jc w:val="center"/>
            </w:pPr>
            <w:r>
              <w:t>III.7.1.6</w:t>
            </w:r>
          </w:p>
        </w:tc>
        <w:tc>
          <w:tcPr>
            <w:tcW w:w="1730" w:type="dxa"/>
            <w:tcBorders>
              <w:top w:val="single" w:sz="4" w:space="0" w:color="808080" w:themeColor="background1" w:themeShade="80"/>
              <w:left w:val="single" w:sz="12" w:space="0" w:color="auto"/>
              <w:bottom w:val="single" w:sz="4" w:space="0" w:color="808080" w:themeColor="background1" w:themeShade="80"/>
              <w:right w:val="nil"/>
            </w:tcBorders>
            <w:vAlign w:val="center"/>
          </w:tcPr>
          <w:p w14:paraId="1F3E543C" w14:textId="77777777" w:rsidR="00921E85" w:rsidRPr="00F23F7D" w:rsidRDefault="00921E85" w:rsidP="001539C6">
            <w:pPr>
              <w:spacing w:line="360" w:lineRule="auto"/>
              <w:jc w:val="center"/>
            </w:pPr>
            <w:r w:rsidRPr="00202B1C">
              <w:t>n-Bu</w:t>
            </w:r>
            <w:r w:rsidRPr="00202B1C">
              <w:rPr>
                <w:vertAlign w:val="subscript"/>
              </w:rPr>
              <w:t>4</w:t>
            </w:r>
            <w:r w:rsidRPr="00202B1C">
              <w:t>NReO</w:t>
            </w:r>
            <w:r w:rsidRPr="00202B1C">
              <w:rPr>
                <w:vertAlign w:val="subscript"/>
              </w:rPr>
              <w:t>4</w:t>
            </w:r>
          </w:p>
        </w:tc>
        <w:tc>
          <w:tcPr>
            <w:tcW w:w="171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5323ECA" w14:textId="77777777" w:rsidR="00921E85" w:rsidRPr="00202B1C" w:rsidRDefault="00921E85" w:rsidP="001539C6">
            <w:pPr>
              <w:spacing w:line="360" w:lineRule="auto"/>
              <w:jc w:val="center"/>
            </w:pPr>
            <w:r w:rsidRPr="00202B1C">
              <w:t>Up to 4 days</w:t>
            </w:r>
          </w:p>
        </w:tc>
        <w:tc>
          <w:tcPr>
            <w:tcW w:w="1980" w:type="dxa"/>
            <w:tcBorders>
              <w:top w:val="single" w:sz="4" w:space="0" w:color="808080" w:themeColor="background1" w:themeShade="80"/>
              <w:left w:val="single" w:sz="4" w:space="0" w:color="808080" w:themeColor="background1" w:themeShade="80"/>
              <w:bottom w:val="single" w:sz="4" w:space="0" w:color="808080" w:themeColor="background1" w:themeShade="80"/>
              <w:right w:val="dashed" w:sz="4" w:space="0" w:color="808080" w:themeColor="background1" w:themeShade="80"/>
            </w:tcBorders>
            <w:vAlign w:val="center"/>
          </w:tcPr>
          <w:p w14:paraId="639F9FAD" w14:textId="77777777" w:rsidR="00921E85" w:rsidRDefault="00921E85" w:rsidP="001539C6">
            <w:pPr>
              <w:spacing w:line="360" w:lineRule="auto"/>
              <w:jc w:val="center"/>
            </w:pPr>
            <w:r>
              <w:t>0%</w:t>
            </w:r>
          </w:p>
        </w:tc>
        <w:tc>
          <w:tcPr>
            <w:tcW w:w="1890" w:type="dxa"/>
            <w:tcBorders>
              <w:top w:val="single" w:sz="4" w:space="0" w:color="808080" w:themeColor="background1" w:themeShade="80"/>
              <w:left w:val="dashed" w:sz="4" w:space="0" w:color="808080" w:themeColor="background1" w:themeShade="80"/>
              <w:bottom w:val="single" w:sz="4" w:space="0" w:color="808080" w:themeColor="background1" w:themeShade="80"/>
              <w:right w:val="nil"/>
            </w:tcBorders>
            <w:vAlign w:val="center"/>
          </w:tcPr>
          <w:p w14:paraId="7DBD96F2" w14:textId="77777777" w:rsidR="00921E85" w:rsidRDefault="00921E85" w:rsidP="001539C6">
            <w:pPr>
              <w:spacing w:line="360" w:lineRule="auto"/>
              <w:jc w:val="center"/>
            </w:pPr>
            <w:r>
              <w:t>&gt;51%</w:t>
            </w:r>
          </w:p>
        </w:tc>
      </w:tr>
      <w:tr w:rsidR="00921E85" w14:paraId="677FF0D4" w14:textId="77777777" w:rsidTr="000A5739">
        <w:trPr>
          <w:jc w:val="center"/>
        </w:trPr>
        <w:tc>
          <w:tcPr>
            <w:tcW w:w="1240" w:type="dxa"/>
            <w:tcBorders>
              <w:top w:val="nil"/>
              <w:left w:val="nil"/>
              <w:bottom w:val="nil"/>
              <w:right w:val="single" w:sz="12" w:space="0" w:color="auto"/>
            </w:tcBorders>
            <w:vAlign w:val="center"/>
          </w:tcPr>
          <w:p w14:paraId="674BCEC8" w14:textId="77777777" w:rsidR="00921E85" w:rsidRDefault="00921E85" w:rsidP="001539C6">
            <w:pPr>
              <w:spacing w:line="360" w:lineRule="auto"/>
              <w:jc w:val="center"/>
            </w:pPr>
            <w:r>
              <w:t>III.7.1.7</w:t>
            </w:r>
            <w:r w:rsidRPr="00011231">
              <w:rPr>
                <w:vertAlign w:val="superscript"/>
              </w:rPr>
              <w:t>c</w:t>
            </w:r>
          </w:p>
          <w:p w14:paraId="6248BFDF" w14:textId="77777777" w:rsidR="00921E85" w:rsidRDefault="00921E85" w:rsidP="001539C6">
            <w:pPr>
              <w:spacing w:line="360" w:lineRule="auto"/>
              <w:jc w:val="center"/>
            </w:pPr>
            <w:r>
              <w:t>III.7.1.8</w:t>
            </w:r>
            <w:r w:rsidRPr="00011231">
              <w:rPr>
                <w:vertAlign w:val="superscript"/>
              </w:rPr>
              <w:t>d</w:t>
            </w:r>
          </w:p>
        </w:tc>
        <w:tc>
          <w:tcPr>
            <w:tcW w:w="1730" w:type="dxa"/>
            <w:tcBorders>
              <w:top w:val="single" w:sz="4" w:space="0" w:color="808080" w:themeColor="background1" w:themeShade="80"/>
              <w:left w:val="single" w:sz="12" w:space="0" w:color="auto"/>
              <w:bottom w:val="single" w:sz="4" w:space="0" w:color="808080" w:themeColor="background1" w:themeShade="80"/>
              <w:right w:val="nil"/>
            </w:tcBorders>
            <w:vAlign w:val="center"/>
          </w:tcPr>
          <w:p w14:paraId="1BF5B976" w14:textId="77777777" w:rsidR="00921E85" w:rsidRDefault="00921E85" w:rsidP="001539C6">
            <w:pPr>
              <w:spacing w:line="360" w:lineRule="auto"/>
              <w:jc w:val="center"/>
            </w:pPr>
            <w:r w:rsidRPr="00A450E4">
              <w:t>Bu4N(LVO</w:t>
            </w:r>
            <w:r w:rsidRPr="00A450E4">
              <w:rPr>
                <w:vertAlign w:val="subscript"/>
              </w:rPr>
              <w:t>2</w:t>
            </w:r>
            <w:r>
              <w:t>)</w:t>
            </w:r>
            <w:r w:rsidRPr="00A450E4">
              <w:rPr>
                <w:vertAlign w:val="superscript"/>
              </w:rPr>
              <w:t>g</w:t>
            </w:r>
          </w:p>
        </w:tc>
        <w:tc>
          <w:tcPr>
            <w:tcW w:w="171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CD8A97A" w14:textId="77777777" w:rsidR="00921E85" w:rsidRPr="00202B1C" w:rsidRDefault="00921E85" w:rsidP="001539C6">
            <w:pPr>
              <w:spacing w:line="360" w:lineRule="auto"/>
              <w:jc w:val="center"/>
            </w:pPr>
            <w:r w:rsidRPr="00202B1C">
              <w:t>4 days</w:t>
            </w:r>
          </w:p>
        </w:tc>
        <w:tc>
          <w:tcPr>
            <w:tcW w:w="1980" w:type="dxa"/>
            <w:tcBorders>
              <w:top w:val="single" w:sz="4" w:space="0" w:color="808080" w:themeColor="background1" w:themeShade="80"/>
              <w:left w:val="single" w:sz="4" w:space="0" w:color="808080" w:themeColor="background1" w:themeShade="80"/>
              <w:bottom w:val="single" w:sz="4" w:space="0" w:color="808080" w:themeColor="background1" w:themeShade="80"/>
              <w:right w:val="dashed" w:sz="4" w:space="0" w:color="808080" w:themeColor="background1" w:themeShade="80"/>
            </w:tcBorders>
            <w:vAlign w:val="center"/>
          </w:tcPr>
          <w:p w14:paraId="5EEA7D58" w14:textId="77777777" w:rsidR="00921E85" w:rsidRDefault="00921E85" w:rsidP="001539C6">
            <w:pPr>
              <w:spacing w:line="360" w:lineRule="auto"/>
              <w:jc w:val="center"/>
            </w:pPr>
            <w:r>
              <w:t>24%</w:t>
            </w:r>
          </w:p>
          <w:p w14:paraId="64D77282" w14:textId="77777777" w:rsidR="00921E85" w:rsidRDefault="00921E85" w:rsidP="001539C6">
            <w:pPr>
              <w:spacing w:line="360" w:lineRule="auto"/>
              <w:jc w:val="center"/>
            </w:pPr>
            <w:r>
              <w:t>0%</w:t>
            </w:r>
          </w:p>
        </w:tc>
        <w:tc>
          <w:tcPr>
            <w:tcW w:w="1890" w:type="dxa"/>
            <w:tcBorders>
              <w:top w:val="single" w:sz="4" w:space="0" w:color="808080" w:themeColor="background1" w:themeShade="80"/>
              <w:left w:val="dashed" w:sz="4" w:space="0" w:color="808080" w:themeColor="background1" w:themeShade="80"/>
              <w:bottom w:val="single" w:sz="4" w:space="0" w:color="808080" w:themeColor="background1" w:themeShade="80"/>
              <w:right w:val="nil"/>
            </w:tcBorders>
            <w:vAlign w:val="center"/>
          </w:tcPr>
          <w:p w14:paraId="3850C164" w14:textId="77777777" w:rsidR="00921E85" w:rsidRDefault="00921E85" w:rsidP="001539C6">
            <w:pPr>
              <w:spacing w:line="360" w:lineRule="auto"/>
              <w:jc w:val="center"/>
            </w:pPr>
            <w:r>
              <w:t>&gt;90%</w:t>
            </w:r>
          </w:p>
          <w:p w14:paraId="0D17DCD8" w14:textId="77777777" w:rsidR="00921E85" w:rsidRDefault="00921E85" w:rsidP="001539C6">
            <w:pPr>
              <w:spacing w:line="360" w:lineRule="auto"/>
              <w:jc w:val="center"/>
            </w:pPr>
            <w:r>
              <w:t>&gt;90%</w:t>
            </w:r>
          </w:p>
        </w:tc>
      </w:tr>
      <w:tr w:rsidR="00921E85" w14:paraId="4E662863" w14:textId="77777777" w:rsidTr="000A5739">
        <w:trPr>
          <w:jc w:val="center"/>
        </w:trPr>
        <w:tc>
          <w:tcPr>
            <w:tcW w:w="1240" w:type="dxa"/>
            <w:tcBorders>
              <w:top w:val="nil"/>
              <w:left w:val="nil"/>
              <w:bottom w:val="nil"/>
              <w:right w:val="single" w:sz="12" w:space="0" w:color="auto"/>
            </w:tcBorders>
            <w:vAlign w:val="center"/>
          </w:tcPr>
          <w:p w14:paraId="3246F538" w14:textId="77777777" w:rsidR="00921E85" w:rsidRDefault="00921E85" w:rsidP="001539C6">
            <w:pPr>
              <w:spacing w:line="360" w:lineRule="auto"/>
              <w:jc w:val="center"/>
            </w:pPr>
            <w:r>
              <w:t>III.7.1.9</w:t>
            </w:r>
            <w:r>
              <w:rPr>
                <w:vertAlign w:val="superscript"/>
              </w:rPr>
              <w:t>e</w:t>
            </w:r>
          </w:p>
          <w:p w14:paraId="673A3703" w14:textId="77777777" w:rsidR="00921E85" w:rsidRDefault="00921E85" w:rsidP="001539C6">
            <w:pPr>
              <w:spacing w:line="360" w:lineRule="auto"/>
              <w:jc w:val="center"/>
            </w:pPr>
            <w:r>
              <w:t>III.7.1.10</w:t>
            </w:r>
            <w:r w:rsidRPr="00011231">
              <w:rPr>
                <w:vertAlign w:val="superscript"/>
              </w:rPr>
              <w:t>f</w:t>
            </w:r>
          </w:p>
        </w:tc>
        <w:tc>
          <w:tcPr>
            <w:tcW w:w="1730" w:type="dxa"/>
            <w:tcBorders>
              <w:top w:val="single" w:sz="4" w:space="0" w:color="808080" w:themeColor="background1" w:themeShade="80"/>
              <w:left w:val="single" w:sz="12" w:space="0" w:color="auto"/>
              <w:bottom w:val="nil"/>
              <w:right w:val="nil"/>
            </w:tcBorders>
            <w:vAlign w:val="center"/>
          </w:tcPr>
          <w:p w14:paraId="3F5D6DD8" w14:textId="77777777" w:rsidR="00921E85" w:rsidRDefault="00921E85" w:rsidP="001539C6">
            <w:pPr>
              <w:spacing w:line="360" w:lineRule="auto"/>
              <w:jc w:val="center"/>
            </w:pPr>
            <w:r>
              <w:t>NH</w:t>
            </w:r>
            <w:r w:rsidRPr="00716073">
              <w:rPr>
                <w:vertAlign w:val="subscript"/>
              </w:rPr>
              <w:t>4</w:t>
            </w:r>
            <w:r>
              <w:t>ReO</w:t>
            </w:r>
            <w:r w:rsidRPr="00716073">
              <w:rPr>
                <w:vertAlign w:val="subscript"/>
              </w:rPr>
              <w:t>4</w:t>
            </w:r>
          </w:p>
        </w:tc>
        <w:tc>
          <w:tcPr>
            <w:tcW w:w="1710" w:type="dxa"/>
            <w:tcBorders>
              <w:top w:val="single" w:sz="4" w:space="0" w:color="808080" w:themeColor="background1" w:themeShade="80"/>
              <w:left w:val="nil"/>
              <w:bottom w:val="nil"/>
              <w:right w:val="single" w:sz="4" w:space="0" w:color="808080" w:themeColor="background1" w:themeShade="80"/>
            </w:tcBorders>
            <w:vAlign w:val="center"/>
          </w:tcPr>
          <w:p w14:paraId="7E4BC5B1" w14:textId="77777777" w:rsidR="00921E85" w:rsidRDefault="00921E85" w:rsidP="001539C6">
            <w:pPr>
              <w:spacing w:line="360" w:lineRule="auto"/>
              <w:jc w:val="center"/>
            </w:pPr>
            <w:r w:rsidRPr="00202B1C">
              <w:t>24 h</w:t>
            </w:r>
          </w:p>
          <w:p w14:paraId="3BEC096B" w14:textId="77777777" w:rsidR="00921E85" w:rsidRPr="00202B1C" w:rsidRDefault="00921E85" w:rsidP="001539C6">
            <w:pPr>
              <w:spacing w:line="360" w:lineRule="auto"/>
              <w:jc w:val="center"/>
            </w:pPr>
            <w:r>
              <w:t>48 h</w:t>
            </w:r>
          </w:p>
        </w:tc>
        <w:tc>
          <w:tcPr>
            <w:tcW w:w="1980" w:type="dxa"/>
            <w:tcBorders>
              <w:top w:val="single" w:sz="4" w:space="0" w:color="808080" w:themeColor="background1" w:themeShade="80"/>
              <w:left w:val="single" w:sz="4" w:space="0" w:color="808080" w:themeColor="background1" w:themeShade="80"/>
              <w:bottom w:val="nil"/>
              <w:right w:val="dashed" w:sz="4" w:space="0" w:color="808080" w:themeColor="background1" w:themeShade="80"/>
            </w:tcBorders>
            <w:vAlign w:val="center"/>
          </w:tcPr>
          <w:p w14:paraId="693219EC" w14:textId="77777777" w:rsidR="00921E85" w:rsidRDefault="00921E85" w:rsidP="001539C6">
            <w:pPr>
              <w:spacing w:line="360" w:lineRule="auto"/>
              <w:jc w:val="center"/>
            </w:pPr>
            <w:r>
              <w:t>20%</w:t>
            </w:r>
          </w:p>
          <w:p w14:paraId="42195A96" w14:textId="77777777" w:rsidR="00921E85" w:rsidRDefault="00921E85" w:rsidP="001539C6">
            <w:pPr>
              <w:spacing w:line="360" w:lineRule="auto"/>
              <w:jc w:val="center"/>
            </w:pPr>
            <w:r>
              <w:t>43%</w:t>
            </w:r>
          </w:p>
        </w:tc>
        <w:tc>
          <w:tcPr>
            <w:tcW w:w="1890" w:type="dxa"/>
            <w:tcBorders>
              <w:top w:val="single" w:sz="4" w:space="0" w:color="808080" w:themeColor="background1" w:themeShade="80"/>
              <w:left w:val="dashed" w:sz="4" w:space="0" w:color="808080" w:themeColor="background1" w:themeShade="80"/>
              <w:bottom w:val="nil"/>
              <w:right w:val="nil"/>
            </w:tcBorders>
            <w:vAlign w:val="center"/>
          </w:tcPr>
          <w:p w14:paraId="61B4FCE3" w14:textId="77777777" w:rsidR="00921E85" w:rsidRDefault="00921E85" w:rsidP="001539C6">
            <w:pPr>
              <w:spacing w:line="360" w:lineRule="auto"/>
              <w:jc w:val="center"/>
            </w:pPr>
            <w:r>
              <w:t>21%</w:t>
            </w:r>
          </w:p>
          <w:p w14:paraId="77568CD8" w14:textId="77777777" w:rsidR="00921E85" w:rsidRDefault="00921E85" w:rsidP="001539C6">
            <w:pPr>
              <w:spacing w:line="360" w:lineRule="auto"/>
              <w:jc w:val="center"/>
            </w:pPr>
            <w:r>
              <w:t>81%</w:t>
            </w:r>
          </w:p>
        </w:tc>
      </w:tr>
      <w:tr w:rsidR="00921E85" w14:paraId="64A38C78" w14:textId="77777777" w:rsidTr="000A5739">
        <w:trPr>
          <w:trHeight w:val="305"/>
          <w:jc w:val="center"/>
        </w:trPr>
        <w:tc>
          <w:tcPr>
            <w:tcW w:w="8550" w:type="dxa"/>
            <w:gridSpan w:val="5"/>
            <w:tcBorders>
              <w:top w:val="nil"/>
              <w:left w:val="nil"/>
              <w:bottom w:val="nil"/>
              <w:right w:val="nil"/>
            </w:tcBorders>
            <w:vAlign w:val="center"/>
          </w:tcPr>
          <w:p w14:paraId="402849C9" w14:textId="77777777" w:rsidR="00921E85" w:rsidRPr="00A0530A" w:rsidRDefault="00921E85" w:rsidP="001539C6">
            <w:pPr>
              <w:spacing w:line="276" w:lineRule="auto"/>
              <w:jc w:val="both"/>
              <w:rPr>
                <w:sz w:val="18"/>
              </w:rPr>
            </w:pPr>
            <w:r>
              <w:rPr>
                <w:sz w:val="18"/>
              </w:rPr>
              <w:t xml:space="preserve">a) Yield and </w:t>
            </w:r>
            <w:r w:rsidRPr="00202B1C">
              <w:rPr>
                <w:sz w:val="18"/>
              </w:rPr>
              <w:t xml:space="preserve">conversion determined by NMR </w:t>
            </w:r>
            <w:r w:rsidRPr="00A0530A">
              <w:rPr>
                <w:sz w:val="18"/>
              </w:rPr>
              <w:t>using DMSO or DMF as internal standard, b) 185</w:t>
            </w:r>
            <w:r w:rsidRPr="00A0530A">
              <w:rPr>
                <w:sz w:val="18"/>
                <w:vertAlign w:val="superscript"/>
              </w:rPr>
              <w:t>o</w:t>
            </w:r>
            <w:r w:rsidRPr="00A0530A">
              <w:rPr>
                <w:sz w:val="18"/>
              </w:rPr>
              <w:t>C, c) 180</w:t>
            </w:r>
            <w:r w:rsidRPr="00A0530A">
              <w:rPr>
                <w:sz w:val="18"/>
                <w:vertAlign w:val="superscript"/>
              </w:rPr>
              <w:t>o</w:t>
            </w:r>
            <w:r w:rsidRPr="00A0530A">
              <w:rPr>
                <w:sz w:val="18"/>
              </w:rPr>
              <w:t>C, d</w:t>
            </w:r>
            <w:r>
              <w:rPr>
                <w:sz w:val="18"/>
              </w:rPr>
              <w:t>)</w:t>
            </w:r>
            <w:r w:rsidRPr="00A0530A">
              <w:rPr>
                <w:sz w:val="18"/>
              </w:rPr>
              <w:t xml:space="preserve"> 300</w:t>
            </w:r>
            <w:r>
              <w:rPr>
                <w:sz w:val="18"/>
              </w:rPr>
              <w:t xml:space="preserve"> psi</w:t>
            </w:r>
            <w:r w:rsidRPr="00A0530A">
              <w:rPr>
                <w:sz w:val="18"/>
              </w:rPr>
              <w:t xml:space="preserve"> 180</w:t>
            </w:r>
            <w:r w:rsidRPr="00A0530A">
              <w:rPr>
                <w:sz w:val="18"/>
                <w:vertAlign w:val="superscript"/>
              </w:rPr>
              <w:t>o</w:t>
            </w:r>
            <w:r>
              <w:rPr>
                <w:sz w:val="18"/>
              </w:rPr>
              <w:t>C, e)</w:t>
            </w:r>
            <w:r w:rsidRPr="00A0530A">
              <w:rPr>
                <w:sz w:val="18"/>
              </w:rPr>
              <w:t xml:space="preserve"> results expressed as ration alkene to diol, f</w:t>
            </w:r>
            <w:r>
              <w:rPr>
                <w:sz w:val="18"/>
              </w:rPr>
              <w:t>)</w:t>
            </w:r>
            <w:r w:rsidRPr="00A0530A">
              <w:rPr>
                <w:sz w:val="18"/>
              </w:rPr>
              <w:t xml:space="preserve"> 3:1 H</w:t>
            </w:r>
            <w:r w:rsidRPr="00A0530A">
              <w:rPr>
                <w:sz w:val="18"/>
                <w:vertAlign w:val="subscript"/>
              </w:rPr>
              <w:t>2</w:t>
            </w:r>
            <w:r w:rsidRPr="00A0530A">
              <w:rPr>
                <w:sz w:val="18"/>
              </w:rPr>
              <w:t>/CO ratio</w:t>
            </w:r>
            <w:r>
              <w:rPr>
                <w:sz w:val="18"/>
              </w:rPr>
              <w:t>; g) L=</w:t>
            </w:r>
            <w:r w:rsidRPr="00A450E4">
              <w:rPr>
                <w:sz w:val="18"/>
              </w:rPr>
              <w:t>(salicyl-2-thiophenyl-hydrazide)</w:t>
            </w:r>
          </w:p>
        </w:tc>
      </w:tr>
    </w:tbl>
    <w:p w14:paraId="7F7CF47B" w14:textId="77777777" w:rsidR="001539C6" w:rsidRDefault="001539C6" w:rsidP="001539C6">
      <w:pPr>
        <w:ind w:firstLine="360"/>
        <w:jc w:val="both"/>
      </w:pPr>
    </w:p>
    <w:p w14:paraId="40E4734A" w14:textId="09218A5C" w:rsidR="00921E85" w:rsidRDefault="00921E85" w:rsidP="001539C6">
      <w:pPr>
        <w:ind w:firstLine="360"/>
        <w:jc w:val="both"/>
      </w:pPr>
      <w:r>
        <w:t>In an attempt to improve the activity of the H</w:t>
      </w:r>
      <w:r w:rsidRPr="00221852">
        <w:rPr>
          <w:vertAlign w:val="subscript"/>
        </w:rPr>
        <w:t>2</w:t>
      </w:r>
      <w:r>
        <w:t xml:space="preserve">/CO gas mixture as reducing agent we investigated potential hydrogen activating reagent. The challenge of using such additive in the reaction is to activate the hydrogen without favoring the alkene hydrogenation reaction. In fact if we were to employ the usual solid additive such as palladium on carbon we might help activation of the hydrogen toward the DODH reaction but it might also reduce the alkene formed to the saturated hydrocarbon. Subsequently we turned to catalyst with are reported to activate hydrogen selectively toward carbonyl reduction. One such catalyst is known as Shvo’s </w:t>
      </w:r>
      <w:r w:rsidRPr="009F393B">
        <w:rPr>
          <w:rFonts w:cstheme="minorHAnsi"/>
        </w:rPr>
        <w:t>catalyst.</w:t>
      </w:r>
      <w:r w:rsidRPr="009F393B">
        <w:rPr>
          <w:rFonts w:cstheme="minorHAnsi"/>
        </w:rPr>
        <w:fldChar w:fldCharType="begin"/>
      </w:r>
      <w:r w:rsidR="00E028D6" w:rsidRPr="009F393B">
        <w:rPr>
          <w:rFonts w:cstheme="minorHAnsi"/>
        </w:rPr>
        <w:instrText xml:space="preserve"> ADDIN ZOTERO_ITEM CSL_CITATION {"citationID":"vjbr7dkk8","properties":{"formattedCitation":"{\\rtf \\super 166\\nosupersub{}}","plainCitation":"166"},"citationItems":[{"id":1757,"uris":["http://zotero.org/users/1624234/items/7RZVXUNH"],"uri":["http://zotero.org/users/1624234/items/7RZVXUNH"],"itemData":{"id":1757,"type":"chapter","title":"Shvo’s Catalyst in Hydrogen Transfer Reactions","container-title":"Bifunctional Molecular Catalysis","collection-title":"Topics in Organometallic Chemistry","collection-number":"37","publisher":"Springer Berlin Heidelberg","page":"85-125","source":"link.springer.com","abstract":"This chapter reviews the use of ShvoB1;apos;s catalyst in various hydrogen transfer reactions and also discusses the mechanism of the hydrogen transfer. The Shvo catalyst is very mild to use since no activation by base is required in the transfer hydrogenation of ketones or imines or in the transfer dehydrogenation of alcohols and amines. The Shvo catalyst has also been used as an efficient racemization catalyst for alcohols and amines. Many applications of the racemization reaction are found in the combination with enzymatic resolution leading to a dynamic kinetic resolution (DKR). In these dynamic resolutions, the yield based on the starting material can theoretically reach 100%. The mechanism of the hydrogen transfer from the Shvo catalyst to ketones (aldehydes) and imines as well as the dehydrogenation of alcohols and amines has been studied in detail over the past decade. It has been found that for ketones (aldehydes) and alcohols, there is a concerted transfer of the two hydrogens involved, whereas for typical amines and imines, there is a stepwise transfer of the two hydrogens. One important question is whether the substrate is coordinated to the metal or not in the hydrogen transfer step(s). The pathway involving coordination to activate the substrate is called the inner-sphere mechanism, whereas transfer of hydrogen without coordination is called the outer-sphere mechanism. These mechanistic proposals together with experimental and theoretical studies are discussed.","URL":"http://link.springer.com/chapter/10.1007/3418_2011_7","ISBN":"978-3-642-20730-3","note":"DOI: 10.1007/3418_2011_7","language":"en","author":[{"family":"Warner","given":"Madeleine C."},{"family":"Casey","given":"Charles P."},{"family":"Bäckvall","given":"Jan-E."}],"editor":[{"family":"Ikariya","given":"Takao"},{"family":"Shibasaki","given":"Masakatsu"}],"issued":{"date-parts":[["2011"]]},"accessed":{"date-parts":[["2016",6,27]]}}}],"schema":"https://github.com/citation-style-language/schema/raw/master/csl-citation.json"} </w:instrText>
      </w:r>
      <w:r w:rsidRPr="009F393B">
        <w:rPr>
          <w:rFonts w:cstheme="minorHAnsi"/>
        </w:rPr>
        <w:fldChar w:fldCharType="separate"/>
      </w:r>
      <w:r w:rsidR="00E028D6" w:rsidRPr="009F393B">
        <w:rPr>
          <w:rFonts w:cstheme="minorHAnsi"/>
          <w:vertAlign w:val="superscript"/>
        </w:rPr>
        <w:t>166</w:t>
      </w:r>
      <w:r w:rsidRPr="009F393B">
        <w:rPr>
          <w:rFonts w:cstheme="minorHAnsi"/>
        </w:rPr>
        <w:fldChar w:fldCharType="end"/>
      </w:r>
      <w:r w:rsidRPr="009F393B">
        <w:rPr>
          <w:rFonts w:cstheme="minorHAnsi"/>
        </w:rPr>
        <w:t xml:space="preserve"> </w:t>
      </w:r>
      <w:r w:rsidR="009F393B">
        <w:rPr>
          <w:rFonts w:cstheme="minorHAnsi"/>
        </w:rPr>
        <w:t>It is a</w:t>
      </w:r>
      <w:r>
        <w:t xml:space="preserve"> </w:t>
      </w:r>
      <w:r w:rsidR="009F393B">
        <w:t xml:space="preserve">bi ruthenium </w:t>
      </w:r>
      <w:r>
        <w:t>complex</w:t>
      </w:r>
      <w:r w:rsidR="009F393B">
        <w:t xml:space="preserve"> which</w:t>
      </w:r>
      <w:r>
        <w:t xml:space="preserve"> dissociate</w:t>
      </w:r>
      <w:r w:rsidR="009F393B">
        <w:t>s</w:t>
      </w:r>
      <w:r>
        <w:t xml:space="preserve"> in solution into two monomers with </w:t>
      </w:r>
      <w:r w:rsidR="009F393B">
        <w:t>complementary</w:t>
      </w:r>
      <w:r>
        <w:t xml:space="preserve"> reactivity (</w:t>
      </w:r>
      <w:r w:rsidR="00503297">
        <w:fldChar w:fldCharType="begin"/>
      </w:r>
      <w:r w:rsidR="00503297">
        <w:instrText xml:space="preserve"> REF _Ref455842306 \h </w:instrText>
      </w:r>
      <w:r w:rsidR="00503297">
        <w:fldChar w:fldCharType="separate"/>
      </w:r>
      <w:r w:rsidR="000A0E3D" w:rsidRPr="00B72DED">
        <w:t xml:space="preserve">Figure III. </w:t>
      </w:r>
      <w:r w:rsidR="000A0E3D">
        <w:rPr>
          <w:noProof/>
        </w:rPr>
        <w:t>7</w:t>
      </w:r>
      <w:r w:rsidR="000A0E3D">
        <w:t>.</w:t>
      </w:r>
      <w:r w:rsidR="000A0E3D">
        <w:rPr>
          <w:noProof/>
        </w:rPr>
        <w:t>6</w:t>
      </w:r>
      <w:r w:rsidR="00503297">
        <w:fldChar w:fldCharType="end"/>
      </w:r>
      <w:r>
        <w:t>). One of these monomer</w:t>
      </w:r>
      <w:r w:rsidR="006F3F79">
        <w:t>s</w:t>
      </w:r>
      <w:r>
        <w:t xml:space="preserve"> </w:t>
      </w:r>
      <w:r w:rsidR="006F3F79">
        <w:t xml:space="preserve">carries </w:t>
      </w:r>
      <w:r>
        <w:t xml:space="preserve">two hydrogen atoms when the second one is lacking hydrogens. Both of these monomers are involve in the </w:t>
      </w:r>
      <w:r w:rsidR="009F393B">
        <w:t>catalytic</w:t>
      </w:r>
      <w:r>
        <w:t xml:space="preserve"> cycle of aldehyde reduction (</w:t>
      </w:r>
      <w:r w:rsidR="00503297">
        <w:fldChar w:fldCharType="begin"/>
      </w:r>
      <w:r w:rsidR="00503297">
        <w:instrText xml:space="preserve"> REF _Ref455842359 \h </w:instrText>
      </w:r>
      <w:r w:rsidR="00503297">
        <w:fldChar w:fldCharType="separate"/>
      </w:r>
      <w:r w:rsidR="000A0E3D" w:rsidRPr="00B72DED">
        <w:t xml:space="preserve">Figure III. </w:t>
      </w:r>
      <w:r w:rsidR="000A0E3D">
        <w:rPr>
          <w:noProof/>
        </w:rPr>
        <w:t>7</w:t>
      </w:r>
      <w:r w:rsidR="000A0E3D">
        <w:t>.</w:t>
      </w:r>
      <w:r w:rsidR="000A0E3D">
        <w:rPr>
          <w:noProof/>
        </w:rPr>
        <w:t>7</w:t>
      </w:r>
      <w:r w:rsidR="00503297">
        <w:fldChar w:fldCharType="end"/>
      </w:r>
      <w:r>
        <w:t>).</w:t>
      </w:r>
    </w:p>
    <w:p w14:paraId="1727A870" w14:textId="77777777" w:rsidR="000F36C2" w:rsidRDefault="000F36C2" w:rsidP="002145C2">
      <w:pPr>
        <w:ind w:firstLine="360"/>
        <w:jc w:val="both"/>
      </w:pPr>
    </w:p>
    <w:p w14:paraId="6775A042" w14:textId="77777777" w:rsidR="00503297" w:rsidRDefault="00921E85" w:rsidP="00503297">
      <w:pPr>
        <w:keepNext/>
        <w:jc w:val="center"/>
      </w:pPr>
      <w:r>
        <w:object w:dxaOrig="7116" w:dyaOrig="1079" w14:anchorId="0764211C">
          <v:shape id="_x0000_i1171" type="#_x0000_t75" style="width:334.7pt;height:51.45pt" o:ole="">
            <v:imagedata r:id="rId387" o:title=""/>
          </v:shape>
          <o:OLEObject Type="Embed" ProgID="ChemDraw.Document.6.0" ShapeID="_x0000_i1171" DrawAspect="Content" ObjectID="_1532785005" r:id="rId388"/>
        </w:object>
      </w:r>
    </w:p>
    <w:p w14:paraId="2692006F" w14:textId="77777777" w:rsidR="00921E85" w:rsidRPr="00B72DED" w:rsidRDefault="00503297" w:rsidP="00B72DED">
      <w:pPr>
        <w:pStyle w:val="Caption"/>
      </w:pPr>
      <w:bookmarkStart w:id="380" w:name="_Ref455842306"/>
      <w:bookmarkStart w:id="381" w:name="_Toc457670775"/>
      <w:r w:rsidRPr="00B72DED">
        <w:t xml:space="preserve">Figure III. </w:t>
      </w:r>
      <w:r w:rsidR="00443010">
        <w:fldChar w:fldCharType="begin"/>
      </w:r>
      <w:r w:rsidR="00443010">
        <w:instrText xml:space="preserve"> STYLEREF 2 \s </w:instrText>
      </w:r>
      <w:r w:rsidR="00443010">
        <w:fldChar w:fldCharType="separate"/>
      </w:r>
      <w:r w:rsidR="000A0E3D">
        <w:rPr>
          <w:noProof/>
        </w:rPr>
        <w:t>7</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6</w:t>
      </w:r>
      <w:r w:rsidR="00443010">
        <w:rPr>
          <w:noProof/>
        </w:rPr>
        <w:fldChar w:fldCharType="end"/>
      </w:r>
      <w:bookmarkEnd w:id="380"/>
      <w:r w:rsidRPr="00B72DED">
        <w:t xml:space="preserve"> </w:t>
      </w:r>
      <w:r w:rsidR="00921E85" w:rsidRPr="00B72DED">
        <w:t>Shvo’s Ruthenium catalyst dissociation equilibrium</w:t>
      </w:r>
      <w:bookmarkEnd w:id="381"/>
    </w:p>
    <w:p w14:paraId="4A2770D9" w14:textId="77777777" w:rsidR="00503297" w:rsidRPr="00503297" w:rsidRDefault="00503297" w:rsidP="00503297"/>
    <w:p w14:paraId="66211C75" w14:textId="77777777" w:rsidR="00503297" w:rsidRDefault="00921E85" w:rsidP="00503297">
      <w:pPr>
        <w:keepNext/>
        <w:jc w:val="center"/>
      </w:pPr>
      <w:r>
        <w:object w:dxaOrig="5263" w:dyaOrig="3048" w14:anchorId="2756E3EC">
          <v:shape id="_x0000_i1172" type="#_x0000_t75" style="width:200.2pt;height:117.9pt" o:ole="">
            <v:imagedata r:id="rId389" o:title=""/>
          </v:shape>
          <o:OLEObject Type="Embed" ProgID="ChemDraw.Document.6.0" ShapeID="_x0000_i1172" DrawAspect="Content" ObjectID="_1532785006" r:id="rId390"/>
        </w:object>
      </w:r>
    </w:p>
    <w:p w14:paraId="1F4D965D" w14:textId="77777777" w:rsidR="00921E85" w:rsidRPr="00B72DED" w:rsidRDefault="00503297" w:rsidP="00B72DED">
      <w:pPr>
        <w:pStyle w:val="Caption"/>
      </w:pPr>
      <w:bookmarkStart w:id="382" w:name="_Ref455842359"/>
      <w:bookmarkStart w:id="383" w:name="_Toc457670776"/>
      <w:r w:rsidRPr="00B72DED">
        <w:t xml:space="preserve">Figure III. </w:t>
      </w:r>
      <w:r w:rsidR="00443010">
        <w:fldChar w:fldCharType="begin"/>
      </w:r>
      <w:r w:rsidR="00443010">
        <w:instrText xml:space="preserve"> STYLEREF 2 \s </w:instrText>
      </w:r>
      <w:r w:rsidR="00443010">
        <w:fldChar w:fldCharType="separate"/>
      </w:r>
      <w:r w:rsidR="000A0E3D">
        <w:rPr>
          <w:noProof/>
        </w:rPr>
        <w:t>7</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7</w:t>
      </w:r>
      <w:r w:rsidR="00443010">
        <w:rPr>
          <w:noProof/>
        </w:rPr>
        <w:fldChar w:fldCharType="end"/>
      </w:r>
      <w:bookmarkEnd w:id="382"/>
      <w:r w:rsidRPr="00B72DED">
        <w:t xml:space="preserve"> </w:t>
      </w:r>
      <w:r w:rsidR="00921E85" w:rsidRPr="00B72DED">
        <w:t>Shvo’s catalyst cycle for hydrogen activation in aldehyde reduction</w:t>
      </w:r>
      <w:bookmarkEnd w:id="383"/>
    </w:p>
    <w:p w14:paraId="7E8E29CD" w14:textId="77777777" w:rsidR="00921E85" w:rsidRPr="0005411B" w:rsidRDefault="00921E85" w:rsidP="002145C2">
      <w:pPr>
        <w:jc w:val="center"/>
        <w:rPr>
          <w:b/>
        </w:rPr>
      </w:pPr>
    </w:p>
    <w:p w14:paraId="5D534903" w14:textId="7F0F2557" w:rsidR="00921E85" w:rsidRDefault="00921E85" w:rsidP="00C70710">
      <w:pPr>
        <w:ind w:firstLine="360"/>
        <w:jc w:val="both"/>
      </w:pPr>
      <w:r>
        <w:t>Economical iron analogues of this bi ruthenium catalyst (</w:t>
      </w:r>
      <w:r w:rsidR="00503297">
        <w:fldChar w:fldCharType="begin"/>
      </w:r>
      <w:r w:rsidR="00503297">
        <w:instrText xml:space="preserve"> REF _Ref455842306 \h </w:instrText>
      </w:r>
      <w:r w:rsidR="00503297">
        <w:fldChar w:fldCharType="separate"/>
      </w:r>
      <w:r w:rsidR="000A0E3D" w:rsidRPr="00B72DED">
        <w:t xml:space="preserve">Figure III. </w:t>
      </w:r>
      <w:r w:rsidR="000A0E3D">
        <w:rPr>
          <w:noProof/>
        </w:rPr>
        <w:t>7</w:t>
      </w:r>
      <w:r w:rsidR="000A0E3D">
        <w:t>.</w:t>
      </w:r>
      <w:r w:rsidR="000A0E3D">
        <w:rPr>
          <w:noProof/>
        </w:rPr>
        <w:t>6</w:t>
      </w:r>
      <w:r w:rsidR="00503297">
        <w:fldChar w:fldCharType="end"/>
      </w:r>
      <w:r>
        <w:t>) were developed. Also after some research on the topic we decided to synthe</w:t>
      </w:r>
      <w:r w:rsidR="009F393B">
        <w:t>size</w:t>
      </w:r>
      <w:r>
        <w:t xml:space="preserve"> and </w:t>
      </w:r>
      <w:r w:rsidR="009F393B">
        <w:t>test</w:t>
      </w:r>
      <w:r>
        <w:t xml:space="preserve"> the iron carbonyl complex </w:t>
      </w:r>
      <w:r w:rsidRPr="00936400">
        <w:rPr>
          <w:b/>
        </w:rPr>
        <w:t>1</w:t>
      </w:r>
      <w:r w:rsidRPr="00936400">
        <w:t xml:space="preserve"> </w:t>
      </w:r>
      <w:r>
        <w:t>(</w:t>
      </w:r>
      <w:r w:rsidR="00503297">
        <w:fldChar w:fldCharType="begin"/>
      </w:r>
      <w:r w:rsidR="00503297">
        <w:instrText xml:space="preserve"> REF _Ref455842507 \h </w:instrText>
      </w:r>
      <w:r w:rsidR="00503297">
        <w:fldChar w:fldCharType="separate"/>
      </w:r>
      <w:r w:rsidR="000A0E3D" w:rsidRPr="00B72DED">
        <w:t xml:space="preserve">Figure III. </w:t>
      </w:r>
      <w:r w:rsidR="000A0E3D">
        <w:rPr>
          <w:noProof/>
        </w:rPr>
        <w:t>7</w:t>
      </w:r>
      <w:r w:rsidR="000A0E3D">
        <w:t>.</w:t>
      </w:r>
      <w:r w:rsidR="000A0E3D">
        <w:rPr>
          <w:noProof/>
        </w:rPr>
        <w:t>8</w:t>
      </w:r>
      <w:r w:rsidR="00503297">
        <w:fldChar w:fldCharType="end"/>
      </w:r>
      <w:r>
        <w:t xml:space="preserve">). We tested the DODH of 1,2-hexane diol with 10 mol% of </w:t>
      </w:r>
      <w:r w:rsidRPr="00475AB6">
        <w:rPr>
          <w:b/>
        </w:rPr>
        <w:t>1</w:t>
      </w:r>
      <w:r w:rsidRPr="00475AB6">
        <w:t xml:space="preserve"> </w:t>
      </w:r>
      <w:r>
        <w:t>(</w:t>
      </w:r>
      <w:r w:rsidR="00503297">
        <w:fldChar w:fldCharType="begin"/>
      </w:r>
      <w:r w:rsidR="00503297">
        <w:instrText xml:space="preserve"> REF _Ref455842507 \h </w:instrText>
      </w:r>
      <w:r w:rsidR="00503297">
        <w:fldChar w:fldCharType="separate"/>
      </w:r>
      <w:r w:rsidR="000A0E3D" w:rsidRPr="00B72DED">
        <w:t xml:space="preserve">Figure III. </w:t>
      </w:r>
      <w:r w:rsidR="000A0E3D">
        <w:rPr>
          <w:noProof/>
        </w:rPr>
        <w:t>7</w:t>
      </w:r>
      <w:r w:rsidR="000A0E3D">
        <w:t>.</w:t>
      </w:r>
      <w:r w:rsidR="000A0E3D">
        <w:rPr>
          <w:noProof/>
        </w:rPr>
        <w:t>8</w:t>
      </w:r>
      <w:r w:rsidR="00503297">
        <w:fldChar w:fldCharType="end"/>
      </w:r>
      <w:r>
        <w:t xml:space="preserve">) </w:t>
      </w:r>
      <w:r w:rsidRPr="00475AB6">
        <w:t>and</w:t>
      </w:r>
      <w:r>
        <w:t xml:space="preserve"> we did not detect any conversion of the diol. We also tested the same reaction with 10 mol % of benzyl alcohol. The added alcohol is to play the role of a reducing agent in the DODH reaction which could then be regenerated by </w:t>
      </w:r>
      <w:r w:rsidRPr="00503297">
        <w:rPr>
          <w:b/>
        </w:rPr>
        <w:t>1-H</w:t>
      </w:r>
      <w:r w:rsidRPr="00503297">
        <w:rPr>
          <w:b/>
          <w:vertAlign w:val="subscript"/>
        </w:rPr>
        <w:t>2</w:t>
      </w:r>
      <w:r>
        <w:t xml:space="preserve"> (</w:t>
      </w:r>
      <w:r w:rsidR="00C70710">
        <w:t>Figure III. 7.9)</w:t>
      </w:r>
      <w:r>
        <w:t>. In this reaction we detected benzaldehyde, benzyl alcohol, unreacted diol and acetal (of diol with benzaldehyde) but no alkene. We can then conclude that 1 was not efficient to activate hydrogen for the DODH of 1,2-hexanediol even with a</w:t>
      </w:r>
      <w:r w:rsidR="000F36C2">
        <w:t xml:space="preserve"> catalytic quantity of alcohol.</w:t>
      </w:r>
    </w:p>
    <w:p w14:paraId="5F24F106" w14:textId="77777777" w:rsidR="000F36C2" w:rsidRDefault="000F36C2" w:rsidP="002145C2">
      <w:pPr>
        <w:ind w:firstLine="360"/>
        <w:jc w:val="both"/>
      </w:pPr>
    </w:p>
    <w:p w14:paraId="273F5377" w14:textId="77777777" w:rsidR="00503297" w:rsidRDefault="00921E85" w:rsidP="00503297">
      <w:pPr>
        <w:keepNext/>
        <w:jc w:val="center"/>
      </w:pPr>
      <w:r>
        <w:object w:dxaOrig="7272" w:dyaOrig="2373" w14:anchorId="4B72A9C7">
          <v:shape id="_x0000_i1173" type="#_x0000_t75" style="width:364.75pt;height:118.7pt" o:ole="">
            <v:imagedata r:id="rId391" o:title=""/>
          </v:shape>
          <o:OLEObject Type="Embed" ProgID="ChemDraw.Document.6.0" ShapeID="_x0000_i1173" DrawAspect="Content" ObjectID="_1532785007" r:id="rId392"/>
        </w:object>
      </w:r>
    </w:p>
    <w:p w14:paraId="4371BF5E" w14:textId="77777777" w:rsidR="00921E85" w:rsidRPr="00B72DED" w:rsidRDefault="00503297" w:rsidP="00B72DED">
      <w:pPr>
        <w:pStyle w:val="Caption"/>
      </w:pPr>
      <w:bookmarkStart w:id="384" w:name="_Ref455842507"/>
      <w:bookmarkStart w:id="385" w:name="_Toc457670777"/>
      <w:r w:rsidRPr="00B72DED">
        <w:t xml:space="preserve">Figure III. </w:t>
      </w:r>
      <w:r w:rsidR="00443010">
        <w:fldChar w:fldCharType="begin"/>
      </w:r>
      <w:r w:rsidR="00443010">
        <w:instrText xml:space="preserve"> STYLEREF 2 \s </w:instrText>
      </w:r>
      <w:r w:rsidR="00443010">
        <w:fldChar w:fldCharType="separate"/>
      </w:r>
      <w:r w:rsidR="000A0E3D">
        <w:rPr>
          <w:noProof/>
        </w:rPr>
        <w:t>7</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8</w:t>
      </w:r>
      <w:r w:rsidR="00443010">
        <w:rPr>
          <w:noProof/>
        </w:rPr>
        <w:fldChar w:fldCharType="end"/>
      </w:r>
      <w:bookmarkEnd w:id="384"/>
      <w:r w:rsidRPr="00B72DED">
        <w:t xml:space="preserve"> </w:t>
      </w:r>
      <w:r w:rsidR="00921E85" w:rsidRPr="00B72DED">
        <w:t>Synthesis of iron analogues to Shvo’s catalyst</w:t>
      </w:r>
      <w:bookmarkEnd w:id="385"/>
    </w:p>
    <w:p w14:paraId="7DC74965" w14:textId="77777777" w:rsidR="00503297" w:rsidRDefault="00503297" w:rsidP="002145C2">
      <w:pPr>
        <w:jc w:val="center"/>
      </w:pPr>
    </w:p>
    <w:p w14:paraId="61579622" w14:textId="77777777" w:rsidR="00CF62BD" w:rsidRPr="00CF62BD" w:rsidRDefault="009F393B" w:rsidP="00CF62BD">
      <w:pPr>
        <w:jc w:val="center"/>
      </w:pPr>
      <w:r w:rsidRPr="007100A8">
        <w:object w:dxaOrig="10063" w:dyaOrig="1811" w14:anchorId="08E8175B">
          <v:shape id="_x0000_i1174" type="#_x0000_t75" style="width:401.15pt;height:1in" o:ole="">
            <v:imagedata r:id="rId393" o:title=""/>
          </v:shape>
          <o:OLEObject Type="Embed" ProgID="ChemDraw.Document.6.0" ShapeID="_x0000_i1174" DrawAspect="Content" ObjectID="_1532785008" r:id="rId394"/>
        </w:object>
      </w:r>
      <w:bookmarkStart w:id="386" w:name="_Ref455842499"/>
    </w:p>
    <w:p w14:paraId="78278CA9" w14:textId="77777777" w:rsidR="00921E85" w:rsidRPr="000F36C2" w:rsidRDefault="00503297" w:rsidP="00B72DED">
      <w:pPr>
        <w:pStyle w:val="Caption"/>
      </w:pPr>
      <w:bookmarkStart w:id="387" w:name="_Toc457670778"/>
      <w:r w:rsidRPr="000F36C2">
        <w:t xml:space="preserve">Figure III. </w:t>
      </w:r>
      <w:r w:rsidR="00443010">
        <w:fldChar w:fldCharType="begin"/>
      </w:r>
      <w:r w:rsidR="00443010">
        <w:instrText xml:space="preserve"> STYLEREF 2 \s </w:instrText>
      </w:r>
      <w:r w:rsidR="00443010">
        <w:fldChar w:fldCharType="separate"/>
      </w:r>
      <w:r w:rsidR="000A0E3D">
        <w:rPr>
          <w:noProof/>
        </w:rPr>
        <w:t>7</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9</w:t>
      </w:r>
      <w:r w:rsidR="00443010">
        <w:rPr>
          <w:noProof/>
        </w:rPr>
        <w:fldChar w:fldCharType="end"/>
      </w:r>
      <w:bookmarkEnd w:id="386"/>
      <w:r w:rsidRPr="000F36C2">
        <w:t xml:space="preserve"> DODH of 1,2-hexanediol using </w:t>
      </w:r>
      <w:r w:rsidRPr="000F36C2">
        <w:rPr>
          <w:u w:val="single"/>
        </w:rPr>
        <w:t>1</w:t>
      </w:r>
      <w:r w:rsidRPr="000F36C2">
        <w:t xml:space="preserve"> as hydrogen activating catalyst</w:t>
      </w:r>
      <w:bookmarkEnd w:id="387"/>
    </w:p>
    <w:p w14:paraId="204C2855" w14:textId="77777777" w:rsidR="00503297" w:rsidRPr="00503297" w:rsidRDefault="00503297" w:rsidP="00CF62BD"/>
    <w:p w14:paraId="24B3FEF3" w14:textId="0F302C24" w:rsidR="00921E85" w:rsidRPr="00202B1C" w:rsidRDefault="00921E85" w:rsidP="002145C2">
      <w:pPr>
        <w:ind w:firstLine="360"/>
        <w:jc w:val="both"/>
      </w:pPr>
      <w:r w:rsidRPr="00202B1C">
        <w:t xml:space="preserve">In summary we found a very limited DODH activity of the hydrogen/carbon monoxide mixture with this set of oxo-metal complexes with a maximum yield of 30% and 95% conversion. In many cases the conversion of the diol was high but the yield was low indicating that a side reaction of the diol, possibly </w:t>
      </w:r>
      <w:r>
        <w:t>dehydration/</w:t>
      </w:r>
      <w:r w:rsidRPr="00202B1C">
        <w:t>hydrogenation</w:t>
      </w:r>
      <w:r>
        <w:t xml:space="preserve"> or oxidation</w:t>
      </w:r>
      <w:r w:rsidRPr="00202B1C">
        <w:t>, was competing</w:t>
      </w:r>
      <w:r>
        <w:t xml:space="preserve">. We attempted to ease the activation of hydrogen by adding an iron carbonyl complex </w:t>
      </w:r>
      <w:r w:rsidR="00AA6245">
        <w:t xml:space="preserve">but </w:t>
      </w:r>
      <w:r>
        <w:t>the overall reaction was not improve</w:t>
      </w:r>
      <w:r w:rsidR="00AA6245">
        <w:t>d</w:t>
      </w:r>
      <w:r>
        <w:t xml:space="preserve">. </w:t>
      </w:r>
      <w:r w:rsidRPr="00202B1C">
        <w:t>To effectively use hydrogen and carbon monoxide for both DODH and hydroformylation we would have to identify new catalysts or co-catalysts to improve the activity of hydrogen and carbon monoxide as reducing agent. As a last resort we would consider the use of an alternative efficient reducing agent for the DODH part of the tandem reaction.</w:t>
      </w:r>
    </w:p>
    <w:p w14:paraId="2848815A" w14:textId="77777777" w:rsidR="00921E85" w:rsidRPr="006975D1" w:rsidRDefault="00921E85" w:rsidP="002145C2">
      <w:pPr>
        <w:ind w:firstLine="360"/>
        <w:jc w:val="both"/>
      </w:pPr>
    </w:p>
    <w:p w14:paraId="009721B5" w14:textId="77777777" w:rsidR="00921E85" w:rsidRPr="00716073" w:rsidRDefault="00921E85" w:rsidP="000351A7">
      <w:pPr>
        <w:pStyle w:val="Heading3"/>
      </w:pPr>
      <w:bookmarkStart w:id="388" w:name="_Toc458938335"/>
      <w:r w:rsidRPr="00716073">
        <w:t>Hydroformylation of 1-hexene</w:t>
      </w:r>
      <w:bookmarkEnd w:id="388"/>
    </w:p>
    <w:p w14:paraId="40F4BF39" w14:textId="77777777" w:rsidR="00921E85" w:rsidRDefault="00921E85" w:rsidP="002145C2">
      <w:pPr>
        <w:ind w:firstLine="360"/>
        <w:jc w:val="both"/>
      </w:pPr>
      <w:r w:rsidRPr="00DD198C">
        <w:t xml:space="preserve">From the numerous reaction </w:t>
      </w:r>
      <w:r>
        <w:t xml:space="preserve">conditions </w:t>
      </w:r>
      <w:r w:rsidRPr="00DD198C">
        <w:t xml:space="preserve">reported for the hydroformylation </w:t>
      </w:r>
      <w:r>
        <w:t>of 1-hexene we choose to test two common and commercially available catalysts; HRh(CO)</w:t>
      </w:r>
      <w:r>
        <w:rPr>
          <w:rFonts w:cstheme="minorHAnsi"/>
        </w:rPr>
        <w:t>(</w:t>
      </w:r>
      <w:r w:rsidRPr="00B958C5">
        <w:rPr>
          <w:rFonts w:cstheme="minorHAnsi"/>
        </w:rPr>
        <w:t>PPh</w:t>
      </w:r>
      <w:r w:rsidRPr="00B958C5">
        <w:rPr>
          <w:rFonts w:cstheme="minorHAnsi"/>
          <w:vertAlign w:val="subscript"/>
        </w:rPr>
        <w:t>3</w:t>
      </w:r>
      <w:r w:rsidRPr="004E3A87">
        <w:rPr>
          <w:rFonts w:cstheme="minorHAnsi"/>
        </w:rPr>
        <w:t>)</w:t>
      </w:r>
      <w:r w:rsidRPr="009774E0">
        <w:rPr>
          <w:vertAlign w:val="subscript"/>
        </w:rPr>
        <w:t>3</w:t>
      </w:r>
      <w:r w:rsidRPr="00036C18">
        <w:t xml:space="preserve"> </w:t>
      </w:r>
      <w:r>
        <w:t xml:space="preserve">and </w:t>
      </w:r>
      <w:r w:rsidRPr="00DD198C">
        <w:t>Co</w:t>
      </w:r>
      <w:r w:rsidRPr="00DD198C">
        <w:rPr>
          <w:vertAlign w:val="subscript"/>
        </w:rPr>
        <w:t>2</w:t>
      </w:r>
      <w:r w:rsidRPr="00DD198C">
        <w:t>(CO)</w:t>
      </w:r>
      <w:r w:rsidRPr="00DD198C">
        <w:rPr>
          <w:vertAlign w:val="subscript"/>
        </w:rPr>
        <w:t>8</w:t>
      </w:r>
      <w:r w:rsidRPr="00DD198C">
        <w:t xml:space="preserve"> </w:t>
      </w:r>
      <w:r>
        <w:t>(</w:t>
      </w:r>
      <w:r w:rsidR="00503297" w:rsidRPr="009F393B">
        <w:rPr>
          <w:rFonts w:cstheme="minorHAnsi"/>
        </w:rPr>
        <w:fldChar w:fldCharType="begin"/>
      </w:r>
      <w:r w:rsidR="00503297" w:rsidRPr="009F393B">
        <w:rPr>
          <w:rFonts w:cstheme="minorHAnsi"/>
        </w:rPr>
        <w:instrText xml:space="preserve"> REF _Ref455842679 \h </w:instrText>
      </w:r>
      <w:r w:rsidR="009F393B">
        <w:rPr>
          <w:rFonts w:cstheme="minorHAnsi"/>
        </w:rPr>
        <w:instrText xml:space="preserve"> \* MERGEFORMAT </w:instrText>
      </w:r>
      <w:r w:rsidR="00503297" w:rsidRPr="009F393B">
        <w:rPr>
          <w:rFonts w:cstheme="minorHAnsi"/>
        </w:rPr>
      </w:r>
      <w:r w:rsidR="00503297" w:rsidRPr="009F393B">
        <w:rPr>
          <w:rFonts w:cstheme="minorHAnsi"/>
        </w:rPr>
        <w:fldChar w:fldCharType="separate"/>
      </w:r>
      <w:r w:rsidR="000A0E3D" w:rsidRPr="000A0E3D">
        <w:rPr>
          <w:rFonts w:cstheme="minorHAnsi"/>
        </w:rPr>
        <w:t xml:space="preserve">Table III. </w:t>
      </w:r>
      <w:r w:rsidR="000A0E3D" w:rsidRPr="000A0E3D">
        <w:rPr>
          <w:rFonts w:cstheme="minorHAnsi"/>
          <w:noProof/>
        </w:rPr>
        <w:t>7.2</w:t>
      </w:r>
      <w:r w:rsidR="00503297" w:rsidRPr="009F393B">
        <w:rPr>
          <w:rFonts w:cstheme="minorHAnsi"/>
        </w:rPr>
        <w:fldChar w:fldCharType="end"/>
      </w:r>
      <w:r w:rsidRPr="009F393B">
        <w:rPr>
          <w:rFonts w:cstheme="minorHAnsi"/>
        </w:rPr>
        <w:t>).</w:t>
      </w:r>
      <w:r w:rsidRPr="009F393B">
        <w:rPr>
          <w:rFonts w:cstheme="minorHAnsi"/>
        </w:rPr>
        <w:fldChar w:fldCharType="begin"/>
      </w:r>
      <w:r w:rsidR="00E028D6" w:rsidRPr="009F393B">
        <w:rPr>
          <w:rFonts w:cstheme="minorHAnsi"/>
        </w:rPr>
        <w:instrText xml:space="preserve"> ADDIN ZOTERO_ITEM CSL_CITATION {"citationID":"mkp7pea6k","properties":{"formattedCitation":"{\\rtf \\super 165\\nosupersub{}}","plainCitation":"165"},"citationItems":[{"id":340,"uris":["http://zotero.org/users/1624234/items/P2C2K4HR"],"uri":["http://zotero.org/users/1624234/items/P2C2K4HR"],"itemData":{"id":340,"type":"chapter","title":"The Hydroformylation Reaction","container-title":"Organic Reactions","publisher":"John Wiley &amp; Sons, Inc.","source":"Wiley Online Library","abstract":"The reaction of 1-alkenes with carbon monoxide and hydrogen in the presence of a catalyst gives the corresponding homologous aldehydes. The discovery of this reaction was made by Roelen in 1938 using Co2(CO)8 as the catalyst at high temperature (120–170°) and high pressure of carbon monoxide/hydrogen (200–300 bar). This reaction has been called the “Oxo reaction”, “Roelen reaction” or “hydroformylation”. Hydroformylation is a general term indicating that both a hydrogen and a formyl group are introduced to unsaturated bonds, especially olefins. Later this reaction was developed as an industrial process, i.e., the Oxo Process, for the production of alkanals from 1-alkenes using a cobalt or rhodium catalyst. Most noteworthy is the conversion of propene to butanal, which can be subsequently hydrogenated to 1-butanol or converted to 2-ethylhexanol by self-aldol condensation. 2-Ethylhexanol, a crucial intermediate for the production of ester-type plasticizers, is the most important bulk chemical produced by the Oxo Process. A variety of transition metal catalysts other than Co2(CO)8 have been investigated, including phosphine complexes of cobalt and hydridocobalt clusters. Platinum and ruthenium complexes show reasonably good catalytic activities, but modified cobalt catalysts are still much more advantageous. However, various rhodium complexes demonstrate higher catalytic activity (103–104 times) than the cobalt complexes. Although the price of rhodium is higher than cobalt, reactions using rhodium catalysts require lower temperature (50–80°) and pressure (10–50 atm). Other important commercial applications of hydroformylation include the production of long-chain alcohols from C5–C17 isomeric linear alkenes. These long-chain alcohols serve as intermediates for lubricants, plasticizers and detergents. The hydroformylation of ethene to propanal is another important Oxo Process. In this chapter, the authors put clear emphasis on the scope of the hydroformylation reaction in organic synthesis. In this context, there is a relevant review in 1987 of the hydroformylation of functionalized alkenes. The hydroformylation reaction now can be performed under very mild conditions using a variety of functionalized alkenes. Reactions in aqueous biphase, supercritical carbon dioxide or fluorous biphase have recently emerged in response to separation and environmental issues. In fact, a highly efficient Oxo Process using a water-soluble rhodium catalyst in aqueous biphasic conditions has been commercialized by Ruhrchemie/Rhône-Poulenc for the production of butanal. Asymmetric hydroformylation of prochiral olefins catalyzed by enantiopure rhodium complexes has been developed to the level that practical applications appear possible. Although the reactions of formaldehyde, oxiranes, and others with carbon monoxide and hydrogen in the presence of transition metal catalyst could be considered as variations of hydroformylation, this chapter only deals with hydroformylation of carbon-carbon multiple bonds.","URL":"http://onlinelibrary.wiley.com/doi/10.1002/0471264180.or056.01/abstract","ISBN":"978-0-471-26418-7","language":"en","author":[{"family":"Ojima","given":"Iwao"},{"family":"Tsai","given":"Chung-Ying"},{"family":"Tzamarioudaki","given":"Maria"},{"family":"Bonafoux","given":"Dominique"}],"issued":{"date-parts":[["2004"]]},"accessed":{"date-parts":[["2014",6,25]]}}}],"schema":"https://github.com/citation-style-language/schema/raw/master/csl-citation.json"} </w:instrText>
      </w:r>
      <w:r w:rsidRPr="009F393B">
        <w:rPr>
          <w:rFonts w:cstheme="minorHAnsi"/>
        </w:rPr>
        <w:fldChar w:fldCharType="separate"/>
      </w:r>
      <w:r w:rsidR="00E028D6" w:rsidRPr="009F393B">
        <w:rPr>
          <w:rFonts w:cstheme="minorHAnsi"/>
          <w:vertAlign w:val="superscript"/>
        </w:rPr>
        <w:t>165</w:t>
      </w:r>
      <w:r w:rsidRPr="009F393B">
        <w:rPr>
          <w:rFonts w:cstheme="minorHAnsi"/>
        </w:rPr>
        <w:fldChar w:fldCharType="end"/>
      </w:r>
      <w:r w:rsidRPr="009F393B">
        <w:rPr>
          <w:rFonts w:cstheme="minorHAnsi"/>
        </w:rPr>
        <w:t xml:space="preserve"> In t</w:t>
      </w:r>
      <w:r w:rsidRPr="00DD198C">
        <w:t xml:space="preserve">hese reactions we detected </w:t>
      </w:r>
      <w:r>
        <w:t xml:space="preserve">by </w:t>
      </w:r>
      <w:r w:rsidRPr="00DD198C">
        <w:rPr>
          <w:vertAlign w:val="superscript"/>
        </w:rPr>
        <w:t>1</w:t>
      </w:r>
      <w:r>
        <w:t xml:space="preserve">H NMR </w:t>
      </w:r>
      <w:r w:rsidRPr="00DD198C">
        <w:t xml:space="preserve">a variety of products including isomerized alkenes, aldehydes, alcohols and </w:t>
      </w:r>
      <w:r>
        <w:t>acetals (</w:t>
      </w:r>
      <w:r w:rsidR="00503297">
        <w:fldChar w:fldCharType="begin"/>
      </w:r>
      <w:r w:rsidR="00503297">
        <w:instrText xml:space="preserve"> REF _Ref455842702 \h </w:instrText>
      </w:r>
      <w:r w:rsidR="00503297">
        <w:fldChar w:fldCharType="separate"/>
      </w:r>
      <w:r w:rsidR="000A0E3D" w:rsidRPr="00B72DED">
        <w:t xml:space="preserve">Figure III. </w:t>
      </w:r>
      <w:r w:rsidR="000A0E3D">
        <w:rPr>
          <w:noProof/>
        </w:rPr>
        <w:t>7</w:t>
      </w:r>
      <w:r w:rsidR="000A0E3D">
        <w:t>.</w:t>
      </w:r>
      <w:r w:rsidR="000A0E3D">
        <w:rPr>
          <w:noProof/>
        </w:rPr>
        <w:t>10</w:t>
      </w:r>
      <w:r w:rsidR="00503297">
        <w:fldChar w:fldCharType="end"/>
      </w:r>
      <w:r>
        <w:t>).</w:t>
      </w:r>
    </w:p>
    <w:p w14:paraId="0858B678" w14:textId="77777777" w:rsidR="00921E85" w:rsidRDefault="00921E85" w:rsidP="002145C2">
      <w:pPr>
        <w:ind w:firstLine="360"/>
        <w:jc w:val="both"/>
      </w:pPr>
    </w:p>
    <w:p w14:paraId="4E5CC07B" w14:textId="77777777" w:rsidR="00503297" w:rsidRDefault="00921E85" w:rsidP="005D4B4F">
      <w:pPr>
        <w:keepNext/>
        <w:jc w:val="center"/>
      </w:pPr>
      <w:r w:rsidRPr="007100A8">
        <w:object w:dxaOrig="10356" w:dyaOrig="2402" w14:anchorId="4AD4AC4A">
          <v:shape id="_x0000_i1175" type="#_x0000_t75" style="width:390.85pt;height:92.55pt" o:ole="">
            <v:imagedata r:id="rId395" o:title=""/>
          </v:shape>
          <o:OLEObject Type="Embed" ProgID="ChemDraw.Document.6.0" ShapeID="_x0000_i1175" DrawAspect="Content" ObjectID="_1532785009" r:id="rId396"/>
        </w:object>
      </w:r>
    </w:p>
    <w:p w14:paraId="575112F0" w14:textId="77777777" w:rsidR="00503297" w:rsidRPr="00B72DED" w:rsidRDefault="00503297" w:rsidP="00B72DED">
      <w:pPr>
        <w:pStyle w:val="Caption"/>
      </w:pPr>
      <w:bookmarkStart w:id="389" w:name="_Ref455842702"/>
      <w:bookmarkStart w:id="390" w:name="_Toc457670779"/>
      <w:r w:rsidRPr="00B72DED">
        <w:t xml:space="preserve">Figure III. </w:t>
      </w:r>
      <w:r w:rsidR="00443010">
        <w:fldChar w:fldCharType="begin"/>
      </w:r>
      <w:r w:rsidR="00443010">
        <w:instrText xml:space="preserve"> STYLEREF 2 \s </w:instrText>
      </w:r>
      <w:r w:rsidR="00443010">
        <w:fldChar w:fldCharType="separate"/>
      </w:r>
      <w:r w:rsidR="000A0E3D">
        <w:rPr>
          <w:noProof/>
        </w:rPr>
        <w:t>7</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10</w:t>
      </w:r>
      <w:r w:rsidR="00443010">
        <w:rPr>
          <w:noProof/>
        </w:rPr>
        <w:fldChar w:fldCharType="end"/>
      </w:r>
      <w:bookmarkEnd w:id="389"/>
      <w:r w:rsidRPr="00B72DED">
        <w:t xml:space="preserve"> </w:t>
      </w:r>
      <w:r w:rsidR="00921E85" w:rsidRPr="00B72DED">
        <w:t>Hydroformylation of 1-hexene</w:t>
      </w:r>
      <w:bookmarkEnd w:id="390"/>
    </w:p>
    <w:p w14:paraId="5C505C60" w14:textId="77777777" w:rsidR="00503297" w:rsidRDefault="00503297" w:rsidP="00503297"/>
    <w:p w14:paraId="04196CA2" w14:textId="77777777" w:rsidR="001539C6" w:rsidRDefault="001539C6" w:rsidP="00503297"/>
    <w:p w14:paraId="5E69228B" w14:textId="77777777" w:rsidR="001539C6" w:rsidRDefault="001539C6" w:rsidP="00503297"/>
    <w:p w14:paraId="025F2855" w14:textId="77777777" w:rsidR="001539C6" w:rsidRDefault="001539C6" w:rsidP="00503297"/>
    <w:p w14:paraId="7291A27E" w14:textId="77777777" w:rsidR="00652153" w:rsidRDefault="00652153" w:rsidP="00503297"/>
    <w:p w14:paraId="75E1449E" w14:textId="77777777" w:rsidR="00652153" w:rsidRDefault="00652153" w:rsidP="00503297"/>
    <w:p w14:paraId="5E125EE7" w14:textId="77777777" w:rsidR="00652153" w:rsidRDefault="00652153" w:rsidP="00503297"/>
    <w:p w14:paraId="01CFA75A" w14:textId="77777777" w:rsidR="00652153" w:rsidRPr="00503297" w:rsidRDefault="00652153" w:rsidP="00503297"/>
    <w:p w14:paraId="11F4AAE4" w14:textId="77777777" w:rsidR="00921E85" w:rsidRPr="00B72DED" w:rsidRDefault="00503297" w:rsidP="00B72DED">
      <w:pPr>
        <w:pStyle w:val="Caption"/>
      </w:pPr>
      <w:bookmarkStart w:id="391" w:name="_Ref455842679"/>
      <w:bookmarkStart w:id="392" w:name="_Toc457670495"/>
      <w:r w:rsidRPr="00B72DED">
        <w:t xml:space="preserve">Table III. </w:t>
      </w:r>
      <w:r w:rsidR="00443010">
        <w:fldChar w:fldCharType="begin"/>
      </w:r>
      <w:r w:rsidR="00443010">
        <w:instrText xml:space="preserve"> STYLEREF 2 \s </w:instrText>
      </w:r>
      <w:r w:rsidR="00443010">
        <w:fldChar w:fldCharType="separate"/>
      </w:r>
      <w:r w:rsidR="000A0E3D">
        <w:rPr>
          <w:noProof/>
        </w:rPr>
        <w:t>7</w:t>
      </w:r>
      <w:r w:rsidR="00443010">
        <w:rPr>
          <w:noProof/>
        </w:rPr>
        <w:fldChar w:fldCharType="end"/>
      </w:r>
      <w:r w:rsidR="00E20ED7">
        <w:t>.</w:t>
      </w:r>
      <w:r w:rsidR="00443010">
        <w:fldChar w:fldCharType="begin"/>
      </w:r>
      <w:r w:rsidR="00443010">
        <w:instrText xml:space="preserve"> SEQ Table_III. \* ARABIC \s 2 </w:instrText>
      </w:r>
      <w:r w:rsidR="00443010">
        <w:fldChar w:fldCharType="separate"/>
      </w:r>
      <w:r w:rsidR="000A0E3D">
        <w:rPr>
          <w:noProof/>
        </w:rPr>
        <w:t>2</w:t>
      </w:r>
      <w:r w:rsidR="00443010">
        <w:rPr>
          <w:noProof/>
        </w:rPr>
        <w:fldChar w:fldCharType="end"/>
      </w:r>
      <w:bookmarkEnd w:id="391"/>
      <w:r w:rsidRPr="00B72DED">
        <w:t xml:space="preserve"> </w:t>
      </w:r>
      <w:r w:rsidR="00921E85" w:rsidRPr="00B72DED">
        <w:t>Results of the hydroformylation of 1-hexene</w:t>
      </w:r>
      <w:bookmarkEnd w:id="392"/>
      <w:r w:rsidR="00921E85" w:rsidRPr="00B72DED">
        <w:t xml:space="preserve"> </w:t>
      </w:r>
    </w:p>
    <w:tbl>
      <w:tblPr>
        <w:tblStyle w:val="TableGrid"/>
        <w:tblW w:w="8348" w:type="dxa"/>
        <w:jc w:val="center"/>
        <w:tblLayout w:type="fixed"/>
        <w:tblLook w:val="04A0" w:firstRow="1" w:lastRow="0" w:firstColumn="1" w:lastColumn="0" w:noHBand="0" w:noVBand="1"/>
      </w:tblPr>
      <w:tblGrid>
        <w:gridCol w:w="1076"/>
        <w:gridCol w:w="2016"/>
        <w:gridCol w:w="1872"/>
        <w:gridCol w:w="676"/>
        <w:gridCol w:w="677"/>
        <w:gridCol w:w="677"/>
        <w:gridCol w:w="677"/>
        <w:gridCol w:w="629"/>
        <w:gridCol w:w="48"/>
      </w:tblGrid>
      <w:tr w:rsidR="00921E85" w14:paraId="5C46FDF4" w14:textId="77777777" w:rsidTr="00457EC7">
        <w:trPr>
          <w:trHeight w:val="423"/>
          <w:jc w:val="center"/>
        </w:trPr>
        <w:tc>
          <w:tcPr>
            <w:tcW w:w="1076" w:type="dxa"/>
            <w:vMerge w:val="restart"/>
            <w:tcBorders>
              <w:top w:val="nil"/>
              <w:left w:val="nil"/>
              <w:right w:val="nil"/>
            </w:tcBorders>
            <w:vAlign w:val="center"/>
          </w:tcPr>
          <w:p w14:paraId="724CA266" w14:textId="77777777" w:rsidR="00921E85" w:rsidRDefault="00921E85" w:rsidP="002145C2">
            <w:pPr>
              <w:jc w:val="center"/>
            </w:pPr>
            <w:r>
              <w:t>Entry</w:t>
            </w:r>
          </w:p>
        </w:tc>
        <w:tc>
          <w:tcPr>
            <w:tcW w:w="2016" w:type="dxa"/>
            <w:vMerge w:val="restart"/>
            <w:tcBorders>
              <w:top w:val="nil"/>
              <w:left w:val="nil"/>
              <w:right w:val="nil"/>
            </w:tcBorders>
            <w:vAlign w:val="center"/>
          </w:tcPr>
          <w:p w14:paraId="00FF1E64" w14:textId="77777777" w:rsidR="00921E85" w:rsidRDefault="00921E85" w:rsidP="002145C2">
            <w:pPr>
              <w:jc w:val="center"/>
            </w:pPr>
            <w:r>
              <w:t>ML</w:t>
            </w:r>
            <w:r w:rsidRPr="00F402B3">
              <w:rPr>
                <w:vertAlign w:val="subscript"/>
              </w:rPr>
              <w:t>n</w:t>
            </w:r>
          </w:p>
        </w:tc>
        <w:tc>
          <w:tcPr>
            <w:tcW w:w="1872" w:type="dxa"/>
            <w:vMerge w:val="restart"/>
            <w:tcBorders>
              <w:top w:val="nil"/>
              <w:left w:val="nil"/>
              <w:right w:val="single" w:sz="4" w:space="0" w:color="808080" w:themeColor="background1" w:themeShade="80"/>
            </w:tcBorders>
            <w:vAlign w:val="center"/>
          </w:tcPr>
          <w:p w14:paraId="563D9534" w14:textId="77777777" w:rsidR="00921E85" w:rsidRDefault="00921E85" w:rsidP="002145C2">
            <w:pPr>
              <w:jc w:val="center"/>
            </w:pPr>
            <w:r>
              <w:t>Additive</w:t>
            </w:r>
          </w:p>
        </w:tc>
        <w:tc>
          <w:tcPr>
            <w:tcW w:w="3384" w:type="dxa"/>
            <w:gridSpan w:val="6"/>
            <w:tcBorders>
              <w:top w:val="nil"/>
              <w:left w:val="single" w:sz="4" w:space="0" w:color="808080" w:themeColor="background1" w:themeShade="80"/>
              <w:bottom w:val="nil"/>
              <w:right w:val="nil"/>
            </w:tcBorders>
            <w:vAlign w:val="center"/>
          </w:tcPr>
          <w:p w14:paraId="1391D28C" w14:textId="77777777" w:rsidR="00921E85" w:rsidRPr="00600062" w:rsidRDefault="00921E85" w:rsidP="002145C2">
            <w:pPr>
              <w:jc w:val="center"/>
            </w:pPr>
            <w:r>
              <w:t>Products ratio</w:t>
            </w:r>
            <w:r w:rsidRPr="004D19B0">
              <w:rPr>
                <w:vertAlign w:val="superscript"/>
              </w:rPr>
              <w:t>a</w:t>
            </w:r>
          </w:p>
        </w:tc>
      </w:tr>
      <w:tr w:rsidR="00921E85" w14:paraId="3C35D13B" w14:textId="77777777" w:rsidTr="00457EC7">
        <w:trPr>
          <w:trHeight w:val="423"/>
          <w:jc w:val="center"/>
        </w:trPr>
        <w:tc>
          <w:tcPr>
            <w:tcW w:w="1076" w:type="dxa"/>
            <w:vMerge/>
            <w:tcBorders>
              <w:left w:val="nil"/>
              <w:bottom w:val="single" w:sz="12" w:space="0" w:color="auto"/>
              <w:right w:val="nil"/>
            </w:tcBorders>
            <w:vAlign w:val="center"/>
          </w:tcPr>
          <w:p w14:paraId="2A896337" w14:textId="77777777" w:rsidR="00921E85" w:rsidRDefault="00921E85" w:rsidP="002145C2">
            <w:pPr>
              <w:jc w:val="center"/>
            </w:pPr>
          </w:p>
        </w:tc>
        <w:tc>
          <w:tcPr>
            <w:tcW w:w="2016" w:type="dxa"/>
            <w:vMerge/>
            <w:tcBorders>
              <w:left w:val="nil"/>
              <w:bottom w:val="single" w:sz="12" w:space="0" w:color="auto"/>
              <w:right w:val="nil"/>
            </w:tcBorders>
            <w:vAlign w:val="center"/>
          </w:tcPr>
          <w:p w14:paraId="73B00C32" w14:textId="77777777" w:rsidR="00921E85" w:rsidRDefault="00921E85" w:rsidP="002145C2">
            <w:pPr>
              <w:jc w:val="center"/>
            </w:pPr>
          </w:p>
        </w:tc>
        <w:tc>
          <w:tcPr>
            <w:tcW w:w="1872" w:type="dxa"/>
            <w:vMerge/>
            <w:tcBorders>
              <w:left w:val="nil"/>
              <w:bottom w:val="single" w:sz="12" w:space="0" w:color="auto"/>
              <w:right w:val="single" w:sz="4" w:space="0" w:color="808080" w:themeColor="background1" w:themeShade="80"/>
            </w:tcBorders>
            <w:vAlign w:val="center"/>
          </w:tcPr>
          <w:p w14:paraId="43D0C47D" w14:textId="77777777" w:rsidR="00921E85" w:rsidRDefault="00921E85" w:rsidP="002145C2">
            <w:pPr>
              <w:jc w:val="center"/>
            </w:pPr>
          </w:p>
        </w:tc>
        <w:tc>
          <w:tcPr>
            <w:tcW w:w="676" w:type="dxa"/>
            <w:tcBorders>
              <w:top w:val="nil"/>
              <w:left w:val="single" w:sz="4" w:space="0" w:color="808080" w:themeColor="background1" w:themeShade="80"/>
              <w:bottom w:val="single" w:sz="12" w:space="0" w:color="auto"/>
              <w:right w:val="dashed" w:sz="4" w:space="0" w:color="808080" w:themeColor="background1" w:themeShade="80"/>
            </w:tcBorders>
            <w:vAlign w:val="center"/>
          </w:tcPr>
          <w:p w14:paraId="3B0EBFA9" w14:textId="77777777" w:rsidR="00921E85" w:rsidRDefault="00921E85" w:rsidP="002145C2">
            <w:pPr>
              <w:jc w:val="center"/>
            </w:pPr>
            <w:r>
              <w:t>a</w:t>
            </w:r>
          </w:p>
        </w:tc>
        <w:tc>
          <w:tcPr>
            <w:tcW w:w="677" w:type="dxa"/>
            <w:tcBorders>
              <w:top w:val="nil"/>
              <w:left w:val="dashed" w:sz="4" w:space="0" w:color="808080" w:themeColor="background1" w:themeShade="80"/>
              <w:bottom w:val="single" w:sz="12" w:space="0" w:color="auto"/>
              <w:right w:val="dashed" w:sz="4" w:space="0" w:color="808080" w:themeColor="background1" w:themeShade="80"/>
            </w:tcBorders>
            <w:vAlign w:val="center"/>
          </w:tcPr>
          <w:p w14:paraId="3FDB7E7A" w14:textId="77777777" w:rsidR="00921E85" w:rsidRDefault="00921E85" w:rsidP="002145C2">
            <w:pPr>
              <w:jc w:val="center"/>
            </w:pPr>
            <w:r>
              <w:t>b</w:t>
            </w:r>
          </w:p>
        </w:tc>
        <w:tc>
          <w:tcPr>
            <w:tcW w:w="677" w:type="dxa"/>
            <w:tcBorders>
              <w:top w:val="nil"/>
              <w:left w:val="dashed" w:sz="4" w:space="0" w:color="808080" w:themeColor="background1" w:themeShade="80"/>
              <w:bottom w:val="single" w:sz="12" w:space="0" w:color="auto"/>
              <w:right w:val="dashed" w:sz="4" w:space="0" w:color="808080" w:themeColor="background1" w:themeShade="80"/>
            </w:tcBorders>
            <w:vAlign w:val="center"/>
          </w:tcPr>
          <w:p w14:paraId="628FDE1E" w14:textId="77777777" w:rsidR="00921E85" w:rsidRDefault="00921E85" w:rsidP="002145C2">
            <w:pPr>
              <w:jc w:val="center"/>
            </w:pPr>
            <w:r>
              <w:t>c</w:t>
            </w:r>
          </w:p>
        </w:tc>
        <w:tc>
          <w:tcPr>
            <w:tcW w:w="677" w:type="dxa"/>
            <w:tcBorders>
              <w:top w:val="nil"/>
              <w:left w:val="dashed" w:sz="4" w:space="0" w:color="808080" w:themeColor="background1" w:themeShade="80"/>
              <w:bottom w:val="single" w:sz="12" w:space="0" w:color="auto"/>
              <w:right w:val="dashed" w:sz="4" w:space="0" w:color="808080" w:themeColor="background1" w:themeShade="80"/>
            </w:tcBorders>
            <w:vAlign w:val="center"/>
          </w:tcPr>
          <w:p w14:paraId="44490FE5" w14:textId="77777777" w:rsidR="00921E85" w:rsidRDefault="00921E85" w:rsidP="002145C2">
            <w:pPr>
              <w:jc w:val="center"/>
            </w:pPr>
            <w:r>
              <w:t>d</w:t>
            </w:r>
          </w:p>
        </w:tc>
        <w:tc>
          <w:tcPr>
            <w:tcW w:w="677" w:type="dxa"/>
            <w:gridSpan w:val="2"/>
            <w:tcBorders>
              <w:top w:val="nil"/>
              <w:left w:val="dashed" w:sz="4" w:space="0" w:color="808080" w:themeColor="background1" w:themeShade="80"/>
              <w:bottom w:val="single" w:sz="12" w:space="0" w:color="auto"/>
              <w:right w:val="nil"/>
            </w:tcBorders>
            <w:vAlign w:val="center"/>
          </w:tcPr>
          <w:p w14:paraId="41F3ACB7" w14:textId="77777777" w:rsidR="00921E85" w:rsidRDefault="00921E85" w:rsidP="002145C2">
            <w:pPr>
              <w:jc w:val="center"/>
            </w:pPr>
            <w:r>
              <w:t>e</w:t>
            </w:r>
          </w:p>
        </w:tc>
      </w:tr>
      <w:tr w:rsidR="00921E85" w14:paraId="0CF75C3F" w14:textId="77777777" w:rsidTr="00457EC7">
        <w:trPr>
          <w:jc w:val="center"/>
        </w:trPr>
        <w:tc>
          <w:tcPr>
            <w:tcW w:w="1076" w:type="dxa"/>
            <w:tcBorders>
              <w:top w:val="single" w:sz="12" w:space="0" w:color="auto"/>
              <w:left w:val="nil"/>
              <w:bottom w:val="nil"/>
              <w:right w:val="single" w:sz="12" w:space="0" w:color="auto"/>
            </w:tcBorders>
            <w:vAlign w:val="center"/>
          </w:tcPr>
          <w:p w14:paraId="77A89BB9" w14:textId="77777777" w:rsidR="00921E85" w:rsidRDefault="00921E85" w:rsidP="002145C2">
            <w:pPr>
              <w:jc w:val="center"/>
            </w:pPr>
            <w:r>
              <w:t>III.7.2.1</w:t>
            </w:r>
            <w:r w:rsidRPr="00036C18">
              <w:rPr>
                <w:vertAlign w:val="superscript"/>
              </w:rPr>
              <w:t>b</w:t>
            </w:r>
          </w:p>
          <w:p w14:paraId="1A6AF980" w14:textId="77777777" w:rsidR="00921E85" w:rsidRDefault="00921E85" w:rsidP="002145C2">
            <w:pPr>
              <w:jc w:val="center"/>
            </w:pPr>
            <w:r>
              <w:t>III.7.2.2</w:t>
            </w:r>
            <w:r w:rsidRPr="00036C18">
              <w:rPr>
                <w:vertAlign w:val="superscript"/>
              </w:rPr>
              <w:t>b</w:t>
            </w:r>
          </w:p>
          <w:p w14:paraId="14F26F8E" w14:textId="77777777" w:rsidR="00921E85" w:rsidRDefault="00921E85" w:rsidP="002145C2">
            <w:pPr>
              <w:jc w:val="center"/>
            </w:pPr>
            <w:r>
              <w:t>III.7.2.3</w:t>
            </w:r>
            <w:r w:rsidRPr="00036C18">
              <w:rPr>
                <w:vertAlign w:val="superscript"/>
              </w:rPr>
              <w:t>b</w:t>
            </w:r>
          </w:p>
        </w:tc>
        <w:tc>
          <w:tcPr>
            <w:tcW w:w="2016" w:type="dxa"/>
            <w:tcBorders>
              <w:top w:val="single" w:sz="12" w:space="0" w:color="auto"/>
              <w:left w:val="single" w:sz="12" w:space="0" w:color="auto"/>
              <w:bottom w:val="single" w:sz="4" w:space="0" w:color="808080" w:themeColor="background1" w:themeShade="80"/>
              <w:right w:val="nil"/>
            </w:tcBorders>
            <w:vAlign w:val="center"/>
          </w:tcPr>
          <w:p w14:paraId="33AE5C13" w14:textId="77777777" w:rsidR="00921E85" w:rsidRPr="00741DEB" w:rsidRDefault="00921E85" w:rsidP="002145C2">
            <w:pPr>
              <w:jc w:val="center"/>
              <w:rPr>
                <w:vertAlign w:val="subscript"/>
              </w:rPr>
            </w:pPr>
            <w:r>
              <w:t>HRh(CO)</w:t>
            </w:r>
            <w:r w:rsidRPr="00F23F7D">
              <w:t>(</w:t>
            </w:r>
            <w:r>
              <w:t>PPh</w:t>
            </w:r>
            <w:r w:rsidRPr="00F23F7D">
              <w:rPr>
                <w:vertAlign w:val="subscript"/>
              </w:rPr>
              <w:t>3</w:t>
            </w:r>
            <w:r>
              <w:t>)</w:t>
            </w:r>
            <w:r w:rsidRPr="009774E0">
              <w:rPr>
                <w:vertAlign w:val="subscript"/>
              </w:rPr>
              <w:t>3</w:t>
            </w:r>
          </w:p>
        </w:tc>
        <w:tc>
          <w:tcPr>
            <w:tcW w:w="1872" w:type="dxa"/>
            <w:tcBorders>
              <w:top w:val="single" w:sz="12" w:space="0" w:color="auto"/>
              <w:left w:val="nil"/>
              <w:bottom w:val="single" w:sz="4" w:space="0" w:color="808080" w:themeColor="background1" w:themeShade="80"/>
              <w:right w:val="single" w:sz="4" w:space="0" w:color="808080" w:themeColor="background1" w:themeShade="80"/>
            </w:tcBorders>
            <w:vAlign w:val="center"/>
          </w:tcPr>
          <w:p w14:paraId="430F154D" w14:textId="77777777" w:rsidR="00921E85" w:rsidRDefault="00921E85" w:rsidP="002145C2">
            <w:pPr>
              <w:jc w:val="center"/>
            </w:pPr>
            <w:r>
              <w:t>-</w:t>
            </w:r>
          </w:p>
          <w:p w14:paraId="34B100FE" w14:textId="77777777" w:rsidR="00921E85" w:rsidRDefault="00921E85" w:rsidP="002145C2">
            <w:pPr>
              <w:jc w:val="center"/>
            </w:pPr>
            <w:r>
              <w:t>DPPE 25 mol%</w:t>
            </w:r>
          </w:p>
          <w:p w14:paraId="057FD7D5" w14:textId="77777777" w:rsidR="00921E85" w:rsidRDefault="00921E85" w:rsidP="002145C2">
            <w:pPr>
              <w:jc w:val="center"/>
            </w:pPr>
            <w:r>
              <w:t>PPh</w:t>
            </w:r>
            <w:r w:rsidRPr="00F23F7D">
              <w:rPr>
                <w:vertAlign w:val="subscript"/>
              </w:rPr>
              <w:t>3</w:t>
            </w:r>
            <w:r>
              <w:t xml:space="preserve"> 100 mol%</w:t>
            </w:r>
          </w:p>
        </w:tc>
        <w:tc>
          <w:tcPr>
            <w:tcW w:w="676" w:type="dxa"/>
            <w:tcBorders>
              <w:top w:val="single" w:sz="12" w:space="0" w:color="auto"/>
              <w:left w:val="single" w:sz="4" w:space="0" w:color="808080" w:themeColor="background1" w:themeShade="80"/>
              <w:bottom w:val="single" w:sz="4" w:space="0" w:color="808080" w:themeColor="background1" w:themeShade="80"/>
              <w:right w:val="dashed" w:sz="4" w:space="0" w:color="808080" w:themeColor="background1" w:themeShade="80"/>
            </w:tcBorders>
            <w:vAlign w:val="center"/>
          </w:tcPr>
          <w:p w14:paraId="1487CBC4" w14:textId="77777777" w:rsidR="00921E85" w:rsidRDefault="00921E85" w:rsidP="002145C2">
            <w:pPr>
              <w:jc w:val="center"/>
            </w:pPr>
            <w:r>
              <w:t>0.1</w:t>
            </w:r>
          </w:p>
          <w:p w14:paraId="38A0D953" w14:textId="77777777" w:rsidR="00921E85" w:rsidRDefault="00921E85" w:rsidP="002145C2">
            <w:pPr>
              <w:jc w:val="center"/>
            </w:pPr>
            <w:r>
              <w:t>0.2</w:t>
            </w:r>
          </w:p>
          <w:p w14:paraId="0DBE04B2" w14:textId="77777777" w:rsidR="00921E85" w:rsidRDefault="00921E85" w:rsidP="002145C2">
            <w:pPr>
              <w:jc w:val="center"/>
            </w:pPr>
            <w:r>
              <w:t>0.2</w:t>
            </w:r>
          </w:p>
        </w:tc>
        <w:tc>
          <w:tcPr>
            <w:tcW w:w="677" w:type="dxa"/>
            <w:tcBorders>
              <w:top w:val="single" w:sz="12" w:space="0" w:color="auto"/>
              <w:left w:val="dashed" w:sz="4" w:space="0" w:color="808080" w:themeColor="background1" w:themeShade="80"/>
              <w:bottom w:val="single" w:sz="4" w:space="0" w:color="808080" w:themeColor="background1" w:themeShade="80"/>
              <w:right w:val="nil"/>
            </w:tcBorders>
            <w:vAlign w:val="center"/>
          </w:tcPr>
          <w:p w14:paraId="4DC6D557" w14:textId="77777777" w:rsidR="00921E85" w:rsidRPr="00295D37" w:rsidRDefault="00921E85" w:rsidP="002145C2">
            <w:pPr>
              <w:jc w:val="center"/>
              <w:rPr>
                <w:b/>
              </w:rPr>
            </w:pPr>
            <w:r w:rsidRPr="00295D37">
              <w:rPr>
                <w:b/>
              </w:rPr>
              <w:t>5.3</w:t>
            </w:r>
          </w:p>
          <w:p w14:paraId="5FF338AE" w14:textId="77777777" w:rsidR="00921E85" w:rsidRDefault="00921E85" w:rsidP="002145C2">
            <w:pPr>
              <w:jc w:val="center"/>
            </w:pPr>
            <w:r>
              <w:t>0.3</w:t>
            </w:r>
          </w:p>
          <w:p w14:paraId="10D24F65" w14:textId="77777777" w:rsidR="00921E85" w:rsidRDefault="00921E85" w:rsidP="002145C2">
            <w:pPr>
              <w:jc w:val="center"/>
            </w:pPr>
            <w:r>
              <w:t>0.3</w:t>
            </w:r>
          </w:p>
        </w:tc>
        <w:tc>
          <w:tcPr>
            <w:tcW w:w="677" w:type="dxa"/>
            <w:tcBorders>
              <w:top w:val="single" w:sz="12" w:space="0" w:color="auto"/>
              <w:left w:val="dashed" w:sz="4" w:space="0" w:color="808080" w:themeColor="background1" w:themeShade="80"/>
              <w:bottom w:val="single" w:sz="4" w:space="0" w:color="808080" w:themeColor="background1" w:themeShade="80"/>
              <w:right w:val="nil"/>
            </w:tcBorders>
            <w:vAlign w:val="center"/>
          </w:tcPr>
          <w:p w14:paraId="6F3C838C" w14:textId="77777777" w:rsidR="00921E85" w:rsidRDefault="00921E85" w:rsidP="002145C2">
            <w:pPr>
              <w:jc w:val="center"/>
            </w:pPr>
            <w:r>
              <w:t>1.6</w:t>
            </w:r>
          </w:p>
          <w:p w14:paraId="7F8F71FD" w14:textId="77777777" w:rsidR="00921E85" w:rsidRPr="00295D37" w:rsidRDefault="00921E85" w:rsidP="002145C2">
            <w:pPr>
              <w:jc w:val="center"/>
              <w:rPr>
                <w:b/>
              </w:rPr>
            </w:pPr>
            <w:r w:rsidRPr="00295D37">
              <w:rPr>
                <w:b/>
              </w:rPr>
              <w:t>2.8</w:t>
            </w:r>
          </w:p>
          <w:p w14:paraId="3D14F8E9" w14:textId="77777777" w:rsidR="00921E85" w:rsidRPr="00295D37" w:rsidRDefault="00921E85" w:rsidP="002145C2">
            <w:pPr>
              <w:jc w:val="center"/>
              <w:rPr>
                <w:b/>
              </w:rPr>
            </w:pPr>
            <w:r w:rsidRPr="00295D37">
              <w:rPr>
                <w:b/>
              </w:rPr>
              <w:t>3.6</w:t>
            </w:r>
          </w:p>
        </w:tc>
        <w:tc>
          <w:tcPr>
            <w:tcW w:w="677" w:type="dxa"/>
            <w:tcBorders>
              <w:top w:val="single" w:sz="12" w:space="0" w:color="auto"/>
              <w:left w:val="dashed" w:sz="4" w:space="0" w:color="808080" w:themeColor="background1" w:themeShade="80"/>
              <w:bottom w:val="single" w:sz="4" w:space="0" w:color="808080" w:themeColor="background1" w:themeShade="80"/>
              <w:right w:val="nil"/>
            </w:tcBorders>
            <w:vAlign w:val="center"/>
          </w:tcPr>
          <w:p w14:paraId="689DE22D" w14:textId="77777777" w:rsidR="00921E85" w:rsidRDefault="00921E85" w:rsidP="002145C2">
            <w:pPr>
              <w:jc w:val="center"/>
            </w:pPr>
            <w:r>
              <w:t>2.0</w:t>
            </w:r>
          </w:p>
          <w:p w14:paraId="0BFAC8E5" w14:textId="77777777" w:rsidR="00921E85" w:rsidRDefault="00921E85" w:rsidP="002145C2">
            <w:pPr>
              <w:jc w:val="center"/>
            </w:pPr>
            <w:r>
              <w:t>0.9</w:t>
            </w:r>
          </w:p>
          <w:p w14:paraId="2EF9A5ED" w14:textId="77777777" w:rsidR="00921E85" w:rsidRDefault="00921E85" w:rsidP="002145C2">
            <w:pPr>
              <w:jc w:val="center"/>
            </w:pPr>
            <w:r>
              <w:t>0.8</w:t>
            </w:r>
          </w:p>
        </w:tc>
        <w:tc>
          <w:tcPr>
            <w:tcW w:w="677" w:type="dxa"/>
            <w:gridSpan w:val="2"/>
            <w:tcBorders>
              <w:top w:val="single" w:sz="12" w:space="0" w:color="auto"/>
              <w:left w:val="dashed" w:sz="4" w:space="0" w:color="808080" w:themeColor="background1" w:themeShade="80"/>
              <w:bottom w:val="single" w:sz="4" w:space="0" w:color="808080" w:themeColor="background1" w:themeShade="80"/>
              <w:right w:val="nil"/>
            </w:tcBorders>
            <w:vAlign w:val="center"/>
          </w:tcPr>
          <w:p w14:paraId="3A5F396F" w14:textId="77777777" w:rsidR="00921E85" w:rsidRDefault="00921E85" w:rsidP="002145C2">
            <w:pPr>
              <w:jc w:val="center"/>
            </w:pPr>
            <w:r>
              <w:t>1.0</w:t>
            </w:r>
          </w:p>
          <w:p w14:paraId="722B23F9" w14:textId="77777777" w:rsidR="00921E85" w:rsidRPr="00295D37" w:rsidRDefault="00921E85" w:rsidP="002145C2">
            <w:pPr>
              <w:jc w:val="center"/>
              <w:rPr>
                <w:b/>
              </w:rPr>
            </w:pPr>
            <w:r w:rsidRPr="00295D37">
              <w:rPr>
                <w:b/>
              </w:rPr>
              <w:t>5.8</w:t>
            </w:r>
          </w:p>
          <w:p w14:paraId="7C1000B0" w14:textId="77777777" w:rsidR="00921E85" w:rsidRPr="00295D37" w:rsidRDefault="00921E85" w:rsidP="002145C2">
            <w:pPr>
              <w:jc w:val="center"/>
              <w:rPr>
                <w:b/>
              </w:rPr>
            </w:pPr>
            <w:r w:rsidRPr="00295D37">
              <w:rPr>
                <w:b/>
              </w:rPr>
              <w:t>5.1</w:t>
            </w:r>
          </w:p>
        </w:tc>
      </w:tr>
      <w:tr w:rsidR="00921E85" w14:paraId="047A78C0" w14:textId="77777777" w:rsidTr="00457EC7">
        <w:trPr>
          <w:jc w:val="center"/>
        </w:trPr>
        <w:tc>
          <w:tcPr>
            <w:tcW w:w="1076" w:type="dxa"/>
            <w:tcBorders>
              <w:top w:val="nil"/>
              <w:left w:val="nil"/>
              <w:bottom w:val="nil"/>
              <w:right w:val="single" w:sz="12" w:space="0" w:color="auto"/>
            </w:tcBorders>
            <w:vAlign w:val="center"/>
          </w:tcPr>
          <w:p w14:paraId="089A9D8E" w14:textId="77777777" w:rsidR="00921E85" w:rsidRDefault="00921E85" w:rsidP="002145C2">
            <w:pPr>
              <w:jc w:val="center"/>
            </w:pPr>
            <w:r>
              <w:t>III.7.2.4</w:t>
            </w:r>
            <w:r>
              <w:rPr>
                <w:vertAlign w:val="superscript"/>
              </w:rPr>
              <w:t>c</w:t>
            </w:r>
          </w:p>
          <w:p w14:paraId="2E9AFAB2" w14:textId="77777777" w:rsidR="00921E85" w:rsidRDefault="00921E85" w:rsidP="002145C2">
            <w:pPr>
              <w:jc w:val="center"/>
            </w:pPr>
            <w:r>
              <w:t>III.7.2.5</w:t>
            </w:r>
            <w:r>
              <w:rPr>
                <w:vertAlign w:val="superscript"/>
              </w:rPr>
              <w:t>c</w:t>
            </w:r>
          </w:p>
        </w:tc>
        <w:tc>
          <w:tcPr>
            <w:tcW w:w="2016" w:type="dxa"/>
            <w:tcBorders>
              <w:top w:val="single" w:sz="4" w:space="0" w:color="808080" w:themeColor="background1" w:themeShade="80"/>
              <w:left w:val="single" w:sz="12" w:space="0" w:color="auto"/>
              <w:bottom w:val="nil"/>
              <w:right w:val="nil"/>
            </w:tcBorders>
            <w:vAlign w:val="center"/>
          </w:tcPr>
          <w:p w14:paraId="0A905BA7" w14:textId="77777777" w:rsidR="00921E85" w:rsidRPr="006F0CA0" w:rsidRDefault="00921E85" w:rsidP="002145C2">
            <w:pPr>
              <w:jc w:val="center"/>
            </w:pPr>
            <w:r w:rsidRPr="00DD198C">
              <w:t>Co</w:t>
            </w:r>
            <w:r w:rsidRPr="00DD198C">
              <w:rPr>
                <w:vertAlign w:val="subscript"/>
              </w:rPr>
              <w:t>2</w:t>
            </w:r>
            <w:r w:rsidRPr="00DD198C">
              <w:t>(CO)</w:t>
            </w:r>
            <w:r w:rsidRPr="00DD198C">
              <w:rPr>
                <w:vertAlign w:val="subscript"/>
              </w:rPr>
              <w:t>8</w:t>
            </w:r>
          </w:p>
        </w:tc>
        <w:tc>
          <w:tcPr>
            <w:tcW w:w="1872" w:type="dxa"/>
            <w:tcBorders>
              <w:top w:val="single" w:sz="4" w:space="0" w:color="808080" w:themeColor="background1" w:themeShade="80"/>
              <w:left w:val="nil"/>
              <w:bottom w:val="nil"/>
              <w:right w:val="single" w:sz="4" w:space="0" w:color="808080" w:themeColor="background1" w:themeShade="80"/>
            </w:tcBorders>
            <w:vAlign w:val="center"/>
          </w:tcPr>
          <w:p w14:paraId="5F18D91A" w14:textId="77777777" w:rsidR="00921E85" w:rsidRDefault="00921E85" w:rsidP="002145C2">
            <w:pPr>
              <w:jc w:val="center"/>
            </w:pPr>
            <w:r>
              <w:t>-</w:t>
            </w:r>
          </w:p>
          <w:p w14:paraId="574DA691" w14:textId="77777777" w:rsidR="00921E85" w:rsidRDefault="00921E85" w:rsidP="002145C2">
            <w:pPr>
              <w:jc w:val="center"/>
            </w:pPr>
            <w:r>
              <w:t>500 psi</w:t>
            </w:r>
          </w:p>
        </w:tc>
        <w:tc>
          <w:tcPr>
            <w:tcW w:w="676" w:type="dxa"/>
            <w:tcBorders>
              <w:top w:val="single" w:sz="4" w:space="0" w:color="808080" w:themeColor="background1" w:themeShade="80"/>
              <w:left w:val="single" w:sz="4" w:space="0" w:color="808080" w:themeColor="background1" w:themeShade="80"/>
              <w:bottom w:val="nil"/>
              <w:right w:val="dashed" w:sz="4" w:space="0" w:color="808080" w:themeColor="background1" w:themeShade="80"/>
            </w:tcBorders>
            <w:vAlign w:val="center"/>
          </w:tcPr>
          <w:p w14:paraId="58FBE6A2" w14:textId="77777777" w:rsidR="00921E85" w:rsidRDefault="00921E85" w:rsidP="002145C2">
            <w:pPr>
              <w:jc w:val="center"/>
            </w:pPr>
            <w:r>
              <w:t>0.2</w:t>
            </w:r>
          </w:p>
          <w:p w14:paraId="52CBCC83" w14:textId="77777777" w:rsidR="00921E85" w:rsidRDefault="00921E85" w:rsidP="002145C2">
            <w:pPr>
              <w:jc w:val="center"/>
            </w:pPr>
            <w:r w:rsidRPr="00295D37">
              <w:rPr>
                <w:b/>
              </w:rPr>
              <w:t>6.7</w:t>
            </w:r>
          </w:p>
        </w:tc>
        <w:tc>
          <w:tcPr>
            <w:tcW w:w="677" w:type="dxa"/>
            <w:tcBorders>
              <w:top w:val="single" w:sz="4" w:space="0" w:color="808080" w:themeColor="background1" w:themeShade="80"/>
              <w:left w:val="dashed" w:sz="4" w:space="0" w:color="808080" w:themeColor="background1" w:themeShade="80"/>
              <w:bottom w:val="nil"/>
              <w:right w:val="nil"/>
            </w:tcBorders>
            <w:vAlign w:val="center"/>
          </w:tcPr>
          <w:p w14:paraId="6F719A80" w14:textId="77777777" w:rsidR="00921E85" w:rsidRPr="00295D37" w:rsidRDefault="00921E85" w:rsidP="002145C2">
            <w:pPr>
              <w:jc w:val="center"/>
              <w:rPr>
                <w:b/>
              </w:rPr>
            </w:pPr>
            <w:r w:rsidRPr="00295D37">
              <w:rPr>
                <w:b/>
              </w:rPr>
              <w:t>8.7</w:t>
            </w:r>
          </w:p>
          <w:p w14:paraId="74410354" w14:textId="77777777" w:rsidR="00921E85" w:rsidRDefault="00921E85" w:rsidP="002145C2">
            <w:pPr>
              <w:jc w:val="center"/>
            </w:pPr>
            <w:r>
              <w:t>3.3</w:t>
            </w:r>
          </w:p>
        </w:tc>
        <w:tc>
          <w:tcPr>
            <w:tcW w:w="677" w:type="dxa"/>
            <w:tcBorders>
              <w:top w:val="single" w:sz="4" w:space="0" w:color="808080" w:themeColor="background1" w:themeShade="80"/>
              <w:left w:val="dashed" w:sz="4" w:space="0" w:color="808080" w:themeColor="background1" w:themeShade="80"/>
              <w:bottom w:val="nil"/>
              <w:right w:val="nil"/>
            </w:tcBorders>
            <w:vAlign w:val="center"/>
          </w:tcPr>
          <w:p w14:paraId="7D299DD4" w14:textId="77777777" w:rsidR="00921E85" w:rsidRDefault="00921E85" w:rsidP="002145C2">
            <w:pPr>
              <w:jc w:val="center"/>
            </w:pPr>
            <w:r>
              <w:t>1.0</w:t>
            </w:r>
          </w:p>
          <w:p w14:paraId="4098D902" w14:textId="77777777" w:rsidR="00921E85" w:rsidRDefault="00921E85" w:rsidP="002145C2">
            <w:pPr>
              <w:jc w:val="center"/>
            </w:pPr>
            <w:r>
              <w:t>0</w:t>
            </w:r>
          </w:p>
        </w:tc>
        <w:tc>
          <w:tcPr>
            <w:tcW w:w="677" w:type="dxa"/>
            <w:tcBorders>
              <w:top w:val="single" w:sz="4" w:space="0" w:color="808080" w:themeColor="background1" w:themeShade="80"/>
              <w:left w:val="dashed" w:sz="4" w:space="0" w:color="808080" w:themeColor="background1" w:themeShade="80"/>
              <w:bottom w:val="nil"/>
              <w:right w:val="nil"/>
            </w:tcBorders>
            <w:vAlign w:val="center"/>
          </w:tcPr>
          <w:p w14:paraId="42C9F978" w14:textId="77777777" w:rsidR="00921E85" w:rsidRDefault="00921E85" w:rsidP="002145C2">
            <w:pPr>
              <w:jc w:val="center"/>
            </w:pPr>
            <w:r>
              <w:t>0</w:t>
            </w:r>
          </w:p>
          <w:p w14:paraId="59743EF8" w14:textId="77777777" w:rsidR="00921E85" w:rsidRDefault="00921E85" w:rsidP="002145C2">
            <w:pPr>
              <w:jc w:val="center"/>
            </w:pPr>
            <w:r>
              <w:t>0</w:t>
            </w:r>
          </w:p>
        </w:tc>
        <w:tc>
          <w:tcPr>
            <w:tcW w:w="677" w:type="dxa"/>
            <w:gridSpan w:val="2"/>
            <w:tcBorders>
              <w:top w:val="single" w:sz="4" w:space="0" w:color="808080" w:themeColor="background1" w:themeShade="80"/>
              <w:left w:val="dashed" w:sz="4" w:space="0" w:color="808080" w:themeColor="background1" w:themeShade="80"/>
              <w:bottom w:val="nil"/>
              <w:right w:val="nil"/>
            </w:tcBorders>
            <w:vAlign w:val="center"/>
          </w:tcPr>
          <w:p w14:paraId="5BA089C8" w14:textId="77777777" w:rsidR="00921E85" w:rsidRDefault="00921E85" w:rsidP="002145C2">
            <w:pPr>
              <w:jc w:val="center"/>
            </w:pPr>
            <w:r>
              <w:t>0</w:t>
            </w:r>
          </w:p>
          <w:p w14:paraId="38D2A7C1" w14:textId="77777777" w:rsidR="00921E85" w:rsidRDefault="00921E85" w:rsidP="002145C2">
            <w:pPr>
              <w:jc w:val="center"/>
            </w:pPr>
            <w:r>
              <w:t>0</w:t>
            </w:r>
          </w:p>
        </w:tc>
      </w:tr>
      <w:tr w:rsidR="00921E85" w14:paraId="16026515" w14:textId="77777777" w:rsidTr="00457EC7">
        <w:trPr>
          <w:gridAfter w:val="1"/>
          <w:wAfter w:w="48" w:type="dxa"/>
          <w:trHeight w:val="305"/>
          <w:jc w:val="center"/>
        </w:trPr>
        <w:tc>
          <w:tcPr>
            <w:tcW w:w="8300" w:type="dxa"/>
            <w:gridSpan w:val="8"/>
            <w:tcBorders>
              <w:top w:val="nil"/>
              <w:left w:val="nil"/>
              <w:bottom w:val="nil"/>
              <w:right w:val="nil"/>
            </w:tcBorders>
            <w:vAlign w:val="center"/>
          </w:tcPr>
          <w:p w14:paraId="697704DC" w14:textId="77777777" w:rsidR="00921E85" w:rsidRPr="00A0530A" w:rsidRDefault="00921E85" w:rsidP="002145C2">
            <w:pPr>
              <w:rPr>
                <w:sz w:val="18"/>
              </w:rPr>
            </w:pPr>
            <w:r w:rsidRPr="00A0530A">
              <w:rPr>
                <w:sz w:val="18"/>
              </w:rPr>
              <w:t>a)</w:t>
            </w:r>
            <w:r>
              <w:rPr>
                <w:sz w:val="18"/>
              </w:rPr>
              <w:t>Ratios</w:t>
            </w:r>
            <w:r w:rsidRPr="00A0530A">
              <w:rPr>
                <w:sz w:val="18"/>
              </w:rPr>
              <w:t xml:space="preserve"> </w:t>
            </w:r>
            <w:r>
              <w:rPr>
                <w:sz w:val="18"/>
              </w:rPr>
              <w:t>o</w:t>
            </w:r>
            <w:r w:rsidRPr="00A0530A">
              <w:rPr>
                <w:sz w:val="18"/>
              </w:rPr>
              <w:t xml:space="preserve">btained by </w:t>
            </w:r>
            <w:r w:rsidRPr="00F12C84">
              <w:rPr>
                <w:sz w:val="18"/>
                <w:vertAlign w:val="superscript"/>
              </w:rPr>
              <w:t>1</w:t>
            </w:r>
            <w:r>
              <w:rPr>
                <w:sz w:val="18"/>
              </w:rPr>
              <w:t xml:space="preserve">H </w:t>
            </w:r>
            <w:r w:rsidRPr="00A0530A">
              <w:rPr>
                <w:sz w:val="18"/>
              </w:rPr>
              <w:t>NMR</w:t>
            </w:r>
            <w:r>
              <w:rPr>
                <w:sz w:val="18"/>
              </w:rPr>
              <w:t>, b) 2.5 mol% of catalyst, c) 5 mol% of catalyst</w:t>
            </w:r>
          </w:p>
        </w:tc>
      </w:tr>
    </w:tbl>
    <w:p w14:paraId="74ECA573" w14:textId="77777777" w:rsidR="00921E85" w:rsidRDefault="00921E85" w:rsidP="002145C2">
      <w:pPr>
        <w:jc w:val="both"/>
      </w:pPr>
    </w:p>
    <w:p w14:paraId="35943047" w14:textId="77777777" w:rsidR="00921E85" w:rsidRDefault="00921E85" w:rsidP="002145C2">
      <w:pPr>
        <w:ind w:firstLine="360"/>
        <w:jc w:val="both"/>
      </w:pPr>
      <w:r>
        <w:t xml:space="preserve">When we used the </w:t>
      </w:r>
      <w:r w:rsidRPr="00DD198C">
        <w:t xml:space="preserve">rhodium catalyst without additives, entry </w:t>
      </w:r>
      <w:r w:rsidR="00503297">
        <w:t>III.7.</w:t>
      </w:r>
      <w:r w:rsidRPr="00DD198C">
        <w:t xml:space="preserve">2.1, we found by </w:t>
      </w:r>
      <w:r w:rsidRPr="00DD198C">
        <w:rPr>
          <w:vertAlign w:val="superscript"/>
        </w:rPr>
        <w:t>1</w:t>
      </w:r>
      <w:r w:rsidRPr="00DD198C">
        <w:t xml:space="preserve">H NMR the internal (isomerized) alkene to be the major component of the reaction mixture along with some hydroformylation product (ratio b:c, 5.3:1.6). Pittman and Hirao reported the use of added 1,2-bis(diphenylphosphino)ethane (dppe) ligand in the reaction improved the yield of the hydroformylation reaction. We tried dppe as an additive in the reaction, entry </w:t>
      </w:r>
      <w:r w:rsidR="00503297">
        <w:t>III.7.</w:t>
      </w:r>
      <w:r w:rsidRPr="00DD198C">
        <w:t xml:space="preserve">2.2, and observed a major improvement in the alkene conversion; the major products of this reaction were aldehydes and acetals. We presume that the alcohols are formed in the reaction by reduction of the aldehydes in the presence of hydrogen; the alcohols can then form acetals with the aldehydes present in the reaction. Overall the </w:t>
      </w:r>
      <w:r>
        <w:t>ratio of alkenes to hydroformylation derived products is 0.5 to 9.5. This result demonstrate a good selectivity to the hydroformylation reaction.</w:t>
      </w:r>
    </w:p>
    <w:p w14:paraId="110CE53E" w14:textId="77777777" w:rsidR="00921E85" w:rsidRDefault="00921E85" w:rsidP="002145C2">
      <w:pPr>
        <w:ind w:firstLine="360"/>
        <w:jc w:val="both"/>
      </w:pPr>
      <w:r w:rsidRPr="00DD198C">
        <w:t xml:space="preserve">Considering the use of this diphosphine-catalyst combination in a tandem DODH-HF reaction, we </w:t>
      </w:r>
      <w:r w:rsidRPr="009F393B">
        <w:rPr>
          <w:rFonts w:cstheme="minorHAnsi"/>
        </w:rPr>
        <w:t>recognize that the presence of free phosphine could serve as a stoichiometric reductant for DODH.</w:t>
      </w:r>
      <w:r w:rsidRPr="009F393B">
        <w:rPr>
          <w:rFonts w:cstheme="minorHAnsi"/>
        </w:rPr>
        <w:fldChar w:fldCharType="begin"/>
      </w:r>
      <w:r w:rsidR="00F8513E" w:rsidRPr="009F393B">
        <w:rPr>
          <w:rFonts w:cstheme="minorHAnsi"/>
        </w:rPr>
        <w:instrText xml:space="preserve"> ADDIN ZOTERO_ITEM CSL_CITATION {"citationID":"1m12n8ur5a","properties":{"formattedCitation":"{\\rtf \\super 23\\nosupersub{}}","plainCitation":"23"},"citationItems":[{"id":68,"uris":["http://zotero.org/users/1624234/items/5E67XMES"],"uri":["http://zotero.org/users/1624234/items/5E67XMES"],"itemData":{"id":68,"type":"article-journal","title":"Toward Nonoxidative Routes to Oxygenated Organics:  Stereospecific Deoxydehydration of Diols and Polyols to Alkenes and Allylic Alcohols Catalyzed by the Metal Oxo Complex (C5Me5)ReO3","container-title":"Journal of the American Chemical Society","page":"9448-9449","volume":"118","issue":"39","source":"ACS Publications","DOI":"10.1021/ja9620604","ISSN":"0002-7863","shortTitle":"Toward Nonoxidative Routes to Oxygenated Organics","journalAbbreviation":"J. Am. Chem. Soc.","author":[{"family":"Cook","given":"Gerald K."},{"family":"Andrews","given":"Mark A."}],"issued":{"date-parts":[["1996",1,1]]}}}],"schema":"https://github.com/citation-style-language/schema/raw/master/csl-citation.json"} </w:instrText>
      </w:r>
      <w:r w:rsidRPr="009F393B">
        <w:rPr>
          <w:rFonts w:cstheme="minorHAnsi"/>
        </w:rPr>
        <w:fldChar w:fldCharType="separate"/>
      </w:r>
      <w:r w:rsidR="00F8513E" w:rsidRPr="009F393B">
        <w:rPr>
          <w:rFonts w:cstheme="minorHAnsi"/>
          <w:sz w:val="22"/>
          <w:vertAlign w:val="superscript"/>
        </w:rPr>
        <w:t>23</w:t>
      </w:r>
      <w:r w:rsidRPr="009F393B">
        <w:rPr>
          <w:rFonts w:cstheme="minorHAnsi"/>
        </w:rPr>
        <w:fldChar w:fldCharType="end"/>
      </w:r>
      <w:r w:rsidRPr="009F393B">
        <w:rPr>
          <w:rFonts w:cstheme="minorHAnsi"/>
        </w:rPr>
        <w:t xml:space="preserve"> Accordingly, we tested the hydroformylation of 1-hexene with added PPh</w:t>
      </w:r>
      <w:r w:rsidRPr="009F393B">
        <w:rPr>
          <w:rFonts w:cstheme="minorHAnsi"/>
          <w:vertAlign w:val="subscript"/>
        </w:rPr>
        <w:t>3</w:t>
      </w:r>
      <w:r w:rsidRPr="009F393B">
        <w:rPr>
          <w:rFonts w:cstheme="minorHAnsi"/>
        </w:rPr>
        <w:t xml:space="preserve"> (1 equivalent) (entry </w:t>
      </w:r>
      <w:r w:rsidR="00503297" w:rsidRPr="009F393B">
        <w:rPr>
          <w:rFonts w:cstheme="minorHAnsi"/>
        </w:rPr>
        <w:t>III.7.</w:t>
      </w:r>
      <w:r w:rsidRPr="009F393B">
        <w:rPr>
          <w:rFonts w:cstheme="minorHAnsi"/>
        </w:rPr>
        <w:t>2.3).</w:t>
      </w:r>
      <w:r w:rsidRPr="009F393B">
        <w:rPr>
          <w:rFonts w:cstheme="minorHAnsi"/>
        </w:rPr>
        <w:fldChar w:fldCharType="begin"/>
      </w:r>
      <w:r w:rsidR="00F8513E" w:rsidRPr="009F393B">
        <w:rPr>
          <w:rFonts w:cstheme="minorHAnsi"/>
        </w:rPr>
        <w:instrText xml:space="preserve"> ADDIN ZOTERO_ITEM CSL_CITATION {"citationID":"239kq81icb","properties":{"formattedCitation":"{\\rtf \\super 23\\nosupersub{}}","plainCitation":"23"},"citationItems":[{"id":68,"uris":["http://zotero.org/users/1624234/items/5E67XMES"],"uri":["http://zotero.org/users/1624234/items/5E67XMES"],"itemData":{"id":68,"type":"article-journal","title":"Toward Nonoxidative Routes to Oxygenated Organics:  Stereospecific Deoxydehydration of Diols and Polyols to Alkenes and Allylic Alcohols Catalyzed by the Metal Oxo Complex (C5Me5)ReO3","container-title":"Journal of the American Chemical Society","page":"9448-9449","volume":"118","issue":"39","source":"ACS Publications","DOI":"10.1021/ja9620604","ISSN":"0002-7863","shortTitle":"Toward Nonoxidative Routes to Oxygenated Organics","journalAbbreviation":"J. Am. Chem. Soc.","author":[{"family":"Cook","given":"Gerald K."},{"family":"Andrews","given":"Mark A."}],"issued":{"date-parts":[["1996",1,1]]}}}],"schema":"https://github.com/citation-style-language/schema/raw/master/csl-citation.json"} </w:instrText>
      </w:r>
      <w:r w:rsidRPr="009F393B">
        <w:rPr>
          <w:rFonts w:cstheme="minorHAnsi"/>
        </w:rPr>
        <w:fldChar w:fldCharType="separate"/>
      </w:r>
      <w:r w:rsidR="00F8513E" w:rsidRPr="009F393B">
        <w:rPr>
          <w:rFonts w:cstheme="minorHAnsi"/>
          <w:sz w:val="22"/>
          <w:vertAlign w:val="superscript"/>
        </w:rPr>
        <w:t>23</w:t>
      </w:r>
      <w:r w:rsidRPr="009F393B">
        <w:rPr>
          <w:rFonts w:cstheme="minorHAnsi"/>
        </w:rPr>
        <w:fldChar w:fldCharType="end"/>
      </w:r>
      <w:r>
        <w:t xml:space="preserve"> In this reaction we observed a similar product </w:t>
      </w:r>
      <w:r w:rsidRPr="00DD198C">
        <w:t>distribution as in the reaction with added dppe</w:t>
      </w:r>
      <w:r>
        <w:t xml:space="preserve">. The use of </w:t>
      </w:r>
      <w:r w:rsidRPr="00DD198C">
        <w:t xml:space="preserve">triphenylphosphine could now be considered </w:t>
      </w:r>
      <w:r>
        <w:t xml:space="preserve">for the tandem reaction, although its cost and the formation of useless triphenylphosphine oxide would not be ideal. </w:t>
      </w:r>
    </w:p>
    <w:p w14:paraId="36C34002" w14:textId="77777777" w:rsidR="00457EC7" w:rsidRDefault="00457EC7" w:rsidP="002145C2">
      <w:pPr>
        <w:ind w:firstLine="360"/>
        <w:jc w:val="both"/>
      </w:pPr>
    </w:p>
    <w:p w14:paraId="7B7B6750" w14:textId="77777777" w:rsidR="00503297" w:rsidRDefault="00921E85" w:rsidP="00503297">
      <w:pPr>
        <w:keepNext/>
        <w:jc w:val="center"/>
      </w:pPr>
      <w:r w:rsidRPr="007100A8">
        <w:object w:dxaOrig="8054" w:dyaOrig="2402" w14:anchorId="5BE26F7E">
          <v:shape id="_x0000_i1176" type="#_x0000_t75" style="width:333.9pt;height:97.3pt" o:ole="">
            <v:imagedata r:id="rId397" o:title=""/>
          </v:shape>
          <o:OLEObject Type="Embed" ProgID="ChemDraw.Document.6.0" ShapeID="_x0000_i1176" DrawAspect="Content" ObjectID="_1532785010" r:id="rId398"/>
        </w:object>
      </w:r>
    </w:p>
    <w:p w14:paraId="4837590E" w14:textId="77777777" w:rsidR="00921E85" w:rsidRPr="009F393B" w:rsidRDefault="00503297" w:rsidP="00B72DED">
      <w:pPr>
        <w:pStyle w:val="Caption"/>
        <w:rPr>
          <w:rFonts w:cstheme="minorHAnsi"/>
        </w:rPr>
      </w:pPr>
      <w:bookmarkStart w:id="393" w:name="_Ref455843103"/>
      <w:bookmarkStart w:id="394" w:name="_Toc457670780"/>
      <w:r w:rsidRPr="00B72DED">
        <w:t xml:space="preserve">Figure III. </w:t>
      </w:r>
      <w:r w:rsidR="00443010">
        <w:fldChar w:fldCharType="begin"/>
      </w:r>
      <w:r w:rsidR="00443010">
        <w:instrText xml:space="preserve"> STYLEREF 2 \s </w:instrText>
      </w:r>
      <w:r w:rsidR="00443010">
        <w:fldChar w:fldCharType="separate"/>
      </w:r>
      <w:r w:rsidR="000A0E3D">
        <w:rPr>
          <w:noProof/>
        </w:rPr>
        <w:t>7</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11</w:t>
      </w:r>
      <w:r w:rsidR="00443010">
        <w:rPr>
          <w:noProof/>
        </w:rPr>
        <w:fldChar w:fldCharType="end"/>
      </w:r>
      <w:bookmarkEnd w:id="393"/>
      <w:r w:rsidRPr="00B72DED">
        <w:t xml:space="preserve"> </w:t>
      </w:r>
      <w:r w:rsidR="00921E85" w:rsidRPr="00B72DED">
        <w:t xml:space="preserve">Pakkanen Hydroformylation of 1-hexene </w:t>
      </w:r>
      <w:r w:rsidR="009F393B" w:rsidRPr="009F393B">
        <w:rPr>
          <w:rFonts w:cstheme="minorHAnsi"/>
        </w:rPr>
        <w:fldChar w:fldCharType="begin"/>
      </w:r>
      <w:r w:rsidR="009F393B" w:rsidRPr="009F393B">
        <w:rPr>
          <w:rFonts w:cstheme="minorHAnsi"/>
        </w:rPr>
        <w:instrText xml:space="preserve"> ADDIN ZOTERO_ITEM CSL_CITATION {"citationID":"1tqdlb8uu9","properties":{"formattedCitation":"{\\rtf \\super 167\\nosupersub{}}","plainCitation":"167"},"citationItems":[{"id":1767,"uris":["http://zotero.org/users/1624234/items/H9QIKA3S"],"uri":["http://zotero.org/users/1624234/items/H9QIKA3S"],"itemData":{"id":1767,"type":"article-journal","title":"Comparative study of homogeneous catalytic activity of group 8–9 metal compounds in hydroformylation of 1-hexene","container-title":"Journal of Molecular Catalysis","page":"325-334","volume":"73","issue":"3","source":"ScienceDirect","abstract":"Group 8–9 transition-metal compounds, inorganic chlorides, the corresponding carbonyls, and two mixed-metal carbonyl clusters were studied as homogeneous catalyst precursors in 1-hexene hydroformylation under an equimolar carbon monoxide and hydrogen atmosphere (50 bar) at 100 °C. Of the metals studied, the Co and Rh compounds, both as chlorides and as carbonyls, were the most reactive as 1-hexene hydroformylation catalysts. In addition, Ru3(CO)12 showed a modest hydroformylation activity. The regioselectivity, i.e., the ratio of linear to branched products, of the catalysts studied was high for cobalt carbonyls as well as for phosphine- and phosphite-modified rhodium carbonyls and low for binary rhodium carbonyls. The addition of NEt3 as a co-catalyst into the hydroformylation solution of RhCl3·3H2O, Rh2(CO)4Cl2, Rh4(CO)12, and Co2Rh2(CO)12 initiated hydrogenation of aldehydes to the corresponding alcohols in high yield (68–100%). A weaker hydrogenation effect was observed in the cases of Ru3(CO)12 and [PPN][RuRh5(CO)16]. However, the presence of phosphine or phosphite on the rhodium catalyst or in the hydroformylation solution prevented almost completely the effect of the amine as a co-catalyst.","DOI":"10.1016/0304-5102(92)80085-U","ISSN":"0304-5102","journalAbbreviation":"Journal of Molecular Catalysis","author":[{"family":"Alvila","given":"Leila"},{"family":"Pakkanen","given":"Tapani A."},{"family":"Pakkanen","given":"Tuula T."},{"family":"Krause","given":"Outi"}],"issued":{"date-parts":[["1992",6,1]]}}}],"schema":"https://github.com/citation-style-language/schema/raw/master/csl-citation.json"} </w:instrText>
      </w:r>
      <w:r w:rsidR="009F393B" w:rsidRPr="009F393B">
        <w:rPr>
          <w:rFonts w:cstheme="minorHAnsi"/>
        </w:rPr>
        <w:fldChar w:fldCharType="separate"/>
      </w:r>
      <w:r w:rsidR="009F393B" w:rsidRPr="009F393B">
        <w:rPr>
          <w:rFonts w:cstheme="minorHAnsi"/>
          <w:sz w:val="22"/>
          <w:vertAlign w:val="superscript"/>
        </w:rPr>
        <w:t>167</w:t>
      </w:r>
      <w:bookmarkEnd w:id="394"/>
      <w:r w:rsidR="009F393B" w:rsidRPr="009F393B">
        <w:rPr>
          <w:rFonts w:cstheme="minorHAnsi"/>
        </w:rPr>
        <w:fldChar w:fldCharType="end"/>
      </w:r>
    </w:p>
    <w:p w14:paraId="0E6044A2" w14:textId="77777777" w:rsidR="00457EC7" w:rsidRPr="008E4F20" w:rsidRDefault="00457EC7" w:rsidP="002145C2">
      <w:pPr>
        <w:jc w:val="center"/>
        <w:rPr>
          <w:b/>
        </w:rPr>
      </w:pPr>
    </w:p>
    <w:p w14:paraId="1E35A676" w14:textId="77777777" w:rsidR="00921E85" w:rsidRDefault="00921E85" w:rsidP="002145C2">
      <w:pPr>
        <w:ind w:firstLine="360"/>
        <w:jc w:val="both"/>
      </w:pPr>
      <w:r>
        <w:t xml:space="preserve">With </w:t>
      </w:r>
      <w:r w:rsidRPr="00DD198C">
        <w:t>these considerations in mind we also tested a phosphine-free cobalt catalyst for hydroformylation. We started by using the same reaction condition</w:t>
      </w:r>
      <w:r w:rsidR="00CF62BD">
        <w:t>s</w:t>
      </w:r>
      <w:r w:rsidRPr="00DD198C">
        <w:t xml:space="preserve"> as with the rhodium catalyst, entry 2.4. In this case we didn’t see any hydroformylation derived product. The major product found in this reaction was internal alkenes resulting from isomerization</w:t>
      </w:r>
      <w:r>
        <w:t xml:space="preserve">. </w:t>
      </w:r>
      <w:r w:rsidRPr="00BC5598">
        <w:t>We tested the reaction at higher pressure, 500 psi, and temperature 150</w:t>
      </w:r>
      <w:r w:rsidRPr="00BC5598">
        <w:rPr>
          <w:vertAlign w:val="superscript"/>
        </w:rPr>
        <w:t>o</w:t>
      </w:r>
      <w:r w:rsidRPr="00BC5598">
        <w:t xml:space="preserve">C entry 2.5. Under these conditions we found much less isomerization of the alkene but no product from hydroformylation. </w:t>
      </w:r>
      <w:r>
        <w:t xml:space="preserve">With our previous observation on </w:t>
      </w:r>
      <w:r w:rsidRPr="00DD198C">
        <w:t xml:space="preserve">the negative effect of the addition </w:t>
      </w:r>
      <w:r>
        <w:t>of base to the DODH reaction (</w:t>
      </w:r>
      <w:r w:rsidR="00B67900" w:rsidRPr="00B67900">
        <w:t xml:space="preserve">Sections </w:t>
      </w:r>
      <w:r w:rsidR="00B67900" w:rsidRPr="00B67900">
        <w:fldChar w:fldCharType="begin"/>
      </w:r>
      <w:r w:rsidR="00B67900" w:rsidRPr="00B67900">
        <w:instrText xml:space="preserve"> REF _Ref455843210 \r \h </w:instrText>
      </w:r>
      <w:r w:rsidR="00B67900">
        <w:instrText xml:space="preserve"> \* MERGEFORMAT </w:instrText>
      </w:r>
      <w:r w:rsidR="00B67900" w:rsidRPr="00B67900">
        <w:fldChar w:fldCharType="separate"/>
      </w:r>
      <w:r w:rsidR="000A0E3D">
        <w:t>3</w:t>
      </w:r>
      <w:r w:rsidR="00B67900" w:rsidRPr="00B67900">
        <w:fldChar w:fldCharType="end"/>
      </w:r>
      <w:r w:rsidR="00B67900" w:rsidRPr="00B67900">
        <w:t>&amp;</w:t>
      </w:r>
      <w:r w:rsidR="00B67900" w:rsidRPr="00B67900">
        <w:fldChar w:fldCharType="begin"/>
      </w:r>
      <w:r w:rsidR="00B67900" w:rsidRPr="00B67900">
        <w:instrText xml:space="preserve"> REF _Ref455843190 \r \h </w:instrText>
      </w:r>
      <w:r w:rsidR="00B67900">
        <w:instrText xml:space="preserve"> \* MERGEFORMAT </w:instrText>
      </w:r>
      <w:r w:rsidR="00B67900" w:rsidRPr="00B67900">
        <w:fldChar w:fldCharType="separate"/>
      </w:r>
      <w:r w:rsidR="000A0E3D">
        <w:t>5</w:t>
      </w:r>
      <w:r w:rsidR="00B67900" w:rsidRPr="00B67900">
        <w:fldChar w:fldCharType="end"/>
      </w:r>
      <w:r w:rsidRPr="00B67900">
        <w:t xml:space="preserve"> </w:t>
      </w:r>
      <w:r w:rsidR="00B67900">
        <w:fldChar w:fldCharType="begin"/>
      </w:r>
      <w:r w:rsidR="00B67900">
        <w:instrText xml:space="preserve"> REF _Ref455843257 \r \h </w:instrText>
      </w:r>
      <w:r w:rsidR="00B67900">
        <w:fldChar w:fldCharType="separate"/>
      </w:r>
      <w:r w:rsidR="000A0E3D">
        <w:t>Chapter III</w:t>
      </w:r>
      <w:r w:rsidR="00B67900">
        <w:fldChar w:fldCharType="end"/>
      </w:r>
      <w:r w:rsidRPr="00B67900">
        <w:t>)</w:t>
      </w:r>
      <w:r>
        <w:t xml:space="preserve"> we wanted to avoid the use of triethyl amine in the DODH/hydroformylation reaction system.</w:t>
      </w:r>
    </w:p>
    <w:p w14:paraId="0B3FCBC5" w14:textId="77777777" w:rsidR="00921E85" w:rsidRPr="00DD198C" w:rsidRDefault="00921E85" w:rsidP="002145C2">
      <w:pPr>
        <w:ind w:firstLine="360"/>
        <w:jc w:val="both"/>
      </w:pPr>
      <w:r>
        <w:t xml:space="preserve">In </w:t>
      </w:r>
      <w:r w:rsidRPr="00DD198C">
        <w:t>summary, we found HRh</w:t>
      </w:r>
      <w:r>
        <w:t>(CO)(</w:t>
      </w:r>
      <w:r w:rsidRPr="00DD198C">
        <w:t>PP</w:t>
      </w:r>
      <w:r>
        <w:t>h</w:t>
      </w:r>
      <w:r>
        <w:rPr>
          <w:vertAlign w:val="subscript"/>
        </w:rPr>
        <w:t>3</w:t>
      </w:r>
      <w:r w:rsidRPr="007C514E">
        <w:t>)</w:t>
      </w:r>
      <w:r>
        <w:rPr>
          <w:vertAlign w:val="subscript"/>
        </w:rPr>
        <w:t>2</w:t>
      </w:r>
      <w:r w:rsidRPr="00DD198C">
        <w:t xml:space="preserve"> to be a good hydroformylation catalyst and it worked even better in the presence of added phosphine, which opened some potential for a DODH/Hydroformylation reaction. We also tested phosphine-free dicobalt octacarbonyl as a hydroformylation catalyst but found it ineffective under DODH conditions.</w:t>
      </w:r>
    </w:p>
    <w:p w14:paraId="2979024F" w14:textId="77777777" w:rsidR="00921E85" w:rsidRPr="00036C18" w:rsidRDefault="00921E85" w:rsidP="002145C2">
      <w:pPr>
        <w:ind w:firstLine="360"/>
        <w:jc w:val="both"/>
      </w:pPr>
    </w:p>
    <w:p w14:paraId="225A5DF4" w14:textId="77777777" w:rsidR="00921E85" w:rsidRPr="00716073" w:rsidRDefault="00921E85" w:rsidP="000351A7">
      <w:pPr>
        <w:pStyle w:val="Heading3"/>
      </w:pPr>
      <w:bookmarkStart w:id="395" w:name="_Toc458938336"/>
      <w:r w:rsidRPr="00716073">
        <w:t>Tandem DODH/Hydroformylation</w:t>
      </w:r>
      <w:bookmarkEnd w:id="395"/>
      <w:r w:rsidRPr="00716073">
        <w:t xml:space="preserve"> </w:t>
      </w:r>
    </w:p>
    <w:p w14:paraId="7FD31787" w14:textId="77777777" w:rsidR="00921E85" w:rsidRPr="009F393B" w:rsidRDefault="00921E85" w:rsidP="002145C2">
      <w:pPr>
        <w:ind w:firstLine="360"/>
        <w:jc w:val="both"/>
        <w:rPr>
          <w:rFonts w:cstheme="minorHAnsi"/>
        </w:rPr>
      </w:pPr>
      <w:r w:rsidRPr="00233F08">
        <w:t xml:space="preserve">Our finding that added </w:t>
      </w:r>
      <w:r>
        <w:t>triphenyl</w:t>
      </w:r>
      <w:r w:rsidRPr="00233F08">
        <w:t>phosphine (</w:t>
      </w:r>
      <w:r>
        <w:t>PPh</w:t>
      </w:r>
      <w:r w:rsidRPr="00F23F7D">
        <w:rPr>
          <w:vertAlign w:val="subscript"/>
        </w:rPr>
        <w:t>3</w:t>
      </w:r>
      <w:r w:rsidRPr="00233F08">
        <w:t>) improved the hydroformylation reaction yield and knowing the potential of</w:t>
      </w:r>
      <w:r>
        <w:t xml:space="preserve"> triphenyl</w:t>
      </w:r>
      <w:r w:rsidRPr="00233F08">
        <w:t xml:space="preserve">phosphine as reducing agent in the DODH reaction, we decided to attempt the tandem DODH/HF </w:t>
      </w:r>
      <w:r>
        <w:t>reaction on 1,2-hexane diol. In order to i</w:t>
      </w:r>
      <w:r w:rsidR="00CF62BD">
        <w:t>nsure the activity of triphenyl</w:t>
      </w:r>
      <w:r>
        <w:t>phosphine as a reducing agent with the DODH catalyst we decided to use a known triphenylphosphine rhenium complex IReO</w:t>
      </w:r>
      <w:r w:rsidRPr="006E5542">
        <w:rPr>
          <w:vertAlign w:val="subscript"/>
        </w:rPr>
        <w:t>2</w:t>
      </w:r>
      <w:r w:rsidRPr="00F23F7D">
        <w:t>(</w:t>
      </w:r>
      <w:r>
        <w:t>PPh</w:t>
      </w:r>
      <w:r w:rsidRPr="00F23F7D">
        <w:rPr>
          <w:vertAlign w:val="subscript"/>
        </w:rPr>
        <w:t>3</w:t>
      </w:r>
      <w:r>
        <w:t>)</w:t>
      </w:r>
      <w:r w:rsidRPr="006E5542">
        <w:rPr>
          <w:vertAlign w:val="subscript"/>
        </w:rPr>
        <w:t>2</w:t>
      </w:r>
      <w:r w:rsidRPr="00BC5598">
        <w:t>.</w:t>
      </w:r>
      <w:r>
        <w:rPr>
          <w:color w:val="FF0000"/>
        </w:rPr>
        <w:fldChar w:fldCharType="begin"/>
      </w:r>
      <w:r w:rsidR="00E028D6">
        <w:rPr>
          <w:color w:val="FF0000"/>
        </w:rPr>
        <w:instrText xml:space="preserve"> ADDIN ZOTERO_ITEM CSL_CITATION {"citationID":"24i2hqsj1n","properties":{"formattedCitation":"{\\rtf \\super 168\\nosupersub{}}","plainCitation":"168"},"citationItems":[{"id":1754,"uris":["http://zotero.org/users/1624234/items/Q9S2X7NP"],"uri":["http://zotero.org/users/1624234/items/Q9S2X7NP"],"itemData":{"id":1754,"type":"article-journal","title":"Rhenium(V) oxide complexes. Crystal and molecular structures of the compounds trans-ReI2O(OR)(PPh3)2 (R = Et, Me) and of their hydrolysis derivative ReIO2(PPh3)2","container-title":"Inorganica Chimica Acta","page":"29-37","volume":"72","source":"ScienceDirect","abstract":"The structure of the complex ReI2O(OEt)(PPh3)2·3/2C6H6 (I) has been investigated: the dark-yellow crystals are monoclinic, space group P21/n, with a = 17.410(8), b = 17.322(6), c = 15.039(5) Å, β = 103.49(3)°, Z = 4. Least-squares refinements based on 3636 significant counter data led to a final R value of 0.059. The compound exhibits a slightly distorted octahedral coordination, with the two PPh3 groups trans between themselves (mean Re</w:instrText>
      </w:r>
      <w:r w:rsidR="00E028D6">
        <w:rPr>
          <w:rFonts w:hint="eastAsia"/>
          <w:color w:val="FF0000"/>
        </w:rPr>
        <w:instrText></w:instrText>
      </w:r>
      <w:r w:rsidR="00E028D6">
        <w:rPr>
          <w:color w:val="FF0000"/>
        </w:rPr>
        <w:instrText>P 2.523 Å), as well as the two iodide ligands (mean Re</w:instrText>
      </w:r>
      <w:r w:rsidR="00E028D6">
        <w:rPr>
          <w:rFonts w:hint="eastAsia"/>
          <w:color w:val="FF0000"/>
        </w:rPr>
        <w:instrText></w:instrText>
      </w:r>
      <w:r w:rsidR="00E028D6">
        <w:rPr>
          <w:color w:val="FF0000"/>
        </w:rPr>
        <w:instrText>I 2.789 Å). The ethoxo group (Re</w:instrText>
      </w:r>
      <w:r w:rsidR="00E028D6">
        <w:rPr>
          <w:rFonts w:hint="eastAsia"/>
          <w:color w:val="FF0000"/>
        </w:rPr>
        <w:instrText></w:instrText>
      </w:r>
      <w:r w:rsidR="00E028D6">
        <w:rPr>
          <w:color w:val="FF0000"/>
        </w:rPr>
        <w:instrText>O 1.880(9) Å) and the oxide ligand (Re</w:instrText>
      </w:r>
      <w:r w:rsidR="00E028D6">
        <w:rPr>
          <w:rFonts w:hint="eastAsia"/>
          <w:color w:val="FF0000"/>
        </w:rPr>
        <w:instrText></w:instrText>
      </w:r>
      <w:r w:rsidR="00E028D6">
        <w:rPr>
          <w:color w:val="FF0000"/>
        </w:rPr>
        <w:instrText>O 1.715(9) Å) occupy the other two coordination sites. Compound I in methanol transforms into ReI2O(OMe)(PPh3)2 (II), which has been characterized by X-ray analysis in crystals containing CHCl3 molecules of solvation. The crystals are triclinic, space group P1, a = 12.835(3), b = 13.067(4), c = 13.485(4) Å, α = 89.71(2)°, β = 71.61(2)°, γ = 70.19(2)°, Z = 2. The refinements gave a final R value of 0.036, on the basis of 4524 significant counter intensities. The stereochemistry and the bond parameters are similar to those found in compound I. In particular the Re</w:instrText>
      </w:r>
      <w:r w:rsidR="00E028D6">
        <w:rPr>
          <w:rFonts w:hint="eastAsia"/>
          <w:color w:val="FF0000"/>
        </w:rPr>
        <w:instrText></w:instrText>
      </w:r>
      <w:r w:rsidR="00E028D6">
        <w:rPr>
          <w:color w:val="FF0000"/>
        </w:rPr>
        <w:instrText>O (methoxo) and Re</w:instrText>
      </w:r>
      <w:r w:rsidR="00E028D6">
        <w:rPr>
          <w:rFonts w:hint="eastAsia"/>
          <w:color w:val="FF0000"/>
        </w:rPr>
        <w:instrText></w:instrText>
      </w:r>
      <w:r w:rsidR="00E028D6">
        <w:rPr>
          <w:color w:val="FF0000"/>
        </w:rPr>
        <w:instrText>O (oxide) bond lengths are 1.859(5) and 1.698(5) Å respectively.\n\nHydrolysis reactions of both compounds I and II give the violet derivative ReIO2(PPh3)2 (III). The crystal data are: orthorhombic, space group Aba2, a = 19.834(5), b = 16.144(3), c = 10.560(2) Å, Z = 4. 1435 significant counter reflections were used in the refinements the final R value being 0.039. The compound is an unusual example of a five coordinate Re(V) complex. It possesses a rigorous C2 crystallographic symmetry and exhibits a distorted trigonal bipyramidal stereochemistry, with the two PPh3 groups in an axial direction (Re</w:instrText>
      </w:r>
      <w:r w:rsidR="00E028D6">
        <w:rPr>
          <w:rFonts w:hint="eastAsia"/>
          <w:color w:val="FF0000"/>
        </w:rPr>
        <w:instrText></w:instrText>
      </w:r>
      <w:r w:rsidR="00E028D6">
        <w:rPr>
          <w:color w:val="FF0000"/>
        </w:rPr>
        <w:instrText>P 2.488(3) Å) and the two oxide and the iodide ligands in equatorial positions. The Re</w:instrText>
      </w:r>
      <w:r w:rsidR="00E028D6">
        <w:rPr>
          <w:rFonts w:hint="eastAsia"/>
          <w:color w:val="FF0000"/>
        </w:rPr>
        <w:instrText></w:instrText>
      </w:r>
      <w:r w:rsidR="00E028D6">
        <w:rPr>
          <w:color w:val="FF0000"/>
        </w:rPr>
        <w:instrText>I and Re</w:instrText>
      </w:r>
      <w:r w:rsidR="00E028D6">
        <w:rPr>
          <w:rFonts w:hint="eastAsia"/>
          <w:color w:val="FF0000"/>
        </w:rPr>
        <w:instrText></w:instrText>
      </w:r>
      <w:r w:rsidR="00E028D6">
        <w:rPr>
          <w:color w:val="FF0000"/>
        </w:rPr>
        <w:instrText xml:space="preserve">O interactions have values of 2.664(2) and 1.742(11) Å respectively.","DOI":"10.1016/S0020-1693(00)81690-4","ISSN":"0020-1693","journalAbbreviation":"Inorganica Chimica Acta","author":[{"family":"Ciani","given":"Giani Franco"},{"family":"D'Alfonso","given":"Giuseppe"},{"family":"Romiti","given":"Pier Francesco"},{"family":"Sironi","given":"Angelo"},{"family":"Freni","given":"Maria"}],"issued":{"date-parts":[["1983"]]}}}],"schema":"https://github.com/citation-style-language/schema/raw/master/csl-citation.json"} </w:instrText>
      </w:r>
      <w:r>
        <w:rPr>
          <w:color w:val="FF0000"/>
        </w:rPr>
        <w:fldChar w:fldCharType="separate"/>
      </w:r>
      <w:r w:rsidR="00E028D6" w:rsidRPr="00E028D6">
        <w:rPr>
          <w:rFonts w:ascii="Calibri" w:hAnsi="Calibri"/>
          <w:sz w:val="22"/>
          <w:vertAlign w:val="superscript"/>
        </w:rPr>
        <w:t>168</w:t>
      </w:r>
      <w:r>
        <w:rPr>
          <w:color w:val="FF0000"/>
        </w:rPr>
        <w:fldChar w:fldCharType="end"/>
      </w:r>
      <w:r>
        <w:t xml:space="preserve"> This catalyst was found to be active with </w:t>
      </w:r>
      <w:r w:rsidRPr="00B958C5">
        <w:rPr>
          <w:rFonts w:cstheme="minorHAnsi"/>
        </w:rPr>
        <w:t>PPh</w:t>
      </w:r>
      <w:r w:rsidRPr="00B958C5">
        <w:rPr>
          <w:rFonts w:cstheme="minorHAnsi"/>
          <w:vertAlign w:val="subscript"/>
        </w:rPr>
        <w:t>3</w:t>
      </w:r>
      <w:r>
        <w:t xml:space="preserve"> as the reducing agent in </w:t>
      </w:r>
      <w:r w:rsidRPr="00233F08">
        <w:t xml:space="preserve">our alcohol reductive </w:t>
      </w:r>
      <w:r>
        <w:t>coupling/</w:t>
      </w:r>
      <w:r w:rsidRPr="009F393B">
        <w:rPr>
          <w:rFonts w:cstheme="minorHAnsi"/>
        </w:rPr>
        <w:t>deoxygenation project.</w:t>
      </w:r>
      <w:r w:rsidRPr="009F393B">
        <w:rPr>
          <w:rFonts w:cstheme="minorHAnsi"/>
        </w:rPr>
        <w:fldChar w:fldCharType="begin"/>
      </w:r>
      <w:r w:rsidR="00E028D6" w:rsidRPr="009F393B">
        <w:rPr>
          <w:rFonts w:cstheme="minorHAnsi"/>
        </w:rPr>
        <w:instrText xml:space="preserve"> ADDIN ZOTERO_ITEM CSL_CITATION {"citationID":"2kr0gt5dnl","properties":{"formattedCitation":"{\\rtf \\super 169\\nosupersub{}}","plainCitation":"169"},"citationItems":[{"id":1769,"uris":["http://zotero.org/users/1624234/items/KH5HTWTM"],"uri":["http://zotero.org/users/1624234/items/KH5HTWTM"],"itemData":{"id":1769,"type":"article-journal","title":"Oxo-rhenium catalyzed reductive coupling and deoxygenation of alcohols","container-title":"Chemical Communications","page":"7257-7260","volume":"52","issue":"45","source":"pubs.rsc.org","abstract":"Representative benzylic, allylic and α-keto alcohols are deoxygenated to alkanes and/or reductively coupled to alkane dimers by reaction with PPh3 catalyzed by (PPh3)2ReIO2 (1). The newly discovered catalytic reductive coupling reaction is a rare C–C bond-forming transformation of alcohols.","DOI":"10.1039/C6CC00537C","ISSN":"1364-548X","journalAbbreviation":"Chem. Commun.","language":"en","author":[{"family":"Kasner","given":"Gabrielle R."},{"family":"Boucher-Jacobs","given":"Camille"},{"family":"McClain","given":"J. Michael"},{"family":"Nicholas","given":"Kenneth M."}],"issued":{"date-parts":[["2016",5,26]]}}}],"schema":"https://github.com/citation-style-language/schema/raw/master/csl-citation.json"} </w:instrText>
      </w:r>
      <w:r w:rsidRPr="009F393B">
        <w:rPr>
          <w:rFonts w:cstheme="minorHAnsi"/>
        </w:rPr>
        <w:fldChar w:fldCharType="separate"/>
      </w:r>
      <w:r w:rsidR="00E028D6" w:rsidRPr="009F393B">
        <w:rPr>
          <w:rFonts w:cstheme="minorHAnsi"/>
          <w:sz w:val="22"/>
          <w:vertAlign w:val="superscript"/>
        </w:rPr>
        <w:t>169</w:t>
      </w:r>
      <w:r w:rsidRPr="009F393B">
        <w:rPr>
          <w:rFonts w:cstheme="minorHAnsi"/>
        </w:rPr>
        <w:fldChar w:fldCharType="end"/>
      </w:r>
      <w:r w:rsidRPr="009F393B">
        <w:rPr>
          <w:rFonts w:cstheme="minorHAnsi"/>
        </w:rPr>
        <w:t xml:space="preserve"> </w:t>
      </w:r>
    </w:p>
    <w:p w14:paraId="603A9798" w14:textId="77777777" w:rsidR="00921E85" w:rsidRDefault="00921E85" w:rsidP="002145C2">
      <w:pPr>
        <w:ind w:firstLine="360"/>
        <w:jc w:val="both"/>
      </w:pPr>
      <w:r>
        <w:t xml:space="preserve">First we </w:t>
      </w:r>
      <w:r w:rsidRPr="00233F08">
        <w:t>tested the DODH reaction of 1,2-hex</w:t>
      </w:r>
      <w:r>
        <w:t>anediol using triphenyl</w:t>
      </w:r>
      <w:r w:rsidRPr="00233F08">
        <w:t>phosphine as reducing agent (</w:t>
      </w:r>
      <w:r w:rsidR="000F36C2">
        <w:fldChar w:fldCharType="begin"/>
      </w:r>
      <w:r w:rsidR="000F36C2">
        <w:instrText xml:space="preserve"> REF _Ref455843304 \h </w:instrText>
      </w:r>
      <w:r w:rsidR="000F36C2">
        <w:fldChar w:fldCharType="separate"/>
      </w:r>
      <w:r w:rsidR="000A0E3D" w:rsidRPr="00B72DED">
        <w:t xml:space="preserve">Figure III. </w:t>
      </w:r>
      <w:r w:rsidR="000A0E3D">
        <w:rPr>
          <w:noProof/>
        </w:rPr>
        <w:t>7</w:t>
      </w:r>
      <w:r w:rsidR="000A0E3D">
        <w:t>.</w:t>
      </w:r>
      <w:r w:rsidR="000A0E3D">
        <w:rPr>
          <w:noProof/>
        </w:rPr>
        <w:t>12</w:t>
      </w:r>
      <w:r w:rsidR="000F36C2">
        <w:fldChar w:fldCharType="end"/>
      </w:r>
      <w:r w:rsidRPr="00233F08">
        <w:t>) with IReO</w:t>
      </w:r>
      <w:r w:rsidRPr="00233F08">
        <w:rPr>
          <w:vertAlign w:val="subscript"/>
        </w:rPr>
        <w:t>2</w:t>
      </w:r>
      <w:r w:rsidRPr="00F23F7D">
        <w:t>(</w:t>
      </w:r>
      <w:r>
        <w:t>PPh</w:t>
      </w:r>
      <w:r w:rsidRPr="00F23F7D">
        <w:rPr>
          <w:vertAlign w:val="subscript"/>
        </w:rPr>
        <w:t>3</w:t>
      </w:r>
      <w:r>
        <w:t>)</w:t>
      </w:r>
      <w:r w:rsidRPr="00233F08">
        <w:rPr>
          <w:vertAlign w:val="subscript"/>
        </w:rPr>
        <w:t xml:space="preserve">2 </w:t>
      </w:r>
      <w:r w:rsidRPr="00233F08">
        <w:t>as catalyst (in the presence of H</w:t>
      </w:r>
      <w:r w:rsidRPr="00233F08">
        <w:rPr>
          <w:vertAlign w:val="subscript"/>
        </w:rPr>
        <w:t>2</w:t>
      </w:r>
      <w:r w:rsidRPr="00233F08">
        <w:t>/CO). Analyzing this reaction by NMR we found a 33% yield of 1-hexene and 15% of 2- and 3-hexene</w:t>
      </w:r>
      <w:r>
        <w:t>. Overall this makes for 48% of alkene product. We could also detect 52% of unreacted alcohol. The reaction is selective toward the DODH although a third of the alkene isomerized. W</w:t>
      </w:r>
      <w:r w:rsidRPr="00233F08">
        <w:t>ith a conversion equal to the yield we can anticipate more alkene with more time if the catalyst is still active.</w:t>
      </w:r>
    </w:p>
    <w:p w14:paraId="42D67E4E" w14:textId="77777777" w:rsidR="00457EC7" w:rsidRPr="00233F08" w:rsidRDefault="00457EC7" w:rsidP="002145C2">
      <w:pPr>
        <w:ind w:firstLine="360"/>
        <w:jc w:val="both"/>
      </w:pPr>
    </w:p>
    <w:p w14:paraId="39B8593E" w14:textId="77777777" w:rsidR="00B67900" w:rsidRDefault="00921E85" w:rsidP="00B67900">
      <w:pPr>
        <w:keepNext/>
        <w:jc w:val="center"/>
      </w:pPr>
      <w:r w:rsidRPr="002A478F">
        <w:object w:dxaOrig="7065" w:dyaOrig="1488" w14:anchorId="18DC2219">
          <v:shape id="_x0000_i1177" type="#_x0000_t75" style="width:323.6pt;height:67.25pt" o:ole="">
            <v:imagedata r:id="rId399" o:title=""/>
          </v:shape>
          <o:OLEObject Type="Embed" ProgID="ChemDraw.Document.6.0" ShapeID="_x0000_i1177" DrawAspect="Content" ObjectID="_1532785011" r:id="rId400"/>
        </w:object>
      </w:r>
    </w:p>
    <w:p w14:paraId="7044705E" w14:textId="77777777" w:rsidR="00921E85" w:rsidRPr="00B72DED" w:rsidRDefault="00B67900" w:rsidP="00B72DED">
      <w:pPr>
        <w:pStyle w:val="Caption"/>
      </w:pPr>
      <w:bookmarkStart w:id="396" w:name="_Ref455843304"/>
      <w:bookmarkStart w:id="397" w:name="_Toc457670781"/>
      <w:r w:rsidRPr="00B72DED">
        <w:t xml:space="preserve">Figure III. </w:t>
      </w:r>
      <w:r w:rsidR="00443010">
        <w:fldChar w:fldCharType="begin"/>
      </w:r>
      <w:r w:rsidR="00443010">
        <w:instrText xml:space="preserve"> STYLEREF 2 \s </w:instrText>
      </w:r>
      <w:r w:rsidR="00443010">
        <w:fldChar w:fldCharType="separate"/>
      </w:r>
      <w:r w:rsidR="000A0E3D">
        <w:rPr>
          <w:noProof/>
        </w:rPr>
        <w:t>7</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12</w:t>
      </w:r>
      <w:r w:rsidR="00443010">
        <w:rPr>
          <w:noProof/>
        </w:rPr>
        <w:fldChar w:fldCharType="end"/>
      </w:r>
      <w:bookmarkEnd w:id="396"/>
      <w:r w:rsidRPr="00B72DED">
        <w:t xml:space="preserve"> </w:t>
      </w:r>
      <w:r w:rsidR="00921E85" w:rsidRPr="00B72DED">
        <w:t>DODH of 1,2-hexanediol with PPh</w:t>
      </w:r>
      <w:r w:rsidR="00921E85" w:rsidRPr="00B72DED">
        <w:rPr>
          <w:vertAlign w:val="subscript"/>
        </w:rPr>
        <w:t>3</w:t>
      </w:r>
      <w:r w:rsidR="00921E85" w:rsidRPr="00B72DED">
        <w:t xml:space="preserve"> as reducing agent</w:t>
      </w:r>
      <w:bookmarkEnd w:id="397"/>
    </w:p>
    <w:p w14:paraId="0C97C5FB" w14:textId="77777777" w:rsidR="00921E85" w:rsidRDefault="00921E85" w:rsidP="002145C2">
      <w:pPr>
        <w:jc w:val="center"/>
        <w:rPr>
          <w:b/>
        </w:rPr>
      </w:pPr>
    </w:p>
    <w:p w14:paraId="3592DD2A" w14:textId="77777777" w:rsidR="00921E85" w:rsidRDefault="00921E85" w:rsidP="002145C2">
      <w:pPr>
        <w:ind w:firstLine="360"/>
        <w:jc w:val="both"/>
      </w:pPr>
      <w:r>
        <w:t xml:space="preserve">With </w:t>
      </w:r>
      <w:r w:rsidRPr="00233F08">
        <w:t>these results in hand we tested a tandem DODH/hydroformylation o</w:t>
      </w:r>
      <w:r>
        <w:t>f 1,2-hexane</w:t>
      </w:r>
      <w:r w:rsidRPr="00233F08">
        <w:t>diol (</w:t>
      </w:r>
      <w:r w:rsidR="00B67900">
        <w:fldChar w:fldCharType="begin"/>
      </w:r>
      <w:r w:rsidR="00B67900">
        <w:instrText xml:space="preserve"> REF _Ref455843304 \h </w:instrText>
      </w:r>
      <w:r w:rsidR="00B67900">
        <w:fldChar w:fldCharType="separate"/>
      </w:r>
      <w:r w:rsidR="000A0E3D" w:rsidRPr="00B72DED">
        <w:t xml:space="preserve">Figure III. </w:t>
      </w:r>
      <w:r w:rsidR="000A0E3D">
        <w:rPr>
          <w:noProof/>
        </w:rPr>
        <w:t>7</w:t>
      </w:r>
      <w:r w:rsidR="000A0E3D">
        <w:t>.</w:t>
      </w:r>
      <w:r w:rsidR="000A0E3D">
        <w:rPr>
          <w:noProof/>
        </w:rPr>
        <w:t>12</w:t>
      </w:r>
      <w:r w:rsidR="00B67900">
        <w:fldChar w:fldCharType="end"/>
      </w:r>
      <w:r w:rsidRPr="00233F08">
        <w:t>). In the reaction we used 5 mol% of the IReO</w:t>
      </w:r>
      <w:r w:rsidRPr="00233F08">
        <w:rPr>
          <w:vertAlign w:val="subscript"/>
        </w:rPr>
        <w:t>2</w:t>
      </w:r>
      <w:r w:rsidRPr="00F23F7D">
        <w:t>(</w:t>
      </w:r>
      <w:r>
        <w:t>PPh</w:t>
      </w:r>
      <w:r w:rsidRPr="00F23F7D">
        <w:rPr>
          <w:vertAlign w:val="subscript"/>
        </w:rPr>
        <w:t>3</w:t>
      </w:r>
      <w:r>
        <w:t>)</w:t>
      </w:r>
      <w:r w:rsidRPr="00233F08">
        <w:rPr>
          <w:vertAlign w:val="subscript"/>
        </w:rPr>
        <w:t>2</w:t>
      </w:r>
      <w:r w:rsidRPr="00233F08">
        <w:t>, 2.5 mol% of the HRh(CO)</w:t>
      </w:r>
      <w:r w:rsidRPr="00F23F7D">
        <w:t>(</w:t>
      </w:r>
      <w:r>
        <w:t>PPh</w:t>
      </w:r>
      <w:r w:rsidRPr="00F23F7D">
        <w:rPr>
          <w:vertAlign w:val="subscript"/>
        </w:rPr>
        <w:t>3</w:t>
      </w:r>
      <w:r>
        <w:t>)</w:t>
      </w:r>
      <w:r w:rsidRPr="00233F08">
        <w:rPr>
          <w:vertAlign w:val="subscript"/>
        </w:rPr>
        <w:t>3</w:t>
      </w:r>
      <w:r w:rsidRPr="00233F08">
        <w:t>, 2 equivalents</w:t>
      </w:r>
      <w:r>
        <w:t xml:space="preserve"> of triphenyl</w:t>
      </w:r>
      <w:r w:rsidRPr="00233F08">
        <w:t xml:space="preserve">phosphine in toluene and we pressurized the reaction to 100 </w:t>
      </w:r>
      <w:r>
        <w:t>psi</w:t>
      </w:r>
      <w:r w:rsidRPr="00233F08">
        <w:t xml:space="preserve"> with (1:1) ratio of hydrogen and carbon monoxide. We analyzed this reaction by NMR, GC and GCMS and found less than 10% of unreacted diol, 10% yield of alkenes, 16% of aldehydes, 13% of reduced aldehyde (alcohols) and 16% acetals</w:t>
      </w:r>
      <w:r w:rsidR="00B67900">
        <w:t xml:space="preserve"> (</w:t>
      </w:r>
      <w:r w:rsidR="000F36C2">
        <w:fldChar w:fldCharType="begin"/>
      </w:r>
      <w:r w:rsidR="000F36C2">
        <w:instrText xml:space="preserve"> REF _Ref455843409 \h </w:instrText>
      </w:r>
      <w:r w:rsidR="000F36C2">
        <w:fldChar w:fldCharType="separate"/>
      </w:r>
      <w:r w:rsidR="000A0E3D" w:rsidRPr="00B72DED">
        <w:t xml:space="preserve">Figure III. </w:t>
      </w:r>
      <w:r w:rsidR="000A0E3D">
        <w:rPr>
          <w:noProof/>
        </w:rPr>
        <w:t>7</w:t>
      </w:r>
      <w:r w:rsidR="000A0E3D">
        <w:t>.</w:t>
      </w:r>
      <w:r w:rsidR="000A0E3D">
        <w:rPr>
          <w:noProof/>
        </w:rPr>
        <w:t>13</w:t>
      </w:r>
      <w:r w:rsidR="000F36C2">
        <w:fldChar w:fldCharType="end"/>
      </w:r>
      <w:r w:rsidR="00B67900">
        <w:t>)</w:t>
      </w:r>
      <w:r w:rsidRPr="00233F08">
        <w:t xml:space="preserve">. We presume that the acetals formed from the reaction of the starting diol with the </w:t>
      </w:r>
      <w:r>
        <w:t xml:space="preserve">aldehydes formed in the hydroformylation. This reaction could be run longer in order </w:t>
      </w:r>
      <w:r w:rsidR="009F393B">
        <w:t>react the last</w:t>
      </w:r>
      <w:r>
        <w:t xml:space="preserve"> 10% of diol. The catalyst loading could also be increased a little in case either one of the rhenium complex or rhodium complex were deactivate. The hydrogenation of the aldehyde hydroformylation product could be stud</w:t>
      </w:r>
      <w:r w:rsidR="009F393B">
        <w:t>ied</w:t>
      </w:r>
      <w:r>
        <w:t xml:space="preserve"> in order to understand how we could favor or disfavor this reaction. By effectively favoring the formation of these alcohol</w:t>
      </w:r>
      <w:r w:rsidR="009F393B">
        <w:t>s</w:t>
      </w:r>
      <w:r>
        <w:t xml:space="preserve"> we could eventually limit the formation of acetals.</w:t>
      </w:r>
      <w:r w:rsidRPr="00B04FBE">
        <w:t xml:space="preserve"> Overall t</w:t>
      </w:r>
      <w:r>
        <w:t xml:space="preserve">his tandem DODH/hydroformylation </w:t>
      </w:r>
      <w:r w:rsidRPr="00233F08">
        <w:t>reaction worked moderately well with an overall 45% yield i</w:t>
      </w:r>
      <w:r>
        <w:t xml:space="preserve">n various tandem products (aldehydes, alcohols and acetals). </w:t>
      </w:r>
    </w:p>
    <w:p w14:paraId="5E3B69D3" w14:textId="77777777" w:rsidR="00457EC7" w:rsidRPr="00FF2E63" w:rsidRDefault="00457EC7" w:rsidP="002145C2">
      <w:pPr>
        <w:ind w:firstLine="360"/>
        <w:jc w:val="both"/>
      </w:pPr>
    </w:p>
    <w:p w14:paraId="2857AE21" w14:textId="77777777" w:rsidR="00B67900" w:rsidRDefault="00921E85" w:rsidP="00B67900">
      <w:pPr>
        <w:keepNext/>
        <w:jc w:val="center"/>
      </w:pPr>
      <w:r>
        <w:object w:dxaOrig="11671" w:dyaOrig="2402" w14:anchorId="5014CD15">
          <v:shape id="_x0000_i1178" type="#_x0000_t75" style="width:405.9pt;height:87.8pt" o:ole="">
            <v:imagedata r:id="rId401" o:title=""/>
          </v:shape>
          <o:OLEObject Type="Embed" ProgID="ChemDraw.Document.6.0" ShapeID="_x0000_i1178" DrawAspect="Content" ObjectID="_1532785012" r:id="rId402"/>
        </w:object>
      </w:r>
    </w:p>
    <w:p w14:paraId="46BFDFBC" w14:textId="77777777" w:rsidR="00921E85" w:rsidRPr="00B72DED" w:rsidRDefault="00B67900" w:rsidP="00B72DED">
      <w:pPr>
        <w:pStyle w:val="Caption"/>
      </w:pPr>
      <w:bookmarkStart w:id="398" w:name="_Ref455843409"/>
      <w:bookmarkStart w:id="399" w:name="_Toc457670782"/>
      <w:r w:rsidRPr="00B72DED">
        <w:t xml:space="preserve">Figure III. </w:t>
      </w:r>
      <w:r w:rsidR="00443010">
        <w:fldChar w:fldCharType="begin"/>
      </w:r>
      <w:r w:rsidR="00443010">
        <w:instrText xml:space="preserve"> STYLEREF 2 \s </w:instrText>
      </w:r>
      <w:r w:rsidR="00443010">
        <w:fldChar w:fldCharType="separate"/>
      </w:r>
      <w:r w:rsidR="000A0E3D">
        <w:rPr>
          <w:noProof/>
        </w:rPr>
        <w:t>7</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13</w:t>
      </w:r>
      <w:r w:rsidR="00443010">
        <w:rPr>
          <w:noProof/>
        </w:rPr>
        <w:fldChar w:fldCharType="end"/>
      </w:r>
      <w:bookmarkEnd w:id="398"/>
      <w:r w:rsidRPr="00B72DED">
        <w:t xml:space="preserve"> </w:t>
      </w:r>
      <w:r w:rsidR="00921E85" w:rsidRPr="00B72DED">
        <w:t>DODH/Hydroformylation tandem reaction of 1,2-hexane diol</w:t>
      </w:r>
      <w:bookmarkEnd w:id="399"/>
    </w:p>
    <w:p w14:paraId="49F70E88" w14:textId="77777777" w:rsidR="00921E85" w:rsidRPr="002A478F" w:rsidRDefault="00921E85" w:rsidP="002145C2">
      <w:pPr>
        <w:jc w:val="center"/>
        <w:rPr>
          <w:b/>
        </w:rPr>
      </w:pPr>
    </w:p>
    <w:p w14:paraId="25F54C14" w14:textId="77777777" w:rsidR="00921E85" w:rsidRDefault="00921E85" w:rsidP="002145C2">
      <w:pPr>
        <w:ind w:firstLine="360"/>
        <w:jc w:val="both"/>
      </w:pPr>
      <w:r w:rsidRPr="00233F08">
        <w:t xml:space="preserve">After we observed low selectivity in the </w:t>
      </w:r>
      <w:r w:rsidR="00B67900">
        <w:t>tandem reaction with 1,2-hexane</w:t>
      </w:r>
      <w:r w:rsidRPr="00233F08">
        <w:t xml:space="preserve">diol we decided to make some variation in the starting diol. </w:t>
      </w:r>
      <w:r w:rsidR="00CF62BD">
        <w:t>P</w:t>
      </w:r>
      <w:r w:rsidRPr="00233F08">
        <w:t>henyl-1,2-ethane diol should form styrene in the DODH reaction, which has no option to isomerize, making only two possible hydroformylation products. Using the same reaction condition</w:t>
      </w:r>
      <w:r w:rsidR="009F393B">
        <w:t>s</w:t>
      </w:r>
      <w:r w:rsidRPr="00233F08">
        <w:t xml:space="preserve"> we tested the tandem DODH/Hydroformylation </w:t>
      </w:r>
      <w:r w:rsidR="00B67900">
        <w:t>re</w:t>
      </w:r>
      <w:r w:rsidR="00CF62BD">
        <w:t xml:space="preserve">action on </w:t>
      </w:r>
      <w:r w:rsidR="00B67900">
        <w:t>phenyl-1,2-ethane</w:t>
      </w:r>
      <w:r w:rsidRPr="00233F08">
        <w:t>diol (</w:t>
      </w:r>
      <w:r w:rsidR="00B67900">
        <w:fldChar w:fldCharType="begin"/>
      </w:r>
      <w:r w:rsidR="00B67900">
        <w:instrText xml:space="preserve"> REF _Ref455843525 \h </w:instrText>
      </w:r>
      <w:r w:rsidR="00B67900">
        <w:fldChar w:fldCharType="separate"/>
      </w:r>
      <w:r w:rsidR="000A0E3D" w:rsidRPr="00B72DED">
        <w:t xml:space="preserve">Figure III. </w:t>
      </w:r>
      <w:r w:rsidR="000A0E3D">
        <w:rPr>
          <w:noProof/>
        </w:rPr>
        <w:t>7</w:t>
      </w:r>
      <w:r w:rsidR="000A0E3D">
        <w:t>.</w:t>
      </w:r>
      <w:r w:rsidR="000A0E3D">
        <w:rPr>
          <w:noProof/>
        </w:rPr>
        <w:t>14</w:t>
      </w:r>
      <w:r w:rsidR="00B67900">
        <w:fldChar w:fldCharType="end"/>
      </w:r>
      <w:r w:rsidRPr="00233F08">
        <w:t>). In this reaction we observed no unreacted diol and only 5% yield in alkene. The aldehyde products were found in 50 and 23% yields for the terminal and branched aldehyde respectively. We also found a 5% yield of acetal. This makes an overall 78% yield in tandem product. In this case we did not observe any reduction of the aldehyde products to alcohols.</w:t>
      </w:r>
    </w:p>
    <w:p w14:paraId="4E74587B" w14:textId="77777777" w:rsidR="00457EC7" w:rsidRPr="00233F08" w:rsidRDefault="00457EC7" w:rsidP="002145C2">
      <w:pPr>
        <w:ind w:firstLine="360"/>
        <w:jc w:val="both"/>
      </w:pPr>
    </w:p>
    <w:p w14:paraId="60734FE2" w14:textId="77777777" w:rsidR="00B67900" w:rsidRDefault="00921E85" w:rsidP="00B67900">
      <w:pPr>
        <w:keepNext/>
        <w:jc w:val="center"/>
      </w:pPr>
      <w:r>
        <w:object w:dxaOrig="9669" w:dyaOrig="1771" w14:anchorId="490C7AB7">
          <v:shape id="_x0000_i1179" type="#_x0000_t75" style="width:364.75pt;height:66.45pt" o:ole="">
            <v:imagedata r:id="rId403" o:title=""/>
          </v:shape>
          <o:OLEObject Type="Embed" ProgID="ChemDraw.Document.6.0" ShapeID="_x0000_i1179" DrawAspect="Content" ObjectID="_1532785013" r:id="rId404"/>
        </w:object>
      </w:r>
    </w:p>
    <w:p w14:paraId="42CC6BD7" w14:textId="77777777" w:rsidR="00921E85" w:rsidRPr="00B72DED" w:rsidRDefault="00B67900" w:rsidP="00B72DED">
      <w:pPr>
        <w:pStyle w:val="Caption"/>
      </w:pPr>
      <w:bookmarkStart w:id="400" w:name="_Ref455843525"/>
      <w:bookmarkStart w:id="401" w:name="_Toc457670783"/>
      <w:r w:rsidRPr="00B72DED">
        <w:t xml:space="preserve">Figure III. </w:t>
      </w:r>
      <w:r w:rsidR="00443010">
        <w:fldChar w:fldCharType="begin"/>
      </w:r>
      <w:r w:rsidR="00443010">
        <w:instrText xml:space="preserve"> STYLEREF 2 \s </w:instrText>
      </w:r>
      <w:r w:rsidR="00443010">
        <w:fldChar w:fldCharType="separate"/>
      </w:r>
      <w:r w:rsidR="000A0E3D">
        <w:rPr>
          <w:noProof/>
        </w:rPr>
        <w:t>7</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14</w:t>
      </w:r>
      <w:r w:rsidR="00443010">
        <w:rPr>
          <w:noProof/>
        </w:rPr>
        <w:fldChar w:fldCharType="end"/>
      </w:r>
      <w:bookmarkEnd w:id="400"/>
      <w:r w:rsidRPr="00B72DED">
        <w:t xml:space="preserve"> </w:t>
      </w:r>
      <w:r w:rsidR="00921E85" w:rsidRPr="00B72DED">
        <w:t xml:space="preserve">DODH/Hydroformylation tandem reaction of </w:t>
      </w:r>
      <w:r w:rsidRPr="00B72DED">
        <w:t>phenyl-1,2-ethane</w:t>
      </w:r>
      <w:r w:rsidR="00921E85" w:rsidRPr="00B72DED">
        <w:t>diol</w:t>
      </w:r>
      <w:bookmarkEnd w:id="401"/>
    </w:p>
    <w:p w14:paraId="3751EFAC" w14:textId="77777777" w:rsidR="00921E85" w:rsidRDefault="00921E85" w:rsidP="002145C2">
      <w:pPr>
        <w:jc w:val="center"/>
        <w:rPr>
          <w:b/>
        </w:rPr>
      </w:pPr>
    </w:p>
    <w:p w14:paraId="5D6467C8" w14:textId="77777777" w:rsidR="00921E85" w:rsidRDefault="00921E85" w:rsidP="002145C2">
      <w:pPr>
        <w:ind w:firstLine="360"/>
        <w:jc w:val="both"/>
      </w:pPr>
      <w:r w:rsidRPr="00233F08">
        <w:t xml:space="preserve">In order to extend the substrate scope of this tandem DODH/HF reaction and to simplify the product distribution we tried the DODH/hydroformylation tandem reaction on cis-1,2-cyclooctane diol since it was demonstrated by Ahmad, Chapman and Nicholas that only the cis diol is reactive in the DODH </w:t>
      </w:r>
      <w:r w:rsidRPr="009F393B">
        <w:rPr>
          <w:rFonts w:cstheme="minorHAnsi"/>
        </w:rPr>
        <w:t>reaction.</w:t>
      </w:r>
      <w:r w:rsidRPr="009F393B">
        <w:rPr>
          <w:rFonts w:cstheme="minorHAnsi"/>
        </w:rPr>
        <w:fldChar w:fldCharType="begin"/>
      </w:r>
      <w:r w:rsidR="00F8513E" w:rsidRPr="009F393B">
        <w:rPr>
          <w:rFonts w:cstheme="minorHAnsi"/>
        </w:rPr>
        <w:instrText xml:space="preserve"> ADDIN ZOTERO_ITEM CSL_CITATION {"citationID":"1va12ps8a8","properties":{"formattedCitation":"{\\rtf \\super 35\\nosupersub{}}","plainCitation":"35"},"citationItems":[{"id":360,"uris":["http://zotero.org/users/1624234/items/Q5NZBIZJ"],"uri":["http://zotero.org/users/1624234/items/Q5NZBIZJ"],"itemData":{"id":360,"type":"article-journal","title":"Sulfite-Driven, Oxorhenium-Catalyzed Deoxydehydration of Glycols","container-title":"Organometallics","page":"2810-2818","volume":"30","issue":"10","source":"CrossRef","DOI":"10.1021/om2001662","ISSN":"0276-7333, 1520-6041","author":[{"family":"Ahmad","given":"Irshad"},{"family":"Chapman","given":"Garry"},{"family":"Nicholas","given":"Kenneth M."}],"issued":{"date-parts":[["2011",5,23]]}}}],"schema":"https://github.com/citation-style-language/schema/raw/master/csl-citation.json"} </w:instrText>
      </w:r>
      <w:r w:rsidRPr="009F393B">
        <w:rPr>
          <w:rFonts w:cstheme="minorHAnsi"/>
        </w:rPr>
        <w:fldChar w:fldCharType="separate"/>
      </w:r>
      <w:r w:rsidR="00F8513E" w:rsidRPr="009F393B">
        <w:rPr>
          <w:rFonts w:cstheme="minorHAnsi"/>
          <w:sz w:val="22"/>
          <w:vertAlign w:val="superscript"/>
        </w:rPr>
        <w:t>35</w:t>
      </w:r>
      <w:r w:rsidRPr="009F393B">
        <w:rPr>
          <w:rFonts w:cstheme="minorHAnsi"/>
        </w:rPr>
        <w:fldChar w:fldCharType="end"/>
      </w:r>
      <w:r w:rsidRPr="009F393B">
        <w:rPr>
          <w:rFonts w:cstheme="minorHAnsi"/>
        </w:rPr>
        <w:t xml:space="preserve"> Using</w:t>
      </w:r>
      <w:r w:rsidRPr="00233F08">
        <w:t xml:space="preserve"> the same reaction conditions we observed no unreacted diol, 83% yield of cyclooctene, 7% of aldehyde and 8% of alcohol</w:t>
      </w:r>
      <w:r w:rsidR="00B67900">
        <w:t xml:space="preserve"> (</w:t>
      </w:r>
      <w:r w:rsidR="00B67900">
        <w:fldChar w:fldCharType="begin"/>
      </w:r>
      <w:r w:rsidR="00B67900">
        <w:instrText xml:space="preserve"> REF _Ref455843969 \h </w:instrText>
      </w:r>
      <w:r w:rsidR="00B67900">
        <w:fldChar w:fldCharType="separate"/>
      </w:r>
      <w:r w:rsidR="000A0E3D" w:rsidRPr="00B72DED">
        <w:t xml:space="preserve">Figure III. </w:t>
      </w:r>
      <w:r w:rsidR="000A0E3D">
        <w:rPr>
          <w:noProof/>
        </w:rPr>
        <w:t>7</w:t>
      </w:r>
      <w:r w:rsidR="000A0E3D">
        <w:t>.</w:t>
      </w:r>
      <w:r w:rsidR="000A0E3D">
        <w:rPr>
          <w:noProof/>
        </w:rPr>
        <w:t>15</w:t>
      </w:r>
      <w:r w:rsidR="00B67900">
        <w:fldChar w:fldCharType="end"/>
      </w:r>
      <w:r w:rsidR="00B67900">
        <w:t>)</w:t>
      </w:r>
      <w:r w:rsidRPr="00233F08">
        <w:t>. No acetal was detected in this reaction. Overall we found only 15% of DODH/hydroformylation tandem products with this diol. We ran this reaction for a longer time in the eventuality of a slow hydroformylation step, but i</w:t>
      </w:r>
      <w:r>
        <w:t xml:space="preserve">t did not improve the </w:t>
      </w:r>
      <w:r w:rsidRPr="00233F08">
        <w:t xml:space="preserve">yield of tandem </w:t>
      </w:r>
      <w:r>
        <w:t xml:space="preserve">products. In fact, the hydroformylation reaction has been reported to be more efficient on terminal alkenes than internal alkenes. </w:t>
      </w:r>
      <w:r w:rsidRPr="00233F08">
        <w:t>With no increase in the product distribution after three days of reaction we suspect deactivation of the rhodium catalyst.</w:t>
      </w:r>
      <w:r>
        <w:t xml:space="preserve"> </w:t>
      </w:r>
    </w:p>
    <w:p w14:paraId="6FEE5CBD" w14:textId="77777777" w:rsidR="00457EC7" w:rsidRDefault="00457EC7" w:rsidP="002145C2">
      <w:pPr>
        <w:ind w:firstLine="360"/>
        <w:jc w:val="both"/>
      </w:pPr>
    </w:p>
    <w:p w14:paraId="2668ACE2" w14:textId="77777777" w:rsidR="00B67900" w:rsidRDefault="00921E85" w:rsidP="00B67900">
      <w:pPr>
        <w:keepNext/>
        <w:jc w:val="center"/>
      </w:pPr>
      <w:r>
        <w:object w:dxaOrig="7233" w:dyaOrig="2107" w14:anchorId="7ECCA162">
          <v:shape id="_x0000_i1180" type="#_x0000_t75" style="width:272.95pt;height:82.3pt" o:ole="">
            <v:imagedata r:id="rId405" o:title=""/>
          </v:shape>
          <o:OLEObject Type="Embed" ProgID="ChemDraw.Document.6.0" ShapeID="_x0000_i1180" DrawAspect="Content" ObjectID="_1532785014" r:id="rId406"/>
        </w:object>
      </w:r>
    </w:p>
    <w:p w14:paraId="18BD1513" w14:textId="77777777" w:rsidR="00921E85" w:rsidRPr="00B72DED" w:rsidRDefault="00B67900" w:rsidP="00B72DED">
      <w:pPr>
        <w:pStyle w:val="Caption"/>
      </w:pPr>
      <w:bookmarkStart w:id="402" w:name="_Ref455843969"/>
      <w:bookmarkStart w:id="403" w:name="_Toc457670784"/>
      <w:r w:rsidRPr="00B72DED">
        <w:t xml:space="preserve">Figure III. </w:t>
      </w:r>
      <w:r w:rsidR="00443010">
        <w:fldChar w:fldCharType="begin"/>
      </w:r>
      <w:r w:rsidR="00443010">
        <w:instrText xml:space="preserve"> STYLEREF 2 \s </w:instrText>
      </w:r>
      <w:r w:rsidR="00443010">
        <w:fldChar w:fldCharType="separate"/>
      </w:r>
      <w:r w:rsidR="000A0E3D">
        <w:rPr>
          <w:noProof/>
        </w:rPr>
        <w:t>7</w:t>
      </w:r>
      <w:r w:rsidR="00443010">
        <w:rPr>
          <w:noProof/>
        </w:rPr>
        <w:fldChar w:fldCharType="end"/>
      </w:r>
      <w:r w:rsidR="000351A7">
        <w:t>.</w:t>
      </w:r>
      <w:r w:rsidR="00443010">
        <w:fldChar w:fldCharType="begin"/>
      </w:r>
      <w:r w:rsidR="00443010">
        <w:instrText xml:space="preserve"> SEQ Figure_III. \* ARABIC \s 2 </w:instrText>
      </w:r>
      <w:r w:rsidR="00443010">
        <w:fldChar w:fldCharType="separate"/>
      </w:r>
      <w:r w:rsidR="000A0E3D">
        <w:rPr>
          <w:noProof/>
        </w:rPr>
        <w:t>15</w:t>
      </w:r>
      <w:r w:rsidR="00443010">
        <w:rPr>
          <w:noProof/>
        </w:rPr>
        <w:fldChar w:fldCharType="end"/>
      </w:r>
      <w:bookmarkEnd w:id="402"/>
      <w:r w:rsidR="00921E85" w:rsidRPr="00B72DED">
        <w:t xml:space="preserve"> DODH/Hydroformylation tandem reaction of cis-1,2-cyclooctane diol</w:t>
      </w:r>
      <w:bookmarkEnd w:id="403"/>
    </w:p>
    <w:p w14:paraId="28DE2B82" w14:textId="77777777" w:rsidR="00921E85" w:rsidRDefault="00921E85" w:rsidP="002145C2">
      <w:pPr>
        <w:jc w:val="center"/>
      </w:pPr>
    </w:p>
    <w:p w14:paraId="6E37D724" w14:textId="6F064650" w:rsidR="00921E85" w:rsidRPr="002E6B31" w:rsidRDefault="00921E85" w:rsidP="002145C2">
      <w:pPr>
        <w:ind w:firstLine="360"/>
        <w:jc w:val="both"/>
      </w:pPr>
      <w:r>
        <w:t xml:space="preserve">Under these reaction conditions the </w:t>
      </w:r>
      <w:r w:rsidRPr="00233F08">
        <w:t xml:space="preserve">DODH/hydroformylation reaction was alsos attempted </w:t>
      </w:r>
      <w:r>
        <w:t>on diethyl tartrate, hydrobenzoin (</w:t>
      </w:r>
      <w:r w:rsidRPr="00233F08">
        <w:t>PhCH</w:t>
      </w:r>
      <w:r>
        <w:t>(</w:t>
      </w:r>
      <w:r w:rsidRPr="00233F08">
        <w:t>OH</w:t>
      </w:r>
      <w:r>
        <w:t>)</w:t>
      </w:r>
      <w:r w:rsidRPr="00233F08">
        <w:t>-CH</w:t>
      </w:r>
      <w:r>
        <w:t>(</w:t>
      </w:r>
      <w:r w:rsidRPr="00233F08">
        <w:t>OH</w:t>
      </w:r>
      <w:r>
        <w:t>)</w:t>
      </w:r>
      <w:r w:rsidRPr="00233F08">
        <w:t>Ph</w:t>
      </w:r>
      <w:r>
        <w:t xml:space="preserve">) </w:t>
      </w:r>
      <w:r w:rsidRPr="00233F08">
        <w:t>and cis-1,2-cyclohexanediol. The first two did undergo DODH and we could detect their alkene product, but no hydroformylation took place. When the hydroformylation of the DODH products, diethyl fumarate and cis stilbene, was attempted, the reaction did not occur. Therefore these alkenes are not very rea</w:t>
      </w:r>
      <w:r>
        <w:t>ctive toward hydroformylation. In t</w:t>
      </w:r>
      <w:r w:rsidRPr="00233F08">
        <w:t xml:space="preserve">he attempted tandem </w:t>
      </w:r>
      <w:r>
        <w:t>DODH/</w:t>
      </w:r>
      <w:r w:rsidRPr="00233F08">
        <w:t>HF on cis-1,2-cyclohexane</w:t>
      </w:r>
      <w:r>
        <w:t xml:space="preserve">diol we did not </w:t>
      </w:r>
      <w:r w:rsidRPr="00E1038A">
        <w:t xml:space="preserve">detect any diol conversion in the </w:t>
      </w:r>
      <w:r w:rsidRPr="00E1038A">
        <w:rPr>
          <w:vertAlign w:val="superscript"/>
        </w:rPr>
        <w:t>1</w:t>
      </w:r>
      <w:r w:rsidRPr="00E1038A">
        <w:t>H NMR.</w:t>
      </w:r>
      <w:r>
        <w:t xml:space="preserve"> Previously this diol was used in DODH reaction using MeReO</w:t>
      </w:r>
      <w:r w:rsidRPr="00E1038A">
        <w:rPr>
          <w:vertAlign w:val="subscript"/>
        </w:rPr>
        <w:t>3</w:t>
      </w:r>
      <w:r>
        <w:t xml:space="preserve"> as catalyst with Na</w:t>
      </w:r>
      <w:r w:rsidRPr="00E1038A">
        <w:rPr>
          <w:vertAlign w:val="subscript"/>
        </w:rPr>
        <w:t>2</w:t>
      </w:r>
      <w:r>
        <w:t>SO</w:t>
      </w:r>
      <w:r w:rsidRPr="00E1038A">
        <w:rPr>
          <w:vertAlign w:val="subscript"/>
        </w:rPr>
        <w:t>3</w:t>
      </w:r>
      <w:r>
        <w:t xml:space="preserve"> as reducing agent, this reaction required 48 hours reaction time to obtain 25% yield in alkene. We can then conclude that the DODH reaction of this diol is slow and that in our case the change in catalyst and reducing agent might no</w:t>
      </w:r>
      <w:r w:rsidR="00B50745">
        <w:t>t</w:t>
      </w:r>
      <w:r>
        <w:t xml:space="preserve"> be optimum for the DODH of </w:t>
      </w:r>
      <w:r w:rsidRPr="00233F08">
        <w:t>cis-1,2-cyclohexane</w:t>
      </w:r>
      <w:r>
        <w:t>diol.</w:t>
      </w:r>
    </w:p>
    <w:p w14:paraId="6F4573C4" w14:textId="77777777" w:rsidR="00921E85" w:rsidRPr="00233F08" w:rsidRDefault="00921E85" w:rsidP="002145C2">
      <w:pPr>
        <w:ind w:firstLine="360"/>
        <w:jc w:val="both"/>
      </w:pPr>
      <w:r w:rsidRPr="00233F08">
        <w:t xml:space="preserve">In summary we were able to obtain successful tandem DODH/hydroformylation reactions on three diols- 1,2-hexane diol, 1-phenyl-1,2-ethane diol and cis-1,2-cyclooctane diol. The </w:t>
      </w:r>
      <w:r>
        <w:t xml:space="preserve">tandem </w:t>
      </w:r>
      <w:r w:rsidRPr="00233F08">
        <w:t xml:space="preserve">reaction </w:t>
      </w:r>
      <w:r>
        <w:t xml:space="preserve">on </w:t>
      </w:r>
      <w:r w:rsidRPr="00233F08">
        <w:t>1,2-hexanediol</w:t>
      </w:r>
      <w:r>
        <w:t xml:space="preserve"> provided a good result with a high ratio of hydroformylation derived product</w:t>
      </w:r>
      <w:r w:rsidR="00EA1C72">
        <w:t>s such as</w:t>
      </w:r>
      <w:r>
        <w:t xml:space="preserve"> branched and linear products as well as the potential for alkene isomerization </w:t>
      </w:r>
      <w:r w:rsidR="00EA1C72">
        <w:t xml:space="preserve">and aldehyde. </w:t>
      </w:r>
      <w:r w:rsidRPr="00233F08">
        <w:t>The reaction of 1-phenyl-1,2-ethane diol provided the best yield and selectivity in aldehyde</w:t>
      </w:r>
      <w:r>
        <w:t xml:space="preserve"> without further reduction to alcohol</w:t>
      </w:r>
      <w:r w:rsidRPr="00233F08">
        <w:t>. Finally the reaction of cis-1,2-cyclooctane diol was found to mostly produce the DODH alkene product, possibly the result of low hydroformylation reactivity of this cyclic alkene.</w:t>
      </w:r>
    </w:p>
    <w:p w14:paraId="5677116D" w14:textId="77777777" w:rsidR="00921E85" w:rsidRDefault="00921E85" w:rsidP="002145C2">
      <w:pPr>
        <w:ind w:firstLine="360"/>
        <w:jc w:val="both"/>
      </w:pPr>
    </w:p>
    <w:p w14:paraId="30E459BE" w14:textId="77777777" w:rsidR="00921E85" w:rsidRPr="00716073" w:rsidRDefault="00921E85" w:rsidP="000351A7">
      <w:pPr>
        <w:pStyle w:val="Heading3"/>
      </w:pPr>
      <w:bookmarkStart w:id="404" w:name="_Toc458938337"/>
      <w:r w:rsidRPr="00716073">
        <w:t>Conclusion</w:t>
      </w:r>
      <w:bookmarkEnd w:id="404"/>
    </w:p>
    <w:p w14:paraId="43538B04" w14:textId="23C6DEBC" w:rsidR="00921E85" w:rsidRDefault="00921E85" w:rsidP="002145C2">
      <w:pPr>
        <w:ind w:firstLine="360"/>
        <w:jc w:val="both"/>
      </w:pPr>
      <w:r>
        <w:t xml:space="preserve">In conclusion, we found the 1:1 mixture of hydrogen and carbon </w:t>
      </w:r>
      <w:r w:rsidRPr="002E6B31">
        <w:t>monoxide to have low activity as a DODH reducing agent with a maximum of 30% yield of hexene from hexanediol at 95% conversion</w:t>
      </w:r>
      <w:r w:rsidRPr="00233F08">
        <w:t>. We studied the hydroformylation step and found HRh(CO)</w:t>
      </w:r>
      <w:r>
        <w:t>(PPh</w:t>
      </w:r>
      <w:r w:rsidRPr="00233F08">
        <w:rPr>
          <w:vertAlign w:val="subscript"/>
        </w:rPr>
        <w:t>3</w:t>
      </w:r>
      <w:r w:rsidRPr="007C514E">
        <w:t>)</w:t>
      </w:r>
      <w:r>
        <w:rPr>
          <w:vertAlign w:val="subscript"/>
        </w:rPr>
        <w:t>2</w:t>
      </w:r>
      <w:r w:rsidRPr="00233F08">
        <w:t xml:space="preserve"> was the most efficient catalyst and provided a high yield when phosphines were additives in the reaction. Since triphenyl phosphine is a well-known DODH reducing agent we studied the DODH/hydroformylatio</w:t>
      </w:r>
      <w:r>
        <w:t>n tandem reaction on 1,2-hexanediol, 1-phenyl-1,2-ethanediol and cis-1,2-cyclooctane</w:t>
      </w:r>
      <w:r w:rsidRPr="00233F08">
        <w:t xml:space="preserve">diol. The product distribution and selectivity were different for each of these diols. But we did </w:t>
      </w:r>
      <w:r w:rsidR="002714AC" w:rsidRPr="00233F08">
        <w:t>observe</w:t>
      </w:r>
      <w:r w:rsidRPr="00233F08">
        <w:t xml:space="preserve"> moderate to good overall yields of tandem derived products (aldehydes, alcohols and ace</w:t>
      </w:r>
      <w:r w:rsidR="000A5739">
        <w:t>tals) for 1,2-hexane</w:t>
      </w:r>
      <w:r w:rsidRPr="00233F08">
        <w:t>diol (45% overall</w:t>
      </w:r>
      <w:r w:rsidR="000A5739">
        <w:t xml:space="preserve"> yield) and 1-phenyl-1,2-ethane</w:t>
      </w:r>
      <w:r w:rsidRPr="00233F08">
        <w:t xml:space="preserve">diol (78% overall yield). The cyclic </w:t>
      </w:r>
      <w:r>
        <w:t xml:space="preserve">diol provided a low overall yield in tandem products (15% overall yield). </w:t>
      </w:r>
    </w:p>
    <w:p w14:paraId="7708ECBF" w14:textId="5E634E76" w:rsidR="00921E85" w:rsidRPr="002E6B31" w:rsidRDefault="00921E85" w:rsidP="002145C2">
      <w:pPr>
        <w:ind w:firstLine="360"/>
        <w:jc w:val="both"/>
      </w:pPr>
      <w:r w:rsidRPr="002E6B31">
        <w:t>These successful tandem reaction attempt</w:t>
      </w:r>
      <w:r w:rsidR="002714AC">
        <w:t>s</w:t>
      </w:r>
      <w:r w:rsidRPr="002E6B31">
        <w:t xml:space="preserve"> demonstrate the compatibility of higher oxidation state rhenium and lower oxidation state rhodium tandem catalysts. </w:t>
      </w:r>
      <w:r>
        <w:t>It has been only</w:t>
      </w:r>
      <w:r w:rsidRPr="002E6B31">
        <w:t xml:space="preserve"> few prior examples of high and low oxidation state co-catalysis/compatibility</w:t>
      </w:r>
      <w:r>
        <w:t>.</w:t>
      </w:r>
      <w:r w:rsidRPr="002E6B31">
        <w:t xml:space="preserve"> </w:t>
      </w:r>
      <w:r>
        <w:t>In fact most dual catalyst system use metal of close low oxidation state: [Rh(cod)Cl]</w:t>
      </w:r>
      <w:r w:rsidRPr="00E02C11">
        <w:rPr>
          <w:vertAlign w:val="subscript"/>
        </w:rPr>
        <w:t>2</w:t>
      </w:r>
      <w:r>
        <w:t>/[Ir(cod)Cl]</w:t>
      </w:r>
      <w:r w:rsidRPr="00E02C11">
        <w:rPr>
          <w:vertAlign w:val="subscript"/>
        </w:rPr>
        <w:t xml:space="preserve"> 2</w:t>
      </w:r>
      <w:r>
        <w:t xml:space="preserve"> for amine synthesis, Pd(PPh</w:t>
      </w:r>
      <w:r w:rsidRPr="00E02C11">
        <w:rPr>
          <w:vertAlign w:val="subscript"/>
        </w:rPr>
        <w:t>3</w:t>
      </w:r>
      <w:r>
        <w:t>)</w:t>
      </w:r>
      <w:r w:rsidRPr="00E02C11">
        <w:rPr>
          <w:vertAlign w:val="subscript"/>
        </w:rPr>
        <w:t>4</w:t>
      </w:r>
      <w:r w:rsidRPr="00E02C11">
        <w:t>/</w:t>
      </w:r>
      <w:r>
        <w:t>Grubb II for the synthesis of cycloalkenes.</w:t>
      </w:r>
      <w:r>
        <w:fldChar w:fldCharType="begin"/>
      </w:r>
      <w:r w:rsidR="00E028D6">
        <w:instrText xml:space="preserve"> ADDIN ZOTERO_ITEM CSL_CITATION {"citationID":"16pkl42c2s","properties":{"formattedCitation":"{\\rtf \\super 170,171\\nosupersub{}}","plainCitation":"170,171"},"citationItems":[{"id":1773,"uris":["http://zotero.org/users/1624234/items/X2RGKD2T"],"uri":["http://zotero.org/users/1624234/items/X2RGKD2T"],"itemData":{"id":1773,"type":"article-journal","title":"Orthogonal tandem catalysis","container-title":"Nature Chemistry","page":"477-482","volume":"7","issue":"6","source":"www.nature.com","abstract":"Tandem catalysis is a growing field that is beginning to yield important scientific and technological advances toward new and more efficient catalytic processes. 'One-pot' tandem reactions, where multiple catalysts and reagents, combined in a single reaction vessel undergo a sequence of precisely staged catalytic steps, are highly attractive from the standpoint of reducing both waste and time. Orthogonal tandem catalysis is a subset of one-pot reactions in which more than one catalyst is used to promote two or more mechanistically distinct reaction steps. This Perspective summarizes and analyses some of the recent developments and successes in orthogonal tandem catalysis, with particular focus on recent strategies to address catalyst incompatibility. We also highlight the concept of thermodynamic leveraging by coupling multiple catalyst cycles to effect challenging transformations not observed in single-step processes, and to encourage application of this technique to energetically unfavourable or demanding reactions.","DOI":"10.1038/nchem.2262","ISSN":"1755-4330","journalAbbreviation":"Nat Chem","language":"en","author":[{"family":"Lohr","given":"Tracy L."},{"family":"Marks","given":"Tobin J."}],"issued":{"date-parts":[["2015",6]]}}},{"id":1776,"uris":["http://zotero.org/users/1624234/items/6CDAIEBP"],"uri":["http://zotero.org/users/1624234/items/6CDAIEBP"],"itemData":{"id":1776,"type":"article-journal","title":"Multicomponent and Multicatalytic Reactions – A Synthetic Strategy Inspired by Nature","container-title":"European Journal of Inorganic Chemistry","page":"1306-1313","volume":"2016","issue":"9","source":"Wiley Online Library","abstract":"The dream of chemists to imitate the efficiency of Nature for the construction of complex molecules from simple starting materials has driven the development of new concepts in the area of catalysis. In this context, “Multicomponent and Multicatalytic Reactions” have emerged as a highly valuable synthetic tool. These reactions try to mimic the way the enzymatic machinery transforms a series of starting materials into intricate structures. This microreview shows some relevant multicomponent and multicatalytic reactions with the intention of demonstrating the incredible potential of this type of processes. The content is organized according to the type of multicatalytic system used (metal/metal, metal/organic, or organic/organic).","DOI":"10.1002/ejic.201501287","ISSN":"1099-0682","journalAbbreviation":"Eur. J. Inorg. Chem.","language":"en","author":[{"family":"Galván","given":"Alicia"},{"family":"Fañanás","given":"Francisco J."},{"family":"Rodríguez","given":"Félix"}],"issued":{"date-parts":[["2016",3,1]]}}}],"schema":"https://github.com/citation-style-language/schema/raw/master/csl-citation.json"} </w:instrText>
      </w:r>
      <w:r>
        <w:fldChar w:fldCharType="separate"/>
      </w:r>
      <w:r w:rsidR="00E028D6" w:rsidRPr="00E028D6">
        <w:rPr>
          <w:rFonts w:ascii="Calibri" w:hAnsi="Calibri"/>
          <w:sz w:val="22"/>
          <w:vertAlign w:val="superscript"/>
        </w:rPr>
        <w:t>170,171</w:t>
      </w:r>
      <w:r>
        <w:fldChar w:fldCharType="end"/>
      </w:r>
      <w:r w:rsidRPr="002E6B31">
        <w:t xml:space="preserve"> </w:t>
      </w:r>
    </w:p>
    <w:p w14:paraId="2C6F427D" w14:textId="77777777" w:rsidR="00921E85" w:rsidRDefault="00921E85" w:rsidP="002145C2">
      <w:pPr>
        <w:ind w:firstLine="360"/>
        <w:jc w:val="both"/>
      </w:pPr>
      <w:r>
        <w:t xml:space="preserve">Future work could </w:t>
      </w:r>
      <w:r w:rsidRPr="00233F08">
        <w:t>cover a larger survey of diol</w:t>
      </w:r>
      <w:r w:rsidR="00CF62BD">
        <w:t>s such as polyols</w:t>
      </w:r>
      <w:r w:rsidRPr="00233F08">
        <w:t xml:space="preserve"> </w:t>
      </w:r>
      <w:r w:rsidR="00CF62BD">
        <w:t>(glycerol</w:t>
      </w:r>
      <w:r w:rsidR="00EB759E">
        <w:t xml:space="preserve"> or</w:t>
      </w:r>
      <w:r w:rsidR="00CF62BD">
        <w:t xml:space="preserve"> xylitol</w:t>
      </w:r>
      <w:r w:rsidR="00EB759E">
        <w:t xml:space="preserve"> for example</w:t>
      </w:r>
      <w:r w:rsidR="00CF62BD">
        <w:t>)</w:t>
      </w:r>
      <w:r w:rsidRPr="00233F08">
        <w:t xml:space="preserve"> and the study of other hydroformylation catalyst such as Ru</w:t>
      </w:r>
      <w:r w:rsidRPr="00233F08">
        <w:rPr>
          <w:vertAlign w:val="subscript"/>
        </w:rPr>
        <w:t>3</w:t>
      </w:r>
      <w:r w:rsidRPr="00233F08">
        <w:t>(CO)</w:t>
      </w:r>
      <w:r w:rsidRPr="00233F08">
        <w:rPr>
          <w:vertAlign w:val="subscript"/>
        </w:rPr>
        <w:t>12</w:t>
      </w:r>
      <w:r w:rsidRPr="00233F08">
        <w:t>-2,2’-bipyridine or Rh</w:t>
      </w:r>
      <w:r w:rsidRPr="00233F08">
        <w:rPr>
          <w:vertAlign w:val="subscript"/>
        </w:rPr>
        <w:t>2</w:t>
      </w:r>
      <w:r w:rsidRPr="00233F08">
        <w:t>O</w:t>
      </w:r>
      <w:r w:rsidRPr="00233F08">
        <w:rPr>
          <w:vertAlign w:val="subscript"/>
        </w:rPr>
        <w:t>3</w:t>
      </w:r>
      <w:r w:rsidRPr="00233F08">
        <w:t xml:space="preserve"> or PtCl</w:t>
      </w:r>
      <w:r w:rsidRPr="00233F08">
        <w:rPr>
          <w:vertAlign w:val="subscript"/>
        </w:rPr>
        <w:t xml:space="preserve">2 </w:t>
      </w:r>
      <w:r w:rsidRPr="00233F08">
        <w:rPr>
          <w:vertAlign w:val="subscript"/>
        </w:rPr>
        <w:fldChar w:fldCharType="begin"/>
      </w:r>
      <w:r w:rsidR="00E028D6">
        <w:rPr>
          <w:vertAlign w:val="subscript"/>
        </w:rPr>
        <w:instrText xml:space="preserve"> ADDIN ZOTERO_ITEM CSL_CITATION {"citationID":"2eivg0ufq7","properties":{"formattedCitation":"{\\rtf \\super 165\\nosupersub{}}","plainCitation":"165"},"citationItems":[{"id":340,"uris":["http://zotero.org/users/1624234/items/P2C2K4HR"],"uri":["http://zotero.org/users/1624234/items/P2C2K4HR"],"itemData":{"id":340,"type":"chapter","title":"The Hydroformylation Reaction","container-title":"Organic Reactions","publisher":"John Wiley &amp; Sons, Inc.","source":"Wiley Online Library","abstract":"The reaction of 1-alkenes with carbon monoxide and hydrogen in the presence of a catalyst gives the corresponding homologous aldehydes. The discovery of this reaction was made by Roelen in 1938 using Co2(CO)8 as the catalyst at high temperature (120–170°) and high pressure of carbon monoxide/hydrogen (200–300 bar). This reaction has been called the “Oxo reaction”, “Roelen reaction” or “hydroformylation”. Hydroformylation is a general term indicating that both a hydrogen and a formyl group are introduced to unsaturated bonds, especially olefins. Later this reaction was developed as an industrial process, i.e., the Oxo Process, for the production of alkanals from 1-alkenes using a cobalt or rhodium catalyst. Most noteworthy is the conversion of propene to butanal, which can be subsequently hydrogenated to 1-butanol or converted to 2-ethylhexanol by self-aldol condensation. 2-Ethylhexanol, a crucial intermediate for the production of ester-type plasticizers, is the most important bulk chemical produced by the Oxo Process. A variety of transition metal catalysts other than Co2(CO)8 have been investigated, including phosphine complexes of cobalt and hydridocobalt clusters. Platinum and ruthenium complexes show reasonably good catalytic activities, but modified cobalt catalysts are still much more advantageous. However, various rhodium complexes demonstrate higher catalytic activity (103–104 times) than the cobalt complexes. Although the price of rhodium is higher than cobalt, reactions using rhodium catalysts require lower temperature (50–80°) and pressure (10–50 atm). Other important commercial applications of hydroformylation include the production of long-chain alcohols from C5–C17 isomeric linear alkenes. These long-chain alcohols serve as intermediates for lubricants, plasticizers and detergents. The hydroformylation of ethene to propanal is another important Oxo Process. In this chapter, the authors put clear emphasis on the scope of the hydroformylation reaction in organic synthesis. In this context, there is a relevant review in 1987 of the hydroformylation of functionalized alkenes. The hydroformylation reaction now can be performed under very mild conditions using a variety of functionalized alkenes. Reactions in aqueous biphase, supercritical carbon dioxide or fluorous biphase have recently emerged in response to separation and environmental issues. In fact, a highly efficient Oxo Process using a water-soluble rhodium catalyst in aqueous biphasic conditions has been commercialized by Ruhrchemie/Rhône-Poulenc for the production of butanal. Asymmetric hydroformylation of prochiral olefins catalyzed by enantiopure rhodium complexes has been developed to the level that practical applications appear possible. Although the reactions of formaldehyde, oxiranes, and others with carbon monoxide and hydrogen in the presence of transition metal catalyst could be considered as variations of hydroformylation, this chapter only deals with hydroformylation of carbon-carbon multiple bonds.","URL":"http://onlinelibrary.wiley.com/doi/10.1002/0471264180.or056.01/abstract","ISBN":"978-0-471-26418-7","language":"en","author":[{"family":"Ojima","given":"Iwao"},{"family":"Tsai","given":"Chung-Ying"},{"family":"Tzamarioudaki","given":"Maria"},{"family":"Bonafoux","given":"Dominique"}],"issued":{"date-parts":[["2004"]]},"accessed":{"date-parts":[["2014",6,25]]}}}],"schema":"https://github.com/citation-style-language/schema/raw/master/csl-citation.json"} </w:instrText>
      </w:r>
      <w:r w:rsidRPr="00233F08">
        <w:rPr>
          <w:vertAlign w:val="subscript"/>
        </w:rPr>
        <w:fldChar w:fldCharType="separate"/>
      </w:r>
      <w:r w:rsidR="00E028D6" w:rsidRPr="00E028D6">
        <w:rPr>
          <w:rFonts w:ascii="Calibri" w:hAnsi="Calibri"/>
          <w:vertAlign w:val="superscript"/>
        </w:rPr>
        <w:t>165</w:t>
      </w:r>
      <w:r w:rsidRPr="00233F08">
        <w:rPr>
          <w:vertAlign w:val="subscript"/>
        </w:rPr>
        <w:fldChar w:fldCharType="end"/>
      </w:r>
      <w:r w:rsidRPr="00233F08">
        <w:t xml:space="preserve"> which would not require a phosphine ligand. The potential of other DODH reducing agents could then be considered such as sodium sulfite or secondary or benzyl alcohols. These reducing agents would make for a more economic and environmentally friendly reaction system. The most desirable reducing agent remains the hydrogen and carbon monoxide mixture and it could be reconsidered with future DODH report or with the use of co-catalysts to </w:t>
      </w:r>
      <w:r>
        <w:t>activate hydrogen in the reaction. The idea of using a co-catalyst to activate H</w:t>
      </w:r>
      <w:r w:rsidRPr="00266A41">
        <w:rPr>
          <w:vertAlign w:val="subscript"/>
        </w:rPr>
        <w:t>2</w:t>
      </w:r>
      <w:r>
        <w:t xml:space="preserve"> or CO could be </w:t>
      </w:r>
      <w:r w:rsidR="00EA1C72">
        <w:t>attempted</w:t>
      </w:r>
      <w:r>
        <w:t xml:space="preserve"> using the original ruthenium Shvo’s catalyst.</w:t>
      </w:r>
    </w:p>
    <w:p w14:paraId="43568CDA" w14:textId="77777777" w:rsidR="002145C2" w:rsidRDefault="002145C2" w:rsidP="002145C2">
      <w:pPr>
        <w:ind w:firstLine="360"/>
        <w:jc w:val="both"/>
      </w:pPr>
    </w:p>
    <w:p w14:paraId="6A66600F" w14:textId="77777777" w:rsidR="00921E85" w:rsidRDefault="00921E85" w:rsidP="000351A7">
      <w:pPr>
        <w:pStyle w:val="Heading3"/>
      </w:pPr>
      <w:bookmarkStart w:id="405" w:name="_Toc458938338"/>
      <w:r w:rsidRPr="00716073">
        <w:t>Experimental</w:t>
      </w:r>
      <w:bookmarkEnd w:id="405"/>
    </w:p>
    <w:p w14:paraId="7480099F" w14:textId="77777777" w:rsidR="00921E85" w:rsidRPr="002145C2" w:rsidRDefault="00921E85" w:rsidP="00C36752">
      <w:pPr>
        <w:pStyle w:val="Heading41"/>
        <w:numPr>
          <w:ilvl w:val="0"/>
          <w:numId w:val="37"/>
        </w:numPr>
      </w:pPr>
      <w:r w:rsidRPr="002145C2">
        <w:t xml:space="preserve">General information: reagents and instruments. </w:t>
      </w:r>
    </w:p>
    <w:p w14:paraId="6EFE015C" w14:textId="77777777" w:rsidR="00921E85" w:rsidRDefault="00921E85" w:rsidP="002145C2">
      <w:pPr>
        <w:ind w:firstLine="360"/>
        <w:jc w:val="both"/>
        <w:rPr>
          <w:rFonts w:cstheme="minorHAnsi"/>
        </w:rPr>
      </w:pPr>
      <w:r w:rsidRPr="00E47369">
        <w:rPr>
          <w:rFonts w:cstheme="minorHAnsi"/>
        </w:rPr>
        <w:tab/>
        <w:t xml:space="preserve">All reactants and catalysts were obtained commercially and used without further purification. All solvents were ACS grade and were used directly (unless otherwise described in the procedures). </w:t>
      </w:r>
      <w:r w:rsidRPr="00E47369">
        <w:rPr>
          <w:rFonts w:cstheme="minorHAnsi"/>
          <w:vertAlign w:val="superscript"/>
        </w:rPr>
        <w:t>1</w:t>
      </w:r>
      <w:r w:rsidRPr="00E47369">
        <w:rPr>
          <w:rFonts w:cstheme="minorHAnsi"/>
        </w:rPr>
        <w:t>H NMR spectra were collected on Varian VX300 MHz or VNMRS 400 MHz instruments. The NMR data were processed using SpinWorks</w:t>
      </w:r>
      <w:r w:rsidRPr="00E47369">
        <w:rPr>
          <w:rFonts w:cstheme="minorHAnsi"/>
        </w:rPr>
        <w:fldChar w:fldCharType="begin"/>
      </w:r>
      <w:r w:rsidR="00F8513E">
        <w:rPr>
          <w:rFonts w:cstheme="minorHAnsi"/>
        </w:rPr>
        <w:instrText xml:space="preserve"> ADDIN ZOTERO_ITEM CSL_CITATION {"citationID":"Dr8TBDEi","properties":{"formattedCitation":"{\\rtf \\super 102\\nosupersub{}}","plainCitation":"102"},"citationItems":[{"id":1498,"uris":["http://zotero.org/users/1624234/items/2R52QEZC"],"uri":["http://zotero.org/users/1624234/items/2R52QEZC"],"itemData":{"id":1498,"type":"book","title":"SpinWorks 4","publisher":"University of Manitoba : Winnipeg Canada","version":"4.1.0.0","author":[{"family":"Marat","given":"K."}]}}],"schema":"https://github.com/citation-style-language/schema/raw/master/csl-citation.json"} </w:instrText>
      </w:r>
      <w:r w:rsidRPr="00E47369">
        <w:rPr>
          <w:rFonts w:cstheme="minorHAnsi"/>
        </w:rPr>
        <w:fldChar w:fldCharType="separate"/>
      </w:r>
      <w:r w:rsidR="00F8513E" w:rsidRPr="00F8513E">
        <w:rPr>
          <w:rFonts w:ascii="Calibri" w:hAnsi="Calibri"/>
          <w:sz w:val="22"/>
          <w:vertAlign w:val="superscript"/>
        </w:rPr>
        <w:t>102</w:t>
      </w:r>
      <w:r w:rsidRPr="00E47369">
        <w:rPr>
          <w:rFonts w:cstheme="minorHAnsi"/>
        </w:rPr>
        <w:fldChar w:fldCharType="end"/>
      </w:r>
      <w:r w:rsidRPr="00E47369">
        <w:rPr>
          <w:rFonts w:cstheme="minorHAnsi"/>
        </w:rPr>
        <w:t xml:space="preserve"> and ACD</w:t>
      </w:r>
      <w:r w:rsidRPr="00E47369">
        <w:rPr>
          <w:rFonts w:cstheme="minorHAnsi"/>
        </w:rPr>
        <w:fldChar w:fldCharType="begin"/>
      </w:r>
      <w:r w:rsidR="00F8513E">
        <w:rPr>
          <w:rFonts w:cstheme="minorHAnsi"/>
        </w:rPr>
        <w:instrText xml:space="preserve"> ADDIN ZOTERO_ITEM CSL_CITATION {"citationID":"FKXd59AQ","properties":{"formattedCitation":"{\\rtf \\super 103\\nosupersub{}}","plainCitation":"103"},"citationItems":[{"id":1512,"uris":["http://zotero.org/users/1624234/items/VJU6SH7K"],"uri":["http://zotero.org/users/1624234/items/VJU6SH7K"],"itemData":{"id":1512,"type":"book","title":"ACD/Structure Elucidator","publisher":"Advanced Chemistry Development, Inc.","version":"12.01","URL":"www.acdlabs.com","issued":{"date-parts":[["2014"]]}}}],"schema":"https://github.com/citation-style-language/schema/raw/master/csl-citation.json"} </w:instrText>
      </w:r>
      <w:r w:rsidRPr="00E47369">
        <w:rPr>
          <w:rFonts w:cstheme="minorHAnsi"/>
        </w:rPr>
        <w:fldChar w:fldCharType="separate"/>
      </w:r>
      <w:r w:rsidR="00F8513E" w:rsidRPr="00F8513E">
        <w:rPr>
          <w:rFonts w:ascii="Calibri" w:hAnsi="Calibri"/>
          <w:sz w:val="22"/>
          <w:vertAlign w:val="superscript"/>
        </w:rPr>
        <w:t>103</w:t>
      </w:r>
      <w:r w:rsidRPr="00E47369">
        <w:rPr>
          <w:rFonts w:cstheme="minorHAnsi"/>
        </w:rPr>
        <w:fldChar w:fldCharType="end"/>
      </w:r>
      <w:r w:rsidRPr="00E47369">
        <w:rPr>
          <w:rFonts w:cstheme="minorHAnsi"/>
        </w:rPr>
        <w:t xml:space="preserve"> software. Gas chromatograms were collected on a Shimadzu GC-2014 equipped with an AOC 20i+s auto sampler, both with 3% SE-54 packed column, FID and thermal program 40</w:t>
      </w:r>
      <w:r w:rsidRPr="00E47369">
        <w:rPr>
          <w:rFonts w:cstheme="minorHAnsi"/>
          <w:vertAlign w:val="superscript"/>
        </w:rPr>
        <w:t>o</w:t>
      </w:r>
      <w:r w:rsidRPr="00E47369">
        <w:rPr>
          <w:rFonts w:cstheme="minorHAnsi"/>
        </w:rPr>
        <w:t>C for 5 min; 20 deg/min to 250</w:t>
      </w:r>
      <w:r w:rsidRPr="00E47369">
        <w:rPr>
          <w:rFonts w:cstheme="minorHAnsi"/>
          <w:vertAlign w:val="superscript"/>
        </w:rPr>
        <w:t>o</w:t>
      </w:r>
      <w:r w:rsidRPr="00E47369">
        <w:rPr>
          <w:rFonts w:cstheme="minorHAnsi"/>
        </w:rPr>
        <w:t>C; then 7 min at 250°C.</w:t>
      </w:r>
      <w:r>
        <w:rPr>
          <w:rFonts w:cstheme="minorHAnsi"/>
        </w:rPr>
        <w:t xml:space="preserve"> </w:t>
      </w:r>
      <w:r w:rsidRPr="00E47369">
        <w:rPr>
          <w:rFonts w:cstheme="minorHAnsi"/>
        </w:rPr>
        <w:t xml:space="preserve">GC-MS-EI analyses were performed on a Thermo-Finnigan instrument using a Stabil-wax capillary column. </w:t>
      </w:r>
    </w:p>
    <w:p w14:paraId="21871624" w14:textId="77777777" w:rsidR="00921E85" w:rsidRPr="00E47369" w:rsidRDefault="00921E85" w:rsidP="002145C2">
      <w:pPr>
        <w:ind w:firstLine="360"/>
        <w:jc w:val="both"/>
        <w:rPr>
          <w:rFonts w:cstheme="minorHAnsi"/>
        </w:rPr>
      </w:pPr>
    </w:p>
    <w:p w14:paraId="56693653" w14:textId="77777777" w:rsidR="00921E85" w:rsidRPr="002145C2" w:rsidRDefault="00921E85" w:rsidP="002145C2">
      <w:pPr>
        <w:pStyle w:val="Heading41"/>
      </w:pPr>
      <w:r w:rsidRPr="002145C2">
        <w:t>Representative procedure for DODH reactions using H</w:t>
      </w:r>
      <w:r w:rsidRPr="002145C2">
        <w:rPr>
          <w:vertAlign w:val="subscript"/>
        </w:rPr>
        <w:t>2</w:t>
      </w:r>
      <w:r w:rsidRPr="002145C2">
        <w:t xml:space="preserve">/CO as reducing agent </w:t>
      </w:r>
    </w:p>
    <w:p w14:paraId="1D55E06D" w14:textId="154EE48F" w:rsidR="00921E85" w:rsidRDefault="00630CBC" w:rsidP="002145C2">
      <w:pPr>
        <w:ind w:firstLine="360"/>
        <w:jc w:val="both"/>
        <w:rPr>
          <w:rFonts w:cstheme="minorHAnsi"/>
        </w:rPr>
      </w:pPr>
      <w:r>
        <w:rPr>
          <w:rFonts w:cstheme="minorHAnsi"/>
        </w:rPr>
        <w:t>1,2-Hexanediol (1.00 mmol, 0.12</w:t>
      </w:r>
      <w:r w:rsidR="00921E85" w:rsidRPr="00233F08">
        <w:rPr>
          <w:rFonts w:cstheme="minorHAnsi"/>
        </w:rPr>
        <w:t xml:space="preserve"> mL), NH</w:t>
      </w:r>
      <w:r w:rsidR="00921E85" w:rsidRPr="00233F08">
        <w:rPr>
          <w:rFonts w:cstheme="minorHAnsi"/>
          <w:vertAlign w:val="subscript"/>
        </w:rPr>
        <w:t>4</w:t>
      </w:r>
      <w:r w:rsidR="00921E85" w:rsidRPr="00233F08">
        <w:rPr>
          <w:rFonts w:cstheme="minorHAnsi"/>
        </w:rPr>
        <w:t>ReO</w:t>
      </w:r>
      <w:r w:rsidR="00921E85" w:rsidRPr="00233F08">
        <w:rPr>
          <w:rFonts w:cstheme="minorHAnsi"/>
          <w:vertAlign w:val="subscript"/>
        </w:rPr>
        <w:t>4</w:t>
      </w:r>
      <w:r>
        <w:rPr>
          <w:rFonts w:cstheme="minorHAnsi"/>
        </w:rPr>
        <w:t xml:space="preserve"> (0.10 mmol, 27</w:t>
      </w:r>
      <w:r w:rsidR="00921E85" w:rsidRPr="00233F08">
        <w:rPr>
          <w:rFonts w:cstheme="minorHAnsi"/>
        </w:rPr>
        <w:t xml:space="preserve"> mg) and toluene (7.5 mL) were added to a 150 mL Fischer Porter Tube. The reactor was closed and nitrogen was bubbled into the mixture </w:t>
      </w:r>
      <w:r w:rsidR="00921E85" w:rsidRPr="00233F08">
        <w:rPr>
          <w:rFonts w:cstheme="minorHAnsi"/>
          <w:i/>
        </w:rPr>
        <w:t>via</w:t>
      </w:r>
      <w:r w:rsidR="00921E85" w:rsidRPr="00233F08">
        <w:rPr>
          <w:rFonts w:cstheme="minorHAnsi"/>
        </w:rPr>
        <w:t xml:space="preserve"> the dip tube for at least 60 sec. The reactor was pressured with hydrogen to 50 psi then with carbon monoxide to 100 </w:t>
      </w:r>
      <w:r w:rsidR="00921E85">
        <w:rPr>
          <w:rFonts w:cstheme="minorHAnsi"/>
        </w:rPr>
        <w:t xml:space="preserve">psi </w:t>
      </w:r>
      <w:r w:rsidR="00921E85" w:rsidRPr="00233F08">
        <w:rPr>
          <w:rFonts w:cstheme="minorHAnsi"/>
        </w:rPr>
        <w:t xml:space="preserve">(CO tank regulator delivering 150 </w:t>
      </w:r>
      <w:r w:rsidR="00921E85">
        <w:rPr>
          <w:rFonts w:cstheme="minorHAnsi"/>
        </w:rPr>
        <w:t>psi</w:t>
      </w:r>
      <w:r w:rsidR="00921E85" w:rsidRPr="00233F08">
        <w:rPr>
          <w:rFonts w:cstheme="minorHAnsi"/>
        </w:rPr>
        <w:t>). The reactor was placed in an oil bath at 150</w:t>
      </w:r>
      <w:r w:rsidR="00921E85" w:rsidRPr="00233F08">
        <w:rPr>
          <w:rFonts w:cstheme="minorHAnsi"/>
          <w:vertAlign w:val="superscript"/>
        </w:rPr>
        <w:t>o</w:t>
      </w:r>
      <w:r w:rsidR="00921E85" w:rsidRPr="00233F08">
        <w:rPr>
          <w:rFonts w:cstheme="minorHAnsi"/>
        </w:rPr>
        <w:t xml:space="preserve">C for 24 h while stirring </w:t>
      </w:r>
      <w:r w:rsidR="00921E85" w:rsidRPr="00736F05">
        <w:rPr>
          <w:rFonts w:cstheme="minorHAnsi"/>
        </w:rPr>
        <w:t>magnetically. After cooling to room temperature, a 100 µL aliquot of the reaction mixture was removed and added to CDCl</w:t>
      </w:r>
      <w:r w:rsidR="00921E85" w:rsidRPr="00736F05">
        <w:rPr>
          <w:rFonts w:cstheme="minorHAnsi"/>
          <w:vertAlign w:val="subscript"/>
        </w:rPr>
        <w:t>3</w:t>
      </w:r>
      <w:r>
        <w:rPr>
          <w:rFonts w:cstheme="minorHAnsi"/>
        </w:rPr>
        <w:t xml:space="preserve"> (0.6</w:t>
      </w:r>
      <w:r w:rsidR="00921E85" w:rsidRPr="00736F05">
        <w:rPr>
          <w:rFonts w:cstheme="minorHAnsi"/>
        </w:rPr>
        <w:t xml:space="preserve"> mL) and 2.0 µL </w:t>
      </w:r>
      <w:r w:rsidR="00921E85">
        <w:rPr>
          <w:rFonts w:cstheme="minorHAnsi"/>
        </w:rPr>
        <w:t>DMF</w:t>
      </w:r>
      <w:r w:rsidR="00921E85" w:rsidRPr="00736F05">
        <w:rPr>
          <w:rFonts w:cstheme="minorHAnsi"/>
        </w:rPr>
        <w:t xml:space="preserve"> as inte</w:t>
      </w:r>
      <w:r w:rsidR="00921E85">
        <w:rPr>
          <w:rFonts w:cstheme="minorHAnsi"/>
        </w:rPr>
        <w:t>rnal standard for NMR analysis.</w:t>
      </w:r>
    </w:p>
    <w:p w14:paraId="028F7A03" w14:textId="777A8E49" w:rsidR="00921E85" w:rsidRPr="00347CCF" w:rsidRDefault="00921E85" w:rsidP="002145C2">
      <w:pPr>
        <w:jc w:val="both"/>
        <w:rPr>
          <w:rFonts w:cstheme="minorHAnsi"/>
          <w:i/>
        </w:rPr>
      </w:pPr>
      <w:r w:rsidRPr="00347CCF">
        <w:rPr>
          <w:rFonts w:cstheme="minorHAnsi"/>
          <w:i/>
        </w:rPr>
        <w:t>Entry III.7.1.1</w:t>
      </w:r>
    </w:p>
    <w:p w14:paraId="55487258" w14:textId="77777777" w:rsidR="00921E85" w:rsidRPr="00736F05" w:rsidRDefault="00921E85" w:rsidP="002145C2">
      <w:pPr>
        <w:jc w:val="center"/>
        <w:rPr>
          <w:rFonts w:cstheme="minorHAnsi"/>
        </w:rPr>
      </w:pPr>
    </w:p>
    <w:p w14:paraId="551905CC" w14:textId="2ADE339F" w:rsidR="002145C2" w:rsidRDefault="00443010" w:rsidP="001539C6">
      <w:pPr>
        <w:pStyle w:val="Heading41"/>
        <w:numPr>
          <w:ilvl w:val="0"/>
          <w:numId w:val="0"/>
        </w:numPr>
        <w:jc w:val="center"/>
        <w:rPr>
          <w:rFonts w:cstheme="minorHAnsi"/>
          <w:i w:val="0"/>
        </w:rPr>
      </w:pPr>
      <w:r>
        <w:rPr>
          <w:noProof/>
        </w:rPr>
        <w:object w:dxaOrig="0" w:dyaOrig="0" w14:anchorId="0B5823D1">
          <v:shape id="_x0000_s1395" type="#_x0000_t75" style="position:absolute;left:0;text-align:left;margin-left:186.05pt;margin-top:-.4pt;width:217.65pt;height:54.55pt;z-index:251680256;mso-position-horizontal-relative:text;mso-position-vertical-relative:text" filled="t" fillcolor="white [3212]">
            <v:imagedata r:id="rId407" o:title=""/>
          </v:shape>
          <o:OLEObject Type="Embed" ProgID="ChemDraw.Document.6.0" ShapeID="_x0000_s1395" DrawAspect="Content" ObjectID="_1532785076" r:id="rId408"/>
        </w:object>
      </w:r>
      <w:r w:rsidR="00921E85" w:rsidRPr="007516DF">
        <w:rPr>
          <w:rFonts w:cstheme="minorHAnsi"/>
          <w:i w:val="0"/>
          <w:noProof/>
          <w:lang w:bidi="ar-SA"/>
        </w:rPr>
        <w:drawing>
          <wp:inline distT="0" distB="0" distL="0" distR="0" wp14:anchorId="4F62BC1A" wp14:editId="37F41BE0">
            <wp:extent cx="4114800" cy="2513162"/>
            <wp:effectExtent l="0" t="0" r="0" b="190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rotWithShape="1">
                    <a:blip r:embed="rId409" cstate="print">
                      <a:extLst>
                        <a:ext uri="{28A0092B-C50C-407E-A947-70E740481C1C}">
                          <a14:useLocalDpi xmlns:a14="http://schemas.microsoft.com/office/drawing/2010/main" val="0"/>
                        </a:ext>
                      </a:extLst>
                    </a:blip>
                    <a:srcRect t="7891" b="12642"/>
                    <a:stretch/>
                  </pic:blipFill>
                  <pic:spPr bwMode="auto">
                    <a:xfrm>
                      <a:off x="0" y="0"/>
                      <a:ext cx="4114800" cy="2513162"/>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3C0055E6" w14:textId="77777777" w:rsidR="00921E85" w:rsidRPr="002145C2" w:rsidRDefault="00921E85" w:rsidP="002145C2">
      <w:pPr>
        <w:pStyle w:val="Heading41"/>
      </w:pPr>
      <w:r w:rsidRPr="002145C2">
        <w:t>Representative procedure for hydroformylation of 1-hexene</w:t>
      </w:r>
    </w:p>
    <w:p w14:paraId="427BDC78" w14:textId="11260E7D" w:rsidR="005D4B4F" w:rsidRDefault="00630CBC" w:rsidP="001539C6">
      <w:pPr>
        <w:ind w:firstLine="360"/>
        <w:jc w:val="both"/>
        <w:rPr>
          <w:rFonts w:cstheme="minorHAnsi"/>
        </w:rPr>
      </w:pPr>
      <w:r>
        <w:rPr>
          <w:rFonts w:cstheme="minorHAnsi"/>
        </w:rPr>
        <w:t>1-Hexene (1.00 mmol, 0.13</w:t>
      </w:r>
      <w:r w:rsidR="00921E85" w:rsidRPr="00233F08">
        <w:rPr>
          <w:rFonts w:cstheme="minorHAnsi"/>
        </w:rPr>
        <w:t xml:space="preserve"> </w:t>
      </w:r>
      <w:r w:rsidR="00921E85">
        <w:rPr>
          <w:rFonts w:cstheme="minorHAnsi"/>
        </w:rPr>
        <w:t xml:space="preserve">mL), </w:t>
      </w:r>
      <w:r w:rsidR="00921E85" w:rsidRPr="00736F05">
        <w:rPr>
          <w:rFonts w:cstheme="minorHAnsi"/>
        </w:rPr>
        <w:t>HR</w:t>
      </w:r>
      <w:r w:rsidR="00921E85">
        <w:rPr>
          <w:rFonts w:cstheme="minorHAnsi"/>
        </w:rPr>
        <w:t>h(C</w:t>
      </w:r>
      <w:r w:rsidR="00921E85" w:rsidRPr="00736F05">
        <w:rPr>
          <w:rFonts w:cstheme="minorHAnsi"/>
        </w:rPr>
        <w:t>O</w:t>
      </w:r>
      <w:r w:rsidR="00921E85">
        <w:rPr>
          <w:rFonts w:cstheme="minorHAnsi"/>
        </w:rPr>
        <w:t>)(PPh</w:t>
      </w:r>
      <w:r w:rsidR="00921E85">
        <w:rPr>
          <w:rFonts w:cstheme="minorHAnsi"/>
          <w:vertAlign w:val="subscript"/>
        </w:rPr>
        <w:t>3</w:t>
      </w:r>
      <w:r w:rsidR="00921E85" w:rsidRPr="007C514E">
        <w:rPr>
          <w:rFonts w:cstheme="minorHAnsi"/>
        </w:rPr>
        <w:t>)</w:t>
      </w:r>
      <w:r w:rsidR="00921E85">
        <w:rPr>
          <w:rFonts w:cstheme="minorHAnsi"/>
          <w:vertAlign w:val="subscript"/>
        </w:rPr>
        <w:t>3</w:t>
      </w:r>
      <w:r w:rsidR="00921E85">
        <w:rPr>
          <w:rFonts w:cstheme="minorHAnsi"/>
        </w:rPr>
        <w:t xml:space="preserve"> (0.025 mmol, 23 mg)</w:t>
      </w:r>
      <w:r w:rsidR="00921E85" w:rsidRPr="00736F05">
        <w:rPr>
          <w:rFonts w:cstheme="minorHAnsi"/>
        </w:rPr>
        <w:t xml:space="preserve"> and </w:t>
      </w:r>
      <w:r w:rsidR="00921E85">
        <w:rPr>
          <w:rFonts w:cstheme="minorHAnsi"/>
        </w:rPr>
        <w:t>toluene</w:t>
      </w:r>
      <w:r w:rsidR="00921E85" w:rsidRPr="00736F05">
        <w:rPr>
          <w:rFonts w:cstheme="minorHAnsi"/>
        </w:rPr>
        <w:t xml:space="preserve"> (</w:t>
      </w:r>
      <w:r w:rsidR="00921E85">
        <w:rPr>
          <w:rFonts w:cstheme="minorHAnsi"/>
        </w:rPr>
        <w:t>7.5</w:t>
      </w:r>
      <w:r w:rsidR="00921E85" w:rsidRPr="00736F05">
        <w:rPr>
          <w:rFonts w:cstheme="minorHAnsi"/>
        </w:rPr>
        <w:t xml:space="preserve"> mL) were added to a </w:t>
      </w:r>
      <w:r w:rsidR="00921E85">
        <w:rPr>
          <w:rFonts w:cstheme="minorHAnsi"/>
        </w:rPr>
        <w:t>150 mL Fischer Porter Tube</w:t>
      </w:r>
      <w:r w:rsidR="00921E85" w:rsidRPr="00736F05">
        <w:rPr>
          <w:rFonts w:cstheme="minorHAnsi"/>
        </w:rPr>
        <w:t xml:space="preserve">. </w:t>
      </w:r>
      <w:r w:rsidR="00921E85">
        <w:rPr>
          <w:rFonts w:cstheme="minorHAnsi"/>
        </w:rPr>
        <w:t>The reactor was closed and n</w:t>
      </w:r>
      <w:r w:rsidR="00921E85" w:rsidRPr="00736F05">
        <w:rPr>
          <w:rFonts w:cstheme="minorHAnsi"/>
        </w:rPr>
        <w:t>itrogen was bubbled into the mixture</w:t>
      </w:r>
      <w:r w:rsidR="00921E85">
        <w:rPr>
          <w:rFonts w:cstheme="minorHAnsi"/>
        </w:rPr>
        <w:t xml:space="preserve"> </w:t>
      </w:r>
      <w:r w:rsidR="00921E85" w:rsidRPr="004433B5">
        <w:rPr>
          <w:rFonts w:cstheme="minorHAnsi"/>
          <w:i/>
        </w:rPr>
        <w:t>via</w:t>
      </w:r>
      <w:r w:rsidR="00921E85">
        <w:rPr>
          <w:rFonts w:cstheme="minorHAnsi"/>
        </w:rPr>
        <w:t xml:space="preserve"> the dip tube</w:t>
      </w:r>
      <w:r w:rsidR="00921E85" w:rsidRPr="00736F05">
        <w:rPr>
          <w:rFonts w:cstheme="minorHAnsi"/>
        </w:rPr>
        <w:t xml:space="preserve"> for at least 60 sec. </w:t>
      </w:r>
      <w:r w:rsidR="00921E85">
        <w:rPr>
          <w:rFonts w:cstheme="minorHAnsi"/>
        </w:rPr>
        <w:t xml:space="preserve">The reactor was pressured with hydrogen to 50 psi then with carbon monoxide to 100 psi (CO tank regulator delivering 150 psi). For higher pressure the reaction was run in </w:t>
      </w:r>
      <w:r w:rsidR="00921E85" w:rsidRPr="00233F08">
        <w:rPr>
          <w:rFonts w:cstheme="minorHAnsi"/>
        </w:rPr>
        <w:t>a Parr stainless steel reactor. The reactor was placed in an oil bath a</w:t>
      </w:r>
      <w:r w:rsidR="00921E85" w:rsidRPr="00736F05">
        <w:rPr>
          <w:rFonts w:cstheme="minorHAnsi"/>
        </w:rPr>
        <w:t>t 150</w:t>
      </w:r>
      <w:r w:rsidR="00921E85" w:rsidRPr="00736F05">
        <w:rPr>
          <w:rFonts w:cstheme="minorHAnsi"/>
          <w:vertAlign w:val="superscript"/>
        </w:rPr>
        <w:t>o</w:t>
      </w:r>
      <w:r w:rsidR="00921E85" w:rsidRPr="00736F05">
        <w:rPr>
          <w:rFonts w:cstheme="minorHAnsi"/>
        </w:rPr>
        <w:t>C for 24 h while stirring magnetically. After cooling to room temperature, a 100 µL aliquot of the reaction mixture was removed and added to CDCl</w:t>
      </w:r>
      <w:r w:rsidR="00921E85" w:rsidRPr="00736F05">
        <w:rPr>
          <w:rFonts w:cstheme="minorHAnsi"/>
          <w:vertAlign w:val="subscript"/>
        </w:rPr>
        <w:t>3</w:t>
      </w:r>
      <w:r w:rsidR="00921E85" w:rsidRPr="00736F05">
        <w:rPr>
          <w:rFonts w:cstheme="minorHAnsi"/>
        </w:rPr>
        <w:t xml:space="preserve"> (0.600 mL) and 2.0 µL </w:t>
      </w:r>
      <w:r w:rsidR="00921E85">
        <w:rPr>
          <w:rFonts w:cstheme="minorHAnsi"/>
        </w:rPr>
        <w:t>DMF</w:t>
      </w:r>
      <w:r w:rsidR="00921E85" w:rsidRPr="00736F05">
        <w:rPr>
          <w:rFonts w:cstheme="minorHAnsi"/>
        </w:rPr>
        <w:t xml:space="preserve"> as inte</w:t>
      </w:r>
      <w:r w:rsidR="00921E85">
        <w:rPr>
          <w:rFonts w:cstheme="minorHAnsi"/>
        </w:rPr>
        <w:t xml:space="preserve">rnal standard for NMR analysis. </w:t>
      </w:r>
    </w:p>
    <w:p w14:paraId="48E88C42" w14:textId="77777777" w:rsidR="00921E85" w:rsidRDefault="00457EC7" w:rsidP="00457EC7">
      <w:pPr>
        <w:jc w:val="center"/>
      </w:pPr>
      <w:r w:rsidRPr="007100A8">
        <w:object w:dxaOrig="10356" w:dyaOrig="2402" w14:anchorId="6A31DD2E">
          <v:shape id="_x0000_i1182" type="#_x0000_t75" style="width:396.4pt;height:92.55pt" o:ole="">
            <v:imagedata r:id="rId395" o:title=""/>
          </v:shape>
          <o:OLEObject Type="Embed" ProgID="ChemDraw.Document.6.0" ShapeID="_x0000_i1182" DrawAspect="Content" ObjectID="_1532785015" r:id="rId410"/>
        </w:object>
      </w:r>
    </w:p>
    <w:p w14:paraId="1C599805" w14:textId="77777777" w:rsidR="00921E85" w:rsidRDefault="00921E85" w:rsidP="00F8513E">
      <w:pPr>
        <w:rPr>
          <w:rFonts w:cstheme="minorHAnsi"/>
        </w:rPr>
      </w:pPr>
    </w:p>
    <w:p w14:paraId="3429BBB4" w14:textId="77777777" w:rsidR="00921E85" w:rsidRPr="00235552" w:rsidRDefault="00921E85" w:rsidP="002145C2">
      <w:pPr>
        <w:jc w:val="both"/>
        <w:rPr>
          <w:i/>
        </w:rPr>
      </w:pPr>
      <w:r w:rsidRPr="00235552">
        <w:rPr>
          <w:i/>
        </w:rPr>
        <w:t>Entry III.7.2.1</w:t>
      </w:r>
      <w:r w:rsidRPr="00266A41">
        <w:t xml:space="preserve"> with</w:t>
      </w:r>
      <w:r>
        <w:rPr>
          <w:i/>
        </w:rPr>
        <w:t xml:space="preserve"> </w:t>
      </w:r>
      <w:r>
        <w:t>HRh(CO)</w:t>
      </w:r>
      <w:r w:rsidRPr="00F23F7D">
        <w:t>(</w:t>
      </w:r>
      <w:r>
        <w:t>PPh</w:t>
      </w:r>
      <w:r w:rsidRPr="00F23F7D">
        <w:rPr>
          <w:vertAlign w:val="subscript"/>
        </w:rPr>
        <w:t>3</w:t>
      </w:r>
      <w:r>
        <w:t>)</w:t>
      </w:r>
      <w:r w:rsidRPr="009774E0">
        <w:rPr>
          <w:vertAlign w:val="subscript"/>
        </w:rPr>
        <w:t>3</w:t>
      </w:r>
      <w:r>
        <w:t>, no additive</w:t>
      </w:r>
    </w:p>
    <w:p w14:paraId="4012B199" w14:textId="77777777" w:rsidR="00921E85" w:rsidRDefault="00921E85" w:rsidP="00F8513E">
      <w:pPr>
        <w:jc w:val="center"/>
      </w:pPr>
      <w:r w:rsidRPr="00F12C84">
        <w:rPr>
          <w:noProof/>
          <w:lang w:bidi="ar-SA"/>
        </w:rPr>
        <w:drawing>
          <wp:inline distT="0" distB="0" distL="0" distR="0" wp14:anchorId="15FF20CE" wp14:editId="30B16299">
            <wp:extent cx="4114800" cy="2476053"/>
            <wp:effectExtent l="0" t="0" r="0" b="63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411" cstate="print">
                      <a:extLst>
                        <a:ext uri="{28A0092B-C50C-407E-A947-70E740481C1C}">
                          <a14:useLocalDpi xmlns:a14="http://schemas.microsoft.com/office/drawing/2010/main" val="0"/>
                        </a:ext>
                      </a:extLst>
                    </a:blip>
                    <a:srcRect t="8641" b="13050"/>
                    <a:stretch/>
                  </pic:blipFill>
                  <pic:spPr bwMode="auto">
                    <a:xfrm>
                      <a:off x="0" y="0"/>
                      <a:ext cx="4114800" cy="2476053"/>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64EAFCB8" w14:textId="77777777" w:rsidR="00921E85" w:rsidRPr="00235552" w:rsidRDefault="00921E85" w:rsidP="002145C2">
      <w:pPr>
        <w:rPr>
          <w:i/>
        </w:rPr>
      </w:pPr>
      <w:r w:rsidRPr="00235552">
        <w:rPr>
          <w:i/>
        </w:rPr>
        <w:t>Entry III.7.2.2</w:t>
      </w:r>
      <w:r>
        <w:rPr>
          <w:i/>
        </w:rPr>
        <w:t xml:space="preserve"> </w:t>
      </w:r>
      <w:r w:rsidRPr="00266A41">
        <w:t>with</w:t>
      </w:r>
      <w:r>
        <w:rPr>
          <w:i/>
        </w:rPr>
        <w:t xml:space="preserve"> </w:t>
      </w:r>
      <w:r>
        <w:t>HRh(CO)</w:t>
      </w:r>
      <w:r w:rsidRPr="00F23F7D">
        <w:t xml:space="preserve"> (</w:t>
      </w:r>
      <w:r>
        <w:t>PPh</w:t>
      </w:r>
      <w:r w:rsidRPr="00F23F7D">
        <w:rPr>
          <w:vertAlign w:val="subscript"/>
        </w:rPr>
        <w:t>3</w:t>
      </w:r>
      <w:r>
        <w:t>)</w:t>
      </w:r>
      <w:r w:rsidRPr="009774E0">
        <w:rPr>
          <w:vertAlign w:val="subscript"/>
        </w:rPr>
        <w:t>3</w:t>
      </w:r>
      <w:r>
        <w:t>, and dppe 25mol%</w:t>
      </w:r>
    </w:p>
    <w:p w14:paraId="25EE1B27" w14:textId="77777777" w:rsidR="00921E85" w:rsidRDefault="00921E85" w:rsidP="00F8513E">
      <w:pPr>
        <w:jc w:val="center"/>
      </w:pPr>
      <w:r w:rsidRPr="00F12C84">
        <w:rPr>
          <w:noProof/>
          <w:lang w:bidi="ar-SA"/>
        </w:rPr>
        <w:drawing>
          <wp:inline distT="0" distB="0" distL="0" distR="0" wp14:anchorId="7188F8BB" wp14:editId="570D00F5">
            <wp:extent cx="4114800" cy="2475640"/>
            <wp:effectExtent l="0" t="0" r="0"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412" cstate="print">
                      <a:extLst>
                        <a:ext uri="{28A0092B-C50C-407E-A947-70E740481C1C}">
                          <a14:useLocalDpi xmlns:a14="http://schemas.microsoft.com/office/drawing/2010/main" val="0"/>
                        </a:ext>
                      </a:extLst>
                    </a:blip>
                    <a:srcRect t="8535" b="13169"/>
                    <a:stretch/>
                  </pic:blipFill>
                  <pic:spPr bwMode="auto">
                    <a:xfrm>
                      <a:off x="0" y="0"/>
                      <a:ext cx="4114800" cy="247564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7433B10C" w14:textId="77777777" w:rsidR="005D4B4F" w:rsidRDefault="005D4B4F" w:rsidP="002145C2">
      <w:pPr>
        <w:rPr>
          <w:i/>
        </w:rPr>
      </w:pPr>
    </w:p>
    <w:p w14:paraId="7E1C197C" w14:textId="77777777" w:rsidR="005D4B4F" w:rsidRDefault="005D4B4F" w:rsidP="002145C2">
      <w:pPr>
        <w:rPr>
          <w:i/>
        </w:rPr>
      </w:pPr>
    </w:p>
    <w:p w14:paraId="3A9467C2" w14:textId="77777777" w:rsidR="00921E85" w:rsidRPr="00235552" w:rsidRDefault="00921E85" w:rsidP="002145C2">
      <w:pPr>
        <w:rPr>
          <w:i/>
        </w:rPr>
      </w:pPr>
      <w:r>
        <w:rPr>
          <w:i/>
        </w:rPr>
        <w:t xml:space="preserve">Entry III.7.2.3, </w:t>
      </w:r>
      <w:r w:rsidRPr="00266A41">
        <w:t>with</w:t>
      </w:r>
      <w:r>
        <w:rPr>
          <w:i/>
        </w:rPr>
        <w:t xml:space="preserve"> </w:t>
      </w:r>
      <w:r>
        <w:t>HRh(CO)</w:t>
      </w:r>
      <w:r w:rsidRPr="00F23F7D">
        <w:t xml:space="preserve"> (</w:t>
      </w:r>
      <w:r>
        <w:t>PPh</w:t>
      </w:r>
      <w:r w:rsidRPr="00F23F7D">
        <w:rPr>
          <w:vertAlign w:val="subscript"/>
        </w:rPr>
        <w:t>3</w:t>
      </w:r>
      <w:r>
        <w:t>)</w:t>
      </w:r>
      <w:r w:rsidRPr="009774E0">
        <w:rPr>
          <w:vertAlign w:val="subscript"/>
        </w:rPr>
        <w:t>3</w:t>
      </w:r>
      <w:r>
        <w:t>, PPh</w:t>
      </w:r>
      <w:r w:rsidRPr="004218E0">
        <w:rPr>
          <w:vertAlign w:val="subscript"/>
        </w:rPr>
        <w:t>3</w:t>
      </w:r>
      <w:r w:rsidRPr="004218E0">
        <w:t xml:space="preserve"> </w:t>
      </w:r>
      <w:r>
        <w:t>(100mol%)</w:t>
      </w:r>
    </w:p>
    <w:p w14:paraId="6A5D46FB" w14:textId="77777777" w:rsidR="00921E85" w:rsidRDefault="00921E85" w:rsidP="002145C2">
      <w:pPr>
        <w:jc w:val="center"/>
      </w:pPr>
      <w:r w:rsidRPr="00F12C84">
        <w:rPr>
          <w:noProof/>
          <w:lang w:bidi="ar-SA"/>
        </w:rPr>
        <w:drawing>
          <wp:inline distT="0" distB="0" distL="0" distR="0" wp14:anchorId="5B7476FA" wp14:editId="3E6AA909">
            <wp:extent cx="4114800" cy="2489547"/>
            <wp:effectExtent l="0" t="0" r="0" b="635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413" cstate="print">
                      <a:extLst>
                        <a:ext uri="{28A0092B-C50C-407E-A947-70E740481C1C}">
                          <a14:useLocalDpi xmlns:a14="http://schemas.microsoft.com/office/drawing/2010/main" val="0"/>
                        </a:ext>
                      </a:extLst>
                    </a:blip>
                    <a:srcRect t="8107" b="13157"/>
                    <a:stretch/>
                  </pic:blipFill>
                  <pic:spPr bwMode="auto">
                    <a:xfrm>
                      <a:off x="0" y="0"/>
                      <a:ext cx="4114800" cy="2489547"/>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1CE386BA" w14:textId="77777777" w:rsidR="001539C6" w:rsidRDefault="001539C6" w:rsidP="002145C2">
      <w:pPr>
        <w:jc w:val="center"/>
      </w:pPr>
    </w:p>
    <w:p w14:paraId="5FB459D9" w14:textId="77777777" w:rsidR="001539C6" w:rsidRDefault="001539C6" w:rsidP="002145C2">
      <w:pPr>
        <w:jc w:val="center"/>
      </w:pPr>
    </w:p>
    <w:p w14:paraId="24E7B03A" w14:textId="77777777" w:rsidR="001539C6" w:rsidRDefault="001539C6" w:rsidP="002145C2">
      <w:pPr>
        <w:jc w:val="center"/>
      </w:pPr>
    </w:p>
    <w:p w14:paraId="6760651A" w14:textId="77777777" w:rsidR="001539C6" w:rsidRDefault="001539C6" w:rsidP="002145C2">
      <w:pPr>
        <w:jc w:val="center"/>
      </w:pPr>
    </w:p>
    <w:p w14:paraId="1778EC4B" w14:textId="77777777" w:rsidR="00921E85" w:rsidRPr="00235552" w:rsidRDefault="00921E85" w:rsidP="002145C2">
      <w:pPr>
        <w:rPr>
          <w:i/>
        </w:rPr>
      </w:pPr>
      <w:r>
        <w:rPr>
          <w:i/>
        </w:rPr>
        <w:t>Entry III.7.2.4</w:t>
      </w:r>
      <w:r w:rsidRPr="004218E0">
        <w:t xml:space="preserve"> with </w:t>
      </w:r>
      <w:r w:rsidRPr="00DD198C">
        <w:t>Co</w:t>
      </w:r>
      <w:r w:rsidRPr="00DD198C">
        <w:rPr>
          <w:vertAlign w:val="subscript"/>
        </w:rPr>
        <w:t>2</w:t>
      </w:r>
      <w:r w:rsidRPr="00DD198C">
        <w:t>(CO)</w:t>
      </w:r>
      <w:r w:rsidRPr="00DD198C">
        <w:rPr>
          <w:vertAlign w:val="subscript"/>
        </w:rPr>
        <w:t>8</w:t>
      </w:r>
      <w:r w:rsidRPr="004218E0">
        <w:t xml:space="preserve">, </w:t>
      </w:r>
      <w:r>
        <w:t>100 psi</w:t>
      </w:r>
    </w:p>
    <w:p w14:paraId="150DBC4F" w14:textId="77777777" w:rsidR="00921E85" w:rsidRDefault="00921E85" w:rsidP="002145C2">
      <w:pPr>
        <w:jc w:val="center"/>
      </w:pPr>
      <w:r w:rsidRPr="00F12C84">
        <w:rPr>
          <w:noProof/>
          <w:lang w:bidi="ar-SA"/>
        </w:rPr>
        <w:drawing>
          <wp:inline distT="0" distB="0" distL="0" distR="0" wp14:anchorId="4B4E535D" wp14:editId="4F906753">
            <wp:extent cx="4114800" cy="2472685"/>
            <wp:effectExtent l="0" t="0" r="0" b="444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414" cstate="print">
                      <a:extLst>
                        <a:ext uri="{28A0092B-C50C-407E-A947-70E740481C1C}">
                          <a14:useLocalDpi xmlns:a14="http://schemas.microsoft.com/office/drawing/2010/main" val="0"/>
                        </a:ext>
                      </a:extLst>
                    </a:blip>
                    <a:srcRect t="8960" b="12837"/>
                    <a:stretch/>
                  </pic:blipFill>
                  <pic:spPr bwMode="auto">
                    <a:xfrm>
                      <a:off x="0" y="0"/>
                      <a:ext cx="4114800" cy="247268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1653DC99" w14:textId="77777777" w:rsidR="00652153" w:rsidRDefault="00652153" w:rsidP="002145C2">
      <w:pPr>
        <w:jc w:val="center"/>
      </w:pPr>
    </w:p>
    <w:p w14:paraId="4AFDEBFB" w14:textId="77777777" w:rsidR="00921E85" w:rsidRPr="00235552" w:rsidRDefault="00921E85" w:rsidP="002145C2">
      <w:pPr>
        <w:rPr>
          <w:i/>
        </w:rPr>
      </w:pPr>
      <w:r>
        <w:rPr>
          <w:i/>
        </w:rPr>
        <w:t xml:space="preserve">Entry III.7.2.5 </w:t>
      </w:r>
      <w:r w:rsidRPr="004218E0">
        <w:t xml:space="preserve">with </w:t>
      </w:r>
      <w:r w:rsidRPr="00DD198C">
        <w:t>Co</w:t>
      </w:r>
      <w:r w:rsidRPr="00DD198C">
        <w:rPr>
          <w:vertAlign w:val="subscript"/>
        </w:rPr>
        <w:t>2</w:t>
      </w:r>
      <w:r w:rsidRPr="00DD198C">
        <w:t>(CO)</w:t>
      </w:r>
      <w:r w:rsidRPr="00DD198C">
        <w:rPr>
          <w:vertAlign w:val="subscript"/>
        </w:rPr>
        <w:t>8</w:t>
      </w:r>
      <w:r w:rsidRPr="004218E0">
        <w:t xml:space="preserve">, </w:t>
      </w:r>
      <w:r>
        <w:t>500 psi</w:t>
      </w:r>
    </w:p>
    <w:p w14:paraId="0A52C864" w14:textId="77777777" w:rsidR="00921E85" w:rsidRDefault="00921E85" w:rsidP="002145C2">
      <w:pPr>
        <w:jc w:val="center"/>
      </w:pPr>
      <w:r w:rsidRPr="00F12C84">
        <w:rPr>
          <w:noProof/>
          <w:lang w:bidi="ar-SA"/>
        </w:rPr>
        <w:drawing>
          <wp:inline distT="0" distB="0" distL="0" distR="0" wp14:anchorId="4E8A5B26" wp14:editId="44FC6F30">
            <wp:extent cx="4114800" cy="2499668"/>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415" cstate="print">
                      <a:extLst>
                        <a:ext uri="{28A0092B-C50C-407E-A947-70E740481C1C}">
                          <a14:useLocalDpi xmlns:a14="http://schemas.microsoft.com/office/drawing/2010/main" val="0"/>
                        </a:ext>
                      </a:extLst>
                    </a:blip>
                    <a:srcRect t="8427" b="12517"/>
                    <a:stretch/>
                  </pic:blipFill>
                  <pic:spPr bwMode="auto">
                    <a:xfrm>
                      <a:off x="0" y="0"/>
                      <a:ext cx="4114800" cy="2499668"/>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24DE4D64" w14:textId="77777777" w:rsidR="00921E85" w:rsidRDefault="00921E85" w:rsidP="002145C2">
      <w:pPr>
        <w:jc w:val="center"/>
      </w:pPr>
    </w:p>
    <w:p w14:paraId="7F4BBD7B" w14:textId="77777777" w:rsidR="00921E85" w:rsidRPr="00F8513E" w:rsidRDefault="00921E85" w:rsidP="00F8513E">
      <w:pPr>
        <w:pStyle w:val="Heading41"/>
      </w:pPr>
      <w:r w:rsidRPr="00F8513E">
        <w:t>Procedure for the DODH of 1,2-hexanediol catalyzed by IReO</w:t>
      </w:r>
      <w:r w:rsidRPr="00F8513E">
        <w:rPr>
          <w:vertAlign w:val="subscript"/>
        </w:rPr>
        <w:t>2</w:t>
      </w:r>
      <w:r w:rsidRPr="00F8513E">
        <w:t>(PPh</w:t>
      </w:r>
      <w:r w:rsidRPr="00F8513E">
        <w:rPr>
          <w:vertAlign w:val="subscript"/>
        </w:rPr>
        <w:t>3</w:t>
      </w:r>
      <w:r w:rsidRPr="00F8513E">
        <w:t>)</w:t>
      </w:r>
      <w:r w:rsidRPr="00F8513E">
        <w:rPr>
          <w:vertAlign w:val="subscript"/>
        </w:rPr>
        <w:t>2</w:t>
      </w:r>
      <w:r w:rsidRPr="00F8513E">
        <w:t xml:space="preserve"> and triphenyl phosphine as reducing agent</w:t>
      </w:r>
    </w:p>
    <w:p w14:paraId="17B114D1" w14:textId="7376841F" w:rsidR="00921E85" w:rsidRPr="00962795" w:rsidRDefault="00921E85" w:rsidP="002145C2">
      <w:pPr>
        <w:ind w:firstLine="360"/>
        <w:jc w:val="both"/>
        <w:rPr>
          <w:rFonts w:cstheme="minorHAnsi"/>
        </w:rPr>
      </w:pPr>
      <w:r w:rsidRPr="00B80324">
        <w:rPr>
          <w:rFonts w:cstheme="minorHAnsi"/>
        </w:rPr>
        <w:t>1,2-Hexanediol</w:t>
      </w:r>
      <w:r w:rsidR="00630CBC">
        <w:rPr>
          <w:rFonts w:cstheme="minorHAnsi"/>
        </w:rPr>
        <w:t xml:space="preserve"> (1.00 mmol, 0.13</w:t>
      </w:r>
      <w:r w:rsidRPr="00962795">
        <w:rPr>
          <w:rFonts w:cstheme="minorHAnsi"/>
        </w:rPr>
        <w:t xml:space="preserve"> mL), IReO</w:t>
      </w:r>
      <w:r w:rsidRPr="00962795">
        <w:rPr>
          <w:rFonts w:cstheme="minorHAnsi"/>
          <w:vertAlign w:val="subscript"/>
        </w:rPr>
        <w:t>2</w:t>
      </w:r>
      <w:r w:rsidRPr="00B80324">
        <w:rPr>
          <w:rFonts w:cstheme="minorHAnsi"/>
        </w:rPr>
        <w:t>(</w:t>
      </w:r>
      <w:r>
        <w:rPr>
          <w:rFonts w:cstheme="minorHAnsi"/>
        </w:rPr>
        <w:t>PPh</w:t>
      </w:r>
      <w:r>
        <w:rPr>
          <w:rFonts w:cstheme="minorHAnsi"/>
          <w:vertAlign w:val="subscript"/>
        </w:rPr>
        <w:t>3</w:t>
      </w:r>
      <w:r w:rsidRPr="00B80324">
        <w:rPr>
          <w:rFonts w:cstheme="minorHAnsi"/>
        </w:rPr>
        <w:t>)</w:t>
      </w:r>
      <w:r>
        <w:rPr>
          <w:rFonts w:cstheme="minorHAnsi"/>
          <w:vertAlign w:val="subscript"/>
        </w:rPr>
        <w:t>2</w:t>
      </w:r>
      <w:r w:rsidRPr="00962795">
        <w:rPr>
          <w:rFonts w:cstheme="minorHAnsi"/>
        </w:rPr>
        <w:t xml:space="preserve"> (0.005mmol</w:t>
      </w:r>
      <w:r w:rsidR="00630CBC">
        <w:rPr>
          <w:rFonts w:cstheme="minorHAnsi"/>
        </w:rPr>
        <w:t>, 4 mg</w:t>
      </w:r>
      <w:r w:rsidRPr="00962795">
        <w:rPr>
          <w:rFonts w:cstheme="minorHAnsi"/>
        </w:rPr>
        <w:t xml:space="preserve">), </w:t>
      </w:r>
      <w:r>
        <w:rPr>
          <w:rFonts w:cstheme="minorHAnsi"/>
        </w:rPr>
        <w:t>triphenyl</w:t>
      </w:r>
      <w:r w:rsidR="00F8513E">
        <w:rPr>
          <w:rFonts w:cstheme="minorHAnsi"/>
        </w:rPr>
        <w:t xml:space="preserve"> </w:t>
      </w:r>
      <w:r>
        <w:rPr>
          <w:rFonts w:cstheme="minorHAnsi"/>
        </w:rPr>
        <w:t xml:space="preserve">phosphine (1.00 mmol, 262 mg) </w:t>
      </w:r>
      <w:r w:rsidRPr="00962795">
        <w:rPr>
          <w:rFonts w:cstheme="minorHAnsi"/>
        </w:rPr>
        <w:t xml:space="preserve">and toluene (7.5 mL) were added to a 150 mL Fischer Porter Tube. The reactor was closed and nitrogen was bubbled into the mixture </w:t>
      </w:r>
      <w:r w:rsidRPr="00962795">
        <w:rPr>
          <w:rFonts w:cstheme="minorHAnsi"/>
          <w:i/>
        </w:rPr>
        <w:t>via</w:t>
      </w:r>
      <w:r w:rsidRPr="00962795">
        <w:rPr>
          <w:rFonts w:cstheme="minorHAnsi"/>
        </w:rPr>
        <w:t xml:space="preserve"> the dip tube for at least 60 sec. The reactor was pressured with hydrogen to 50 </w:t>
      </w:r>
      <w:r>
        <w:rPr>
          <w:rFonts w:cstheme="minorHAnsi"/>
        </w:rPr>
        <w:t>psi</w:t>
      </w:r>
      <w:r w:rsidRPr="00962795">
        <w:rPr>
          <w:rFonts w:cstheme="minorHAnsi"/>
        </w:rPr>
        <w:t xml:space="preserve"> then with carbon monoxide to 100 </w:t>
      </w:r>
      <w:r>
        <w:rPr>
          <w:rFonts w:cstheme="minorHAnsi"/>
        </w:rPr>
        <w:t>psi</w:t>
      </w:r>
      <w:r w:rsidRPr="00962795">
        <w:rPr>
          <w:rFonts w:cstheme="minorHAnsi"/>
        </w:rPr>
        <w:t xml:space="preserve"> (CO tank regulator delivering 150 </w:t>
      </w:r>
      <w:r>
        <w:rPr>
          <w:rFonts w:cstheme="minorHAnsi"/>
        </w:rPr>
        <w:t>psi</w:t>
      </w:r>
      <w:r w:rsidRPr="00962795">
        <w:rPr>
          <w:rFonts w:cstheme="minorHAnsi"/>
        </w:rPr>
        <w:t xml:space="preserve">). For higher pressure the reaction was run in </w:t>
      </w:r>
      <w:r w:rsidRPr="00B80324">
        <w:rPr>
          <w:rFonts w:cstheme="minorHAnsi"/>
        </w:rPr>
        <w:t xml:space="preserve">a stainless </w:t>
      </w:r>
      <w:r w:rsidRPr="00962795">
        <w:rPr>
          <w:rFonts w:cstheme="minorHAnsi"/>
        </w:rPr>
        <w:t>steel reactor. The reactor was placed in an oil bath at 150</w:t>
      </w:r>
      <w:r w:rsidRPr="00962795">
        <w:rPr>
          <w:rFonts w:cstheme="minorHAnsi"/>
          <w:vertAlign w:val="superscript"/>
        </w:rPr>
        <w:t>o</w:t>
      </w:r>
      <w:r w:rsidRPr="00962795">
        <w:rPr>
          <w:rFonts w:cstheme="minorHAnsi"/>
        </w:rPr>
        <w:t>C for 24 h while stirring magnetically. After cooling to room temperature, a 100 µL aliquot of the reaction mixture was removed and added to CDCl</w:t>
      </w:r>
      <w:r w:rsidRPr="00962795">
        <w:rPr>
          <w:rFonts w:cstheme="minorHAnsi"/>
          <w:vertAlign w:val="subscript"/>
        </w:rPr>
        <w:t>3</w:t>
      </w:r>
      <w:r w:rsidR="00630CBC">
        <w:rPr>
          <w:rFonts w:cstheme="minorHAnsi"/>
        </w:rPr>
        <w:t xml:space="preserve"> (0.6</w:t>
      </w:r>
      <w:r w:rsidRPr="00962795">
        <w:rPr>
          <w:rFonts w:cstheme="minorHAnsi"/>
        </w:rPr>
        <w:t xml:space="preserve"> mL) and 2.0 µL DMF as internal standard for NMR analysis. </w:t>
      </w:r>
    </w:p>
    <w:p w14:paraId="4663D021" w14:textId="404D14AB" w:rsidR="00B32DC9" w:rsidRDefault="00921E85" w:rsidP="001539C6">
      <w:pPr>
        <w:pStyle w:val="Heading41"/>
        <w:numPr>
          <w:ilvl w:val="0"/>
          <w:numId w:val="0"/>
        </w:numPr>
        <w:tabs>
          <w:tab w:val="left" w:pos="0"/>
        </w:tabs>
        <w:jc w:val="center"/>
        <w:rPr>
          <w:rFonts w:cstheme="minorHAnsi"/>
        </w:rPr>
      </w:pPr>
      <w:r w:rsidRPr="00741D7B">
        <w:rPr>
          <w:rFonts w:cstheme="minorHAnsi"/>
          <w:noProof/>
          <w:lang w:bidi="ar-SA"/>
        </w:rPr>
        <w:drawing>
          <wp:inline distT="0" distB="0" distL="0" distR="0" wp14:anchorId="68EC7FBD" wp14:editId="0851AC56">
            <wp:extent cx="4114800" cy="2486985"/>
            <wp:effectExtent l="0" t="0" r="0" b="889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pic:cNvPicPr>
                      <a:picLocks noChangeAspect="1" noChangeArrowheads="1"/>
                    </pic:cNvPicPr>
                  </pic:nvPicPr>
                  <pic:blipFill rotWithShape="1">
                    <a:blip r:embed="rId416" cstate="print">
                      <a:extLst>
                        <a:ext uri="{28A0092B-C50C-407E-A947-70E740481C1C}">
                          <a14:useLocalDpi xmlns:a14="http://schemas.microsoft.com/office/drawing/2010/main" val="0"/>
                        </a:ext>
                      </a:extLst>
                    </a:blip>
                    <a:srcRect t="8702" b="12674"/>
                    <a:stretch/>
                  </pic:blipFill>
                  <pic:spPr bwMode="auto">
                    <a:xfrm>
                      <a:off x="0" y="0"/>
                      <a:ext cx="4114800" cy="248698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7E3469E9" w14:textId="77777777" w:rsidR="00B32DC9" w:rsidRDefault="00B32DC9" w:rsidP="00F8513E">
      <w:pPr>
        <w:pStyle w:val="Heading41"/>
        <w:numPr>
          <w:ilvl w:val="0"/>
          <w:numId w:val="0"/>
        </w:numPr>
        <w:tabs>
          <w:tab w:val="left" w:pos="0"/>
        </w:tabs>
        <w:jc w:val="center"/>
        <w:rPr>
          <w:rFonts w:cstheme="minorHAnsi"/>
        </w:rPr>
      </w:pPr>
    </w:p>
    <w:p w14:paraId="50B906A7" w14:textId="77777777" w:rsidR="00921E85" w:rsidRPr="00962795" w:rsidRDefault="00921E85" w:rsidP="00F8513E">
      <w:pPr>
        <w:pStyle w:val="Heading41"/>
      </w:pPr>
      <w:r w:rsidRPr="00962795">
        <w:t>Representative procedure for DODH</w:t>
      </w:r>
      <w:r>
        <w:t>/hydroformylation tandem</w:t>
      </w:r>
      <w:r w:rsidRPr="00962795">
        <w:t xml:space="preserve"> reactions </w:t>
      </w:r>
    </w:p>
    <w:p w14:paraId="6541060A" w14:textId="4BA519DE" w:rsidR="00921E85" w:rsidRDefault="00921E85" w:rsidP="002145C2">
      <w:pPr>
        <w:ind w:firstLine="360"/>
        <w:jc w:val="both"/>
        <w:rPr>
          <w:rFonts w:cstheme="minorHAnsi"/>
        </w:rPr>
      </w:pPr>
      <w:r w:rsidRPr="00233F08">
        <w:rPr>
          <w:rFonts w:cstheme="minorHAnsi"/>
        </w:rPr>
        <w:t>The glycol (1</w:t>
      </w:r>
      <w:r w:rsidR="00011660">
        <w:rPr>
          <w:rFonts w:cstheme="minorHAnsi"/>
        </w:rPr>
        <w:t>.00 mmol) [1,2-hexanediol (0.12</w:t>
      </w:r>
      <w:r w:rsidRPr="00233F08">
        <w:rPr>
          <w:rFonts w:cstheme="minorHAnsi"/>
        </w:rPr>
        <w:t xml:space="preserve"> mL) [or 1-phenyl-1,2-ethanediol (138 mg) or cis-1,2-cyclooctanediol (144 mg)], IReO</w:t>
      </w:r>
      <w:r w:rsidRPr="00233F08">
        <w:rPr>
          <w:rFonts w:cstheme="minorHAnsi"/>
          <w:vertAlign w:val="subscript"/>
        </w:rPr>
        <w:t>2</w:t>
      </w:r>
      <w:r w:rsidRPr="00B958C5">
        <w:rPr>
          <w:rFonts w:cstheme="minorHAnsi"/>
        </w:rPr>
        <w:t>(PPh</w:t>
      </w:r>
      <w:r w:rsidRPr="00B958C5">
        <w:rPr>
          <w:rFonts w:cstheme="minorHAnsi"/>
          <w:vertAlign w:val="subscript"/>
        </w:rPr>
        <w:t>3</w:t>
      </w:r>
      <w:r>
        <w:rPr>
          <w:rFonts w:cstheme="minorHAnsi"/>
        </w:rPr>
        <w:t>)</w:t>
      </w:r>
      <w:r w:rsidRPr="00233F08">
        <w:rPr>
          <w:rFonts w:cstheme="minorHAnsi"/>
          <w:vertAlign w:val="subscript"/>
        </w:rPr>
        <w:t>2</w:t>
      </w:r>
      <w:r w:rsidRPr="00233F08">
        <w:rPr>
          <w:rFonts w:cstheme="minorHAnsi"/>
        </w:rPr>
        <w:t xml:space="preserve"> (0.005 mmol), HRh(CO)</w:t>
      </w:r>
      <w:r>
        <w:rPr>
          <w:rFonts w:cstheme="minorHAnsi"/>
        </w:rPr>
        <w:t>(</w:t>
      </w:r>
      <w:r w:rsidRPr="00B958C5">
        <w:rPr>
          <w:rFonts w:cstheme="minorHAnsi"/>
        </w:rPr>
        <w:t>PPh</w:t>
      </w:r>
      <w:r w:rsidRPr="00B958C5">
        <w:rPr>
          <w:rFonts w:cstheme="minorHAnsi"/>
          <w:vertAlign w:val="subscript"/>
        </w:rPr>
        <w:t>3</w:t>
      </w:r>
      <w:r w:rsidRPr="004E3A87">
        <w:rPr>
          <w:rFonts w:cstheme="minorHAnsi"/>
        </w:rPr>
        <w:t>)</w:t>
      </w:r>
      <w:r w:rsidRPr="00233F08">
        <w:rPr>
          <w:rFonts w:cstheme="minorHAnsi"/>
          <w:vertAlign w:val="subscript"/>
        </w:rPr>
        <w:t>3</w:t>
      </w:r>
      <w:r w:rsidRPr="00233F08">
        <w:rPr>
          <w:rFonts w:cstheme="minorHAnsi"/>
        </w:rPr>
        <w:t xml:space="preserve"> (0.025 mmol, 23 mg), triphenyl phosphine (2.00 mmol, 524 mg) and </w:t>
      </w:r>
      <w:r>
        <w:rPr>
          <w:rFonts w:cstheme="minorHAnsi"/>
        </w:rPr>
        <w:t>toluene</w:t>
      </w:r>
      <w:r w:rsidRPr="00736F05">
        <w:rPr>
          <w:rFonts w:cstheme="minorHAnsi"/>
        </w:rPr>
        <w:t xml:space="preserve"> (</w:t>
      </w:r>
      <w:r>
        <w:rPr>
          <w:rFonts w:cstheme="minorHAnsi"/>
        </w:rPr>
        <w:t>7.5</w:t>
      </w:r>
      <w:r w:rsidRPr="00736F05">
        <w:rPr>
          <w:rFonts w:cstheme="minorHAnsi"/>
        </w:rPr>
        <w:t xml:space="preserve"> mL) were added to a </w:t>
      </w:r>
      <w:r>
        <w:rPr>
          <w:rFonts w:cstheme="minorHAnsi"/>
        </w:rPr>
        <w:t>150 mL Fischer Porter Tube</w:t>
      </w:r>
      <w:r w:rsidRPr="00736F05">
        <w:rPr>
          <w:rFonts w:cstheme="minorHAnsi"/>
        </w:rPr>
        <w:t xml:space="preserve">. </w:t>
      </w:r>
      <w:r>
        <w:rPr>
          <w:rFonts w:cstheme="minorHAnsi"/>
        </w:rPr>
        <w:t>The reactor was closed and n</w:t>
      </w:r>
      <w:r w:rsidRPr="00736F05">
        <w:rPr>
          <w:rFonts w:cstheme="minorHAnsi"/>
        </w:rPr>
        <w:t>itrogen was bubbled into the mixture</w:t>
      </w:r>
      <w:r>
        <w:rPr>
          <w:rFonts w:cstheme="minorHAnsi"/>
        </w:rPr>
        <w:t xml:space="preserve"> </w:t>
      </w:r>
      <w:r w:rsidRPr="004433B5">
        <w:rPr>
          <w:rFonts w:cstheme="minorHAnsi"/>
          <w:i/>
        </w:rPr>
        <w:t>via</w:t>
      </w:r>
      <w:r>
        <w:rPr>
          <w:rFonts w:cstheme="minorHAnsi"/>
        </w:rPr>
        <w:t xml:space="preserve"> the dip tube</w:t>
      </w:r>
      <w:r w:rsidRPr="00736F05">
        <w:rPr>
          <w:rFonts w:cstheme="minorHAnsi"/>
        </w:rPr>
        <w:t xml:space="preserve"> for at least 60 sec. </w:t>
      </w:r>
      <w:r>
        <w:rPr>
          <w:rFonts w:cstheme="minorHAnsi"/>
        </w:rPr>
        <w:t xml:space="preserve">The reactor was pressured with hydrogen to 50 psi then with carbon monoxide to 100 psi (CO tank regulator delivering 150 psi). For higher pressure the reaction was run in stainless steel reactor. </w:t>
      </w:r>
      <w:r w:rsidRPr="00736F05">
        <w:rPr>
          <w:rFonts w:cstheme="minorHAnsi"/>
        </w:rPr>
        <w:t>The reactor was placed in an oil bath at 150</w:t>
      </w:r>
      <w:r w:rsidRPr="00736F05">
        <w:rPr>
          <w:rFonts w:cstheme="minorHAnsi"/>
          <w:vertAlign w:val="superscript"/>
        </w:rPr>
        <w:t>o</w:t>
      </w:r>
      <w:r w:rsidRPr="00736F05">
        <w:rPr>
          <w:rFonts w:cstheme="minorHAnsi"/>
        </w:rPr>
        <w:t>C for 24 h while stirring magnetically. After cooling to room temperature, a 100 µL aliquot of the reaction mixture was removed and added to CDCl</w:t>
      </w:r>
      <w:r w:rsidRPr="00736F05">
        <w:rPr>
          <w:rFonts w:cstheme="minorHAnsi"/>
          <w:vertAlign w:val="subscript"/>
        </w:rPr>
        <w:t>3</w:t>
      </w:r>
      <w:r w:rsidR="00630CBC">
        <w:rPr>
          <w:rFonts w:cstheme="minorHAnsi"/>
        </w:rPr>
        <w:t xml:space="preserve"> (0.6</w:t>
      </w:r>
      <w:r w:rsidRPr="00736F05">
        <w:rPr>
          <w:rFonts w:cstheme="minorHAnsi"/>
        </w:rPr>
        <w:t xml:space="preserve"> mL) and 2.0 µL </w:t>
      </w:r>
      <w:r>
        <w:rPr>
          <w:rFonts w:cstheme="minorHAnsi"/>
        </w:rPr>
        <w:t>DMF</w:t>
      </w:r>
      <w:r w:rsidRPr="00736F05">
        <w:rPr>
          <w:rFonts w:cstheme="minorHAnsi"/>
        </w:rPr>
        <w:t xml:space="preserve"> as inte</w:t>
      </w:r>
      <w:r>
        <w:rPr>
          <w:rFonts w:cstheme="minorHAnsi"/>
        </w:rPr>
        <w:t>rnal standard for NMR analysis. 0.5mL of the reaction mixture was submitted to GC and/or GCMS.</w:t>
      </w:r>
    </w:p>
    <w:p w14:paraId="0A919184" w14:textId="77777777" w:rsidR="00921E85" w:rsidRDefault="00921E85" w:rsidP="002145C2">
      <w:pPr>
        <w:ind w:firstLine="360"/>
        <w:jc w:val="both"/>
        <w:rPr>
          <w:rFonts w:cstheme="minorHAnsi"/>
        </w:rPr>
      </w:pPr>
    </w:p>
    <w:p w14:paraId="0D882D4D" w14:textId="77777777" w:rsidR="00921E85" w:rsidRPr="00886BDB" w:rsidRDefault="00921E85" w:rsidP="002145C2">
      <w:pPr>
        <w:rPr>
          <w:i/>
        </w:rPr>
      </w:pPr>
      <w:r w:rsidRPr="00233F08">
        <w:rPr>
          <w:i/>
        </w:rPr>
        <w:t xml:space="preserve">Tandem DODH-HF on </w:t>
      </w:r>
      <w:r w:rsidRPr="00886BDB">
        <w:rPr>
          <w:i/>
        </w:rPr>
        <w:t>1,2-hexanediol</w:t>
      </w:r>
      <w:r>
        <w:rPr>
          <w:i/>
        </w:rPr>
        <w:t xml:space="preserve"> (</w:t>
      </w:r>
      <w:r w:rsidR="00810326">
        <w:rPr>
          <w:i/>
        </w:rPr>
        <w:fldChar w:fldCharType="begin"/>
      </w:r>
      <w:r w:rsidR="00810326">
        <w:rPr>
          <w:i/>
        </w:rPr>
        <w:instrText xml:space="preserve"> REF _Ref455843409 \h </w:instrText>
      </w:r>
      <w:r w:rsidR="00810326">
        <w:rPr>
          <w:i/>
        </w:rPr>
      </w:r>
      <w:r w:rsidR="00810326">
        <w:rPr>
          <w:i/>
        </w:rPr>
        <w:fldChar w:fldCharType="separate"/>
      </w:r>
      <w:r w:rsidR="000A0E3D" w:rsidRPr="00B72DED">
        <w:t xml:space="preserve">Figure III. </w:t>
      </w:r>
      <w:r w:rsidR="000A0E3D">
        <w:rPr>
          <w:noProof/>
        </w:rPr>
        <w:t>7</w:t>
      </w:r>
      <w:r w:rsidR="000A0E3D">
        <w:t>.</w:t>
      </w:r>
      <w:r w:rsidR="000A0E3D">
        <w:rPr>
          <w:noProof/>
        </w:rPr>
        <w:t>13</w:t>
      </w:r>
      <w:r w:rsidR="00810326">
        <w:rPr>
          <w:i/>
        </w:rPr>
        <w:fldChar w:fldCharType="end"/>
      </w:r>
      <w:r>
        <w:rPr>
          <w:i/>
        </w:rPr>
        <w:t>)</w:t>
      </w:r>
    </w:p>
    <w:p w14:paraId="3C3EAD3A" w14:textId="73969DCF" w:rsidR="00921E85" w:rsidRDefault="00921E85" w:rsidP="002145C2">
      <w:pPr>
        <w:jc w:val="both"/>
      </w:pPr>
      <w:r w:rsidRPr="00D87578">
        <w:rPr>
          <w:vertAlign w:val="superscript"/>
        </w:rPr>
        <w:t>1</w:t>
      </w:r>
      <w:r w:rsidR="001539C6">
        <w:t>H NMR</w:t>
      </w:r>
      <w:r w:rsidR="001539C6">
        <w:tab/>
      </w:r>
      <w:r w:rsidRPr="000800B1">
        <w:rPr>
          <w:noProof/>
          <w:lang w:bidi="ar-SA"/>
        </w:rPr>
        <w:drawing>
          <wp:inline distT="0" distB="0" distL="0" distR="0" wp14:anchorId="530F87A9" wp14:editId="4236B1BB">
            <wp:extent cx="4114800" cy="2506852"/>
            <wp:effectExtent l="0" t="0" r="0" b="825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rotWithShape="1">
                    <a:blip r:embed="rId417" cstate="print">
                      <a:extLst>
                        <a:ext uri="{28A0092B-C50C-407E-A947-70E740481C1C}">
                          <a14:useLocalDpi xmlns:a14="http://schemas.microsoft.com/office/drawing/2010/main" val="0"/>
                        </a:ext>
                      </a:extLst>
                    </a:blip>
                    <a:srcRect t="8218" b="12475"/>
                    <a:stretch/>
                  </pic:blipFill>
                  <pic:spPr bwMode="auto">
                    <a:xfrm>
                      <a:off x="0" y="0"/>
                      <a:ext cx="4114800" cy="2506852"/>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4B886422" w14:textId="290D9685" w:rsidR="00921E85" w:rsidRDefault="00921E85" w:rsidP="002145C2">
      <w:pPr>
        <w:jc w:val="both"/>
        <w:rPr>
          <w:i/>
        </w:rPr>
      </w:pPr>
      <w:r w:rsidRPr="00D87578">
        <w:t>GCMS</w:t>
      </w:r>
      <w:r w:rsidR="001539C6">
        <w:tab/>
      </w:r>
      <w:r w:rsidR="001539C6">
        <w:tab/>
      </w:r>
      <w:r>
        <w:rPr>
          <w:noProof/>
          <w:lang w:bidi="ar-SA"/>
        </w:rPr>
        <w:drawing>
          <wp:inline distT="0" distB="0" distL="0" distR="0" wp14:anchorId="0BF3AB26" wp14:editId="32B8E3FB">
            <wp:extent cx="4114800" cy="2442063"/>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8"/>
                    <a:stretch>
                      <a:fillRect/>
                    </a:stretch>
                  </pic:blipFill>
                  <pic:spPr>
                    <a:xfrm>
                      <a:off x="0" y="0"/>
                      <a:ext cx="4114800" cy="2442063"/>
                    </a:xfrm>
                    <a:prstGeom prst="rect">
                      <a:avLst/>
                    </a:prstGeom>
                  </pic:spPr>
                </pic:pic>
              </a:graphicData>
            </a:graphic>
          </wp:inline>
        </w:drawing>
      </w:r>
    </w:p>
    <w:p w14:paraId="4A7652EE" w14:textId="77777777" w:rsidR="00921E85" w:rsidRDefault="00443010" w:rsidP="002145C2">
      <w:pPr>
        <w:rPr>
          <w:i/>
        </w:rPr>
      </w:pPr>
      <w:r>
        <w:rPr>
          <w:noProof/>
        </w:rPr>
        <w:object w:dxaOrig="0" w:dyaOrig="0" w14:anchorId="0AFDD12E">
          <v:shape id="_x0000_s1396" type="#_x0000_t75" style="position:absolute;margin-left:200.6pt;margin-top:50pt;width:66.35pt;height:13.7pt;z-index:251681280;mso-position-horizontal-relative:text;mso-position-vertical-relative:text">
            <v:imagedata r:id="rId419" o:title=""/>
          </v:shape>
          <o:OLEObject Type="Embed" ProgID="ChemDraw.Document.6.0" ShapeID="_x0000_s1396" DrawAspect="Content" ObjectID="_1532785077" r:id="rId420"/>
        </w:object>
      </w:r>
      <w:r w:rsidR="00921E85" w:rsidRPr="00943EFD">
        <w:rPr>
          <w:i/>
          <w:noProof/>
          <w:lang w:bidi="ar-SA"/>
        </w:rPr>
        <w:drawing>
          <wp:inline distT="0" distB="0" distL="0" distR="0" wp14:anchorId="464E997E" wp14:editId="50635110">
            <wp:extent cx="3657600" cy="1391374"/>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421" cstate="print">
                      <a:extLst>
                        <a:ext uri="{28A0092B-C50C-407E-A947-70E740481C1C}">
                          <a14:useLocalDpi xmlns:a14="http://schemas.microsoft.com/office/drawing/2010/main" val="0"/>
                        </a:ext>
                      </a:extLst>
                    </a:blip>
                    <a:srcRect/>
                    <a:stretch>
                      <a:fillRect/>
                    </a:stretch>
                  </pic:blipFill>
                  <pic:spPr bwMode="auto">
                    <a:xfrm>
                      <a:off x="0" y="0"/>
                      <a:ext cx="3657600" cy="1391374"/>
                    </a:xfrm>
                    <a:prstGeom prst="rect">
                      <a:avLst/>
                    </a:prstGeom>
                    <a:noFill/>
                    <a:ln>
                      <a:noFill/>
                    </a:ln>
                  </pic:spPr>
                </pic:pic>
              </a:graphicData>
            </a:graphic>
          </wp:inline>
        </w:drawing>
      </w:r>
    </w:p>
    <w:p w14:paraId="3858417D" w14:textId="77777777" w:rsidR="00921E85" w:rsidRDefault="00443010" w:rsidP="002145C2">
      <w:pPr>
        <w:rPr>
          <w:i/>
        </w:rPr>
      </w:pPr>
      <w:r>
        <w:rPr>
          <w:noProof/>
        </w:rPr>
        <w:object w:dxaOrig="0" w:dyaOrig="0" w14:anchorId="0D29A7EF">
          <v:shape id="_x0000_s1397" type="#_x0000_t75" style="position:absolute;margin-left:200.45pt;margin-top:10.6pt;width:66.5pt;height:13.7pt;z-index:251682304;mso-position-horizontal-relative:text;mso-position-vertical-relative:text">
            <v:imagedata r:id="rId422" o:title=""/>
          </v:shape>
          <o:OLEObject Type="Embed" ProgID="ChemDraw.Document.6.0" ShapeID="_x0000_s1397" DrawAspect="Content" ObjectID="_1532785078" r:id="rId423"/>
        </w:object>
      </w:r>
      <w:r w:rsidR="00921E85" w:rsidRPr="00943EFD">
        <w:rPr>
          <w:i/>
          <w:noProof/>
          <w:lang w:bidi="ar-SA"/>
        </w:rPr>
        <w:drawing>
          <wp:inline distT="0" distB="0" distL="0" distR="0" wp14:anchorId="121C3C7E" wp14:editId="604957E2">
            <wp:extent cx="3657600" cy="1379560"/>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424" cstate="print">
                      <a:extLst>
                        <a:ext uri="{28A0092B-C50C-407E-A947-70E740481C1C}">
                          <a14:useLocalDpi xmlns:a14="http://schemas.microsoft.com/office/drawing/2010/main" val="0"/>
                        </a:ext>
                      </a:extLst>
                    </a:blip>
                    <a:srcRect/>
                    <a:stretch>
                      <a:fillRect/>
                    </a:stretch>
                  </pic:blipFill>
                  <pic:spPr bwMode="auto">
                    <a:xfrm>
                      <a:off x="0" y="0"/>
                      <a:ext cx="3657600" cy="1379560"/>
                    </a:xfrm>
                    <a:prstGeom prst="rect">
                      <a:avLst/>
                    </a:prstGeom>
                    <a:noFill/>
                    <a:ln>
                      <a:noFill/>
                    </a:ln>
                  </pic:spPr>
                </pic:pic>
              </a:graphicData>
            </a:graphic>
          </wp:inline>
        </w:drawing>
      </w:r>
    </w:p>
    <w:p w14:paraId="2CD527C3" w14:textId="77777777" w:rsidR="00921E85" w:rsidRDefault="00443010" w:rsidP="002145C2">
      <w:pPr>
        <w:rPr>
          <w:i/>
        </w:rPr>
      </w:pPr>
      <w:r>
        <w:rPr>
          <w:noProof/>
        </w:rPr>
        <w:object w:dxaOrig="0" w:dyaOrig="0" w14:anchorId="78BD5616">
          <v:shape id="_x0000_s1398" type="#_x0000_t75" style="position:absolute;margin-left:200.45pt;margin-top:8.25pt;width:66.5pt;height:13.7pt;z-index:251683328;mso-position-horizontal-relative:text;mso-position-vertical-relative:text">
            <v:imagedata r:id="rId425" o:title=""/>
          </v:shape>
          <o:OLEObject Type="Embed" ProgID="ChemDraw.Document.6.0" ShapeID="_x0000_s1398" DrawAspect="Content" ObjectID="_1532785079" r:id="rId426"/>
        </w:object>
      </w:r>
      <w:r w:rsidR="00921E85" w:rsidRPr="00943EFD">
        <w:rPr>
          <w:i/>
          <w:noProof/>
          <w:lang w:bidi="ar-SA"/>
        </w:rPr>
        <w:drawing>
          <wp:inline distT="0" distB="0" distL="0" distR="0" wp14:anchorId="129C73CB" wp14:editId="1712F882">
            <wp:extent cx="3657600" cy="1396024"/>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427" cstate="print">
                      <a:extLst>
                        <a:ext uri="{28A0092B-C50C-407E-A947-70E740481C1C}">
                          <a14:useLocalDpi xmlns:a14="http://schemas.microsoft.com/office/drawing/2010/main" val="0"/>
                        </a:ext>
                      </a:extLst>
                    </a:blip>
                    <a:srcRect/>
                    <a:stretch>
                      <a:fillRect/>
                    </a:stretch>
                  </pic:blipFill>
                  <pic:spPr bwMode="auto">
                    <a:xfrm>
                      <a:off x="0" y="0"/>
                      <a:ext cx="3657600" cy="1396024"/>
                    </a:xfrm>
                    <a:prstGeom prst="rect">
                      <a:avLst/>
                    </a:prstGeom>
                    <a:noFill/>
                    <a:ln>
                      <a:noFill/>
                    </a:ln>
                  </pic:spPr>
                </pic:pic>
              </a:graphicData>
            </a:graphic>
          </wp:inline>
        </w:drawing>
      </w:r>
    </w:p>
    <w:p w14:paraId="08632508" w14:textId="77777777" w:rsidR="00921E85" w:rsidRDefault="00443010" w:rsidP="002145C2">
      <w:pPr>
        <w:rPr>
          <w:i/>
        </w:rPr>
      </w:pPr>
      <w:r>
        <w:rPr>
          <w:noProof/>
        </w:rPr>
        <w:object w:dxaOrig="0" w:dyaOrig="0" w14:anchorId="4DD44AD3">
          <v:shape id="_x0000_s1400" type="#_x0000_t75" style="position:absolute;margin-left:200.45pt;margin-top:10.95pt;width:66.6pt;height:36.25pt;z-index:251685376;mso-position-horizontal-relative:text;mso-position-vertical-relative:text">
            <v:imagedata r:id="rId428" o:title=""/>
          </v:shape>
          <o:OLEObject Type="Embed" ProgID="ChemDraw.Document.6.0" ShapeID="_x0000_s1400" DrawAspect="Content" ObjectID="_1532785080" r:id="rId429"/>
        </w:object>
      </w:r>
      <w:r w:rsidR="00921E85" w:rsidRPr="00943EFD">
        <w:rPr>
          <w:i/>
          <w:noProof/>
          <w:lang w:bidi="ar-SA"/>
        </w:rPr>
        <w:drawing>
          <wp:inline distT="0" distB="0" distL="0" distR="0" wp14:anchorId="644751F3" wp14:editId="1F1FB431">
            <wp:extent cx="3657600" cy="1397953"/>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430" cstate="print">
                      <a:extLst>
                        <a:ext uri="{28A0092B-C50C-407E-A947-70E740481C1C}">
                          <a14:useLocalDpi xmlns:a14="http://schemas.microsoft.com/office/drawing/2010/main" val="0"/>
                        </a:ext>
                      </a:extLst>
                    </a:blip>
                    <a:srcRect/>
                    <a:stretch>
                      <a:fillRect/>
                    </a:stretch>
                  </pic:blipFill>
                  <pic:spPr bwMode="auto">
                    <a:xfrm>
                      <a:off x="0" y="0"/>
                      <a:ext cx="3657600" cy="1397953"/>
                    </a:xfrm>
                    <a:prstGeom prst="rect">
                      <a:avLst/>
                    </a:prstGeom>
                    <a:noFill/>
                    <a:ln>
                      <a:noFill/>
                    </a:ln>
                  </pic:spPr>
                </pic:pic>
              </a:graphicData>
            </a:graphic>
          </wp:inline>
        </w:drawing>
      </w:r>
    </w:p>
    <w:p w14:paraId="5E90586E" w14:textId="77777777" w:rsidR="00921E85" w:rsidRDefault="00443010" w:rsidP="002145C2">
      <w:pPr>
        <w:rPr>
          <w:i/>
        </w:rPr>
      </w:pPr>
      <w:r>
        <w:rPr>
          <w:noProof/>
        </w:rPr>
        <w:object w:dxaOrig="0" w:dyaOrig="0" w14:anchorId="1E507845">
          <v:shape id="_x0000_s1399" type="#_x0000_t75" style="position:absolute;margin-left:198.2pt;margin-top:10.55pt;width:70.95pt;height:36.25pt;z-index:251684352;mso-position-horizontal-relative:text;mso-position-vertical-relative:text">
            <v:imagedata r:id="rId431" o:title=""/>
          </v:shape>
          <o:OLEObject Type="Embed" ProgID="ChemDraw.Document.6.0" ShapeID="_x0000_s1399" DrawAspect="Content" ObjectID="_1532785081" r:id="rId432"/>
        </w:object>
      </w:r>
      <w:r w:rsidR="00921E85" w:rsidRPr="00943EFD">
        <w:rPr>
          <w:i/>
          <w:noProof/>
          <w:lang w:bidi="ar-SA"/>
        </w:rPr>
        <w:drawing>
          <wp:inline distT="0" distB="0" distL="0" distR="0" wp14:anchorId="1022B8F3" wp14:editId="1F1DF980">
            <wp:extent cx="3657600" cy="1389028"/>
            <wp:effectExtent l="0" t="0" r="0" b="190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3657600" cy="1389028"/>
                    </a:xfrm>
                    <a:prstGeom prst="rect">
                      <a:avLst/>
                    </a:prstGeom>
                    <a:noFill/>
                    <a:ln>
                      <a:noFill/>
                    </a:ln>
                  </pic:spPr>
                </pic:pic>
              </a:graphicData>
            </a:graphic>
          </wp:inline>
        </w:drawing>
      </w:r>
    </w:p>
    <w:p w14:paraId="629D5A76" w14:textId="77777777" w:rsidR="00921E85" w:rsidRDefault="00443010" w:rsidP="002145C2">
      <w:pPr>
        <w:rPr>
          <w:i/>
        </w:rPr>
      </w:pPr>
      <w:r>
        <w:rPr>
          <w:noProof/>
        </w:rPr>
        <w:object w:dxaOrig="0" w:dyaOrig="0" w14:anchorId="5BF97851">
          <v:shape id="_x0000_s1401" type="#_x0000_t75" style="position:absolute;margin-left:192.85pt;margin-top:10.85pt;width:82pt;height:16.35pt;z-index:251686400;mso-position-horizontal-relative:text;mso-position-vertical-relative:text">
            <v:imagedata r:id="rId434" o:title=""/>
          </v:shape>
          <o:OLEObject Type="Embed" ProgID="ChemDraw.Document.6.0" ShapeID="_x0000_s1401" DrawAspect="Content" ObjectID="_1532785082" r:id="rId435"/>
        </w:object>
      </w:r>
      <w:r w:rsidR="00921E85" w:rsidRPr="00943EFD">
        <w:rPr>
          <w:i/>
          <w:noProof/>
          <w:lang w:bidi="ar-SA"/>
        </w:rPr>
        <w:drawing>
          <wp:inline distT="0" distB="0" distL="0" distR="0" wp14:anchorId="0C89ACF2" wp14:editId="18BC7A83">
            <wp:extent cx="3657600" cy="1397497"/>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436" cstate="print">
                      <a:extLst>
                        <a:ext uri="{28A0092B-C50C-407E-A947-70E740481C1C}">
                          <a14:useLocalDpi xmlns:a14="http://schemas.microsoft.com/office/drawing/2010/main" val="0"/>
                        </a:ext>
                      </a:extLst>
                    </a:blip>
                    <a:srcRect/>
                    <a:stretch>
                      <a:fillRect/>
                    </a:stretch>
                  </pic:blipFill>
                  <pic:spPr bwMode="auto">
                    <a:xfrm>
                      <a:off x="0" y="0"/>
                      <a:ext cx="3657600" cy="1397497"/>
                    </a:xfrm>
                    <a:prstGeom prst="rect">
                      <a:avLst/>
                    </a:prstGeom>
                    <a:noFill/>
                    <a:ln>
                      <a:noFill/>
                    </a:ln>
                  </pic:spPr>
                </pic:pic>
              </a:graphicData>
            </a:graphic>
          </wp:inline>
        </w:drawing>
      </w:r>
    </w:p>
    <w:p w14:paraId="49A44D4A" w14:textId="77777777" w:rsidR="00921E85" w:rsidRDefault="00443010" w:rsidP="002145C2">
      <w:pPr>
        <w:rPr>
          <w:i/>
        </w:rPr>
      </w:pPr>
      <w:r>
        <w:rPr>
          <w:i/>
          <w:noProof/>
        </w:rPr>
        <w:object w:dxaOrig="0" w:dyaOrig="0" w14:anchorId="11B4A8B8">
          <v:shape id="_x0000_s1402" type="#_x0000_t75" style="position:absolute;margin-left:200.45pt;margin-top:8.85pt;width:66.65pt;height:37.35pt;z-index:251687424;mso-position-horizontal-relative:text;mso-position-vertical-relative:text">
            <v:imagedata r:id="rId437" o:title=""/>
          </v:shape>
          <o:OLEObject Type="Embed" ProgID="ChemDraw.Document.6.0" ShapeID="_x0000_s1402" DrawAspect="Content" ObjectID="_1532785083" r:id="rId438"/>
        </w:object>
      </w:r>
      <w:r w:rsidR="00921E85" w:rsidRPr="00943EFD">
        <w:rPr>
          <w:i/>
          <w:noProof/>
          <w:lang w:bidi="ar-SA"/>
        </w:rPr>
        <w:drawing>
          <wp:inline distT="0" distB="0" distL="0" distR="0" wp14:anchorId="5AB94600" wp14:editId="10BF5FD2">
            <wp:extent cx="3657600" cy="1394749"/>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439" cstate="print">
                      <a:extLst>
                        <a:ext uri="{28A0092B-C50C-407E-A947-70E740481C1C}">
                          <a14:useLocalDpi xmlns:a14="http://schemas.microsoft.com/office/drawing/2010/main" val="0"/>
                        </a:ext>
                      </a:extLst>
                    </a:blip>
                    <a:srcRect/>
                    <a:stretch>
                      <a:fillRect/>
                    </a:stretch>
                  </pic:blipFill>
                  <pic:spPr bwMode="auto">
                    <a:xfrm>
                      <a:off x="0" y="0"/>
                      <a:ext cx="3657600" cy="1394749"/>
                    </a:xfrm>
                    <a:prstGeom prst="rect">
                      <a:avLst/>
                    </a:prstGeom>
                    <a:noFill/>
                    <a:ln>
                      <a:noFill/>
                    </a:ln>
                  </pic:spPr>
                </pic:pic>
              </a:graphicData>
            </a:graphic>
          </wp:inline>
        </w:drawing>
      </w:r>
    </w:p>
    <w:p w14:paraId="3F35E35A" w14:textId="77777777" w:rsidR="00921E85" w:rsidRDefault="00443010" w:rsidP="002145C2">
      <w:pPr>
        <w:rPr>
          <w:i/>
        </w:rPr>
      </w:pPr>
      <w:r>
        <w:rPr>
          <w:noProof/>
        </w:rPr>
        <w:object w:dxaOrig="0" w:dyaOrig="0" w14:anchorId="18CBAB65">
          <v:shape id="_x0000_s1403" type="#_x0000_t75" style="position:absolute;margin-left:192.85pt;margin-top:11.55pt;width:89.85pt;height:15.3pt;z-index:251688448;mso-position-horizontal-relative:text;mso-position-vertical-relative:text">
            <v:imagedata r:id="rId440" o:title=""/>
          </v:shape>
          <o:OLEObject Type="Embed" ProgID="ChemDraw.Document.6.0" ShapeID="_x0000_s1403" DrawAspect="Content" ObjectID="_1532785084" r:id="rId441"/>
        </w:object>
      </w:r>
      <w:r w:rsidR="00921E85" w:rsidRPr="00943EFD">
        <w:rPr>
          <w:i/>
          <w:noProof/>
          <w:lang w:bidi="ar-SA"/>
        </w:rPr>
        <w:drawing>
          <wp:inline distT="0" distB="0" distL="0" distR="0" wp14:anchorId="587B0CB2" wp14:editId="03A2DBB0">
            <wp:extent cx="3657600" cy="1383084"/>
            <wp:effectExtent l="0" t="0" r="0" b="762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442" cstate="print">
                      <a:extLst>
                        <a:ext uri="{28A0092B-C50C-407E-A947-70E740481C1C}">
                          <a14:useLocalDpi xmlns:a14="http://schemas.microsoft.com/office/drawing/2010/main" val="0"/>
                        </a:ext>
                      </a:extLst>
                    </a:blip>
                    <a:srcRect/>
                    <a:stretch>
                      <a:fillRect/>
                    </a:stretch>
                  </pic:blipFill>
                  <pic:spPr bwMode="auto">
                    <a:xfrm>
                      <a:off x="0" y="0"/>
                      <a:ext cx="3657600" cy="1383084"/>
                    </a:xfrm>
                    <a:prstGeom prst="rect">
                      <a:avLst/>
                    </a:prstGeom>
                    <a:noFill/>
                    <a:ln>
                      <a:noFill/>
                    </a:ln>
                  </pic:spPr>
                </pic:pic>
              </a:graphicData>
            </a:graphic>
          </wp:inline>
        </w:drawing>
      </w:r>
    </w:p>
    <w:p w14:paraId="115FDAE0" w14:textId="77777777" w:rsidR="00921E85" w:rsidRPr="00886BDB" w:rsidRDefault="00921E85" w:rsidP="002145C2">
      <w:pPr>
        <w:rPr>
          <w:i/>
        </w:rPr>
      </w:pPr>
    </w:p>
    <w:p w14:paraId="255C7B6C" w14:textId="77777777" w:rsidR="00921E85" w:rsidRPr="00886BDB" w:rsidRDefault="00921E85" w:rsidP="002145C2">
      <w:pPr>
        <w:rPr>
          <w:i/>
        </w:rPr>
      </w:pPr>
      <w:r w:rsidRPr="00233F08">
        <w:rPr>
          <w:i/>
        </w:rPr>
        <w:t xml:space="preserve">Tandem DODH-HF on </w:t>
      </w:r>
      <w:r w:rsidRPr="00886BDB">
        <w:rPr>
          <w:i/>
        </w:rPr>
        <w:t>1-phenyl-1,2-ethanediol</w:t>
      </w:r>
    </w:p>
    <w:p w14:paraId="67F7B2FA" w14:textId="69D2D059" w:rsidR="00921E85" w:rsidRDefault="00921E85" w:rsidP="002145C2">
      <w:pPr>
        <w:jc w:val="both"/>
      </w:pPr>
      <w:r w:rsidRPr="00D87578">
        <w:rPr>
          <w:vertAlign w:val="superscript"/>
        </w:rPr>
        <w:t>1</w:t>
      </w:r>
      <w:r w:rsidR="001539C6">
        <w:t>H NMR</w:t>
      </w:r>
      <w:r w:rsidR="001539C6">
        <w:tab/>
      </w:r>
      <w:r w:rsidRPr="000800B1">
        <w:rPr>
          <w:noProof/>
          <w:lang w:bidi="ar-SA"/>
        </w:rPr>
        <w:drawing>
          <wp:inline distT="0" distB="0" distL="0" distR="0" wp14:anchorId="19D2AC4E" wp14:editId="7E802917">
            <wp:extent cx="4114800" cy="2506852"/>
            <wp:effectExtent l="0" t="0" r="0" b="825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rotWithShape="1">
                    <a:blip r:embed="rId443" cstate="print">
                      <a:extLst>
                        <a:ext uri="{28A0092B-C50C-407E-A947-70E740481C1C}">
                          <a14:useLocalDpi xmlns:a14="http://schemas.microsoft.com/office/drawing/2010/main" val="0"/>
                        </a:ext>
                      </a:extLst>
                    </a:blip>
                    <a:srcRect t="8644" b="12048"/>
                    <a:stretch/>
                  </pic:blipFill>
                  <pic:spPr bwMode="auto">
                    <a:xfrm>
                      <a:off x="0" y="0"/>
                      <a:ext cx="4114800" cy="2506852"/>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249A0B5F" w14:textId="140DFA8C" w:rsidR="00921E85" w:rsidRDefault="001539C6" w:rsidP="00F8513E">
      <w:r>
        <w:rPr>
          <w:noProof/>
          <w:lang w:bidi="ar-SA"/>
        </w:rPr>
        <mc:AlternateContent>
          <mc:Choice Requires="wps">
            <w:drawing>
              <wp:anchor distT="45720" distB="45720" distL="114300" distR="114300" simplePos="0" relativeHeight="251693568" behindDoc="0" locked="0" layoutInCell="1" allowOverlap="1" wp14:anchorId="51D299F2" wp14:editId="295AB3AE">
                <wp:simplePos x="0" y="0"/>
                <wp:positionH relativeFrom="column">
                  <wp:posOffset>3388506</wp:posOffset>
                </wp:positionH>
                <wp:positionV relativeFrom="paragraph">
                  <wp:posOffset>948983</wp:posOffset>
                </wp:positionV>
                <wp:extent cx="494675" cy="284480"/>
                <wp:effectExtent l="0" t="0" r="19685" b="203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675" cy="284480"/>
                        </a:xfrm>
                        <a:prstGeom prst="rect">
                          <a:avLst/>
                        </a:prstGeom>
                        <a:solidFill>
                          <a:srgbClr val="FFFFFF"/>
                        </a:solidFill>
                        <a:ln w="9525">
                          <a:solidFill>
                            <a:srgbClr val="000000"/>
                          </a:solidFill>
                          <a:miter lim="800000"/>
                          <a:headEnd/>
                          <a:tailEnd/>
                        </a:ln>
                      </wps:spPr>
                      <wps:txbx>
                        <w:txbxContent>
                          <w:p w14:paraId="2936A571" w14:textId="77777777" w:rsidR="002D644D" w:rsidRDefault="002D644D" w:rsidP="00921E85">
                            <w:r w:rsidRPr="00B958C5">
                              <w:rPr>
                                <w:rFonts w:cstheme="minorHAnsi"/>
                              </w:rPr>
                              <w:t>PPh</w:t>
                            </w:r>
                            <w:r w:rsidRPr="00B958C5">
                              <w:rPr>
                                <w:rFonts w:cstheme="minorHAnsi"/>
                                <w:vertAlign w:val="subscript"/>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D299F2" id="_x0000_t202" coordsize="21600,21600" o:spt="202" path="m,l,21600r21600,l21600,xe">
                <v:stroke joinstyle="miter"/>
                <v:path gradientshapeok="t" o:connecttype="rect"/>
              </v:shapetype>
              <v:shape id="Text Box 2" o:spid="_x0000_s1026" type="#_x0000_t202" style="position:absolute;margin-left:266.8pt;margin-top:74.7pt;width:38.95pt;height:22.4pt;z-index:25169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">
                <v:textbox>
                  <w:txbxContent>
                    <w:p w14:paraId="2936A571" w14:textId="77777777" w:rsidR="002D644D" w:rsidRDefault="002D644D" w:rsidP="00921E85">
                      <w:r w:rsidRPr="00B958C5">
                        <w:rPr>
                          <w:rFonts w:cstheme="minorHAnsi"/>
                        </w:rPr>
                        <w:t>PPh</w:t>
                      </w:r>
                      <w:r w:rsidRPr="00B958C5">
                        <w:rPr>
                          <w:rFonts w:cstheme="minorHAnsi"/>
                          <w:vertAlign w:val="subscript"/>
                        </w:rPr>
                        <w:t>3</w:t>
                      </w:r>
                    </w:p>
                  </w:txbxContent>
                </v:textbox>
              </v:shape>
            </w:pict>
          </mc:Fallback>
        </mc:AlternateContent>
      </w:r>
      <w:r w:rsidR="00F8513E">
        <w:rPr>
          <w:noProof/>
          <w:lang w:bidi="ar-SA"/>
        </w:rPr>
        <mc:AlternateContent>
          <mc:Choice Requires="wps">
            <w:drawing>
              <wp:anchor distT="45720" distB="45720" distL="114300" distR="114300" simplePos="0" relativeHeight="251694592" behindDoc="0" locked="0" layoutInCell="1" allowOverlap="1" wp14:anchorId="3982EDAB" wp14:editId="77518F05">
                <wp:simplePos x="0" y="0"/>
                <wp:positionH relativeFrom="column">
                  <wp:posOffset>4213030</wp:posOffset>
                </wp:positionH>
                <wp:positionV relativeFrom="paragraph">
                  <wp:posOffset>186690</wp:posOffset>
                </wp:positionV>
                <wp:extent cx="700217" cy="296562"/>
                <wp:effectExtent l="0" t="0" r="24130" b="27305"/>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217" cy="296562"/>
                        </a:xfrm>
                        <a:prstGeom prst="rect">
                          <a:avLst/>
                        </a:prstGeom>
                        <a:solidFill>
                          <a:srgbClr val="FFFFFF"/>
                        </a:solidFill>
                        <a:ln w="9525">
                          <a:solidFill>
                            <a:srgbClr val="000000"/>
                          </a:solidFill>
                          <a:miter lim="800000"/>
                          <a:headEnd/>
                          <a:tailEnd/>
                        </a:ln>
                      </wps:spPr>
                      <wps:txbx>
                        <w:txbxContent>
                          <w:p w14:paraId="1E932904" w14:textId="77777777" w:rsidR="002D644D" w:rsidRDefault="002D644D" w:rsidP="00921E85">
                            <w:r>
                              <w:t>O</w:t>
                            </w:r>
                            <w:r w:rsidRPr="004E3A87">
                              <w:rPr>
                                <w:rFonts w:cstheme="minorHAnsi"/>
                              </w:rPr>
                              <w:t xml:space="preserve"> </w:t>
                            </w:r>
                            <w:r w:rsidRPr="00B958C5">
                              <w:rPr>
                                <w:rFonts w:cstheme="minorHAnsi"/>
                              </w:rPr>
                              <w:t>PPh</w:t>
                            </w:r>
                            <w:r w:rsidRPr="00B958C5">
                              <w:rPr>
                                <w:rFonts w:cstheme="minorHAnsi"/>
                                <w:vertAlign w:val="subscript"/>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82EDAB" id="_x0000_s1027" type="#_x0000_t202" style="position:absolute;margin-left:331.75pt;margin-top:14.7pt;width:55.15pt;height:23.35pt;z-index:25169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">
                <v:textbox>
                  <w:txbxContent>
                    <w:p w14:paraId="1E932904" w14:textId="77777777" w:rsidR="002D644D" w:rsidRDefault="002D644D" w:rsidP="00921E85">
                      <w:r>
                        <w:t>O</w:t>
                      </w:r>
                      <w:r w:rsidRPr="004E3A87">
                        <w:rPr>
                          <w:rFonts w:cstheme="minorHAnsi"/>
                        </w:rPr>
                        <w:t xml:space="preserve"> </w:t>
                      </w:r>
                      <w:r w:rsidRPr="00B958C5">
                        <w:rPr>
                          <w:rFonts w:cstheme="minorHAnsi"/>
                        </w:rPr>
                        <w:t>PPh</w:t>
                      </w:r>
                      <w:r w:rsidRPr="00B958C5">
                        <w:rPr>
                          <w:rFonts w:cstheme="minorHAnsi"/>
                          <w:vertAlign w:val="subscript"/>
                        </w:rPr>
                        <w:t>3</w:t>
                      </w:r>
                    </w:p>
                  </w:txbxContent>
                </v:textbox>
              </v:shape>
            </w:pict>
          </mc:Fallback>
        </mc:AlternateContent>
      </w:r>
      <w:r w:rsidR="00921E85">
        <w:t>GC</w:t>
      </w:r>
      <w:r w:rsidR="00921E85">
        <w:tab/>
      </w:r>
      <w:r w:rsidR="00921E85">
        <w:tab/>
      </w:r>
      <w:r w:rsidR="00921E85">
        <w:rPr>
          <w:noProof/>
          <w:lang w:bidi="ar-SA"/>
        </w:rPr>
        <w:drawing>
          <wp:inline distT="0" distB="0" distL="0" distR="0" wp14:anchorId="2522F8DC" wp14:editId="051F4C1E">
            <wp:extent cx="4114800" cy="2398101"/>
            <wp:effectExtent l="0" t="0" r="0" b="254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4"/>
                    <a:stretch>
                      <a:fillRect/>
                    </a:stretch>
                  </pic:blipFill>
                  <pic:spPr>
                    <a:xfrm>
                      <a:off x="0" y="0"/>
                      <a:ext cx="4114800" cy="2398101"/>
                    </a:xfrm>
                    <a:prstGeom prst="rect">
                      <a:avLst/>
                    </a:prstGeom>
                  </pic:spPr>
                </pic:pic>
              </a:graphicData>
            </a:graphic>
          </wp:inline>
        </w:drawing>
      </w:r>
    </w:p>
    <w:p w14:paraId="3DC8061E" w14:textId="77777777" w:rsidR="00EB759E" w:rsidRDefault="00EB759E" w:rsidP="00F8513E"/>
    <w:p w14:paraId="3D9F8CF5" w14:textId="77777777" w:rsidR="00921E85" w:rsidRDefault="00921E85" w:rsidP="002145C2">
      <w:r>
        <w:t>GC references:</w:t>
      </w:r>
    </w:p>
    <w:p w14:paraId="2CEF6799" w14:textId="77777777" w:rsidR="00921E85" w:rsidRDefault="00443010" w:rsidP="002145C2">
      <w:r>
        <w:rPr>
          <w:i/>
          <w:noProof/>
        </w:rPr>
        <w:object w:dxaOrig="0" w:dyaOrig="0" w14:anchorId="4499269B">
          <v:shape id="_x0000_s1407" type="#_x0000_t75" style="position:absolute;margin-left:344pt;margin-top:11.1pt;width:51.1pt;height:48.25pt;z-index:251692544;mso-position-horizontal-relative:text;mso-position-vertical-relative:text">
            <v:imagedata r:id="rId445" o:title=""/>
          </v:shape>
          <o:OLEObject Type="Embed" ProgID="ChemDraw.Document.6.0" ShapeID="_x0000_s1407" DrawAspect="Content" ObjectID="_1532785085" r:id="rId446"/>
        </w:object>
      </w:r>
      <w:r>
        <w:rPr>
          <w:i/>
          <w:noProof/>
        </w:rPr>
        <w:object w:dxaOrig="0" w:dyaOrig="0" w14:anchorId="426AD88F">
          <v:shape id="_x0000_s1406" type="#_x0000_t75" style="position:absolute;margin-left:158.65pt;margin-top:11.1pt;width:21pt;height:29.45pt;z-index:251691520;mso-position-horizontal-relative:text;mso-position-vertical-relative:text">
            <v:imagedata r:id="rId447" o:title=""/>
          </v:shape>
          <o:OLEObject Type="Embed" ProgID="ChemDraw.Document.6.0" ShapeID="_x0000_s1406" DrawAspect="Content" ObjectID="_1532785086" r:id="rId448"/>
        </w:object>
      </w:r>
      <w:r w:rsidR="00921E85">
        <w:rPr>
          <w:noProof/>
          <w:lang w:bidi="ar-SA"/>
        </w:rPr>
        <w:drawing>
          <wp:inline distT="0" distB="0" distL="0" distR="0" wp14:anchorId="1802AE08" wp14:editId="39DB38B5">
            <wp:extent cx="2560320" cy="153072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9"/>
                    <a:stretch>
                      <a:fillRect/>
                    </a:stretch>
                  </pic:blipFill>
                  <pic:spPr>
                    <a:xfrm>
                      <a:off x="0" y="0"/>
                      <a:ext cx="2560320" cy="1530720"/>
                    </a:xfrm>
                    <a:prstGeom prst="rect">
                      <a:avLst/>
                    </a:prstGeom>
                  </pic:spPr>
                </pic:pic>
              </a:graphicData>
            </a:graphic>
          </wp:inline>
        </w:drawing>
      </w:r>
      <w:r w:rsidR="00921E85">
        <w:rPr>
          <w:noProof/>
          <w:lang w:bidi="ar-SA"/>
        </w:rPr>
        <w:drawing>
          <wp:inline distT="0" distB="0" distL="0" distR="0" wp14:anchorId="2A1B3C64" wp14:editId="71E88A7D">
            <wp:extent cx="2560320" cy="1510206"/>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0"/>
                    <a:stretch>
                      <a:fillRect/>
                    </a:stretch>
                  </pic:blipFill>
                  <pic:spPr>
                    <a:xfrm>
                      <a:off x="0" y="0"/>
                      <a:ext cx="2560320" cy="1510206"/>
                    </a:xfrm>
                    <a:prstGeom prst="rect">
                      <a:avLst/>
                    </a:prstGeom>
                  </pic:spPr>
                </pic:pic>
              </a:graphicData>
            </a:graphic>
          </wp:inline>
        </w:drawing>
      </w:r>
    </w:p>
    <w:p w14:paraId="24C5B346" w14:textId="77777777" w:rsidR="005D4B4F" w:rsidRDefault="005D4B4F" w:rsidP="002145C2"/>
    <w:p w14:paraId="2713861F" w14:textId="77777777" w:rsidR="00921E85" w:rsidRPr="00886BDB" w:rsidRDefault="00921E85" w:rsidP="002145C2">
      <w:pPr>
        <w:rPr>
          <w:i/>
        </w:rPr>
      </w:pPr>
      <w:r w:rsidRPr="00233F08">
        <w:rPr>
          <w:i/>
        </w:rPr>
        <w:t>Tandem DODH-HF on cis</w:t>
      </w:r>
      <w:r w:rsidRPr="00886BDB">
        <w:rPr>
          <w:i/>
        </w:rPr>
        <w:t>-1,2-cyclooctanediol</w:t>
      </w:r>
    </w:p>
    <w:p w14:paraId="330D2DB4" w14:textId="77777777" w:rsidR="00921E85" w:rsidRDefault="00921E85" w:rsidP="002145C2">
      <w:pPr>
        <w:jc w:val="both"/>
      </w:pPr>
      <w:r w:rsidRPr="00D87578">
        <w:rPr>
          <w:vertAlign w:val="superscript"/>
        </w:rPr>
        <w:t>1</w:t>
      </w:r>
      <w:r>
        <w:t>H NMR</w:t>
      </w:r>
      <w:r>
        <w:tab/>
      </w:r>
      <w:r w:rsidRPr="000800B1">
        <w:rPr>
          <w:noProof/>
          <w:lang w:bidi="ar-SA"/>
        </w:rPr>
        <w:drawing>
          <wp:inline distT="0" distB="0" distL="0" distR="0" wp14:anchorId="0115C62A" wp14:editId="3303E8BC">
            <wp:extent cx="4114800" cy="2479381"/>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rotWithShape="1">
                    <a:blip r:embed="rId451" cstate="print">
                      <a:extLst>
                        <a:ext uri="{28A0092B-C50C-407E-A947-70E740481C1C}">
                          <a14:useLocalDpi xmlns:a14="http://schemas.microsoft.com/office/drawing/2010/main" val="0"/>
                        </a:ext>
                      </a:extLst>
                    </a:blip>
                    <a:srcRect t="8646" b="12916"/>
                    <a:stretch/>
                  </pic:blipFill>
                  <pic:spPr bwMode="auto">
                    <a:xfrm>
                      <a:off x="0" y="0"/>
                      <a:ext cx="4114800" cy="2479381"/>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1B9F0F16" w14:textId="77777777" w:rsidR="00921E85" w:rsidRDefault="00921E85" w:rsidP="002145C2">
      <w:pPr>
        <w:jc w:val="both"/>
      </w:pPr>
      <w:r>
        <w:t>GCMS</w:t>
      </w:r>
      <w:r>
        <w:tab/>
      </w:r>
      <w:r>
        <w:tab/>
      </w:r>
      <w:r>
        <w:rPr>
          <w:noProof/>
          <w:lang w:bidi="ar-SA"/>
        </w:rPr>
        <w:drawing>
          <wp:inline distT="0" distB="0" distL="0" distR="0" wp14:anchorId="69ADBE1B" wp14:editId="5E63E2F4">
            <wp:extent cx="4114800" cy="2438547"/>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2"/>
                    <a:stretch>
                      <a:fillRect/>
                    </a:stretch>
                  </pic:blipFill>
                  <pic:spPr>
                    <a:xfrm>
                      <a:off x="0" y="0"/>
                      <a:ext cx="4114800" cy="2438547"/>
                    </a:xfrm>
                    <a:prstGeom prst="rect">
                      <a:avLst/>
                    </a:prstGeom>
                  </pic:spPr>
                </pic:pic>
              </a:graphicData>
            </a:graphic>
          </wp:inline>
        </w:drawing>
      </w:r>
    </w:p>
    <w:p w14:paraId="4012776A" w14:textId="77777777" w:rsidR="00921E85" w:rsidRDefault="00443010" w:rsidP="002145C2">
      <w:r>
        <w:rPr>
          <w:noProof/>
        </w:rPr>
        <w:object w:dxaOrig="0" w:dyaOrig="0" w14:anchorId="772180FE">
          <v:shape id="_x0000_s1404" type="#_x0000_t75" style="position:absolute;margin-left:211.55pt;margin-top:3.4pt;width:66.3pt;height:39.15pt;z-index:251689472;mso-position-horizontal-relative:text;mso-position-vertical-relative:text">
            <v:imagedata r:id="rId453" o:title=""/>
          </v:shape>
          <o:OLEObject Type="Embed" ProgID="ChemDraw.Document.6.0" ShapeID="_x0000_s1404" DrawAspect="Content" ObjectID="_1532785087" r:id="rId454"/>
        </w:object>
      </w:r>
      <w:r w:rsidR="00921E85">
        <w:rPr>
          <w:noProof/>
          <w:lang w:bidi="ar-SA"/>
        </w:rPr>
        <w:drawing>
          <wp:inline distT="0" distB="0" distL="0" distR="0" wp14:anchorId="5B5E95A5" wp14:editId="569FC111">
            <wp:extent cx="3657600" cy="909711"/>
            <wp:effectExtent l="0" t="0" r="0" b="508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5"/>
                    <a:stretch>
                      <a:fillRect/>
                    </a:stretch>
                  </pic:blipFill>
                  <pic:spPr>
                    <a:xfrm>
                      <a:off x="0" y="0"/>
                      <a:ext cx="3657600" cy="909711"/>
                    </a:xfrm>
                    <a:prstGeom prst="rect">
                      <a:avLst/>
                    </a:prstGeom>
                  </pic:spPr>
                </pic:pic>
              </a:graphicData>
            </a:graphic>
          </wp:inline>
        </w:drawing>
      </w:r>
    </w:p>
    <w:p w14:paraId="1F7BEEBB" w14:textId="77777777" w:rsidR="00921E85" w:rsidRDefault="00443010" w:rsidP="002145C2">
      <w:r>
        <w:rPr>
          <w:noProof/>
        </w:rPr>
        <w:object w:dxaOrig="0" w:dyaOrig="0" w14:anchorId="49BE991E">
          <v:shape id="_x0000_s1405" type="#_x0000_t75" style="position:absolute;margin-left:22.1pt;margin-top:5.45pt;width:74.35pt;height:39.15pt;z-index:251690496;mso-position-horizontal-relative:text;mso-position-vertical-relative:text">
            <v:imagedata r:id="rId456" o:title=""/>
          </v:shape>
          <o:OLEObject Type="Embed" ProgID="ChemDraw.Document.6.0" ShapeID="_x0000_s1405" DrawAspect="Content" ObjectID="_1532785088" r:id="rId457"/>
        </w:object>
      </w:r>
      <w:r w:rsidR="00921E85">
        <w:rPr>
          <w:noProof/>
          <w:lang w:bidi="ar-SA"/>
        </w:rPr>
        <w:drawing>
          <wp:inline distT="0" distB="0" distL="0" distR="0" wp14:anchorId="3004FBFA" wp14:editId="4A4364C3">
            <wp:extent cx="3657600" cy="878794"/>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458" cstate="print">
                      <a:extLst>
                        <a:ext uri="{28A0092B-C50C-407E-A947-70E740481C1C}">
                          <a14:useLocalDpi xmlns:a14="http://schemas.microsoft.com/office/drawing/2010/main" val="0"/>
                        </a:ext>
                      </a:extLst>
                    </a:blip>
                    <a:srcRect t="9550" b="14027"/>
                    <a:stretch/>
                  </pic:blipFill>
                  <pic:spPr bwMode="auto">
                    <a:xfrm>
                      <a:off x="0" y="0"/>
                      <a:ext cx="3657600" cy="878794"/>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cx2="http://schemas.microsoft.com/office/drawing/2015/10/21/chartex" xmlns:cx1="http://schemas.microsoft.com/office/drawing/2015/9/8/chartex" xmlns:cx="http://schemas.microsoft.com/office/drawing/2014/chartex"/>
                      </a:ext>
                    </a:extLst>
                  </pic:spPr>
                </pic:pic>
              </a:graphicData>
            </a:graphic>
          </wp:inline>
        </w:drawing>
      </w:r>
    </w:p>
    <w:p w14:paraId="5BE9912B" w14:textId="77777777" w:rsidR="00921E85" w:rsidRDefault="00921E85" w:rsidP="00921E85">
      <w:pPr>
        <w:spacing w:line="360" w:lineRule="auto"/>
        <w:jc w:val="both"/>
      </w:pPr>
    </w:p>
    <w:p w14:paraId="2A730DAB" w14:textId="77777777" w:rsidR="00F8513E" w:rsidRDefault="00F8513E">
      <w:pPr>
        <w:spacing w:line="240" w:lineRule="auto"/>
      </w:pPr>
      <w:r>
        <w:br w:type="page"/>
      </w:r>
    </w:p>
    <w:p w14:paraId="1AE013F1" w14:textId="77777777" w:rsidR="00BA0582" w:rsidRPr="00E62A66" w:rsidRDefault="00BA0582" w:rsidP="00BA0582">
      <w:pPr>
        <w:pStyle w:val="Heading1"/>
      </w:pPr>
      <w:bookmarkStart w:id="406" w:name="_Ref457476979"/>
      <w:bookmarkStart w:id="407" w:name="_Toc458938339"/>
      <w:r w:rsidRPr="00E62A66">
        <w:t>Mechanistic Study of IReO</w:t>
      </w:r>
      <w:r w:rsidRPr="00E62A66">
        <w:rPr>
          <w:vertAlign w:val="subscript"/>
        </w:rPr>
        <w:t>2</w:t>
      </w:r>
      <w:r w:rsidRPr="00E62A66">
        <w:t>TPP</w:t>
      </w:r>
      <w:r w:rsidRPr="00E62A66">
        <w:rPr>
          <w:vertAlign w:val="subscript"/>
        </w:rPr>
        <w:t>2</w:t>
      </w:r>
      <w:r w:rsidRPr="00E62A66">
        <w:t>-</w:t>
      </w:r>
      <w:r w:rsidR="00EB759E">
        <w:t>P</w:t>
      </w:r>
      <w:r w:rsidRPr="00E62A66">
        <w:t xml:space="preserve">romoted </w:t>
      </w:r>
      <w:r w:rsidR="00EB759E">
        <w:t>R</w:t>
      </w:r>
      <w:r w:rsidRPr="00E62A66">
        <w:t xml:space="preserve">eaction of </w:t>
      </w:r>
      <w:r w:rsidR="00EB759E">
        <w:t>A</w:t>
      </w:r>
      <w:r w:rsidRPr="00E62A66">
        <w:t xml:space="preserve">lcohols with </w:t>
      </w:r>
      <w:r w:rsidR="00EB759E">
        <w:t>T</w:t>
      </w:r>
      <w:r w:rsidRPr="00E62A66">
        <w:t>riphenylphosphine</w:t>
      </w:r>
      <w:bookmarkEnd w:id="406"/>
      <w:bookmarkEnd w:id="407"/>
    </w:p>
    <w:p w14:paraId="2169CE95" w14:textId="77777777" w:rsidR="00BA0582" w:rsidRDefault="00BA0582" w:rsidP="00BA0582"/>
    <w:p w14:paraId="7326EF49" w14:textId="77777777" w:rsidR="00BA0582" w:rsidRDefault="00BA0582" w:rsidP="00B5501C">
      <w:pPr>
        <w:pStyle w:val="Heading2"/>
        <w:numPr>
          <w:ilvl w:val="0"/>
          <w:numId w:val="39"/>
        </w:numPr>
      </w:pPr>
      <w:bookmarkStart w:id="408" w:name="_Toc458938340"/>
      <w:r>
        <w:t>Introduction and Background</w:t>
      </w:r>
      <w:bookmarkEnd w:id="408"/>
    </w:p>
    <w:p w14:paraId="37B6B676" w14:textId="77777777" w:rsidR="00BA0582" w:rsidRPr="00BA0582" w:rsidRDefault="00BA0582" w:rsidP="00BA0582">
      <w:pPr>
        <w:ind w:firstLine="360"/>
        <w:jc w:val="both"/>
        <w:rPr>
          <w:rFonts w:cstheme="minorHAnsi"/>
        </w:rPr>
      </w:pPr>
      <w:r w:rsidRPr="00BA0582">
        <w:rPr>
          <w:rFonts w:cstheme="minorHAnsi"/>
        </w:rPr>
        <w:t>We described in Chapter I the multiple efforts made in the development of selective chemical transformations of biomass-derived, oxygen-rich feedstocks by re-functionalizing C-O bonds.</w:t>
      </w:r>
      <w:r w:rsidRPr="00BA0582">
        <w:rPr>
          <w:rFonts w:cstheme="minorHAnsi"/>
        </w:rPr>
        <w:fldChar w:fldCharType="begin"/>
      </w:r>
      <w:r w:rsidR="0091451B">
        <w:rPr>
          <w:rFonts w:cstheme="minorHAnsi"/>
        </w:rPr>
        <w:instrText xml:space="preserve"> ADDIN ZOTERO_ITEM CSL_CITATION {"citationID":"22ams621b0","properties":{"formattedCitation":"{\\rtf \\super 3,172\\nosupersub{}}","plainCitation":"3,172"},"citationItems":[{"id":1857,"uris":["http://zotero.org/users/1624234/items/XUH2R65S"],"uri":["http://zotero.org/users/1624234/items/XUH2R65S"],"itemData":{"id":1857,"type":"article-journal","title":"Microporous and mesoporous catalysts for the transformation of carbohydrates","container-title":"Catalysts for Fine Chemical Synthesis","page":"141–156","volume":"4","source":"ou-primo.com","author":[{"literal":"Claude Moreau"}]}},{"id":170,"uris":["http://zotero.org/users/1624234/items/BEEBPN7S"],"uri":["http://zotero.org/users/1624234/items/BEEBPN7S"],"itemData":{"id":170,"type":"article-journal","title":"Liquid-Phase Catalytic Processing of Biomass-Derived Oxygenated Hydrocarbons to Fuels and Chemicals","container-title":"Angewandte Chemie International Edition","page":"7164-7183","volume":"46","issue":"38","source":"Wiley Online Library","abstract":"Biomass has the potential to serve as a sustainable source of energy and organic carbon for our industrialized society. The focus of this Review is to present an overview of chemical catalytic transformations of biomass-derived oxygenated feedstocks (primarily sugars and sugar-alcohols) in the liquid phase to value-added chemicals and fuels, with specific examples emphasizing the development of catalytic processes based on an understanding of the fundamental reaction chemistry. The key reactions involved in the processing of biomass are hydrolysis, dehydration, isomerization, aldol condensation, reforming, hydrogenation, and oxidation. Further, it is discussed how ideas based on fundamental chemical and catalytic concepts lead to strategies for the control of reaction pathways and process conditions to produce H2/CO2 or H2/CO gas mixtures by aqueous-phase reforming, to produce furan compounds by selective dehydration of carbohydrates, and to produce liquid alkanes by the combination of aldol condensation and dehydration/hydrogenation processes.","DOI":"10.1002/anie.200604274","ISSN":"1521-3773","journalAbbreviation":"Angewandte Chemie International Edition","language":"en","author":[{"family":"Chheda","given":"Juben N."},{"family":"Huber","given":"George W."},{"family":"Dumesic","given":"James A."}],"issued":{"date-parts":[["2007"]]}}}],"schema":"https://github.com/citation-style-language/schema/raw/master/csl-citation.json"} </w:instrText>
      </w:r>
      <w:r w:rsidRPr="00BA0582">
        <w:rPr>
          <w:rFonts w:cstheme="minorHAnsi"/>
        </w:rPr>
        <w:fldChar w:fldCharType="separate"/>
      </w:r>
      <w:r w:rsidR="0091451B" w:rsidRPr="0091451B">
        <w:rPr>
          <w:rFonts w:ascii="Times New Roman" w:hAnsi="Times New Roman"/>
          <w:vertAlign w:val="superscript"/>
        </w:rPr>
        <w:t>3,172</w:t>
      </w:r>
      <w:r w:rsidRPr="00BA0582">
        <w:rPr>
          <w:rFonts w:cstheme="minorHAnsi"/>
        </w:rPr>
        <w:fldChar w:fldCharType="end"/>
      </w:r>
      <w:r w:rsidRPr="00BA0582">
        <w:rPr>
          <w:rFonts w:cstheme="minorHAnsi"/>
        </w:rPr>
        <w:t xml:space="preserve"> As shown in Figure I.1.1 dehydration and deoxygenation processes allow reduction of the oxygen content and therefore an energy increase of carbohydrates and derived sugar alcohols.</w:t>
      </w:r>
      <w:r w:rsidRPr="00BA0582">
        <w:rPr>
          <w:rFonts w:cstheme="minorHAnsi"/>
        </w:rPr>
        <w:fldChar w:fldCharType="begin"/>
      </w:r>
      <w:r w:rsidR="0091451B">
        <w:rPr>
          <w:rFonts w:cstheme="minorHAnsi"/>
        </w:rPr>
        <w:instrText xml:space="preserve"> ADDIN ZOTERO_ITEM CSL_CITATION {"citationID":"3GkCkG8P","properties":{"formattedCitation":"{\\rtf \\super 8,173\\uc0\\u8211{}176\\nosupersub{}}","plainCitation":"8,173–176"},"citationItems":[{"id":471,"uris":["http://zotero.org/users/1624234/items/XN5W9B9U"],"uri":["http://zotero.org/users/1624234/items/XN5W9B9U"],"itemData":{"id":471,"type":"article-journal","title":"Dramatic Advancements in the Saccharide to 5-(Chloromethyl)furfural Conversion Reaction","container-title":"ChemSusChem","page":"859-861","volume":"2","issue":"9","source":"Wiley Online Library","DOI":"10.1002/cssc.200900136","ISSN":"1864-564X","journalAbbreviation":"ChemSusChem","language":"en","author":[{"family":"Mascal","given":"Mark"},{"family":"Nikitin","given":"Edward B."}],"issued":{"date-parts":[["2009"]]}}},{"id":1839,"uris":["http://zotero.org/users/1624234/items/WTHQMFXJ"],"uri":["http://zotero.org/users/1624234/items/WTHQMFXJ"],"itemData":{"id":1839,"type":"article-journal","title":"One-Step Catalytic Transformation of Carbohydrates and Cellulosic Biomass to 2,5-Dimethyltetrahydrofuran for Liquid Fuels","container-title":"ChemSusChem","page":"597-603","volume":"3","issue":"5","source":"Wiley Online Library","abstract":"Existing technologies to produce liquid fuels from biomass are typically energy-intensive, multistep processes. Many of these processes use edible biomass as starting material. Carbohydrates, such as mono- and polysaccharides and cellulose, typically constitute 50–80 % of plant biomass. Herein, we report that hexose from a wide range of biomass-derived carbohydrates, cellulose, and even raw lignocellulose (e.g., corn stover) can be converted into 2,5-dimethyltetrahydrofuran (DMTHF) in one step, in good yields and under mild conditions in water. Under the same conditions, 2-methyltetrahydrofuran is formed from pentose. The reaction employs a soluble rhodium catalyst, dihydrogen, and HI/HCl+NaI. The catalytic system is robust and can be recycled repeatedly without loss of activity. DMTHF is superior to ethanol and has many of the desirable properties currently found in typical petroleum-derived transportation fuels.","DOI":"10.1002/cssc.200900285","ISSN":"1864-564X","journalAbbreviation":"ChemSusChem","language":"en","author":[{"family":"Yang","given":"Weiran"},{"family":"Sen","given":"Ayusman"}],"issued":{"date-parts":[["2010",5,25]]}}},{"id":1861,"uris":["http://zotero.org/users/1624234/items/MH9T924H"],"uri":["http://zotero.org/users/1624234/items/MH9T924H"],"itemData":{"id":1861,"type":"article-journal","title":"Commodity Chemicals Derived from Glycerol, an Important Biorefinery Feedstock","container-title":"Chemical Reviews","volume":"108","issue":"12","source":"ACS Publications","URL":"http://dx.doi.org/10.1021/cr068216s","DOI":"10.1021/cr068216s","ISSN":"0009-2665","journalAbbreviation":"Chem. Rev.","author":[{"family":"Zheng","given":"Yuguo"},{"family":"Chen","given":"Xiaolong"},{"family":"Shen","given":"Yinchu"}],"issued":{"date-parts":[["2008",12,10]]},"accessed":{"date-parts":[["2016",7,11]]}}},{"id":1983,"uris":["http://zotero.org/users/1624234/items/S4ZDKSQC"],"uri":["http://zotero.org/users/1624234/items/S4ZDKSQC"],"itemData":{"id":1983,"type":"article-journal","title":"Hydrolysis of lignocellulosic materials for ethanol production: a review","container-title":"Bioresource Technology","collection-title":"Reviews Issue","page":"1-11","volume":"83","issue":"1","source":"ScienceDirect","abstract":"Lignocellulosic biomass can be utilized to produce ethanol, a promising alternative energy source for the limited crude oil. There are mainly two processes involved in the conversion: hydrolysis of cellulose in the lignocellulosic biomass to produce reducing sugars, and fermentation of the sugars to ethanol. The cost of ethanol production from lignocellulosic materials is relatively high based on current technologies, and the main challenges are the low yield and high cost of the hydrolysis process. Considerable research efforts have been made to improve the hydrolysis of lignocellulosic materials. Pretreatment of lignocellulosic materials to remove lignin and hemicellulose can significantly enhance the hydrolysis of cellulose. Optimization of the cellulase enzymes and the enzyme loading can also improve the hydrolysis. Simultaneous saccharification and fermentation effectively removes glucose, which is an inhibitor to cellulase activity, thus increasing the yield and rate of cellulose hydrolysis.","DOI":"10.1016/S0960-8524(01)00212-7","ISSN":"0960-8524","shortTitle":"Hydrolysis of lignocellulosic materials for ethanol production","journalAbbreviation":"Bioresource Technology","author":[{"family":"Sun","given":"Ye"},{"family":"Cheng","given":"Jiayang"}],"issued":{"date-parts":[["2002",5]]}}},{"id":1854,"uris":["http://zotero.org/users/1624234/items/G5G4ZBJT"],"uri":["http://zotero.org/users/1624234/items/G5G4ZBJT"],"itemData":{"id":1854,"type":"article-journal","title":"Biofuels and Biomass-To-Liquid Fuels in the Biorefinery: Catalytic Conversion of Lignocellulosic Biomass using Porous Materials","container-title":"Angewandte Chemie International Edition","page":"9200-9211","volume":"47","issue":"48","source":"Wiley Online Library","abstract":"At a time when the focus is on global warming, CO2 emission, secure energy supply, and less consumption of fossil-based fuels, the use of renewable energy resources is essential. Various biomass resources are discussed that can deliver fuels, chemicals, and energy products. The focus is on the catalytic conversion of biomass from wood. The challenges involved in the processing of lignocellulose-rich materials will be highlighted, along with the application of porous materials as catalysts for the biomass-to-liquids (BTL) fuels in biorefineries. The mechanistic understanding of the complex reactions that take place, the development of catalysts and processes, and the product spectrum that is envisaged will be discussed, along with a sustainable concept for biorefineries based on lignocellulose. Finally, the current situation with respect to upgrading of the process technology (pilot and commercial units) will be addressed.","DOI":"10.1002/anie.200801476","ISSN":"1521-3773","shortTitle":"Biofuels and Biomass-To-Liquid Fuels in the Biorefinery","journalAbbreviation":"Angewandte Chemie International Edition","language":"en","author":[{"family":"Stöcker","given":"Michael"}],"issued":{"date-parts":[["2008",11,17]]}}}],"schema":"https://github.com/citation-style-language/schema/raw/master/csl-citation.json"} </w:instrText>
      </w:r>
      <w:r w:rsidRPr="00BA0582">
        <w:rPr>
          <w:rFonts w:cstheme="minorHAnsi"/>
        </w:rPr>
        <w:fldChar w:fldCharType="separate"/>
      </w:r>
      <w:r w:rsidR="0091451B" w:rsidRPr="0091451B">
        <w:rPr>
          <w:rFonts w:ascii="Times New Roman" w:hAnsi="Times New Roman"/>
          <w:vertAlign w:val="superscript"/>
        </w:rPr>
        <w:t>8,173–176</w:t>
      </w:r>
      <w:r w:rsidRPr="00BA0582">
        <w:rPr>
          <w:rFonts w:cstheme="minorHAnsi"/>
        </w:rPr>
        <w:fldChar w:fldCharType="end"/>
      </w:r>
      <w:r w:rsidRPr="00BA0582">
        <w:rPr>
          <w:rFonts w:cstheme="minorHAnsi"/>
        </w:rPr>
        <w:t xml:space="preserve"> In addition to the DODH reaction which we described in detail already, hydrodeoxygenation (HDO, </w:t>
      </w:r>
      <w:r w:rsidR="000351A7">
        <w:rPr>
          <w:rFonts w:cstheme="minorHAnsi"/>
        </w:rPr>
        <w:fldChar w:fldCharType="begin"/>
      </w:r>
      <w:r w:rsidR="000351A7">
        <w:rPr>
          <w:rFonts w:cstheme="minorHAnsi"/>
        </w:rPr>
        <w:instrText xml:space="preserve"> REF _Ref457464865 \h </w:instrText>
      </w:r>
      <w:r w:rsidR="000351A7">
        <w:rPr>
          <w:rFonts w:cstheme="minorHAnsi"/>
        </w:rPr>
      </w:r>
      <w:r w:rsidR="000351A7">
        <w:rPr>
          <w:rFonts w:cstheme="minorHAnsi"/>
        </w:rPr>
        <w:fldChar w:fldCharType="separate"/>
      </w:r>
      <w:r w:rsidR="000A0E3D">
        <w:t xml:space="preserve">Figure </w:t>
      </w:r>
      <w:r w:rsidR="000A0E3D">
        <w:rPr>
          <w:noProof/>
        </w:rPr>
        <w:t>IV</w:t>
      </w:r>
      <w:r w:rsidR="000A0E3D">
        <w:t>.</w:t>
      </w:r>
      <w:r w:rsidR="000A0E3D">
        <w:rPr>
          <w:noProof/>
        </w:rPr>
        <w:t>1</w:t>
      </w:r>
      <w:r w:rsidR="000351A7">
        <w:rPr>
          <w:rFonts w:cstheme="minorHAnsi"/>
        </w:rPr>
        <w:fldChar w:fldCharType="end"/>
      </w:r>
      <w:r w:rsidRPr="00BA0582">
        <w:rPr>
          <w:rFonts w:cstheme="minorHAnsi"/>
        </w:rPr>
        <w:t>) is one such reaction that is practiced in chemical industry and in the laboratory.</w:t>
      </w:r>
      <w:r w:rsidRPr="00BA0582">
        <w:rPr>
          <w:rFonts w:cstheme="minorHAnsi"/>
        </w:rPr>
        <w:fldChar w:fldCharType="begin"/>
      </w:r>
      <w:r w:rsidR="00DE200B">
        <w:rPr>
          <w:rFonts w:cstheme="minorHAnsi"/>
        </w:rPr>
        <w:instrText xml:space="preserve"> ADDIN ZOTERO_ITEM CSL_CITATION {"citationID":"40afGAtK","properties":{"formattedCitation":"{\\rtf \\super 10,177\\uc0\\u8211{}179\\nosupersub{}}","plainCitation":"10,177–179"},"citationItems":[{"id":1989,"uris":["http://zotero.org/users/1624234/items/65AZZNVZ"],"uri":["http://zotero.org/users/1624234/items/65AZZNVZ"],"itemData":{"id":1989,"type":"article-journal","title":"Deoxygenation of Biomass-Derived Feedstocks: Hurdles and Opportunities","container-title":"ChemSusChem","page":"2125-2127","volume":"5","issue":"11","source":"Wiley Online Library","DOI":"10.1002/cssc.201200596","ISSN":"1864-564X","shortTitle":"Deoxygenation of Biomass-Derived Feedstocks","journalAbbreviation":"ChemSusChem","language":"en","author":[{"family":"Dutta","given":"Saikat"}],"issued":{"date-parts":[["2012",11,1]]}}},{"id":1812,"uris":["http://zotero.org/users/1624234/items/4ZVZ5V7I"],"uri":["http://zotero.org/users/1624234/items/4ZVZ5V7I"],"itemData":{"id":1812,"type":"article-journal","title":"A review and perspective of recent bio-oil hydrotreating research","container-title":"Green Chem.","page":"491-515","volume":"16","issue":"2","source":"CrossRef","DOI":"10.1039/C3GC41382A","ISSN":"1463-9262, 1463-9270","language":"en","author":[{"family":"Zacher","given":"Alan H."},{"family":"Olarte","given":"Mariefel V."},{"family":"Santosa","given":"Daniel M."},{"family":"Elliott","given":"Douglas C."},{"family":"Jones","given":"Susanne B."}],"issued":{"date-parts":[["2014"]]}}},{"id":1830,"uris":["http://zotero.org/users/1624234/items/KPUBTD9V"],"uri":["http://zotero.org/users/1624234/items/KPUBTD9V"],"itemData":{"id":1830,"type":"article-journal","title":"A review of catalytic hydrodeoxygenation of lignin-derived phenols from biomass pyrolysis","container-title":"Bioresource Technology","page":"470-477","volume":"124","source":"ScienceDirect","abstract":"Catalytic hydrodeoxygenation (HDO) of lignin-derived phenols which are the lowest reactive chemical compounds in biomass pyrolysis oils has been reviewed. The hydrodeoxygenation (HDO) catalysts have been discussed including traditional HDO catalysts such as CoMo/Al2O3 and NiMo/Al2O3 catalysts and transition metal catalysts (noble metals). The mechanism of HDO of lignin-derived phenols was analyzed on the basis of different model compounds. The kinetics of HDO of different lignin-derived model compounds has been investigated. The diversity of bio-oils leads to the complexities of HDO kinetics. The techno-economic analysis indicates that a series of major technical and economical efforts still have to be investigated in details before scaling up the HDO of lignin-derived phenols in existed refinery infrastructure. Examples of future investigation of HDO include significant challenges of improving catalysts and optimum operation conditions, further understanding of kinetics of complex bio-oils, and the availability of sustainable and cost-effective hydrogen source.","DOI":"10.1016/j.biortech.2012.08.089","ISSN":"0960-8524","journalAbbreviation":"Bioresource Technology","author":[{"family":"Bu","given":"Quan"},{"family":"Lei","given":"Hanwu"},{"family":"Zacher","given":"Alan H."},{"family":"Wang","given":"Lu"},{"family":"Ren","given":"Shoujie"},{"family":"Liang","given":"Jing"},{"family":"Wei","given":"Yi"},{"family":"Liu","given":"Yupeng"},{"family":"Tang","given":"Juming"},{"family":"Zhang","given":"Qin"},{"family":"Ruan","given":"Roger"}],"issued":{"date-parts":[["2012",11]]}}},{"id":487,"uris":["http://zotero.org/users/1624234/items/ZR7JH632"],"uri":["http://zotero.org/users/1624234/items/ZR7JH632"],"itemData":{"id":487,"type":"article-journal","title":"Hydrogenolysis Goes Bio: From Carbohydrates and Sugar Alcohols to Platform Chemicals","container-title":"Angewandte Chemie International Edition","page":"2564-2601","volume":"51","issue":"11","source":"Wiley Online Library","abstract":"In view of the diminishing oil resources and the ongoing climate change, the use of efficient and environmentally benign technologies for the utilization of renewable resources has become indispensible. Therein, hydrogenolysis reactions offer a promising possibility for future biorefinery concepts. These reactions result in the cleavage of CC and CO bonds by hydrogen and allow direct access to valuable platform chemicals already integrated in today’s value chains. Thus, hydrogenolysis bears the potential to bridge currently available technologies and future biomass-based refinery concepts. This Review highlights past and present developments in this field, with special emphasis on the direct utilization of cellulosic feedstocks.","DOI":"10.1002/anie.201105125","ISSN":"1521-3773","shortTitle":"Hydrogenolysis Goes Bio","journalAbbreviation":"Angew. Chem. Int. Ed.","language":"en","author":[{"family":"Ruppert","given":"Agnieszka M."},{"family":"Weinberg","given":"Kamil"},{"family":"Palkovits","given":"Regina"}],"issued":{"date-parts":[["2012"]]}}}],"schema":"https://github.com/citation-style-language/schema/raw/master/csl-citation.json"} </w:instrText>
      </w:r>
      <w:r w:rsidRPr="00BA0582">
        <w:rPr>
          <w:rFonts w:cstheme="minorHAnsi"/>
        </w:rPr>
        <w:fldChar w:fldCharType="separate"/>
      </w:r>
      <w:r w:rsidR="00DE200B" w:rsidRPr="00DE200B">
        <w:rPr>
          <w:rFonts w:ascii="Times New Roman" w:hAnsi="Times New Roman"/>
          <w:vertAlign w:val="superscript"/>
        </w:rPr>
        <w:t>10,177–179</w:t>
      </w:r>
      <w:r w:rsidRPr="00BA0582">
        <w:rPr>
          <w:rFonts w:cstheme="minorHAnsi"/>
        </w:rPr>
        <w:fldChar w:fldCharType="end"/>
      </w:r>
      <w:r w:rsidRPr="00BA0582">
        <w:rPr>
          <w:rFonts w:cstheme="minorHAnsi"/>
        </w:rPr>
        <w:t xml:space="preserve"> The HDO of activated mono-alcohols (benzylic/allylic/tertiary) can be effected by H</w:t>
      </w:r>
      <w:r w:rsidRPr="00BA0582">
        <w:rPr>
          <w:rFonts w:cstheme="minorHAnsi"/>
          <w:vertAlign w:val="subscript"/>
        </w:rPr>
        <w:t>2</w:t>
      </w:r>
      <w:r w:rsidRPr="00BA0582">
        <w:rPr>
          <w:rFonts w:cstheme="minorHAnsi"/>
        </w:rPr>
        <w:t>/Pd-C</w:t>
      </w:r>
      <w:r w:rsidRPr="00BA0582">
        <w:rPr>
          <w:rFonts w:cstheme="minorHAnsi"/>
        </w:rPr>
        <w:fldChar w:fldCharType="begin"/>
      </w:r>
      <w:r w:rsidR="0091451B">
        <w:rPr>
          <w:rFonts w:cstheme="minorHAnsi"/>
        </w:rPr>
        <w:instrText xml:space="preserve"> ADDIN ZOTERO_ITEM CSL_CITATION {"citationID":"1uju822uoo","properties":{"formattedCitation":"{\\rtf \\super 180\\uc0\\u8211{}182\\nosupersub{}}","plainCitation":"180–182"},"citationItems":[{"id":1966,"uris":["http://zotero.org/users/1624234/items/8CIH4SSI"],"uri":["http://zotero.org/users/1624234/items/8CIH4SSI"],"itemData":{"id":1966,"type":"article-journal","title":"Substituent effects in the hydrogenolysis of benzyl alcohol derivatives over palladium","container-title":"Journal of Catalysis","page":"58-66","volume":"20","issue":"1","source":"ScienceDirect","abstract":"A kinetic study of substituent effects in the liquid-phase hydrogenolysis of benzyl oxygen compounds has been made using carbon-supported palladium as the catalyst. The reaction is zero order in substrate and is progressively inhibited by its product. Proton catalysis is essential for the hydrogenolysis of benzyl alcohols and alkyl benzyl ethers. For the hydrogenolysis of benzyl alcohols and 2-aryl-3-methyl-2-butanols the effects of substituents in the aromatic ring may be expressed in terms of a Hammett-Yukawa relationship with ϱ = −0.37 and −1.43, respectively. α-Substituents retard the rate of hydrogenolysis of benzyl alcohol. The order of reactivity for different leaving groups is: OH, OAlkyl </w:instrText>
      </w:r>
      <w:r w:rsidR="0091451B">
        <w:rPr>
          <w:rFonts w:ascii="Cambria Math" w:hAnsi="Cambria Math" w:cs="Cambria Math"/>
        </w:rPr>
        <w:instrText>⪡</w:instrText>
      </w:r>
      <w:r w:rsidR="0091451B">
        <w:rPr>
          <w:rFonts w:cstheme="minorHAnsi"/>
        </w:rPr>
        <w:instrText xml:space="preserve"> OAryl &lt;+OHAlkyl &lt;+OH2, OAc &lt; OCOCF3. It is concluded that the hydrogenolysis reaction involves hydride attack at the benzylic carbon displacing the leaving group as its anion. For primary alcohols an SN2 mechanism is operative, whereas tertiary alcohols show sN1 type character. The adsorbed state is discussed on the basis of deuterolysis experiments.","DOI":"10.1016/0021-9517(71)90006-6","ISSN":"0021-9517","journalAbbreviation":"Journal of Catalysis","author":[{"family":"Kieboom","given":"A. P. G."},{"family":"De Kreuk","given":"J. F."},{"family":"Van Bekkum","given":"H."}],"issued":{"date-parts":[["1971",1,1]]}}},{"id":1809,"uris":["http://zotero.org/users/1624234/items/MEN3ZZQW"],"uri":["http://zotero.org/users/1624234/items/MEN3ZZQW"],"itemData":{"id":1809,"type":"article-journal","title":"Pd-Catalyzed Transfer Hydrogenolysis of Primary, Secondary, and Tertiary Benzylic Alcohols by Formic Acid: A Mechanistic Study","container-title":"ACS Catalysis","page":"635-642","volume":"3","issue":"4","source":"ACS Publications","abstract":"A palladium-catalyzed transfer hydrogenolysis of primary, secondary, and tertiary benzylic alcohols by formic acid has been developed and studied. The product hydrocarbons were obtained in excellent yields from both secondary and tertiary benzylic alcohols and in good yields for primary benzylic alcohols. The rate of disappearance of 1-phenylethanol (1) follows zero-order dependence in 1 and first-order dependence in formic acid and palladium. Catalytic amounts of base inhibit a competing disproportionation reaction of alcohol to alkane and ketone, and an optimum was obtained when 5 equiv of base to palladium was used. Deuterium kinetic isotope studies for the transfer hydrogenolysis reveal individual isotope effects for the hydridic position (kCHOH/kCDOH = 2.26 ± 0.24) and the protic position (kCHOH/kCHOD = 0.62 ± 0.06) of the formic acid. Simultaneous deuteration in both positions of formic acid gave a combined isotope effect of (kCHOH/kCDOD = 1.41 ± 0.11). We propose a mechanism involving the following steps: a competitive inhibition of the open palladium site by adsorption of the formate anion to generate formato-palladium species, followed by a reversible protonation and a rate-limiting hydride transfer to obtain the active palladium with chemisorbed hydrogen that performs the hydrogenolysis of the alcohol in a fast reaction step.","DOI":"10.1021/cs300785r","shortTitle":"Pd-Catalyzed Transfer Hydrogenolysis of Primary, Secondary, and Tertiary Benzylic Alcohols by Formic Acid","journalAbbreviation":"ACS Catal.","author":[{"family":"Sawadjoon","given":"Supaporn"},{"family":"Lundstedt","given":"Anna"},{"family":"Samec","given":"Joseph S. M."}],"issued":{"date-parts":[["2013",4,5]]}}},{"id":1941,"uris":["http://zotero.org/users/1624234/items/H5DNA5G3"],"uri":["http://zotero.org/users/1624234/items/H5DNA5G3"],"itemData":{"id":1941,"type":"article-journal","title":"Palladium-Catalyzed Hydrogenolysis of Allylic and Propargylic Compounds with Various Hydrides","container-title":"Synthesis","page":"1-24","volume":"1996","issue":"01","source":"CrossRef","DOI":"10.1055/s-1996-4175","ISSN":"00397881, 1437210X","author":[{"family":"Tsuji","given":"Jiro"},{"family":"Mandai","given":"Tadakatsu"}],"issued":{"date-parts":[["1996",1]]}}}],"schema":"https://github.com/citation-style-language/schema/raw/master/csl-citation.json"} </w:instrText>
      </w:r>
      <w:r w:rsidRPr="00BA0582">
        <w:rPr>
          <w:rFonts w:cstheme="minorHAnsi"/>
        </w:rPr>
        <w:fldChar w:fldCharType="separate"/>
      </w:r>
      <w:r w:rsidR="0091451B" w:rsidRPr="0091451B">
        <w:rPr>
          <w:rFonts w:ascii="Times New Roman" w:hAnsi="Times New Roman"/>
          <w:vertAlign w:val="superscript"/>
        </w:rPr>
        <w:t>180–182</w:t>
      </w:r>
      <w:r w:rsidRPr="00BA0582">
        <w:rPr>
          <w:rFonts w:cstheme="minorHAnsi"/>
        </w:rPr>
        <w:fldChar w:fldCharType="end"/>
      </w:r>
      <w:r w:rsidRPr="00BA0582">
        <w:rPr>
          <w:rFonts w:cstheme="minorHAnsi"/>
        </w:rPr>
        <w:t xml:space="preserve"> or reaction with Lewis acid/hydridic reagents, proceeding via carbocations. Heterogeneous metal- and metal-oxide catalysts, e.g. Pd-C, Ra-Ni and MoS</w:t>
      </w:r>
      <w:r w:rsidRPr="00BA0582">
        <w:rPr>
          <w:rFonts w:cstheme="minorHAnsi"/>
          <w:vertAlign w:val="subscript"/>
        </w:rPr>
        <w:t>x</w:t>
      </w:r>
      <w:r w:rsidRPr="00BA0582">
        <w:rPr>
          <w:rFonts w:cstheme="minorHAnsi"/>
        </w:rPr>
        <w:t>O</w:t>
      </w:r>
      <w:r w:rsidRPr="00BA0582">
        <w:rPr>
          <w:rFonts w:cstheme="minorHAnsi"/>
          <w:vertAlign w:val="subscript"/>
        </w:rPr>
        <w:t>y</w:t>
      </w:r>
      <w:r w:rsidRPr="00BA0582">
        <w:rPr>
          <w:rFonts w:cstheme="minorHAnsi"/>
        </w:rPr>
        <w:t>, WO</w:t>
      </w:r>
      <w:r w:rsidRPr="00BA0582">
        <w:rPr>
          <w:rFonts w:cstheme="minorHAnsi"/>
          <w:vertAlign w:val="subscript"/>
        </w:rPr>
        <w:t>x</w:t>
      </w:r>
      <w:r w:rsidRPr="00BA0582">
        <w:rPr>
          <w:rFonts w:cstheme="minorHAnsi"/>
        </w:rPr>
        <w:t>, ReO</w:t>
      </w:r>
      <w:r w:rsidRPr="00BA0582">
        <w:rPr>
          <w:rFonts w:cstheme="minorHAnsi"/>
          <w:vertAlign w:val="subscript"/>
        </w:rPr>
        <w:t>x</w:t>
      </w:r>
      <w:r w:rsidRPr="00BA0582">
        <w:rPr>
          <w:rFonts w:cstheme="minorHAnsi"/>
        </w:rPr>
        <w:t xml:space="preserve"> are used industrially for the HDO of unactivated alcohols and phenols,</w:t>
      </w:r>
      <w:r w:rsidRPr="00BA0582">
        <w:rPr>
          <w:rFonts w:cstheme="minorHAnsi"/>
        </w:rPr>
        <w:fldChar w:fldCharType="begin"/>
      </w:r>
      <w:r w:rsidR="0091451B">
        <w:rPr>
          <w:rFonts w:cstheme="minorHAnsi"/>
        </w:rPr>
        <w:instrText xml:space="preserve"> ADDIN ZOTERO_ITEM CSL_CITATION {"citationID":"27mlcms495","properties":{"formattedCitation":"{\\rtf \\super 183\\uc0\\u8211{}185\\nosupersub{}}","plainCitation":"183–185"},"citationItems":[{"id":1799,"uris":["http://zotero.org/users/1624234/items/W8NHSDU6"],"uri":["http://zotero.org/users/1624234/items/W8NHSDU6"],"itemData":{"id":1799,"type":"article-journal","title":"The catalytic activity of Pd/WOx/γ-Al2O3 for hydrodeoxygenation of guaiacol","container-title":"Applied Catalysis B: Environmental","page":"438-445","volume":"150–151","source":"ScienceDirect","abstract":"In this study, Pd/WOx/γ-Al2O3 was examined as a catalyst for the catalytic hydrodeoxygenation (HDO) of guaiacol (2-methoxyphenol), which is a model molecule for the bio-oils derived from lignocellulose biomass. The HDO activity of the catalyst was governed by its surface acidity and the physicochemical state of palladium. The surface acidity of the catalyst was closely related to the surface density of tungstate on the alumina support. The density of the tungstate was the highest (3.7–5.0 W/nm2) when it was mono-layered. The highest HDO activity was obtained with Pd32WA (Pd/WOx/γ-Al2O3 containing 2 wt.% Pd and 32 wt.% W) in which the tungstate formed a near-perfect monolayer on the support and the amount of surface acidity reached the highest. Palladium interacted closely with the tungstate, making the tungsten relatively electron-rich (less electron-deficient) due to the electron transfer from Pd to W. The interaction also caused the perimeter of the palladium particle to become partially decorated with a tungstate overlayer. The palladium species on WOx/Al2O3 was more HDO-active than the palladium species supported on other acidic supports (SiO2/Al2O3) similar to WOx/Al2O3 in surface acidity. The results indicated that the catalysis progressed through a bi-functional mechanism in which the aromatic ring of guaiacol was fully hydrogenated by a Pd species to form 2-methoxycyclohexanol, which was subsequently deoxygenated by the acidic sites on the Pd–WOx surface to generate cyclohexane. When using Pd32WA, we could achieve a 100% guaiacol conversion and an 88% yield of cyclohexane (C1-based) under the given reaction conditions.","DOI":"10.1016/j.apcatb.2013.12.045","ISSN":"0926-3373","journalAbbreviation":"Applied Catalysis B: Environmental","author":[{"family":"Hong","given":"Yoon-Ki"},{"family":"Lee","given":"Dae-Won"},{"family":"Eom","given":"Hee-Jun"},{"family":"Lee","given":"Kwan-Young"}],"issued":{"date-parts":[["2014",5,5]]}}},{"id":40,"uris":["http://zotero.org/users/1624234/items/3HV22FGN"],"uri":["http://zotero.org/users/1624234/items/3HV22FGN"],"itemData":{"id":40,"type":"article-journal","title":"Benzimidazolic complexes of methyltrioxorhenium(VII): Synthesis and application in catalytic olefin epoxidation","container-title":"Journal of Organometallic Chemistry","collection-title":"25th International Conference on Organometallic Chemistry (ICOMC)","page":"132-136","volume":"730","source":"ScienceDirect","abstract":"Seven new Lewis base adducts of methyltrioxorhenium(VII) (MTO) with the general formula CH3ReO3·L (L = bidentate benzimidazolic ligands, namely (L = 2-(2-Pyridinyl)-1H-benzimidazole, 5-methyl-2-(2-pyridyl)benzimidazole, 5-Chloro-2-(2-pyridyl)benzimidazole, 2-(2-Pyridyl)-1H-imidazo-[4,5-b]-pyridine, 2-(2-Quinolyl)benzimidazole, 2-(5-methyl-1H-benzimidazol-2-yl)-quinoline, and 2-(5-chloro-1H-benzimidazol-2-yl)-quinoline)) were prepared. All the complexes were characterized by IR, 1H, 13C NMR, MS and elemental analysis as well as tested as catalysts for olefin epoxidation using 35% aqueous hydrogen peroxide as oxidant under mild condition. The influence of different ligand concentrations was also examined. The results show that the complexes are highly selective in olefin epoxidation and good yields can be obtained when excess ligand is applied.","DOI":"10.1016/j.jorganchem.2012.11.006","ISSN":"0022-328X","shortTitle":"Benzimidazolic complexes of methyltrioxorhenium(VII)","journalAbbreviation":"Journal of Organometallic Chemistry","author":[{"family":"Li","given":"Su"},{"family":"Zhang","given":"Bo"},{"family":"Kühn","given":"Fritz. E."}],"issued":{"date-parts":[["2013"]],"season":"avril"}}},{"id":1796,"uris":["http://zotero.org/users/1624234/items/8AMJCF3V"],"uri":["http://zotero.org/users/1624234/items/8AMJCF3V"],"itemData":{"id":1796,"type":"article-journal","title":"Role of Keto Intermediates in the Hydrodeoxygenation of Phenol over Pd on Oxophilic Supports","container-title":"ACS Catalysis","page":"1318-1329","volume":"5","issue":"2","source":"ACS Publications","abstract":"The performance of Pd catalysts supported on SiO2, Al2O3 and ZrO2 for the hydrodeoxygenation (HDO) of phenol has been compared in the gas phase, at 300 °C and 1 atm using a fixed bed reactor. While Pd supported on SiO2 and Al2O3 exhibits high selectivity to cyclohexanone, when supported on an oxophilic support such as ZrO2, it favors the selectivity toward benzene, reducing the formation of ring-hydrogenated products, cyclohexanone and cyclohexanol. Diffuse reflectance infrared Fourier transform spectroscopy experiments support the participation of a keto-tautomer intermediate (2,4-cyclohexadienone) in the reaction. This intermediate can be hydrogenated in two different pathways. If the ring is hydrogenated, cyclohexanone and cyclohexanol are dominant products, as in the case of Pd/SiO2 and Pd/Al2O3 catalysts. By contrast, if the carbonyl group of the keto-intermediate tautomer is hydrogenated, benzene is directly formed via rapid dehydration of the unstable cyclohexadienol intermediate. This is observed in the case of Pd/ZrO2 catalyst. These results demonstrate that the selectivity for HDO of phenol can be controlled by using supports of varying oxophilicity.","DOI":"10.1021/cs501853t","journalAbbreviation":"ACS Catal.","author":[{"family":"Souza","given":"Priscilla M.","non-dropping-particle":"de"},{"family":"Rabelo-Neto","given":"Raimundo C."},{"family":"Borges","given":"Luiz E. P."},{"family":"Jacobs","given":"Gary"},{"family":"Davis","given":"Burtron H."},{"family":"Sooknoi","given":"Tawan"},{"family":"Resasco","given":"Daniel E."},{"family":"Noronha","given":"Fabio B."}],"issued":{"date-parts":[["2015",2,6]]}}}],"schema":"https://github.com/citation-style-language/schema/raw/master/csl-citation.json"} </w:instrText>
      </w:r>
      <w:r w:rsidRPr="00BA0582">
        <w:rPr>
          <w:rFonts w:cstheme="minorHAnsi"/>
        </w:rPr>
        <w:fldChar w:fldCharType="separate"/>
      </w:r>
      <w:r w:rsidR="0091451B" w:rsidRPr="0091451B">
        <w:rPr>
          <w:rFonts w:ascii="Times New Roman" w:hAnsi="Times New Roman"/>
          <w:vertAlign w:val="superscript"/>
        </w:rPr>
        <w:t>183–185</w:t>
      </w:r>
      <w:r w:rsidRPr="00BA0582">
        <w:rPr>
          <w:rFonts w:cstheme="minorHAnsi"/>
        </w:rPr>
        <w:fldChar w:fldCharType="end"/>
      </w:r>
      <w:r w:rsidRPr="00BA0582">
        <w:rPr>
          <w:rFonts w:cstheme="minorHAnsi"/>
        </w:rPr>
        <w:t xml:space="preserve"> but these reactions require severe conditions and often have limited product selectivity.</w:t>
      </w:r>
      <w:r w:rsidRPr="00BA0582">
        <w:rPr>
          <w:rFonts w:cstheme="minorHAnsi"/>
        </w:rPr>
        <w:fldChar w:fldCharType="begin"/>
      </w:r>
      <w:r w:rsidR="0091451B">
        <w:rPr>
          <w:rFonts w:cstheme="minorHAnsi"/>
        </w:rPr>
        <w:instrText xml:space="preserve"> ADDIN ZOTERO_ITEM CSL_CITATION {"citationID":"i8KRyLy2","properties":{"formattedCitation":"{\\rtf \\super 186\\uc0\\u8211{}188\\nosupersub{}}","plainCitation":"186–188"},"citationItems":[{"id":1827,"uris":["http://zotero.org/users/1624234/items/AQ74A7FC"],"uri":["http://zotero.org/users/1624234/items/AQ74A7FC"],"itemData":{"id":1827,"type":"article-journal","title":"Glycerol hydrogenolysis into propanediols using in situ generated hydrogen – A critical review","container-title":"European Journal of Lipid Science and Technology","page":"9-27","volume":"115","issue":"1","source":"Wiley Online Library","abstract":"The rise in chemical transesterification of plant triglycerides towards biodiesel is unbowed and thus the available amount of glycerol is still increasing. The produced amount overruns the chemically used portion. Various ways to convert glycerol have been shown recently to yield attractive intermediates and final products. One of the options of future chemical utilisation of glycerol might be its conversion to propanediols (1,2-PDO (propylene glycol), 1,3-PDO (trimethylene glycol)) by hydrogenolysis. 1,2-PDO finds various applications in chemical industries; 1,3-PDO is mainly used for the manufacture of polymers. A synthesis route via glycerol might substitute present industrial syntheses using for example propylene oxide. Such an alternative synthesis route might run in the presence of externally fed hydrogen or by use of in situ generated hydrogen that can be supplied for example by glycerol aqueous phase reforming (APR) and/or catalytic transfer hydrogenation (CTH) using hydrogen donor molecules. A very attractive approach seems to be the use of formic acid as hydrogen donor for CTH because only carbon dioxide is liberated as a by-product. This paper summarises most significant reports of the last decade, dealing with the production of PDOs via glycerol hydrogenolysis by in situ generated hydrogen.","DOI":"10.1002/ejlt.201200207","ISSN":"1438-9312","journalAbbreviation":"Eur. J. Lipid Sci. Technol.","language":"en","author":[{"family":"Martin","given":"Andreas"},{"family":"Armbruster","given":"Udo"},{"family":"Gandarias","given":"Inaki"},{"family":"Arias","given":"Pedro Luis"}],"issued":{"date-parts":[["2013",1,1]]}}},{"id":184,"uris":["http://zotero.org/users/1624234/items/C9V4D8I9"],"uri":["http://zotero.org/users/1624234/items/C9V4D8I9"],"itemData":{"id":184,"type":"chapter","title":"Selective Hydrogenolysis of C–O Bonds Using the Interaction of the Catalyst Surface and OH Groups","container-title":"Selective Catalysis for Renewable Feedstocks and Chemicals","collection-title":"Topics in Current Chemistry","collection-number":"353","publisher":"Springer International Publishing","page":"127-162","source":"link.springer.com","abstract":"Hydrogenolysis of C–O bonds is becoming more and more important for the production of biomass-derived chemicals. Since substrates originated from biomass usually have high oxygen content and various kinds of C–O bonds, selective hydrogenolysis is required. Rhenium or molybdenum oxide modified rhodium and iridium metal catalysts (Rh-ReO x , Rh-MoO x , and Ir-ReO x ) have been reported to be effective for selective hydrogenolysis. This review introduces the catalytic performance and reaction kinetics of Rh-ReO x , Rh-MoO x , and Ir-ReO x in the hydrogenolysis of various substrates, where selectivity is especially characteristic. Based the model structure of the catalysts and the reaction mechanism, the role of the oxide components is to make the interaction between the OH groups in the substrates and the catalyst surface, and the role of metal components is to dissociate hydrogen molecule heterolytically to give hydride and proton.","URL":"http://link.springer.com/chapter/10.1007/128_2014_538","ISBN":"978-3-319-08653-8","language":"en","author":[{"family":"Tomishige","given":"Keiichi"},{"family":"Nakagawa","given":"Yoshinao"},{"family":"Tamura","given":"Masazumi"}],"editor":[{"family":"Nicholas","given":"Kenneth M."}],"issued":{"date-parts":[["2014",1,1]]},"accessed":{"date-parts":[["2014",12,14]]}}},{"id":2012,"uris":["http://zotero.org/users/1624234/items/6NKH4IQK"],"uri":["http://zotero.org/users/1624234/items/6NKH4IQK"],"itemData":{"id":2012,"type":"article-journal","title":"Catalytic materials for the hydrogenolysis of glycerol to 1,3-propanediol","container-title":"Journal of Materials Chemistry A","page":"6688-6702","volume":"2","issue":"19","source":"pubs.rsc.org","abstract":"Recent progress in catalyst development for glycerol hydrogenolysis into 1,3-propanediol is reviewed. Unmodified conventional catalysts produce 1,2-propanediol as the main product instead of 1,3-propanediol. Most effective catalysts use noble metal as a center for hydrogen activation and tungsten or rhenium as an additive. Pt–WO3 catalysts on Al-based supports and Ir–ReOx/SiO2 catalysts are especially effective in 1,3-propanediol production among the reported materials. Characterization results and proposed reaction mechanisms are also summarized.","DOI":"10.1039/C3TA15384C","ISSN":"2050-7496","journalAbbreviation":"J. Mater. Chem. A","language":"en","author":[{"family":"Nakagawa","given":"Yoshinao"},{"family":"Tamura","given":"Masazumi"},{"family":"Tomishige","given":"Keiichi"}],"issued":{"date-parts":[["2014",4,15]]}}}],"schema":"https://github.com/citation-style-language/schema/raw/master/csl-citation.json"} </w:instrText>
      </w:r>
      <w:r w:rsidRPr="00BA0582">
        <w:rPr>
          <w:rFonts w:cstheme="minorHAnsi"/>
        </w:rPr>
        <w:fldChar w:fldCharType="separate"/>
      </w:r>
      <w:r w:rsidR="0091451B" w:rsidRPr="0091451B">
        <w:rPr>
          <w:rFonts w:ascii="Times New Roman" w:hAnsi="Times New Roman"/>
          <w:vertAlign w:val="superscript"/>
        </w:rPr>
        <w:t>186–188</w:t>
      </w:r>
      <w:r w:rsidRPr="00BA0582">
        <w:rPr>
          <w:rFonts w:cstheme="minorHAnsi"/>
        </w:rPr>
        <w:fldChar w:fldCharType="end"/>
      </w:r>
      <w:r w:rsidRPr="00BA0582">
        <w:rPr>
          <w:rFonts w:cstheme="minorHAnsi"/>
        </w:rPr>
        <w:t xml:space="preserve"> The homogeneously catalyzed HDO of alcohols is rather little known, but terminal glycols have been converted to terminal alcohols with modest selectivity by low valent Ru-complexes.</w:t>
      </w:r>
      <w:r w:rsidRPr="00BA0582">
        <w:rPr>
          <w:rFonts w:cstheme="minorHAnsi"/>
        </w:rPr>
        <w:fldChar w:fldCharType="begin"/>
      </w:r>
      <w:r w:rsidR="0091451B">
        <w:rPr>
          <w:rFonts w:cstheme="minorHAnsi"/>
        </w:rPr>
        <w:instrText xml:space="preserve"> ADDIN ZOTERO_ITEM CSL_CITATION {"citationID":"1daoor25j3","properties":{"formattedCitation":"{\\rtf \\super 13,189\\nosupersub{}}","plainCitation":"13,189"},"citationItems":[{"id":329,"uris":["http://zotero.org/users/1624234/items/N8DRCQNF"],"uri":["http://zotero.org/users/1624234/items/N8DRCQNF"],"itemData":{"id":329,"type":"article-journal","title":"Catalytic Deoxygenation of 1,2-Propanediol to Give n-Propanol","container-title":"Advanced Synthesis &amp; Catalysis","page":"789-800","volume":"351","issue":"5","source":"Wiley Online Library","abstract":"Deoxygenation of 1,2-propanediol (1.0 M in sulfolane) catalyzed by bis(dicarbonyl)(μ-hydrido)(pentamethylcyclopentadiene)ruthenium trifluoromethanesulfonate ({[Cp*Ru(CO)2]2(μ-H)}+OTf−) (0.5 mol%) at 110 °C under hydrogen (750 psi) in the presence of trifluoromethanesulfonic acid (HOTf) (60 mM) gives n-propanol as the major product, indicating high selectivity for deoxygenation of the internal hydroxy group over the terminal hydroxy group of the diol. The deoxygenation of 1,2-propanediol is strongly influenced by the concentration of acid, giving faster rates and proceeding to higher conversions as the concentration of HOTf is increased. Propionaldehyde was observed as an intermediate, being formed through acid-catalyzed dehydration of 1,2-propanediol. This aldehyde is hydrogenated to n-propanol through an ionic pathway involving protonation of the aldehyde, followed by hydride transfer from the neutral hydride, dicarbonyl(pentamethylcyclopentadiene)ruthenium hydride [Cp*Ru(CO)2H]. The proposed mechanism for the deoxygenation/hydrogenation reaction involves formation of a highly acidic dihydrogen complex [Cp*Ru(CO)2(η2-H2)]+ OTf−.","DOI":"10.1002/adsc.200800685","ISSN":"1615-4169","journalAbbreviation":"Adv. Synth. Catal.","language":"en","author":[{"family":"Schlaf","given":"Marcel"},{"family":"Ghosh","given":"Prasenjit"},{"family":"Fagan","given":"Paul J."},{"family":"Hauptman","given":"Elisabeth"},{"family":"Bullock","given":"R. Morris"}],"issued":{"date-parts":[["2009"]]}}},{"id":1998,"uris":["http://zotero.org/users/1624234/items/TG5JM5VA"],"uri":["http://zotero.org/users/1624234/items/TG5JM5VA"],"itemData":{"id":1998,"type":"article-journal","title":"Ruthenium (II) sulfoxides-catalyzed hydrogenolysis of glycols and epoxides","container-title":"Journal of Molecular Catalysis A: Chemical","page":"460-464","volume":"363–364","source":"ScienceDirect","abstract":"New selective deoxygenation reactions are needed for the efficient conversion of biomass-derived oxygenates to useful chemicals, including fuels. A new catalytic system is reported here for the selective hydrogenolysis of glycols to hydrocarbons. We find that cis-[RuCl2(sulfoxide)4] {sulfoxides: TMSO = tetramethylene sulfoxide; DMSO = dimethyl sulfoxide} catalyze the hydrogenolysis of glycols to alcohols and hydrocarbons by molecular hydrogen at 190–200 °C and 6.8–26 atm; the product yields range from moderate to excellent. The acid generated by catalysts in situ serves the purpose of dehydration step, hence added Bronstead acid as co-catalyst is not a prerequisite. Under similar conditions epoxides are converted primarily to mono-alcohols and hydrocarbons.","DOI":"10.1016/j.molcata.2012.07.025","ISSN":"1381-1169","journalAbbreviation":"Journal of Molecular Catalysis A: Chemical","author":[{"family":"Murru","given":"Siva"},{"family":"Nicholas","given":"Kenneth M."},{"family":"Srivastava","given":"Radhey S."}],"issued":{"date-parts":[["2012",11]]}}}],"schema":"https://github.com/citation-style-language/schema/raw/master/csl-citation.json"} </w:instrText>
      </w:r>
      <w:r w:rsidRPr="00BA0582">
        <w:rPr>
          <w:rFonts w:cstheme="minorHAnsi"/>
        </w:rPr>
        <w:fldChar w:fldCharType="separate"/>
      </w:r>
      <w:r w:rsidR="0091451B" w:rsidRPr="0091451B">
        <w:rPr>
          <w:rFonts w:ascii="Times New Roman" w:hAnsi="Times New Roman"/>
          <w:vertAlign w:val="superscript"/>
        </w:rPr>
        <w:t>13,189</w:t>
      </w:r>
      <w:r w:rsidRPr="00BA0582">
        <w:rPr>
          <w:rFonts w:cstheme="minorHAnsi"/>
        </w:rPr>
        <w:fldChar w:fldCharType="end"/>
      </w:r>
      <w:r w:rsidRPr="00BA0582">
        <w:rPr>
          <w:rFonts w:cstheme="minorHAnsi"/>
        </w:rPr>
        <w:t xml:space="preserve"> Recently, the selective HDO of aryl ethers</w:t>
      </w:r>
      <w:r w:rsidRPr="00BA0582">
        <w:rPr>
          <w:rFonts w:cstheme="minorHAnsi"/>
        </w:rPr>
        <w:fldChar w:fldCharType="begin"/>
      </w:r>
      <w:r w:rsidR="0091451B">
        <w:rPr>
          <w:rFonts w:cstheme="minorHAnsi"/>
        </w:rPr>
        <w:instrText xml:space="preserve"> ADDIN ZOTERO_ITEM CSL_CITATION {"citationID":"138202ss7a","properties":{"formattedCitation":"{\\rtf \\super 190\\nosupersub{}}","plainCitation":"190"},"citationItems":[{"id":1825,"uris":["http://zotero.org/users/1624234/items/AW67DTSG"],"uri":["http://zotero.org/users/1624234/items/AW67DTSG"],"itemData":{"id":1825,"type":"article-journal","title":"A Heterogeneous Nickel Catalyst for the Hydrogenolysis of Aryl Ethers without Arene Hydrogenation","container-title":"Journal of the American Chemical Society","page":"20226-20229","volume":"134","issue":"50","source":"ACS Publications","abstract":"A heterogeneous nickel catalyst for the selective hydrogenolysis of aryl ethers to arenes and alcohols generated without an added dative ligand is described. The catalyst is formed in situ from the well-defined soluble nickel precursor Ni(COD)2 or Ni(CH2TMS)2(TMEDA) in the presence of a base additive, such as tBuONa. The catalyst selectively cleaves CAr–O bonds in aryl ether models of lignin without hydrogenation of aromatic rings, and it operates at loadings down to 0.25 mol % at 1 bar of H2 pressure. The selectivity of this catalyst for electronically varied aryl ethers differs from that of the homogeneous catalyst reported previously, implying that the two catalysts are distinct from each other.","DOI":"10.1021/ja3085912","ISSN":"0002-7863","journalAbbreviation":"J. Am. Chem. Soc.","author":[{"family":"Sergeev","given":"Alexey G."},{"family":"Webb","given":"Jonathan D."},{"family":"Hartwig","given":"John F."}],"issued":{"date-parts":[["2012",12,19]]}}}],"schema":"https://github.com/citation-style-language/schema/raw/master/csl-citation.json"} </w:instrText>
      </w:r>
      <w:r w:rsidRPr="00BA0582">
        <w:rPr>
          <w:rFonts w:cstheme="minorHAnsi"/>
        </w:rPr>
        <w:fldChar w:fldCharType="separate"/>
      </w:r>
      <w:r w:rsidR="0091451B" w:rsidRPr="0091451B">
        <w:rPr>
          <w:rFonts w:ascii="Times New Roman" w:hAnsi="Times New Roman"/>
          <w:vertAlign w:val="superscript"/>
        </w:rPr>
        <w:t>190</w:t>
      </w:r>
      <w:r w:rsidRPr="00BA0582">
        <w:rPr>
          <w:rFonts w:cstheme="minorHAnsi"/>
        </w:rPr>
        <w:fldChar w:fldCharType="end"/>
      </w:r>
      <w:r w:rsidRPr="00BA0582">
        <w:rPr>
          <w:rFonts w:cstheme="minorHAnsi"/>
        </w:rPr>
        <w:t xml:space="preserve"> and phenols,</w:t>
      </w:r>
      <w:r w:rsidRPr="00BA0582">
        <w:rPr>
          <w:rFonts w:cstheme="minorHAnsi"/>
        </w:rPr>
        <w:fldChar w:fldCharType="begin"/>
      </w:r>
      <w:r w:rsidR="0091451B">
        <w:rPr>
          <w:rFonts w:cstheme="minorHAnsi"/>
        </w:rPr>
        <w:instrText xml:space="preserve"> ADDIN ZOTERO_ITEM CSL_CITATION {"citationID":"jonfht1le","properties":{"formattedCitation":"{\\rtf \\super 191\\nosupersub{}}","plainCitation":"191"},"citationItems":[{"id":2001,"uris":["http://zotero.org/users/1624234/items/4WHEH2GG"],"uri":["http://zotero.org/users/1624234/items/4WHEH2GG"],"itemData":{"id":2001,"type":"article-journal","title":"Direct and selective hydrogenolysis of arenols and aryl methyl ethers","container-title":"Nature Communications","page":"6296","volume":"6","source":"www.nature.com","abstract":"For valorization of biomass, the conversion of lignin to deoxygenated bulk aromatic compounds is an emerging subject of interest. Because aromatic rings are susceptible to metal-catalysed hydrogenation, the selective hydrogenolysis of carbon–oxygen bonds still remains a great challenge. Herein we report direct and selective hydrogenolysis of sp2 C–OH bonds in substituted phenols and naphthols catalysed by hydroxycyclopentadienyl iridium complexes. The corresponding arenes were obtained in up to 99% yields, indicating the possible production of arenes from lignin-derived bio-oils. Furthermore, the same catalysts were applied to the unprecedented selective hydrogenolysis of the sp3 C–O bonds in aryl methyl ethers. Thus, the hydrodeoxygenation of ​vanillylacetone, a lignin model compound, afforded alkylbenzenes as the major products via triple deoxygenation.\nView full text","DOI":"10.1038/ncomms7296","journalAbbreviation":"Nat Commun","language":"en","author":[{"family":"Kusumoto","given":"Shuhei"},{"family":"Nozaki","given":"Kyoko"}],"issued":{"date-parts":[["2015",2,23]]}}}],"schema":"https://github.com/citation-style-language/schema/raw/master/csl-citation.json"} </w:instrText>
      </w:r>
      <w:r w:rsidRPr="00BA0582">
        <w:rPr>
          <w:rFonts w:cstheme="minorHAnsi"/>
        </w:rPr>
        <w:fldChar w:fldCharType="separate"/>
      </w:r>
      <w:r w:rsidR="0091451B" w:rsidRPr="0091451B">
        <w:rPr>
          <w:rFonts w:ascii="Times New Roman" w:hAnsi="Times New Roman"/>
          <w:vertAlign w:val="superscript"/>
        </w:rPr>
        <w:t>191</w:t>
      </w:r>
      <w:r w:rsidRPr="00BA0582">
        <w:rPr>
          <w:rFonts w:cstheme="minorHAnsi"/>
        </w:rPr>
        <w:fldChar w:fldCharType="end"/>
      </w:r>
      <w:r w:rsidRPr="00BA0582">
        <w:rPr>
          <w:rFonts w:cstheme="minorHAnsi"/>
        </w:rPr>
        <w:t xml:space="preserve"> having strong Csp</w:t>
      </w:r>
      <w:r w:rsidRPr="00BA0582">
        <w:rPr>
          <w:rFonts w:cstheme="minorHAnsi"/>
          <w:vertAlign w:val="superscript"/>
        </w:rPr>
        <w:t>2</w:t>
      </w:r>
      <w:r w:rsidRPr="00BA0582">
        <w:rPr>
          <w:rFonts w:cstheme="minorHAnsi"/>
        </w:rPr>
        <w:t xml:space="preserve">-O bonds, has been disclosed, catalyzed by nickel and iridium complexes. </w:t>
      </w:r>
    </w:p>
    <w:p w14:paraId="778298EB" w14:textId="77777777" w:rsidR="000351A7" w:rsidRDefault="00BA0582" w:rsidP="000351A7">
      <w:pPr>
        <w:keepNext/>
        <w:jc w:val="center"/>
      </w:pPr>
      <w:r w:rsidRPr="00BA0582">
        <w:rPr>
          <w:rFonts w:cstheme="minorHAnsi"/>
        </w:rPr>
        <w:object w:dxaOrig="5320" w:dyaOrig="1640" w14:anchorId="167D567F">
          <v:shape id="_x0000_i1195" type="#_x0000_t75" style="width:267.45pt;height:82.3pt" o:ole="">
            <v:imagedata r:id="rId459" o:title=""/>
          </v:shape>
          <o:OLEObject Type="Embed" ProgID="ChemDraw.Document.6.0" ShapeID="_x0000_i1195" DrawAspect="Content" ObjectID="_1532785016" r:id="rId460"/>
        </w:object>
      </w:r>
    </w:p>
    <w:p w14:paraId="68315738" w14:textId="77777777" w:rsidR="00BA0582" w:rsidRPr="000351A7" w:rsidRDefault="000351A7" w:rsidP="00497A22">
      <w:pPr>
        <w:pStyle w:val="Caption"/>
        <w:rPr>
          <w:rFonts w:cstheme="minorHAnsi"/>
        </w:rPr>
      </w:pPr>
      <w:bookmarkStart w:id="409" w:name="_Ref457464865"/>
      <w:bookmarkStart w:id="410" w:name="_Toc457670785"/>
      <w:r>
        <w:t xml:space="preserve">Figure </w:t>
      </w:r>
      <w:r w:rsidR="00443010">
        <w:fldChar w:fldCharType="begin"/>
      </w:r>
      <w:r w:rsidR="00443010">
        <w:instrText xml:space="preserve"> STYLEREF 1 \s </w:instrText>
      </w:r>
      <w:r w:rsidR="00443010">
        <w:fldChar w:fldCharType="separate"/>
      </w:r>
      <w:r w:rsidR="000A0E3D">
        <w:rPr>
          <w:noProof/>
        </w:rPr>
        <w:t>IV</w:t>
      </w:r>
      <w:r w:rsidR="00443010">
        <w:rPr>
          <w:noProof/>
        </w:rPr>
        <w:fldChar w:fldCharType="end"/>
      </w:r>
      <w:r w:rsidR="00573BBE">
        <w:t>.</w:t>
      </w:r>
      <w:r w:rsidR="00443010">
        <w:fldChar w:fldCharType="begin"/>
      </w:r>
      <w:r w:rsidR="00443010">
        <w:instrText xml:space="preserve"> SEQ Figure \* ARABIC \s 1 </w:instrText>
      </w:r>
      <w:r w:rsidR="00443010">
        <w:fldChar w:fldCharType="separate"/>
      </w:r>
      <w:r w:rsidR="000A0E3D">
        <w:rPr>
          <w:noProof/>
        </w:rPr>
        <w:t>1</w:t>
      </w:r>
      <w:r w:rsidR="00443010">
        <w:rPr>
          <w:noProof/>
        </w:rPr>
        <w:fldChar w:fldCharType="end"/>
      </w:r>
      <w:bookmarkEnd w:id="409"/>
      <w:r w:rsidR="00BA0582" w:rsidRPr="00BA0582">
        <w:rPr>
          <w:rFonts w:cstheme="minorHAnsi"/>
          <w:b w:val="0"/>
        </w:rPr>
        <w:t xml:space="preserve"> </w:t>
      </w:r>
      <w:r w:rsidR="00BA0582" w:rsidRPr="000351A7">
        <w:rPr>
          <w:rFonts w:cstheme="minorHAnsi"/>
        </w:rPr>
        <w:t>Hydrodeoxygenation (HDO) and Deoxydehydration (DODH) of alcohols</w:t>
      </w:r>
      <w:bookmarkEnd w:id="410"/>
    </w:p>
    <w:p w14:paraId="47EBF641" w14:textId="77777777" w:rsidR="00BA0582" w:rsidRPr="00BA0582" w:rsidRDefault="00BA0582" w:rsidP="00BA0582">
      <w:pPr>
        <w:jc w:val="center"/>
        <w:rPr>
          <w:rFonts w:cstheme="minorHAnsi"/>
          <w:b/>
        </w:rPr>
      </w:pPr>
    </w:p>
    <w:p w14:paraId="4252FF91" w14:textId="4B79A452" w:rsidR="00BA0582" w:rsidRPr="00BA0582" w:rsidRDefault="00BA0582" w:rsidP="00BA0582">
      <w:pPr>
        <w:ind w:firstLine="360"/>
        <w:jc w:val="both"/>
        <w:rPr>
          <w:rFonts w:cstheme="minorHAnsi"/>
        </w:rPr>
      </w:pPr>
      <w:r w:rsidRPr="00BA0582">
        <w:rPr>
          <w:rFonts w:cstheme="minorHAnsi"/>
        </w:rPr>
        <w:t xml:space="preserve">Oxo-metal complexes </w:t>
      </w:r>
      <w:r w:rsidR="00EB759E">
        <w:rPr>
          <w:rFonts w:cstheme="minorHAnsi"/>
        </w:rPr>
        <w:t>have been</w:t>
      </w:r>
      <w:r w:rsidRPr="00BA0582">
        <w:rPr>
          <w:rFonts w:cstheme="minorHAnsi"/>
        </w:rPr>
        <w:t xml:space="preserve"> used in catalytic dehydration,</w:t>
      </w:r>
      <w:r w:rsidRPr="00BA0582">
        <w:rPr>
          <w:rFonts w:cstheme="minorHAnsi"/>
        </w:rPr>
        <w:fldChar w:fldCharType="begin"/>
      </w:r>
      <w:r w:rsidR="0091451B">
        <w:rPr>
          <w:rFonts w:cstheme="minorHAnsi"/>
        </w:rPr>
        <w:instrText xml:space="preserve"> ADDIN ZOTERO_ITEM CSL_CITATION {"citationID":"1b8700pto","properties":{"formattedCitation":"{\\rtf \\super 192,193\\nosupersub{}}","plainCitation":"192,193"},"citationItems":[{"id":1943,"uris":["http://zotero.org/users/1624234/items/Q73DU9Z7"],"uri":["http://zotero.org/users/1624234/items/Q73DU9Z7"],"itemData":{"id":1943,"type":"article-journal","title":"Organic Reactions Catalyzed by Methylrhenium Trioxide:  Dehydration, Amination, and Disproportionation of Alcohols","container-title":"The Journal of Organic Chemistry","page":"324-328","volume":"61","issue":"1","source":"ACS Publications","abstract":"Methylrhenium trioxide (MTO) is the first transition metal complex in trace quantity to catalyze the direct formation of ethers from alcohols. The reactions are independent of the solvents used:  benzene, toluene, dichloromethane, chloroform, acetone, and in the alcohols themselves. Aromatic alcohols gave better yields than aliphatic. Reactions between two different alcohols could also be used to prepare unsymmetric ethers, the best yields being obtained when one of the alcohols is aromatic. MTO also catalyzes the dehydration of alcohols to form olefins at room temperature, aromatic alcohols proceeding in better yield. When primary (secondary) amines were used as the limiting reagent, direct amination of alcohols catalyzed by MTO gave good yields of the expected secondary (tertiary) amines at room temperature. Disproportionation of alcohols to alkanes and carbonyl compounds was also observed for aromatic alcohols in the presence of MTO. On the basis of the results of this investigation and a comparison with the interaction between MTO and water, a concerted process and a mechanism involving carbocation intermediates have been suggested.","DOI":"10.1021/jo951613a","ISSN":"0022-3263","shortTitle":"Organic Reactions Catalyzed by Methylrhenium Trioxide","journalAbbreviation":"J. Org. Chem.","author":[{"family":"Zhu","given":"Zuolin"},{"family":"Espenson","given":"James H."}],"issued":{"date-parts":[["1996",1,1]]}}},{"id":1803,"uris":["http://zotero.org/users/1624234/items/EZMVINHD"],"uri":["http://zotero.org/users/1624234/items/EZMVINHD"],"itemData":{"id":1803,"type":"article-journal","title":"Mechanistic Insights into the Rhenium-Catalyzed Alcohol-To-Olefin Dehydration Reaction","container-title":"Chemistry – A European Journal","page":"13224-13234","volume":"19","issue":"39","source":"Wiley Online Library","abstract":"Rhenium-based complexes are powerful catalysts for the dehydration of various alcohols to the corresponding olefins. Here, we report on both experimental and theoretical (DFT) studies into the mechanism of the rhenium-catalyzed dehydration of alcohols to olefins in general, and the methyltrioxorhenium-catalyzed dehydration of 1-phenylethanol to styrene in particular. The experimental and theoretical studies are in good agreement, both showing the involvement of several proton transfers, and of a carbenium ion intermediate in the catalytic cycle.","DOI":"10.1002/chem.201300209","ISSN":"1521-3765","journalAbbreviation":"Chem. Eur. J.","language":"en","author":[{"family":"Korstanje","given":"Ties J."},{"family":"Jastrzebski","given":"Johann T. B. H."},{"family":"Klein Gebbink","given":"Robertus J. M."}],"issued":{"date-parts":[["2013",9,23]]}}}],"schema":"https://github.com/citation-style-language/schema/raw/master/csl-citation.json"} </w:instrText>
      </w:r>
      <w:r w:rsidRPr="00BA0582">
        <w:rPr>
          <w:rFonts w:cstheme="minorHAnsi"/>
        </w:rPr>
        <w:fldChar w:fldCharType="separate"/>
      </w:r>
      <w:r w:rsidR="0091451B" w:rsidRPr="0091451B">
        <w:rPr>
          <w:rFonts w:ascii="Times New Roman" w:hAnsi="Times New Roman"/>
          <w:vertAlign w:val="superscript"/>
        </w:rPr>
        <w:t>192,193</w:t>
      </w:r>
      <w:r w:rsidRPr="00BA0582">
        <w:rPr>
          <w:rFonts w:cstheme="minorHAnsi"/>
        </w:rPr>
        <w:fldChar w:fldCharType="end"/>
      </w:r>
      <w:r w:rsidRPr="00BA0582">
        <w:rPr>
          <w:rFonts w:cstheme="minorHAnsi"/>
        </w:rPr>
        <w:t xml:space="preserve"> deoxydehydration,</w:t>
      </w:r>
      <w:r w:rsidRPr="00BA0582">
        <w:rPr>
          <w:rFonts w:cstheme="minorHAnsi"/>
        </w:rPr>
        <w:fldChar w:fldCharType="begin"/>
      </w:r>
      <w:r w:rsidR="0091451B">
        <w:rPr>
          <w:rFonts w:cstheme="minorHAnsi"/>
        </w:rPr>
        <w:instrText xml:space="preserve"> ADDIN ZOTERO_ITEM CSL_CITATION {"citationID":"11igu2qbqn","properties":{"formattedCitation":"{\\rtf \\super 15\\nosupersub{}}","plainCitation":"15"},"citationItems":[{"id":71,"uris":["http://zotero.org/users/1624234/items/5JCZJKF9"],"uri":["http://zotero.org/users/1624234/items/5JCZJKF9"],"itemData":{"id":71,"type":"chapter","title":"Deoxydehydration of Polyols","container-title":"Selective Catalysis for Renewable Feedstocks and Chemicals","collection-title":"Topics in Current Chemistry","collection-number":"353","publisher":"Springer International Publishing","page":"163-184","source":"link.springer.com","abstract":"The development of sustainable chemical processes for the conversion of highly oxygenated biomass feedstocks to chemical products requires efficient and selective processes for partial oxygen removal and refunctionalization. Here we review the development of the deoxydehydration (DODH) reaction, which converts vicinal diols (glycols) to olefins. Uncatalyzed deoxygenative eliminations were first established. The catalyzed DODH reactions have largely employed oxo-rhenium catalysts and a variety of reductants, including PR3, dihydrogen, sulfite, and alcohols. A variety of glycol and biomass-derived polyol substrates undergo the DODH reaction in moderate to good efficiency, regioselectively, and stereoselectively. Observations regarding selectivity, mechanistic probes, and computational studies support the general operation of a catalytic process involving three basic stages: glycol condensation to an M-glycolate, reduction of the oxo-metal, glycol condensation to produce a metal-glycolate, and alkene extrusion from the reduced metal-glycolate. Recent practical developments include the discovery of non-precious V- and Mo-oxo DODH catalysis.","URL":"http://link.springer.com/chapter/10.1007/128_2014_537","ISBN":"978-3-319-08653-8","language":"en","author":[{"family":"Boucher-Jacobs","given":"Camille"},{"family":"Nicholas","given":"Kenneth M."}],"editor":[{"family":"Nicholas","given":"Kenneth M."}],"issued":{"date-parts":[["2014",1,1]]},"accessed":{"date-parts":[["2014",10,31]]}}}],"schema":"https://github.com/citation-style-language/schema/raw/master/csl-citation.json"} </w:instrText>
      </w:r>
      <w:r w:rsidRPr="00BA0582">
        <w:rPr>
          <w:rFonts w:cstheme="minorHAnsi"/>
        </w:rPr>
        <w:fldChar w:fldCharType="separate"/>
      </w:r>
      <w:r w:rsidR="0091451B" w:rsidRPr="0091451B">
        <w:rPr>
          <w:rFonts w:ascii="Times New Roman" w:hAnsi="Times New Roman"/>
          <w:vertAlign w:val="superscript"/>
        </w:rPr>
        <w:t>15</w:t>
      </w:r>
      <w:r w:rsidRPr="00BA0582">
        <w:rPr>
          <w:rFonts w:cstheme="minorHAnsi"/>
        </w:rPr>
        <w:fldChar w:fldCharType="end"/>
      </w:r>
      <w:r w:rsidRPr="00BA0582">
        <w:rPr>
          <w:rFonts w:cstheme="minorHAnsi"/>
        </w:rPr>
        <w:t xml:space="preserve"> and oxidation</w:t>
      </w:r>
      <w:r w:rsidRPr="00BA0582">
        <w:rPr>
          <w:rFonts w:cstheme="minorHAnsi"/>
        </w:rPr>
        <w:fldChar w:fldCharType="begin"/>
      </w:r>
      <w:r w:rsidR="0091451B">
        <w:rPr>
          <w:rFonts w:cstheme="minorHAnsi"/>
        </w:rPr>
        <w:instrText xml:space="preserve"> ADDIN ZOTERO_ITEM CSL_CITATION {"citationID":"25usj11vjr","properties":{"formattedCitation":"{\\rtf \\super 194,195\\nosupersub{}}","plainCitation":"194,195"},"citationItems":[{"id":1894,"uris":["http://zotero.org/users/1624234/items/RPT77XXX"],"uri":["http://zotero.org/users/1624234/items/RPT77XXX"],"itemData":{"id":1894,"type":"chapter","title":"The Oxidation of Alcohols by Modified Oxochromium(VI)–Amine Reagents","container-title":"Organic Reactions","publisher":"John Wiley &amp; Sons, Inc.","source":"Wiley Online Library","abstract":"The development of oxochromium(VI)-amine reagents as oxidants in organic synthesis has evolved since the early studies of Sisler which described the use of adducts of heterocyclic nitrogen bases and chromium(VI) oxide. The later work of Sarrett and coworkers in steroid synthesis soon established the utility of chromium(VI) oxide-pyridine adducts as the first selective oxochromium(VI)-amine reagents. Several modifications of the Sarrett oxidation followed. The present concern with the toxicity and environmental implications of oxochromium(VI) has provided encouragement for the study and use of catalytic oxochromium reagents in conjunction with stoichiometric co-oxidants such as peroxides. Such technology is welcome, particularly when applied to the large-scale preparations found in industry where the disposal of byproducts is a constant problem. Modified oxochromium(VI)-amine reagents on polymer supports have been prepared and examined with the objective of providing a regenerable reagent system which is serviceable on a practical scale. A significant improvement in routine oxidations utilizing PCC and PDC entails the addition of adsorbents such as Celite®, alumina, silica gel, molecular sieves, or zeolites. The distinct advantages associated with the use of adsorbents in oxochromium(VI)-amine-mediated oxidations are discussed. The importance of buffers and desiccants in oxochromium(VI) oxidations is discussed. Virtually any number of oxochromium(VI)-amine reagents may be prepared by varying the amine ligand and/or acid species associated with oxochromium(VI), and many of these compounds have been tested using simple substrate alcohols for oxidation to carbonyl compounds. The search for a milder and more efficient oxidant than the Sarrett-type oxochromium(VI) reagent systems as well as the nonchromium oxidants based on dimethyl sulfoxide or dimethyl sulfide led to an examination of the utility of pyridinium chlorochromate (PCC) in selective oxidations of alcohols. PCC was superior in terms of ease of preparation, shelf stability and economy. Since the introduction of PCC in 1975 the reagent has become a commercially available “textbook” compound and is usually the reagent of choice for routine large and small scale oxidations of alcohols to carbonyl compounds. Unlike the oxochromium(VI)-pyridine adducts, PCC is an acid salt, and its properties have proven advantageous in a number of tandem oxidative reactions such as oxidative transpositions and oxidative cationic cyclizations. Several reviews address the versatility of PCC and its extension to many different types of oxidative conversions in single and multistep organic syntheses. While PCC was gaining widespread use, the utility of pyridinium dichromate (PDC) in solvents such as dimethylformamide (DMF) and dichloromethane was reported. PDC/DMF was useful for oxidizing allylic alcohols to the corresponding, α,β-unsaturated carbonyl compounds and non-conjugated aldehydes and primary alcohols to the corresponding carboxylic acids. The utilization of beyond the simple oxidation of alcohols, and it is now employed for various transformations. Many other types of substituted pyridines, nitrogen heterocycles and amines form chromates, dichromates, and chlorochromates which allow many different types of oxidative processes for a wide range of substrate molecules. This chapter surveys the many applications of oxochromium(VI) complexes in oxidative conversions of alcohols to carbonyl compounds. Alternative reagent systems based on modifications involving ligands, buffering agents, or adsorbents, as well as nonchromium(VI) oxidants are discussed. A variety of substrates have been included in the Tables so as to guide the synthetic chemist in selecting reagents and conditions that will be optimal for a given transformation. Oxidative conversions of alcohols through transpositions and cationic cyclizations giving carbonyl compounds as endproducts are included.","URL":"http://onlinelibrary.wiley.com/doi/10.1002/0471264180.or053.01/abstract","ISBN":"978-0-471-26418-7","language":"en","author":[{"family":"Luzzio","given":"Frederick A."}],"issued":{"date-parts":[["2004"]]},"accessed":{"date-parts":[["2016",7,11]]}}},{"id":1876,"uris":["http://zotero.org/users/1624234/items/WBN4SEIF"],"uri":["http://zotero.org/users/1624234/items/WBN4SEIF"],"itemData":{"id":1876,"type":"chapter","title":"Oxidation Reactions","container-title":"Ruthenium in Organic Synthesis","publisher":"Wiley-VCH Verlag GmbH &amp; Co. KGaA","page":"53-93","source":"Wiley Online Library","abstract":"This chapter contains sections titled: \n* Introduction\n* Dehydrogenative Oxidation\nOxidation of AlcoholsOxidative Amination of AlcoholsOxidation of Secondary and Primary Amines\n* Oxidation with RuO4\n* Oxidation with Ruthenium Complex Catalysts and Oxidants\nOxidation of AlcoholsOxidation of AlkenesOxidation of AminesOxidation of Amides and β-LactamsOxidation of PhenolsOxidation of Hydrocarbons\n* Conclusions","URL":"http://onlinelibrary.wiley.com/doi/10.1002/3527603832.ch3/summary","ISBN":"978-3-527-60383-1","language":"en","author":[{"family":"Murahashi","given":"Shun-Ichi"},{"family":"Komiya","given":"Naruyoshi"}],"editor":[{"family":"Murahashi","given":"essor Shun-Ichi"}],"issued":{"date-parts":[["2004"]]},"accessed":{"date-parts":[["2016",7,11]]}}}],"schema":"https://github.com/citation-style-language/schema/raw/master/csl-citation.json"} </w:instrText>
      </w:r>
      <w:r w:rsidRPr="00BA0582">
        <w:rPr>
          <w:rFonts w:cstheme="minorHAnsi"/>
        </w:rPr>
        <w:fldChar w:fldCharType="separate"/>
      </w:r>
      <w:r w:rsidR="0091451B" w:rsidRPr="0091451B">
        <w:rPr>
          <w:rFonts w:ascii="Times New Roman" w:hAnsi="Times New Roman"/>
          <w:vertAlign w:val="superscript"/>
        </w:rPr>
        <w:t>194,195</w:t>
      </w:r>
      <w:r w:rsidRPr="00BA0582">
        <w:rPr>
          <w:rFonts w:cstheme="minorHAnsi"/>
        </w:rPr>
        <w:fldChar w:fldCharType="end"/>
      </w:r>
      <w:r w:rsidRPr="00BA0582">
        <w:rPr>
          <w:rFonts w:cstheme="minorHAnsi"/>
        </w:rPr>
        <w:t xml:space="preserve"> of alcohols. From these reported systems we thought about of using this ability of oxo-metal complex to activate C-O</w:t>
      </w:r>
      <w:r w:rsidR="001539C6">
        <w:rPr>
          <w:rFonts w:cstheme="minorHAnsi"/>
        </w:rPr>
        <w:t xml:space="preserve"> bonds for the deoxygenation of</w:t>
      </w:r>
      <w:r w:rsidRPr="00BA0582">
        <w:rPr>
          <w:rFonts w:cstheme="minorHAnsi"/>
        </w:rPr>
        <w:t xml:space="preserve"> mono-alcohols. At first G. Kasner and J. M. McClain carried out a stoichiometric reaction of an oxo-Re(v) species, IReO</w:t>
      </w:r>
      <w:r w:rsidRPr="00BA0582">
        <w:rPr>
          <w:rFonts w:cstheme="minorHAnsi"/>
          <w:vertAlign w:val="subscript"/>
        </w:rPr>
        <w:t>2</w:t>
      </w:r>
      <w:r w:rsidRPr="00BA0582">
        <w:rPr>
          <w:rFonts w:cstheme="minorHAnsi"/>
        </w:rPr>
        <w:t>TPP</w:t>
      </w:r>
      <w:r w:rsidRPr="00BA0582">
        <w:rPr>
          <w:rFonts w:cstheme="minorHAnsi"/>
          <w:vertAlign w:val="subscript"/>
        </w:rPr>
        <w:t>2</w:t>
      </w:r>
      <w:r w:rsidRPr="00BA0582">
        <w:rPr>
          <w:rFonts w:cstheme="minorHAnsi"/>
        </w:rPr>
        <w:t xml:space="preserve"> (</w:t>
      </w:r>
      <w:r w:rsidRPr="00BA0582">
        <w:rPr>
          <w:rFonts w:cstheme="minorHAnsi"/>
          <w:b/>
        </w:rPr>
        <w:t>1</w:t>
      </w:r>
      <w:r w:rsidRPr="00BA0582">
        <w:rPr>
          <w:rFonts w:cstheme="minorHAnsi"/>
        </w:rPr>
        <w:t>)</w:t>
      </w:r>
      <w:r w:rsidRPr="00BA0582">
        <w:rPr>
          <w:rFonts w:cstheme="minorHAnsi"/>
        </w:rPr>
        <w:fldChar w:fldCharType="begin"/>
      </w:r>
      <w:r w:rsidR="0091451B">
        <w:rPr>
          <w:rFonts w:cstheme="minorHAnsi"/>
        </w:rPr>
        <w:instrText xml:space="preserve"> ADDIN ZOTERO_ITEM CSL_CITATION {"citationID":"27kdsdbhvv","properties":{"formattedCitation":"{\\rtf \\super 168\\nosupersub{}}","plainCitation":"168"},"citationItems":[{"id":1754,"uris":["http://zotero.org/users/1624234/items/Q9S2X7NP"],"uri":["http://zotero.org/users/1624234/items/Q9S2X7NP"],"itemData":{"id":1754,"type":"article-journal","title":"Rhenium(V) oxide complexes. Crystal and molecular structures of the compounds trans-ReI2O(OR)(PPh3)2 (R = Et, Me) and of their hydrolysis derivative ReIO2(PPh3)2","container-title":"Inorganica Chimica Acta","page":"29-37","volume":"72","source":"ScienceDirect","abstract":"The structure of the complex ReI2O(OEt)(PPh3)2·3/2C6H6 (I) has been investigated: the dark-yellow crystals are monoclinic, space group P21/n, with a = 17.410(8), b = 17.322(6), c = 15.039(5) Å, β = 103.49(3)°, Z = 4. Least-squares refinements based on 3636 significant counter data led to a final R value of 0.059. The compound exhibits a slightly distorted octahedral coordination, with the two PPh3 groups trans between themselves (mean Re</w:instrText>
      </w:r>
      <w:r w:rsidR="0091451B">
        <w:rPr>
          <w:rFonts w:cstheme="minorHAnsi" w:hint="eastAsia"/>
        </w:rPr>
        <w:instrText></w:instrText>
      </w:r>
      <w:r w:rsidR="0091451B">
        <w:rPr>
          <w:rFonts w:cstheme="minorHAnsi"/>
        </w:rPr>
        <w:instrText>P 2.523 Å), as well as the two iodide ligands (mean Re</w:instrText>
      </w:r>
      <w:r w:rsidR="0091451B">
        <w:rPr>
          <w:rFonts w:cstheme="minorHAnsi" w:hint="eastAsia"/>
        </w:rPr>
        <w:instrText></w:instrText>
      </w:r>
      <w:r w:rsidR="0091451B">
        <w:rPr>
          <w:rFonts w:cstheme="minorHAnsi"/>
        </w:rPr>
        <w:instrText>I 2.789 Å). The ethoxo group (Re</w:instrText>
      </w:r>
      <w:r w:rsidR="0091451B">
        <w:rPr>
          <w:rFonts w:cstheme="minorHAnsi" w:hint="eastAsia"/>
        </w:rPr>
        <w:instrText></w:instrText>
      </w:r>
      <w:r w:rsidR="0091451B">
        <w:rPr>
          <w:rFonts w:cstheme="minorHAnsi"/>
        </w:rPr>
        <w:instrText>O 1.880(9) Å) and the oxide ligand (Re</w:instrText>
      </w:r>
      <w:r w:rsidR="0091451B">
        <w:rPr>
          <w:rFonts w:cstheme="minorHAnsi" w:hint="eastAsia"/>
        </w:rPr>
        <w:instrText></w:instrText>
      </w:r>
      <w:r w:rsidR="0091451B">
        <w:rPr>
          <w:rFonts w:cstheme="minorHAnsi"/>
        </w:rPr>
        <w:instrText>O 1.715(9) Å) occupy the other two coordination sites. Compound I in methanol transforms into ReI2O(OMe)(PPh3)2 (II), which has been characterized by X-ray analysis in crystals containing CHCl3 molecules of solvation. The crystals are triclinic, space group P1, a = 12.835(3), b = 13.067(4), c = 13.485(4) Å, α = 89.71(2)°, β = 71.61(2)°, γ = 70.19(2)°, Z = 2. The refinements gave a final R value of 0.036, on the basis of 4524 significant counter intensities. The stereochemistry and the bond parameters are similar to those found in compound I. In particular the Re</w:instrText>
      </w:r>
      <w:r w:rsidR="0091451B">
        <w:rPr>
          <w:rFonts w:cstheme="minorHAnsi" w:hint="eastAsia"/>
        </w:rPr>
        <w:instrText></w:instrText>
      </w:r>
      <w:r w:rsidR="0091451B">
        <w:rPr>
          <w:rFonts w:cstheme="minorHAnsi"/>
        </w:rPr>
        <w:instrText>O (methoxo) and Re</w:instrText>
      </w:r>
      <w:r w:rsidR="0091451B">
        <w:rPr>
          <w:rFonts w:cstheme="minorHAnsi" w:hint="eastAsia"/>
        </w:rPr>
        <w:instrText></w:instrText>
      </w:r>
      <w:r w:rsidR="0091451B">
        <w:rPr>
          <w:rFonts w:cstheme="minorHAnsi"/>
        </w:rPr>
        <w:instrText>O (oxide) bond lengths are 1.859(5) and 1.698(5) Å respectively.\n\nHydrolysis reactions of both compounds I and II give the violet derivative ReIO2(PPh3)2 (III). The crystal data are: orthorhombic, space group Aba2, a = 19.834(5), b = 16.144(3), c = 10.560(2) Å, Z = 4. 1435 significant counter reflections were used in the refinements the final R value being 0.039. The compound is an unusual example of a five coordinate Re(V) complex. It possesses a rigorous C2 crystallographic symmetry and exhibits a distorted trigonal bipyramidal stereochemistry, with the two PPh3 groups in an axial direction (Re</w:instrText>
      </w:r>
      <w:r w:rsidR="0091451B">
        <w:rPr>
          <w:rFonts w:cstheme="minorHAnsi" w:hint="eastAsia"/>
        </w:rPr>
        <w:instrText></w:instrText>
      </w:r>
      <w:r w:rsidR="0091451B">
        <w:rPr>
          <w:rFonts w:cstheme="minorHAnsi"/>
        </w:rPr>
        <w:instrText>P 2.488(3) Å) and the two oxide and the iodide ligands in equatorial positions. The Re</w:instrText>
      </w:r>
      <w:r w:rsidR="0091451B">
        <w:rPr>
          <w:rFonts w:cstheme="minorHAnsi" w:hint="eastAsia"/>
        </w:rPr>
        <w:instrText></w:instrText>
      </w:r>
      <w:r w:rsidR="0091451B">
        <w:rPr>
          <w:rFonts w:cstheme="minorHAnsi"/>
        </w:rPr>
        <w:instrText>I and Re</w:instrText>
      </w:r>
      <w:r w:rsidR="0091451B">
        <w:rPr>
          <w:rFonts w:cstheme="minorHAnsi" w:hint="eastAsia"/>
        </w:rPr>
        <w:instrText></w:instrText>
      </w:r>
      <w:r w:rsidR="0091451B">
        <w:rPr>
          <w:rFonts w:cstheme="minorHAnsi"/>
        </w:rPr>
        <w:instrText xml:space="preserve">O interactions have values of 2.664(2) and 1.742(11) Å respectively.","DOI":"10.1016/S0020-1693(00)81690-4","ISSN":"0020-1693","journalAbbreviation":"Inorganica Chimica Acta","author":[{"family":"Ciani","given":"Giani Franco"},{"family":"D'Alfonso","given":"Giuseppe"},{"family":"Romiti","given":"Pier Francesco"},{"family":"Sironi","given":"Angelo"},{"family":"Freni","given":"Maria"}],"issued":{"date-parts":[["1983"]]}}}],"schema":"https://github.com/citation-style-language/schema/raw/master/csl-citation.json"} </w:instrText>
      </w:r>
      <w:r w:rsidRPr="00BA0582">
        <w:rPr>
          <w:rFonts w:cstheme="minorHAnsi"/>
        </w:rPr>
        <w:fldChar w:fldCharType="separate"/>
      </w:r>
      <w:r w:rsidR="0091451B" w:rsidRPr="0091451B">
        <w:rPr>
          <w:rFonts w:ascii="Times New Roman" w:hAnsi="Times New Roman"/>
          <w:vertAlign w:val="superscript"/>
        </w:rPr>
        <w:t>168</w:t>
      </w:r>
      <w:r w:rsidRPr="00BA0582">
        <w:rPr>
          <w:rFonts w:cstheme="minorHAnsi"/>
        </w:rPr>
        <w:fldChar w:fldCharType="end"/>
      </w:r>
      <w:r w:rsidRPr="00BA0582">
        <w:rPr>
          <w:rFonts w:cstheme="minorHAnsi"/>
        </w:rPr>
        <w:t>, with the activated alcohol benzhydrol, Ph</w:t>
      </w:r>
      <w:r w:rsidRPr="00BA0582">
        <w:rPr>
          <w:rFonts w:cstheme="minorHAnsi"/>
          <w:vertAlign w:val="subscript"/>
        </w:rPr>
        <w:t>2</w:t>
      </w:r>
      <w:r w:rsidRPr="00BA0582">
        <w:rPr>
          <w:rFonts w:cstheme="minorHAnsi"/>
        </w:rPr>
        <w:t>CH(OH). They were hoping to demonstrate the ability of this rhenium oxo complex to deoxygenate this alcohol, but after 24h at 150</w:t>
      </w:r>
      <w:r w:rsidRPr="00BA0582">
        <w:rPr>
          <w:rFonts w:cstheme="minorHAnsi"/>
          <w:vertAlign w:val="superscript"/>
        </w:rPr>
        <w:t>o</w:t>
      </w:r>
      <w:r w:rsidRPr="00BA0582">
        <w:rPr>
          <w:rFonts w:cstheme="minorHAnsi"/>
        </w:rPr>
        <w:t>C in benzene the major product they observed was the hydrocarbon dimer; 1,1,2,2-tetraphenylethane, Ph</w:t>
      </w:r>
      <w:r w:rsidRPr="00BA0582">
        <w:rPr>
          <w:rFonts w:cstheme="minorHAnsi"/>
          <w:vertAlign w:val="subscript"/>
        </w:rPr>
        <w:t>2</w:t>
      </w:r>
      <w:r w:rsidRPr="00BA0582">
        <w:rPr>
          <w:rFonts w:cstheme="minorHAnsi"/>
        </w:rPr>
        <w:t>CHCHPh</w:t>
      </w:r>
      <w:r w:rsidRPr="00BA0582">
        <w:rPr>
          <w:rFonts w:cstheme="minorHAnsi"/>
          <w:vertAlign w:val="subscript"/>
        </w:rPr>
        <w:t>2</w:t>
      </w:r>
      <w:r w:rsidRPr="00BA0582">
        <w:rPr>
          <w:rFonts w:cstheme="minorHAnsi"/>
        </w:rPr>
        <w:t>, in 90% yield (</w:t>
      </w:r>
      <w:r w:rsidR="00497A22">
        <w:rPr>
          <w:rFonts w:cstheme="minorHAnsi"/>
        </w:rPr>
        <w:fldChar w:fldCharType="begin"/>
      </w:r>
      <w:r w:rsidR="00497A22">
        <w:rPr>
          <w:rFonts w:cstheme="minorHAnsi"/>
        </w:rPr>
        <w:instrText xml:space="preserve"> REF _Ref457465043 \h </w:instrText>
      </w:r>
      <w:r w:rsidR="00497A22">
        <w:rPr>
          <w:rFonts w:cstheme="minorHAnsi"/>
        </w:rPr>
      </w:r>
      <w:r w:rsidR="00497A22">
        <w:rPr>
          <w:rFonts w:cstheme="minorHAnsi"/>
        </w:rPr>
        <w:fldChar w:fldCharType="separate"/>
      </w:r>
      <w:r w:rsidR="000A0E3D">
        <w:t xml:space="preserve">Figure </w:t>
      </w:r>
      <w:r w:rsidR="000A0E3D">
        <w:rPr>
          <w:noProof/>
        </w:rPr>
        <w:t>IV</w:t>
      </w:r>
      <w:r w:rsidR="000A0E3D">
        <w:t>.</w:t>
      </w:r>
      <w:r w:rsidR="000A0E3D">
        <w:rPr>
          <w:noProof/>
        </w:rPr>
        <w:t>2</w:t>
      </w:r>
      <w:r w:rsidR="00497A22">
        <w:rPr>
          <w:rFonts w:cstheme="minorHAnsi"/>
        </w:rPr>
        <w:fldChar w:fldCharType="end"/>
      </w:r>
      <w:r w:rsidRPr="00BA0582">
        <w:rPr>
          <w:rFonts w:cstheme="minorHAnsi"/>
        </w:rPr>
        <w:t>a). The only other organic product they detected in the reaction mixture was the dibenzhydrol ether (Ph</w:t>
      </w:r>
      <w:r w:rsidRPr="00BA0582">
        <w:rPr>
          <w:rFonts w:cstheme="minorHAnsi"/>
          <w:vertAlign w:val="subscript"/>
        </w:rPr>
        <w:t>2</w:t>
      </w:r>
      <w:r w:rsidRPr="00BA0582">
        <w:rPr>
          <w:rFonts w:cstheme="minorHAnsi"/>
        </w:rPr>
        <w:t>CH)</w:t>
      </w:r>
      <w:r w:rsidRPr="00BA0582">
        <w:rPr>
          <w:rFonts w:cstheme="minorHAnsi"/>
          <w:vertAlign w:val="subscript"/>
        </w:rPr>
        <w:t>2</w:t>
      </w:r>
      <w:r w:rsidRPr="00BA0582">
        <w:rPr>
          <w:rFonts w:cstheme="minorHAnsi"/>
        </w:rPr>
        <w:t xml:space="preserve">O (5% yield). </w:t>
      </w:r>
    </w:p>
    <w:p w14:paraId="0523435B" w14:textId="77777777" w:rsidR="00497A22" w:rsidRDefault="00497A22" w:rsidP="00497A22">
      <w:pPr>
        <w:keepNext/>
        <w:spacing w:line="360" w:lineRule="auto"/>
        <w:jc w:val="center"/>
      </w:pPr>
      <w:r w:rsidRPr="00BA0582">
        <w:rPr>
          <w:rFonts w:cstheme="minorHAnsi"/>
        </w:rPr>
        <w:object w:dxaOrig="6700" w:dyaOrig="2320" w14:anchorId="616C0ED1">
          <v:shape id="_x0000_i1196" type="#_x0000_t75" style="width:5in;height:123.45pt" o:ole="">
            <v:imagedata r:id="rId461" o:title=""/>
          </v:shape>
          <o:OLEObject Type="Embed" ProgID="ChemDraw.Document.6.0" ShapeID="_x0000_i1196" DrawAspect="Content" ObjectID="_1532785017" r:id="rId462"/>
        </w:object>
      </w:r>
    </w:p>
    <w:p w14:paraId="34DBC031" w14:textId="77777777" w:rsidR="00BA0582" w:rsidRPr="00497A22" w:rsidRDefault="00497A22" w:rsidP="00497A22">
      <w:pPr>
        <w:pStyle w:val="Caption"/>
        <w:rPr>
          <w:rFonts w:cstheme="minorHAnsi"/>
        </w:rPr>
      </w:pPr>
      <w:bookmarkStart w:id="411" w:name="_Ref457465043"/>
      <w:bookmarkStart w:id="412" w:name="_Toc457670786"/>
      <w:r>
        <w:t xml:space="preserve">Figure </w:t>
      </w:r>
      <w:r w:rsidR="00443010">
        <w:fldChar w:fldCharType="begin"/>
      </w:r>
      <w:r w:rsidR="00443010">
        <w:instrText xml:space="preserve"> STYLEREF 1 \s </w:instrText>
      </w:r>
      <w:r w:rsidR="00443010">
        <w:fldChar w:fldCharType="separate"/>
      </w:r>
      <w:r w:rsidR="000A0E3D">
        <w:rPr>
          <w:noProof/>
        </w:rPr>
        <w:t>IV</w:t>
      </w:r>
      <w:r w:rsidR="00443010">
        <w:rPr>
          <w:noProof/>
        </w:rPr>
        <w:fldChar w:fldCharType="end"/>
      </w:r>
      <w:r w:rsidR="00573BBE">
        <w:t>.</w:t>
      </w:r>
      <w:r w:rsidR="00443010">
        <w:fldChar w:fldCharType="begin"/>
      </w:r>
      <w:r w:rsidR="00443010">
        <w:instrText xml:space="preserve"> SEQ Figure \* ARABIC \s 1 </w:instrText>
      </w:r>
      <w:r w:rsidR="00443010">
        <w:fldChar w:fldCharType="separate"/>
      </w:r>
      <w:r w:rsidR="000A0E3D">
        <w:rPr>
          <w:noProof/>
        </w:rPr>
        <w:t>2</w:t>
      </w:r>
      <w:r w:rsidR="00443010">
        <w:rPr>
          <w:noProof/>
        </w:rPr>
        <w:fldChar w:fldCharType="end"/>
      </w:r>
      <w:bookmarkEnd w:id="411"/>
      <w:r>
        <w:t xml:space="preserve"> </w:t>
      </w:r>
      <w:r w:rsidR="00BA0582" w:rsidRPr="00497A22">
        <w:rPr>
          <w:rFonts w:cstheme="minorHAnsi"/>
        </w:rPr>
        <w:t>Deoxygenation (DO) and reductive coupling (RC) of alcohols</w:t>
      </w:r>
      <w:bookmarkEnd w:id="412"/>
    </w:p>
    <w:p w14:paraId="6D68F23D" w14:textId="77777777" w:rsidR="00BA0582" w:rsidRPr="00BA0582" w:rsidRDefault="00BA0582" w:rsidP="00BA0582">
      <w:pPr>
        <w:spacing w:line="360" w:lineRule="auto"/>
        <w:jc w:val="center"/>
        <w:rPr>
          <w:rFonts w:cstheme="minorHAnsi"/>
          <w:b/>
          <w:highlight w:val="lightGray"/>
        </w:rPr>
      </w:pPr>
    </w:p>
    <w:p w14:paraId="6E21F136" w14:textId="77777777" w:rsidR="00BA0582" w:rsidRPr="00BA0582" w:rsidRDefault="00BA0582" w:rsidP="00BA0582">
      <w:pPr>
        <w:ind w:firstLine="360"/>
        <w:jc w:val="both"/>
        <w:rPr>
          <w:rFonts w:cstheme="minorHAnsi"/>
        </w:rPr>
      </w:pPr>
      <w:r w:rsidRPr="00BA0582">
        <w:rPr>
          <w:rFonts w:cstheme="minorHAnsi"/>
        </w:rPr>
        <w:t xml:space="preserve">They were able to run this reaction under catalytic conditions using 11.5 mol% of </w:t>
      </w:r>
      <w:r w:rsidRPr="00BA0582">
        <w:rPr>
          <w:rFonts w:cstheme="minorHAnsi"/>
          <w:b/>
        </w:rPr>
        <w:t>1</w:t>
      </w:r>
      <w:r w:rsidRPr="00BA0582">
        <w:rPr>
          <w:rFonts w:cstheme="minorHAnsi"/>
        </w:rPr>
        <w:t>, and triphenylphosphine as stoichiometric reducing agent giving the dimer in 80% yield. With Gabrielle we were able to decrease the catalyst loading to 1 mol% with 90% yield in dimer after 168h. We also expanded the scope of alcohol substrates for the reaction (</w:t>
      </w:r>
      <w:r w:rsidR="00497A22">
        <w:rPr>
          <w:rFonts w:cstheme="minorHAnsi"/>
        </w:rPr>
        <w:fldChar w:fldCharType="begin"/>
      </w:r>
      <w:r w:rsidR="00497A22">
        <w:rPr>
          <w:rFonts w:cstheme="minorHAnsi"/>
        </w:rPr>
        <w:instrText xml:space="preserve"> REF _Ref457465126 \h </w:instrText>
      </w:r>
      <w:r w:rsidR="00497A22">
        <w:rPr>
          <w:rFonts w:cstheme="minorHAnsi"/>
        </w:rPr>
      </w:r>
      <w:r w:rsidR="00497A22">
        <w:rPr>
          <w:rFonts w:cstheme="minorHAnsi"/>
        </w:rPr>
        <w:fldChar w:fldCharType="separate"/>
      </w:r>
      <w:r w:rsidR="000A0E3D">
        <w:t xml:space="preserve">Table </w:t>
      </w:r>
      <w:r w:rsidR="000A0E3D">
        <w:rPr>
          <w:noProof/>
        </w:rPr>
        <w:t>IV</w:t>
      </w:r>
      <w:r w:rsidR="000A0E3D">
        <w:t>.</w:t>
      </w:r>
      <w:r w:rsidR="000A0E3D">
        <w:rPr>
          <w:noProof/>
        </w:rPr>
        <w:t>1</w:t>
      </w:r>
      <w:r w:rsidR="00497A22">
        <w:rPr>
          <w:rFonts w:cstheme="minorHAnsi"/>
        </w:rPr>
        <w:fldChar w:fldCharType="end"/>
      </w:r>
      <w:r w:rsidRPr="00BA0582">
        <w:rPr>
          <w:rFonts w:cstheme="minorHAnsi"/>
        </w:rPr>
        <w:t xml:space="preserve">). In a similar way with 11.5% of </w:t>
      </w:r>
      <w:r w:rsidRPr="00BA0582">
        <w:rPr>
          <w:rFonts w:cstheme="minorHAnsi"/>
          <w:b/>
        </w:rPr>
        <w:t>1</w:t>
      </w:r>
      <w:r w:rsidRPr="00BA0582">
        <w:rPr>
          <w:rFonts w:cstheme="minorHAnsi"/>
        </w:rPr>
        <w:t xml:space="preserve"> fluorenol (entry IV.1.3) provided bifluorenyl in 91% yield. Mixed coupling between benzhydrol and fluorenol provided a mixture of homo and hetero coupled products (entry VI.1.4). The slightly less activated 1-phenylethanol provided 43% yield in dimer product after a longer reaction time along with 56% yield in ketone (entry IV.1.5). Cinnamyl alcohol, PhCHCHCH</w:t>
      </w:r>
      <w:r w:rsidRPr="00BA0582">
        <w:rPr>
          <w:rFonts w:cstheme="minorHAnsi"/>
          <w:vertAlign w:val="subscript"/>
        </w:rPr>
        <w:t>2</w:t>
      </w:r>
      <w:r w:rsidRPr="00BA0582">
        <w:rPr>
          <w:rFonts w:cstheme="minorHAnsi"/>
        </w:rPr>
        <w:t>OH, was reactive as well and provided a 64% yield of isomeric diene dimers (entry IV.1.6). The isomeric alcohol 1-phenyl propan-1-ol (entry IV.1.7) gave a similar yield and product distribution as cinnamyl alcohol. The non-benzylic activated alcohol sorbyl alcohol reacted to give a 62% yield of tetraene dimers (entry IV.1.8). The reaction on triphenylmethanol and benzoin, an α-hydroxyketone, entry IV.1.9 and entry IV.1.10, gave in each case as the major product the deoxygenated hydrocarbon, instead of the dimer. Finally benzyl alcohol (entry IV.1.11) gave after 95h at 150</w:t>
      </w:r>
      <w:r w:rsidRPr="00BA0582">
        <w:rPr>
          <w:rFonts w:cstheme="minorHAnsi"/>
          <w:vertAlign w:val="superscript"/>
        </w:rPr>
        <w:t>o</w:t>
      </w:r>
      <w:r w:rsidRPr="00BA0582">
        <w:rPr>
          <w:rFonts w:cstheme="minorHAnsi"/>
        </w:rPr>
        <w:t>C a mixture of dimers (PhCH</w:t>
      </w:r>
      <w:r w:rsidRPr="00BA0582">
        <w:rPr>
          <w:rFonts w:cstheme="minorHAnsi"/>
          <w:vertAlign w:val="subscript"/>
        </w:rPr>
        <w:t>2</w:t>
      </w:r>
      <w:r w:rsidRPr="00BA0582">
        <w:rPr>
          <w:rFonts w:cstheme="minorHAnsi"/>
        </w:rPr>
        <w:t>CH</w:t>
      </w:r>
      <w:r w:rsidRPr="00BA0582">
        <w:rPr>
          <w:rFonts w:cstheme="minorHAnsi"/>
          <w:vertAlign w:val="subscript"/>
        </w:rPr>
        <w:t>2</w:t>
      </w:r>
      <w:r w:rsidRPr="00BA0582">
        <w:rPr>
          <w:rFonts w:cstheme="minorHAnsi"/>
        </w:rPr>
        <w:t>Ph, PhCHCHPh), deoxygenation product (toluene), ether (PhCH</w:t>
      </w:r>
      <w:r w:rsidRPr="00BA0582">
        <w:rPr>
          <w:rFonts w:cstheme="minorHAnsi"/>
          <w:vertAlign w:val="subscript"/>
        </w:rPr>
        <w:t>2</w:t>
      </w:r>
      <w:r w:rsidRPr="00BA0582">
        <w:rPr>
          <w:rFonts w:cstheme="minorHAnsi"/>
        </w:rPr>
        <w:t>)</w:t>
      </w:r>
      <w:r w:rsidRPr="00BA0582">
        <w:rPr>
          <w:rFonts w:cstheme="minorHAnsi"/>
          <w:vertAlign w:val="subscript"/>
        </w:rPr>
        <w:t>2</w:t>
      </w:r>
      <w:r w:rsidRPr="00BA0582">
        <w:rPr>
          <w:rFonts w:cstheme="minorHAnsi"/>
        </w:rPr>
        <w:t xml:space="preserve">O and benzaldehyde (98% conversion). </w:t>
      </w:r>
    </w:p>
    <w:p w14:paraId="6A96553D" w14:textId="49D15746" w:rsidR="00497A22" w:rsidRDefault="00BA0582" w:rsidP="001539C6">
      <w:pPr>
        <w:ind w:firstLine="360"/>
        <w:jc w:val="both"/>
        <w:rPr>
          <w:rFonts w:cstheme="minorHAnsi"/>
        </w:rPr>
      </w:pPr>
      <w:r w:rsidRPr="00BA0582">
        <w:rPr>
          <w:rFonts w:cstheme="minorHAnsi"/>
        </w:rPr>
        <w:t xml:space="preserve">The cyclopropyl-phenylmethanol </w:t>
      </w:r>
      <w:r w:rsidRPr="00BA0582">
        <w:rPr>
          <w:rFonts w:cstheme="minorHAnsi"/>
          <w:b/>
        </w:rPr>
        <w:t>2</w:t>
      </w:r>
      <w:r w:rsidRPr="00BA0582">
        <w:rPr>
          <w:rFonts w:cstheme="minorHAnsi"/>
        </w:rPr>
        <w:t xml:space="preserve"> was largely unreacted after 168h at 150</w:t>
      </w:r>
      <w:r w:rsidRPr="00BA0582">
        <w:rPr>
          <w:rFonts w:cstheme="minorHAnsi"/>
          <w:vertAlign w:val="superscript"/>
        </w:rPr>
        <w:t>o</w:t>
      </w:r>
      <w:r w:rsidRPr="00BA0582">
        <w:rPr>
          <w:rFonts w:cstheme="minorHAnsi"/>
        </w:rPr>
        <w:t>C under the same reaction conditions (PPh</w:t>
      </w:r>
      <w:r w:rsidRPr="00BA0582">
        <w:rPr>
          <w:rFonts w:cstheme="minorHAnsi"/>
          <w:vertAlign w:val="subscript"/>
        </w:rPr>
        <w:t>3</w:t>
      </w:r>
      <w:r w:rsidRPr="00BA0582">
        <w:rPr>
          <w:rFonts w:cstheme="minorHAnsi"/>
        </w:rPr>
        <w:t>/</w:t>
      </w:r>
      <w:r w:rsidRPr="00BA0582">
        <w:rPr>
          <w:rFonts w:cstheme="minorHAnsi"/>
          <w:b/>
        </w:rPr>
        <w:t>1</w:t>
      </w:r>
      <w:r w:rsidRPr="00BA0582">
        <w:rPr>
          <w:rFonts w:cstheme="minorHAnsi"/>
        </w:rPr>
        <w:t xml:space="preserve"> in benzene) and only a trace of dimer product</w:t>
      </w:r>
      <w:r w:rsidR="001539C6">
        <w:rPr>
          <w:rFonts w:cstheme="minorHAnsi"/>
        </w:rPr>
        <w:t xml:space="preserve"> was formed without being fully characterized</w:t>
      </w:r>
      <w:r w:rsidRPr="00BA0582">
        <w:rPr>
          <w:rFonts w:cstheme="minorHAnsi"/>
        </w:rPr>
        <w:t>.</w:t>
      </w:r>
      <w:r w:rsidR="00EB759E">
        <w:rPr>
          <w:rFonts w:cstheme="minorHAnsi"/>
        </w:rPr>
        <w:t xml:space="preserve"> The alcohol could have help us to probe if the reaction mechanism involves a radical. A radical formation on the carbon next to the cyclopropyl ring would resonate making the three membered ring open. </w:t>
      </w:r>
      <w:r w:rsidRPr="00BA0582">
        <w:rPr>
          <w:rFonts w:cstheme="minorHAnsi"/>
        </w:rPr>
        <w:t>Without surprise</w:t>
      </w:r>
      <w:r w:rsidR="00366606">
        <w:rPr>
          <w:rFonts w:cstheme="minorHAnsi"/>
        </w:rPr>
        <w:t xml:space="preserve"> the</w:t>
      </w:r>
      <w:r w:rsidRPr="00BA0582">
        <w:rPr>
          <w:rFonts w:cstheme="minorHAnsi"/>
        </w:rPr>
        <w:t xml:space="preserve"> primary, unactivated alcohol</w:t>
      </w:r>
      <w:r w:rsidR="00366606">
        <w:rPr>
          <w:rFonts w:cstheme="minorHAnsi"/>
        </w:rPr>
        <w:t>s</w:t>
      </w:r>
      <w:r w:rsidRPr="00BA0582">
        <w:rPr>
          <w:rFonts w:cstheme="minorHAnsi"/>
        </w:rPr>
        <w:t xml:space="preserve"> cyclohexane methanol </w:t>
      </w:r>
      <w:r w:rsidRPr="00BA0582">
        <w:rPr>
          <w:rFonts w:cstheme="minorHAnsi"/>
          <w:b/>
        </w:rPr>
        <w:t xml:space="preserve">3 </w:t>
      </w:r>
      <w:r w:rsidRPr="00BA0582">
        <w:rPr>
          <w:rFonts w:cstheme="minorHAnsi"/>
        </w:rPr>
        <w:t xml:space="preserve">and para chlorophenol </w:t>
      </w:r>
      <w:r w:rsidRPr="00BA0582">
        <w:rPr>
          <w:rFonts w:cstheme="minorHAnsi"/>
          <w:b/>
        </w:rPr>
        <w:t>4</w:t>
      </w:r>
      <w:r w:rsidRPr="00BA0582">
        <w:rPr>
          <w:rFonts w:cstheme="minorHAnsi"/>
        </w:rPr>
        <w:t xml:space="preserve"> did not react under these conditions (100 h at 150</w:t>
      </w:r>
      <w:r w:rsidRPr="00BA0582">
        <w:rPr>
          <w:rFonts w:cstheme="minorHAnsi"/>
          <w:vertAlign w:val="superscript"/>
        </w:rPr>
        <w:t>o</w:t>
      </w:r>
      <w:r w:rsidRPr="00BA0582">
        <w:rPr>
          <w:rFonts w:cstheme="minorHAnsi"/>
        </w:rPr>
        <w:t xml:space="preserve">C in benzene) due to their stronger C-O bonds. </w:t>
      </w:r>
    </w:p>
    <w:p w14:paraId="24510032" w14:textId="77777777" w:rsidR="00497A22" w:rsidRDefault="00497A22" w:rsidP="00497A22">
      <w:pPr>
        <w:keepNext/>
        <w:jc w:val="center"/>
      </w:pPr>
      <w:r w:rsidRPr="00BA0582">
        <w:rPr>
          <w:rFonts w:cstheme="minorHAnsi"/>
        </w:rPr>
        <w:object w:dxaOrig="4230" w:dyaOrig="1120" w14:anchorId="0981491D">
          <v:shape id="_x0000_i1197" type="#_x0000_t75" style="width:211.25pt;height:56.2pt" o:ole="">
            <v:imagedata r:id="rId463" o:title=""/>
          </v:shape>
          <o:OLEObject Type="Embed" ProgID="ChemDraw.Document.6.0" ShapeID="_x0000_i1197" DrawAspect="Content" ObjectID="_1532785018" r:id="rId464"/>
        </w:object>
      </w:r>
    </w:p>
    <w:p w14:paraId="52813B61" w14:textId="77777777" w:rsidR="00497A22" w:rsidRDefault="00497A22" w:rsidP="00497A22">
      <w:pPr>
        <w:pStyle w:val="Caption"/>
        <w:rPr>
          <w:rFonts w:cstheme="minorHAnsi"/>
          <w:b w:val="0"/>
        </w:rPr>
      </w:pPr>
      <w:bookmarkStart w:id="413" w:name="_Toc457670787"/>
      <w:r>
        <w:t xml:space="preserve">Figure </w:t>
      </w:r>
      <w:r w:rsidR="00443010">
        <w:fldChar w:fldCharType="begin"/>
      </w:r>
      <w:r w:rsidR="00443010">
        <w:instrText xml:space="preserve"> STYLEREF 1 \s </w:instrText>
      </w:r>
      <w:r w:rsidR="00443010">
        <w:fldChar w:fldCharType="separate"/>
      </w:r>
      <w:r w:rsidR="000A0E3D">
        <w:rPr>
          <w:noProof/>
        </w:rPr>
        <w:t>IV</w:t>
      </w:r>
      <w:r w:rsidR="00443010">
        <w:rPr>
          <w:noProof/>
        </w:rPr>
        <w:fldChar w:fldCharType="end"/>
      </w:r>
      <w:r w:rsidR="00573BBE">
        <w:t>.</w:t>
      </w:r>
      <w:r w:rsidR="00443010">
        <w:fldChar w:fldCharType="begin"/>
      </w:r>
      <w:r w:rsidR="00443010">
        <w:instrText xml:space="preserve"> SEQ Figure \* ARABIC \s 1 </w:instrText>
      </w:r>
      <w:r w:rsidR="00443010">
        <w:fldChar w:fldCharType="separate"/>
      </w:r>
      <w:r w:rsidR="000A0E3D">
        <w:rPr>
          <w:noProof/>
        </w:rPr>
        <w:t>3</w:t>
      </w:r>
      <w:r w:rsidR="00443010">
        <w:rPr>
          <w:noProof/>
        </w:rPr>
        <w:fldChar w:fldCharType="end"/>
      </w:r>
      <w:r>
        <w:t xml:space="preserve"> </w:t>
      </w:r>
      <w:r w:rsidRPr="00497A22">
        <w:rPr>
          <w:rFonts w:cstheme="minorHAnsi"/>
        </w:rPr>
        <w:t>Other alcohol</w:t>
      </w:r>
      <w:r w:rsidR="00EB759E">
        <w:rPr>
          <w:rFonts w:cstheme="minorHAnsi"/>
        </w:rPr>
        <w:t>s</w:t>
      </w:r>
      <w:r w:rsidRPr="00497A22">
        <w:rPr>
          <w:rFonts w:cstheme="minorHAnsi"/>
        </w:rPr>
        <w:t xml:space="preserve"> tested 2, 3 and 4</w:t>
      </w:r>
      <w:bookmarkEnd w:id="413"/>
    </w:p>
    <w:p w14:paraId="3C08606D" w14:textId="741CB283" w:rsidR="00BA0582" w:rsidRDefault="00BA0582" w:rsidP="00BA0582">
      <w:pPr>
        <w:spacing w:line="360" w:lineRule="auto"/>
        <w:ind w:firstLine="360"/>
        <w:jc w:val="both"/>
      </w:pPr>
    </w:p>
    <w:p w14:paraId="28680E2A" w14:textId="77777777" w:rsidR="00BA0582" w:rsidRPr="00497A22" w:rsidRDefault="00497A22" w:rsidP="00497A22">
      <w:pPr>
        <w:pStyle w:val="Caption"/>
        <w:keepNext/>
        <w:jc w:val="both"/>
      </w:pPr>
      <w:bookmarkStart w:id="414" w:name="_Ref457465126"/>
      <w:bookmarkStart w:id="415" w:name="_Toc457670499"/>
      <w:r>
        <w:t xml:space="preserve">Table </w:t>
      </w:r>
      <w:r w:rsidR="00443010">
        <w:fldChar w:fldCharType="begin"/>
      </w:r>
      <w:r w:rsidR="00443010">
        <w:instrText xml:space="preserve"> STYLEREF 1 \s </w:instrText>
      </w:r>
      <w:r w:rsidR="00443010">
        <w:fldChar w:fldCharType="separate"/>
      </w:r>
      <w:r w:rsidR="000A0E3D">
        <w:rPr>
          <w:noProof/>
        </w:rPr>
        <w:t>IV</w:t>
      </w:r>
      <w:r w:rsidR="00443010">
        <w:rPr>
          <w:noProof/>
        </w:rPr>
        <w:fldChar w:fldCharType="end"/>
      </w:r>
      <w:r w:rsidR="00A90478">
        <w:t>.</w:t>
      </w:r>
      <w:r w:rsidR="00443010">
        <w:fldChar w:fldCharType="begin"/>
      </w:r>
      <w:r w:rsidR="00443010">
        <w:instrText xml:space="preserve"> SEQ Table \* ARABIC \s 1 </w:instrText>
      </w:r>
      <w:r w:rsidR="00443010">
        <w:fldChar w:fldCharType="separate"/>
      </w:r>
      <w:r w:rsidR="000A0E3D">
        <w:rPr>
          <w:noProof/>
        </w:rPr>
        <w:t>1</w:t>
      </w:r>
      <w:r w:rsidR="00443010">
        <w:rPr>
          <w:noProof/>
        </w:rPr>
        <w:fldChar w:fldCharType="end"/>
      </w:r>
      <w:bookmarkEnd w:id="414"/>
      <w:r>
        <w:t xml:space="preserve"> </w:t>
      </w:r>
      <w:r w:rsidR="00BA0582" w:rsidRPr="00497A22">
        <w:t>Deoxygenation and reductive coupling of alcohols by PPh</w:t>
      </w:r>
      <w:r w:rsidR="00BA0582" w:rsidRPr="00497A22">
        <w:rPr>
          <w:vertAlign w:val="subscript"/>
        </w:rPr>
        <w:t>3</w:t>
      </w:r>
      <w:r w:rsidR="00BA0582" w:rsidRPr="00497A22">
        <w:t>/IReO</w:t>
      </w:r>
      <w:r w:rsidR="00BA0582" w:rsidRPr="00497A22">
        <w:rPr>
          <w:vertAlign w:val="subscript"/>
        </w:rPr>
        <w:t>2</w:t>
      </w:r>
      <w:r w:rsidR="00BA0582" w:rsidRPr="00497A22">
        <w:t>(PPh</w:t>
      </w:r>
      <w:r w:rsidR="00BA0582" w:rsidRPr="00497A22">
        <w:rPr>
          <w:vertAlign w:val="subscript"/>
        </w:rPr>
        <w:t>3</w:t>
      </w:r>
      <w:r w:rsidR="00BA0582" w:rsidRPr="00497A22">
        <w:t>)</w:t>
      </w:r>
      <w:r w:rsidR="00BA0582" w:rsidRPr="00497A22">
        <w:rPr>
          <w:vertAlign w:val="subscript"/>
        </w:rPr>
        <w:t>2</w:t>
      </w:r>
      <w:r w:rsidR="00BA0582" w:rsidRPr="00497A22">
        <w:t xml:space="preserve"> (</w:t>
      </w:r>
      <w:r w:rsidR="00BA0582" w:rsidRPr="00497A22">
        <w:rPr>
          <w:u w:val="single"/>
        </w:rPr>
        <w:t>1</w:t>
      </w:r>
      <w:r w:rsidR="00BA0582" w:rsidRPr="00497A22">
        <w:t>)</w:t>
      </w:r>
      <w:r w:rsidR="00BA0582" w:rsidRPr="00497A22">
        <w:rPr>
          <w:vertAlign w:val="superscript"/>
        </w:rPr>
        <w:t>a</w:t>
      </w:r>
      <w:bookmarkEnd w:id="415"/>
    </w:p>
    <w:p w14:paraId="3AF42F8F" w14:textId="77777777" w:rsidR="00BA0582" w:rsidRPr="00A0382E" w:rsidRDefault="00BA0582" w:rsidP="00BA0582">
      <w:pPr>
        <w:spacing w:line="240" w:lineRule="auto"/>
      </w:pPr>
    </w:p>
    <w:p w14:paraId="44D153AC" w14:textId="77777777" w:rsidR="00BA0582" w:rsidRPr="00A0382E" w:rsidRDefault="00BA0582" w:rsidP="00BA0582">
      <w:pPr>
        <w:spacing w:line="240" w:lineRule="auto"/>
        <w:sectPr w:rsidR="00BA0582" w:rsidRPr="00A0382E" w:rsidSect="00657AEF">
          <w:pgSz w:w="12240" w:h="15840"/>
          <w:pgMar w:top="1440" w:right="1440" w:bottom="1440" w:left="2304" w:header="720" w:footer="720" w:gutter="0"/>
          <w:pgNumType w:start="1"/>
          <w:cols w:space="720"/>
        </w:sectPr>
      </w:pPr>
    </w:p>
    <w:tbl>
      <w:tblPr>
        <w:tblStyle w:val="TableGrid"/>
        <w:tblW w:w="0" w:type="auto"/>
        <w:tblLayout w:type="fixed"/>
        <w:tblLook w:val="04A0" w:firstRow="1" w:lastRow="0" w:firstColumn="1" w:lastColumn="0" w:noHBand="0" w:noVBand="1"/>
      </w:tblPr>
      <w:tblGrid>
        <w:gridCol w:w="1008"/>
        <w:gridCol w:w="1152"/>
        <w:gridCol w:w="90"/>
        <w:gridCol w:w="342"/>
        <w:gridCol w:w="1242"/>
        <w:gridCol w:w="342"/>
      </w:tblGrid>
      <w:tr w:rsidR="00BA0582" w14:paraId="4356C78F" w14:textId="77777777" w:rsidTr="00BA0582">
        <w:tc>
          <w:tcPr>
            <w:tcW w:w="1008" w:type="dxa"/>
            <w:tcBorders>
              <w:top w:val="nil"/>
              <w:left w:val="nil"/>
              <w:bottom w:val="single" w:sz="12" w:space="0" w:color="auto"/>
              <w:right w:val="single" w:sz="12" w:space="0" w:color="auto"/>
            </w:tcBorders>
            <w:vAlign w:val="bottom"/>
            <w:hideMark/>
          </w:tcPr>
          <w:p w14:paraId="2D83B558" w14:textId="77777777" w:rsidR="00BA0582" w:rsidRDefault="00BA0582" w:rsidP="00BA0582">
            <w:pPr>
              <w:spacing w:line="360" w:lineRule="auto"/>
              <w:jc w:val="center"/>
            </w:pPr>
            <w:r>
              <w:t>Entry</w:t>
            </w:r>
          </w:p>
        </w:tc>
        <w:tc>
          <w:tcPr>
            <w:tcW w:w="1152" w:type="dxa"/>
            <w:tcBorders>
              <w:top w:val="nil"/>
              <w:left w:val="single" w:sz="12" w:space="0" w:color="auto"/>
              <w:bottom w:val="single" w:sz="12" w:space="0" w:color="auto"/>
              <w:right w:val="nil"/>
            </w:tcBorders>
            <w:vAlign w:val="center"/>
            <w:hideMark/>
          </w:tcPr>
          <w:p w14:paraId="30D0ABDD" w14:textId="77777777" w:rsidR="00BA0582" w:rsidRDefault="00BA0582" w:rsidP="00BA0582">
            <w:pPr>
              <w:spacing w:line="360" w:lineRule="auto"/>
            </w:pPr>
            <w:r>
              <w:t>Substrate</w:t>
            </w:r>
          </w:p>
        </w:tc>
        <w:tc>
          <w:tcPr>
            <w:tcW w:w="2016" w:type="dxa"/>
            <w:gridSpan w:val="4"/>
            <w:tcBorders>
              <w:top w:val="nil"/>
              <w:left w:val="nil"/>
              <w:bottom w:val="single" w:sz="12" w:space="0" w:color="auto"/>
              <w:right w:val="nil"/>
            </w:tcBorders>
            <w:vAlign w:val="center"/>
            <w:hideMark/>
          </w:tcPr>
          <w:p w14:paraId="505E0E48" w14:textId="77777777" w:rsidR="00BA0582" w:rsidRDefault="00BA0582" w:rsidP="00BA0582">
            <w:pPr>
              <w:spacing w:line="360" w:lineRule="auto"/>
            </w:pPr>
            <w:r>
              <w:t>Products &amp; Yields</w:t>
            </w:r>
            <w:r>
              <w:rPr>
                <w:vertAlign w:val="superscript"/>
              </w:rPr>
              <w:t>b,f</w:t>
            </w:r>
          </w:p>
        </w:tc>
      </w:tr>
      <w:tr w:rsidR="00BA0582" w14:paraId="5615C67C" w14:textId="77777777" w:rsidTr="00BA0582">
        <w:tc>
          <w:tcPr>
            <w:tcW w:w="1008" w:type="dxa"/>
            <w:tcBorders>
              <w:top w:val="single" w:sz="12" w:space="0" w:color="auto"/>
              <w:left w:val="nil"/>
              <w:bottom w:val="single" w:sz="2" w:space="0" w:color="808080" w:themeColor="background1" w:themeShade="80"/>
              <w:right w:val="single" w:sz="12" w:space="0" w:color="auto"/>
            </w:tcBorders>
            <w:vAlign w:val="bottom"/>
            <w:hideMark/>
          </w:tcPr>
          <w:p w14:paraId="733285E6" w14:textId="77777777" w:rsidR="00BA0582" w:rsidRDefault="00BA0582" w:rsidP="00BA0582">
            <w:pPr>
              <w:jc w:val="center"/>
            </w:pPr>
            <w:r>
              <w:t>IV.1.1</w:t>
            </w:r>
          </w:p>
          <w:p w14:paraId="7447B74C" w14:textId="77777777" w:rsidR="00BA0582" w:rsidRDefault="00BA0582" w:rsidP="00BA0582">
            <w:pPr>
              <w:spacing w:after="120"/>
              <w:jc w:val="center"/>
            </w:pPr>
            <w:r>
              <w:t>IV.1.2</w:t>
            </w:r>
            <w:r>
              <w:rPr>
                <w:vertAlign w:val="superscript"/>
              </w:rPr>
              <w:t>d</w:t>
            </w:r>
          </w:p>
        </w:tc>
        <w:tc>
          <w:tcPr>
            <w:tcW w:w="3168" w:type="dxa"/>
            <w:gridSpan w:val="5"/>
            <w:tcBorders>
              <w:top w:val="single" w:sz="12" w:space="0" w:color="auto"/>
              <w:left w:val="single" w:sz="12" w:space="0" w:color="auto"/>
              <w:bottom w:val="single" w:sz="2" w:space="0" w:color="808080" w:themeColor="background1" w:themeShade="80"/>
              <w:right w:val="nil"/>
            </w:tcBorders>
            <w:vAlign w:val="center"/>
            <w:hideMark/>
          </w:tcPr>
          <w:p w14:paraId="7E4FCA6D" w14:textId="77777777" w:rsidR="00BA0582" w:rsidRDefault="00BA0582" w:rsidP="00BA0582">
            <w:pPr>
              <w:spacing w:line="360" w:lineRule="auto"/>
            </w:pPr>
            <w:r>
              <w:object w:dxaOrig="2160" w:dyaOrig="960" w14:anchorId="3FDE8134">
                <v:shape id="_x0000_i1198" type="#_x0000_t75" style="width:108.4pt;height:46.7pt" o:ole="">
                  <v:imagedata r:id="rId465" o:title=""/>
                </v:shape>
                <o:OLEObject Type="Embed" ProgID="ChemDraw.Document.6.0" ShapeID="_x0000_i1198" DrawAspect="Content" ObjectID="_1532785019" r:id="rId466"/>
              </w:object>
            </w:r>
          </w:p>
        </w:tc>
      </w:tr>
      <w:tr w:rsidR="00BA0582" w14:paraId="0ADCCC3E" w14:textId="77777777" w:rsidTr="00BA0582">
        <w:tc>
          <w:tcPr>
            <w:tcW w:w="1008" w:type="dxa"/>
            <w:tcBorders>
              <w:top w:val="single" w:sz="2" w:space="0" w:color="808080" w:themeColor="background1" w:themeShade="80"/>
              <w:left w:val="nil"/>
              <w:bottom w:val="single" w:sz="2" w:space="0" w:color="808080" w:themeColor="background1" w:themeShade="80"/>
              <w:right w:val="single" w:sz="12" w:space="0" w:color="auto"/>
            </w:tcBorders>
            <w:vAlign w:val="bottom"/>
            <w:hideMark/>
          </w:tcPr>
          <w:p w14:paraId="1C6C6BE0" w14:textId="77777777" w:rsidR="00BA0582" w:rsidRDefault="00BA0582" w:rsidP="00BA0582">
            <w:pPr>
              <w:spacing w:line="360" w:lineRule="auto"/>
              <w:jc w:val="center"/>
            </w:pPr>
            <w:r>
              <w:t>IV.1.3</w:t>
            </w:r>
          </w:p>
        </w:tc>
        <w:tc>
          <w:tcPr>
            <w:tcW w:w="3168" w:type="dxa"/>
            <w:gridSpan w:val="5"/>
            <w:tcBorders>
              <w:top w:val="single" w:sz="2" w:space="0" w:color="808080" w:themeColor="background1" w:themeShade="80"/>
              <w:left w:val="single" w:sz="12" w:space="0" w:color="auto"/>
              <w:bottom w:val="single" w:sz="2" w:space="0" w:color="808080" w:themeColor="background1" w:themeShade="80"/>
              <w:right w:val="nil"/>
            </w:tcBorders>
            <w:vAlign w:val="center"/>
            <w:hideMark/>
          </w:tcPr>
          <w:p w14:paraId="06732846" w14:textId="77777777" w:rsidR="00BA0582" w:rsidRDefault="00BA0582" w:rsidP="00BA0582">
            <w:pPr>
              <w:spacing w:line="360" w:lineRule="auto"/>
            </w:pPr>
            <w:r>
              <w:object w:dxaOrig="2320" w:dyaOrig="1320" w14:anchorId="560F6D0C">
                <v:shape id="_x0000_i1199" type="#_x0000_t75" style="width:118.7pt;height:67.25pt" o:ole="">
                  <v:imagedata r:id="rId467" o:title=""/>
                </v:shape>
                <o:OLEObject Type="Embed" ProgID="ChemDraw.Document.6.0" ShapeID="_x0000_i1199" DrawAspect="Content" ObjectID="_1532785020" r:id="rId468"/>
              </w:object>
            </w:r>
          </w:p>
        </w:tc>
      </w:tr>
      <w:tr w:rsidR="00BA0582" w14:paraId="1712EC73" w14:textId="77777777" w:rsidTr="00BA0582">
        <w:tc>
          <w:tcPr>
            <w:tcW w:w="1008" w:type="dxa"/>
            <w:tcBorders>
              <w:top w:val="single" w:sz="2" w:space="0" w:color="808080" w:themeColor="background1" w:themeShade="80"/>
              <w:left w:val="nil"/>
              <w:bottom w:val="single" w:sz="2" w:space="0" w:color="808080" w:themeColor="background1" w:themeShade="80"/>
              <w:right w:val="single" w:sz="12" w:space="0" w:color="auto"/>
            </w:tcBorders>
            <w:vAlign w:val="center"/>
            <w:hideMark/>
          </w:tcPr>
          <w:p w14:paraId="53940C96" w14:textId="77777777" w:rsidR="00BA0582" w:rsidRDefault="00BA0582" w:rsidP="00BA0582">
            <w:pPr>
              <w:spacing w:line="360" w:lineRule="auto"/>
              <w:jc w:val="center"/>
            </w:pPr>
            <w:r>
              <w:t>IV.1.4</w:t>
            </w:r>
          </w:p>
        </w:tc>
        <w:tc>
          <w:tcPr>
            <w:tcW w:w="3168" w:type="dxa"/>
            <w:gridSpan w:val="5"/>
            <w:tcBorders>
              <w:top w:val="single" w:sz="2" w:space="0" w:color="808080" w:themeColor="background1" w:themeShade="80"/>
              <w:left w:val="single" w:sz="12" w:space="0" w:color="auto"/>
              <w:bottom w:val="single" w:sz="2" w:space="0" w:color="808080" w:themeColor="background1" w:themeShade="80"/>
              <w:right w:val="nil"/>
            </w:tcBorders>
            <w:vAlign w:val="center"/>
            <w:hideMark/>
          </w:tcPr>
          <w:p w14:paraId="71B3BAD2" w14:textId="77777777" w:rsidR="00BA0582" w:rsidRDefault="00BA0582" w:rsidP="00BA0582">
            <w:pPr>
              <w:spacing w:line="360" w:lineRule="auto"/>
            </w:pPr>
            <w:r>
              <w:object w:dxaOrig="2840" w:dyaOrig="1240" w14:anchorId="28D7584D">
                <v:shape id="_x0000_i1200" type="#_x0000_t75" style="width:2in;height:61.7pt" o:ole="">
                  <v:imagedata r:id="rId469" o:title=""/>
                </v:shape>
                <o:OLEObject Type="Embed" ProgID="ChemDraw.Document.6.0" ShapeID="_x0000_i1200" DrawAspect="Content" ObjectID="_1532785021" r:id="rId470"/>
              </w:object>
            </w:r>
          </w:p>
        </w:tc>
      </w:tr>
      <w:tr w:rsidR="00BA0582" w14:paraId="237FD701" w14:textId="77777777" w:rsidTr="00BA0582">
        <w:tc>
          <w:tcPr>
            <w:tcW w:w="1008" w:type="dxa"/>
            <w:tcBorders>
              <w:top w:val="single" w:sz="2" w:space="0" w:color="808080" w:themeColor="background1" w:themeShade="80"/>
              <w:left w:val="nil"/>
              <w:bottom w:val="single" w:sz="2" w:space="0" w:color="808080" w:themeColor="background1" w:themeShade="80"/>
              <w:right w:val="single" w:sz="12" w:space="0" w:color="auto"/>
            </w:tcBorders>
            <w:vAlign w:val="bottom"/>
          </w:tcPr>
          <w:p w14:paraId="4C05A974" w14:textId="77777777" w:rsidR="00BA0582" w:rsidRDefault="00BA0582" w:rsidP="00BA0582">
            <w:pPr>
              <w:spacing w:line="360" w:lineRule="auto"/>
              <w:jc w:val="center"/>
            </w:pPr>
            <w:r>
              <w:t>IV.1.5</w:t>
            </w:r>
          </w:p>
          <w:p w14:paraId="1042B164" w14:textId="77777777" w:rsidR="00BA0582" w:rsidRDefault="00BA0582" w:rsidP="00BA0582">
            <w:pPr>
              <w:spacing w:line="360" w:lineRule="auto"/>
              <w:rPr>
                <w:sz w:val="16"/>
              </w:rPr>
            </w:pPr>
          </w:p>
        </w:tc>
        <w:tc>
          <w:tcPr>
            <w:tcW w:w="3168" w:type="dxa"/>
            <w:gridSpan w:val="5"/>
            <w:tcBorders>
              <w:top w:val="single" w:sz="2" w:space="0" w:color="808080" w:themeColor="background1" w:themeShade="80"/>
              <w:left w:val="single" w:sz="12" w:space="0" w:color="auto"/>
              <w:bottom w:val="single" w:sz="2" w:space="0" w:color="808080" w:themeColor="background1" w:themeShade="80"/>
              <w:right w:val="nil"/>
            </w:tcBorders>
            <w:vAlign w:val="center"/>
            <w:hideMark/>
          </w:tcPr>
          <w:p w14:paraId="699C1288" w14:textId="77777777" w:rsidR="00BA0582" w:rsidRDefault="00BA0582" w:rsidP="00BA0582">
            <w:pPr>
              <w:spacing w:line="360" w:lineRule="auto"/>
            </w:pPr>
            <w:r>
              <w:object w:dxaOrig="2640" w:dyaOrig="960" w14:anchorId="68634DDF">
                <v:shape id="_x0000_i1201" type="#_x0000_t75" style="width:133.7pt;height:46.7pt" o:ole="">
                  <v:imagedata r:id="rId471" o:title=""/>
                </v:shape>
                <o:OLEObject Type="Embed" ProgID="ChemDraw.Document.6.0" ShapeID="_x0000_i1201" DrawAspect="Content" ObjectID="_1532785022" r:id="rId472"/>
              </w:object>
            </w:r>
          </w:p>
        </w:tc>
      </w:tr>
      <w:tr w:rsidR="00BA0582" w14:paraId="6E588E09" w14:textId="77777777" w:rsidTr="00BA0582">
        <w:tc>
          <w:tcPr>
            <w:tcW w:w="1008" w:type="dxa"/>
            <w:tcBorders>
              <w:top w:val="single" w:sz="2" w:space="0" w:color="808080" w:themeColor="background1" w:themeShade="80"/>
              <w:left w:val="nil"/>
              <w:bottom w:val="single" w:sz="2" w:space="0" w:color="808080"/>
              <w:right w:val="single" w:sz="12" w:space="0" w:color="auto"/>
            </w:tcBorders>
            <w:vAlign w:val="center"/>
            <w:hideMark/>
          </w:tcPr>
          <w:p w14:paraId="7A6814E8" w14:textId="77777777" w:rsidR="00BA0582" w:rsidRDefault="00BA0582" w:rsidP="00BA0582">
            <w:pPr>
              <w:spacing w:line="360" w:lineRule="auto"/>
              <w:jc w:val="center"/>
            </w:pPr>
            <w:r>
              <w:t>IV.1.6</w:t>
            </w:r>
          </w:p>
        </w:tc>
        <w:tc>
          <w:tcPr>
            <w:tcW w:w="3168" w:type="dxa"/>
            <w:gridSpan w:val="5"/>
            <w:tcBorders>
              <w:top w:val="single" w:sz="2" w:space="0" w:color="808080" w:themeColor="background1" w:themeShade="80"/>
              <w:left w:val="single" w:sz="12" w:space="0" w:color="auto"/>
              <w:bottom w:val="single" w:sz="2" w:space="0" w:color="808080"/>
              <w:right w:val="nil"/>
            </w:tcBorders>
            <w:vAlign w:val="center"/>
            <w:hideMark/>
          </w:tcPr>
          <w:p w14:paraId="05F6F66E" w14:textId="77777777" w:rsidR="00BA0582" w:rsidRDefault="00BA0582" w:rsidP="00BA0582">
            <w:pPr>
              <w:spacing w:line="360" w:lineRule="auto"/>
            </w:pPr>
            <w:r>
              <w:object w:dxaOrig="2680" w:dyaOrig="2140" w14:anchorId="44AF644A">
                <v:shape id="_x0000_i1202" type="#_x0000_t75" style="width:133.7pt;height:107.6pt" o:ole="">
                  <v:imagedata r:id="rId473" o:title=""/>
                </v:shape>
                <o:OLEObject Type="Embed" ProgID="ChemDraw.Document.6.0" ShapeID="_x0000_i1202" DrawAspect="Content" ObjectID="_1532785023" r:id="rId474"/>
              </w:object>
            </w:r>
          </w:p>
        </w:tc>
      </w:tr>
      <w:tr w:rsidR="00BA0582" w14:paraId="1A1FC027" w14:textId="77777777" w:rsidTr="00657AEF">
        <w:tc>
          <w:tcPr>
            <w:tcW w:w="1008" w:type="dxa"/>
            <w:tcBorders>
              <w:top w:val="single" w:sz="2" w:space="0" w:color="808080"/>
              <w:left w:val="nil"/>
              <w:bottom w:val="nil"/>
              <w:right w:val="single" w:sz="12" w:space="0" w:color="auto"/>
            </w:tcBorders>
            <w:vAlign w:val="center"/>
            <w:hideMark/>
          </w:tcPr>
          <w:p w14:paraId="564DD253" w14:textId="77777777" w:rsidR="00BA0582" w:rsidRDefault="00BA0582" w:rsidP="00BA0582">
            <w:pPr>
              <w:spacing w:line="360" w:lineRule="auto"/>
              <w:jc w:val="center"/>
            </w:pPr>
            <w:r>
              <w:t>IV.1.7</w:t>
            </w:r>
          </w:p>
        </w:tc>
        <w:tc>
          <w:tcPr>
            <w:tcW w:w="3168" w:type="dxa"/>
            <w:gridSpan w:val="5"/>
            <w:tcBorders>
              <w:top w:val="single" w:sz="2" w:space="0" w:color="808080"/>
              <w:left w:val="single" w:sz="12" w:space="0" w:color="auto"/>
              <w:bottom w:val="nil"/>
              <w:right w:val="nil"/>
            </w:tcBorders>
            <w:vAlign w:val="center"/>
            <w:hideMark/>
          </w:tcPr>
          <w:p w14:paraId="028A9917" w14:textId="77777777" w:rsidR="00BA0582" w:rsidRDefault="00BA0582" w:rsidP="00BA0582">
            <w:pPr>
              <w:spacing w:line="360" w:lineRule="auto"/>
            </w:pPr>
            <w:r>
              <w:object w:dxaOrig="3000" w:dyaOrig="460" w14:anchorId="17A74387">
                <v:shape id="_x0000_i1203" type="#_x0000_t75" style="width:148.75pt;height:25.3pt" o:ole="">
                  <v:imagedata r:id="rId475" o:title=""/>
                </v:shape>
                <o:OLEObject Type="Embed" ProgID="ChemDraw.Document.6.0" ShapeID="_x0000_i1203" DrawAspect="Content" ObjectID="_1532785024" r:id="rId476"/>
              </w:object>
            </w:r>
          </w:p>
        </w:tc>
      </w:tr>
      <w:tr w:rsidR="00657AEF" w14:paraId="6DBA953B" w14:textId="77777777" w:rsidTr="00657AEF">
        <w:tc>
          <w:tcPr>
            <w:tcW w:w="1008" w:type="dxa"/>
            <w:tcBorders>
              <w:top w:val="nil"/>
              <w:left w:val="nil"/>
              <w:bottom w:val="single" w:sz="2" w:space="0" w:color="808080"/>
              <w:right w:val="single" w:sz="12" w:space="0" w:color="auto"/>
            </w:tcBorders>
            <w:vAlign w:val="bottom"/>
          </w:tcPr>
          <w:p w14:paraId="24C767B9" w14:textId="5ADBC2E0" w:rsidR="00657AEF" w:rsidRDefault="00657AEF" w:rsidP="00657AEF">
            <w:pPr>
              <w:spacing w:line="360" w:lineRule="auto"/>
              <w:jc w:val="center"/>
            </w:pPr>
            <w:r>
              <w:t>Entry</w:t>
            </w:r>
          </w:p>
        </w:tc>
        <w:tc>
          <w:tcPr>
            <w:tcW w:w="1584" w:type="dxa"/>
            <w:gridSpan w:val="3"/>
            <w:tcBorders>
              <w:top w:val="nil"/>
              <w:left w:val="single" w:sz="12" w:space="0" w:color="auto"/>
              <w:bottom w:val="single" w:sz="2" w:space="0" w:color="808080"/>
              <w:right w:val="nil"/>
            </w:tcBorders>
            <w:vAlign w:val="center"/>
          </w:tcPr>
          <w:p w14:paraId="7960B8C7" w14:textId="77777777" w:rsidR="00657AEF" w:rsidRDefault="00657AEF" w:rsidP="00657AEF">
            <w:pPr>
              <w:spacing w:line="360" w:lineRule="auto"/>
            </w:pPr>
            <w:r>
              <w:t>Substrate</w:t>
            </w:r>
          </w:p>
        </w:tc>
        <w:tc>
          <w:tcPr>
            <w:tcW w:w="1584" w:type="dxa"/>
            <w:gridSpan w:val="2"/>
            <w:tcBorders>
              <w:top w:val="nil"/>
              <w:left w:val="nil"/>
              <w:bottom w:val="single" w:sz="2" w:space="0" w:color="808080"/>
              <w:right w:val="nil"/>
            </w:tcBorders>
            <w:vAlign w:val="center"/>
          </w:tcPr>
          <w:p w14:paraId="10E2F415" w14:textId="068073B2" w:rsidR="00657AEF" w:rsidRDefault="00657AEF" w:rsidP="00657AEF">
            <w:pPr>
              <w:spacing w:line="360" w:lineRule="auto"/>
            </w:pPr>
            <w:r>
              <w:t>Products &amp; Yields</w:t>
            </w:r>
            <w:r>
              <w:rPr>
                <w:vertAlign w:val="superscript"/>
              </w:rPr>
              <w:t>b,f</w:t>
            </w:r>
          </w:p>
        </w:tc>
      </w:tr>
      <w:tr w:rsidR="00BA0582" w14:paraId="09EE0075" w14:textId="77777777" w:rsidTr="00BA0582">
        <w:tc>
          <w:tcPr>
            <w:tcW w:w="1008" w:type="dxa"/>
            <w:tcBorders>
              <w:top w:val="single" w:sz="2" w:space="0" w:color="808080"/>
              <w:left w:val="nil"/>
              <w:bottom w:val="single" w:sz="2" w:space="0" w:color="808080"/>
              <w:right w:val="single" w:sz="12" w:space="0" w:color="auto"/>
            </w:tcBorders>
            <w:vAlign w:val="center"/>
            <w:hideMark/>
          </w:tcPr>
          <w:p w14:paraId="4F1B65DF" w14:textId="77777777" w:rsidR="00BA0582" w:rsidRDefault="00BA0582" w:rsidP="00BA0582">
            <w:pPr>
              <w:spacing w:line="360" w:lineRule="auto"/>
              <w:jc w:val="center"/>
            </w:pPr>
            <w:r>
              <w:t>IV.1.8</w:t>
            </w:r>
          </w:p>
        </w:tc>
        <w:tc>
          <w:tcPr>
            <w:tcW w:w="3168" w:type="dxa"/>
            <w:gridSpan w:val="5"/>
            <w:tcBorders>
              <w:top w:val="single" w:sz="2" w:space="0" w:color="808080"/>
              <w:left w:val="single" w:sz="12" w:space="0" w:color="auto"/>
              <w:bottom w:val="single" w:sz="2" w:space="0" w:color="808080"/>
              <w:right w:val="nil"/>
            </w:tcBorders>
            <w:vAlign w:val="center"/>
            <w:hideMark/>
          </w:tcPr>
          <w:p w14:paraId="691FF45A" w14:textId="77777777" w:rsidR="00BA0582" w:rsidRDefault="00BA0582" w:rsidP="00BA0582">
            <w:pPr>
              <w:spacing w:line="360" w:lineRule="auto"/>
            </w:pPr>
            <w:r>
              <w:object w:dxaOrig="2840" w:dyaOrig="840" w14:anchorId="06D640F4">
                <v:shape id="_x0000_i1204" type="#_x0000_t75" style="width:2in;height:41.15pt" o:ole="">
                  <v:imagedata r:id="rId477" o:title=""/>
                </v:shape>
                <o:OLEObject Type="Embed" ProgID="ChemDraw.Document.6.0" ShapeID="_x0000_i1204" DrawAspect="Content" ObjectID="_1532785025" r:id="rId478"/>
              </w:object>
            </w:r>
          </w:p>
        </w:tc>
      </w:tr>
      <w:tr w:rsidR="00BA0582" w14:paraId="6305E84B" w14:textId="77777777" w:rsidTr="00BA0582">
        <w:tc>
          <w:tcPr>
            <w:tcW w:w="1008" w:type="dxa"/>
            <w:tcBorders>
              <w:top w:val="single" w:sz="2" w:space="0" w:color="808080"/>
              <w:left w:val="nil"/>
              <w:bottom w:val="single" w:sz="2" w:space="0" w:color="808080"/>
              <w:right w:val="single" w:sz="12" w:space="0" w:color="auto"/>
            </w:tcBorders>
            <w:vAlign w:val="bottom"/>
            <w:hideMark/>
          </w:tcPr>
          <w:p w14:paraId="0A94413A" w14:textId="77777777" w:rsidR="00BA0582" w:rsidRDefault="00BA0582" w:rsidP="00BA0582">
            <w:pPr>
              <w:spacing w:line="360" w:lineRule="auto"/>
              <w:jc w:val="center"/>
            </w:pPr>
            <w:r>
              <w:t>IV.1.9</w:t>
            </w:r>
          </w:p>
        </w:tc>
        <w:tc>
          <w:tcPr>
            <w:tcW w:w="3168" w:type="dxa"/>
            <w:gridSpan w:val="5"/>
            <w:tcBorders>
              <w:top w:val="single" w:sz="2" w:space="0" w:color="808080"/>
              <w:left w:val="single" w:sz="12" w:space="0" w:color="auto"/>
              <w:bottom w:val="single" w:sz="2" w:space="0" w:color="808080"/>
              <w:right w:val="nil"/>
            </w:tcBorders>
            <w:vAlign w:val="center"/>
            <w:hideMark/>
          </w:tcPr>
          <w:p w14:paraId="749714CD" w14:textId="77777777" w:rsidR="00BA0582" w:rsidRDefault="00BA0582" w:rsidP="00BA0582">
            <w:pPr>
              <w:spacing w:line="360" w:lineRule="auto"/>
            </w:pPr>
            <w:r>
              <w:object w:dxaOrig="2140" w:dyaOrig="760" w14:anchorId="648678E0">
                <v:shape id="_x0000_i1205" type="#_x0000_t75" style="width:107.6pt;height:35.6pt" o:ole="">
                  <v:imagedata r:id="rId479" o:title=""/>
                </v:shape>
                <o:OLEObject Type="Embed" ProgID="ChemDraw.Document.6.0" ShapeID="_x0000_i1205" DrawAspect="Content" ObjectID="_1532785026" r:id="rId480"/>
              </w:object>
            </w:r>
          </w:p>
        </w:tc>
      </w:tr>
      <w:tr w:rsidR="00BA0582" w14:paraId="3E7A85DE" w14:textId="77777777" w:rsidTr="00BA0582">
        <w:tc>
          <w:tcPr>
            <w:tcW w:w="1008" w:type="dxa"/>
            <w:tcBorders>
              <w:top w:val="single" w:sz="2" w:space="0" w:color="808080"/>
              <w:left w:val="nil"/>
              <w:bottom w:val="single" w:sz="2" w:space="0" w:color="808080"/>
              <w:right w:val="single" w:sz="12" w:space="0" w:color="auto"/>
            </w:tcBorders>
            <w:vAlign w:val="bottom"/>
            <w:hideMark/>
          </w:tcPr>
          <w:p w14:paraId="74AD6DC5" w14:textId="77777777" w:rsidR="00BA0582" w:rsidRDefault="00BA0582" w:rsidP="00BA0582">
            <w:pPr>
              <w:spacing w:line="360" w:lineRule="auto"/>
              <w:jc w:val="center"/>
            </w:pPr>
            <w:r>
              <w:t>IV.1.10</w:t>
            </w:r>
          </w:p>
        </w:tc>
        <w:tc>
          <w:tcPr>
            <w:tcW w:w="3168" w:type="dxa"/>
            <w:gridSpan w:val="5"/>
            <w:tcBorders>
              <w:top w:val="single" w:sz="2" w:space="0" w:color="808080"/>
              <w:left w:val="single" w:sz="12" w:space="0" w:color="auto"/>
              <w:bottom w:val="single" w:sz="2" w:space="0" w:color="808080"/>
              <w:right w:val="nil"/>
            </w:tcBorders>
            <w:vAlign w:val="center"/>
            <w:hideMark/>
          </w:tcPr>
          <w:p w14:paraId="3C590751" w14:textId="77777777" w:rsidR="00BA0582" w:rsidRDefault="00BA0582" w:rsidP="00BA0582">
            <w:pPr>
              <w:spacing w:line="360" w:lineRule="auto"/>
            </w:pPr>
            <w:r>
              <w:object w:dxaOrig="2100" w:dyaOrig="740" w14:anchorId="15D817F9">
                <v:shape id="_x0000_i1206" type="#_x0000_t75" style="width:102.85pt;height:36.4pt" o:ole="">
                  <v:imagedata r:id="rId481" o:title=""/>
                </v:shape>
                <o:OLEObject Type="Embed" ProgID="ChemDraw.Document.6.0" ShapeID="_x0000_i1206" DrawAspect="Content" ObjectID="_1532785027" r:id="rId482"/>
              </w:object>
            </w:r>
          </w:p>
        </w:tc>
      </w:tr>
      <w:tr w:rsidR="00EB759E" w14:paraId="2598DE47" w14:textId="77777777" w:rsidTr="007A65FE">
        <w:trPr>
          <w:gridAfter w:val="1"/>
          <w:wAfter w:w="342" w:type="dxa"/>
        </w:trPr>
        <w:tc>
          <w:tcPr>
            <w:tcW w:w="1008" w:type="dxa"/>
            <w:tcBorders>
              <w:top w:val="single" w:sz="2" w:space="0" w:color="808080"/>
              <w:left w:val="nil"/>
              <w:bottom w:val="single" w:sz="12" w:space="0" w:color="auto"/>
              <w:right w:val="single" w:sz="12" w:space="0" w:color="auto"/>
            </w:tcBorders>
            <w:vAlign w:val="bottom"/>
          </w:tcPr>
          <w:p w14:paraId="7D6E6E83" w14:textId="77777777" w:rsidR="00EB759E" w:rsidRDefault="00EB759E" w:rsidP="00EB759E">
            <w:pPr>
              <w:spacing w:line="360" w:lineRule="auto"/>
              <w:jc w:val="center"/>
            </w:pPr>
            <w:r>
              <w:t>Entry</w:t>
            </w:r>
          </w:p>
        </w:tc>
        <w:tc>
          <w:tcPr>
            <w:tcW w:w="1242" w:type="dxa"/>
            <w:gridSpan w:val="2"/>
            <w:tcBorders>
              <w:top w:val="single" w:sz="2" w:space="0" w:color="808080"/>
              <w:left w:val="single" w:sz="12" w:space="0" w:color="auto"/>
              <w:bottom w:val="single" w:sz="12" w:space="0" w:color="auto"/>
              <w:right w:val="nil"/>
            </w:tcBorders>
            <w:vAlign w:val="center"/>
          </w:tcPr>
          <w:p w14:paraId="109281C4" w14:textId="77777777" w:rsidR="00EB759E" w:rsidRDefault="00EB759E" w:rsidP="00EB759E">
            <w:pPr>
              <w:spacing w:line="360" w:lineRule="auto"/>
            </w:pPr>
            <w:r>
              <w:t>Substrate</w:t>
            </w:r>
          </w:p>
        </w:tc>
        <w:tc>
          <w:tcPr>
            <w:tcW w:w="1584" w:type="dxa"/>
            <w:gridSpan w:val="2"/>
            <w:tcBorders>
              <w:top w:val="single" w:sz="2" w:space="0" w:color="808080"/>
              <w:left w:val="nil"/>
              <w:bottom w:val="single" w:sz="4" w:space="0" w:color="auto"/>
              <w:right w:val="nil"/>
            </w:tcBorders>
            <w:vAlign w:val="center"/>
          </w:tcPr>
          <w:p w14:paraId="5F88FE83" w14:textId="77777777" w:rsidR="00EB759E" w:rsidRDefault="00EB759E" w:rsidP="00EB759E">
            <w:pPr>
              <w:spacing w:line="360" w:lineRule="auto"/>
            </w:pPr>
            <w:r>
              <w:t>Products &amp; Yields</w:t>
            </w:r>
            <w:r>
              <w:rPr>
                <w:vertAlign w:val="superscript"/>
              </w:rPr>
              <w:t>b,f</w:t>
            </w:r>
          </w:p>
        </w:tc>
      </w:tr>
      <w:tr w:rsidR="00BA0582" w14:paraId="74B590F6" w14:textId="77777777" w:rsidTr="00EB759E">
        <w:tc>
          <w:tcPr>
            <w:tcW w:w="1008" w:type="dxa"/>
            <w:tcBorders>
              <w:top w:val="single" w:sz="12" w:space="0" w:color="auto"/>
              <w:left w:val="nil"/>
              <w:bottom w:val="single" w:sz="4" w:space="0" w:color="auto"/>
              <w:right w:val="single" w:sz="12" w:space="0" w:color="auto"/>
            </w:tcBorders>
            <w:vAlign w:val="center"/>
            <w:hideMark/>
          </w:tcPr>
          <w:p w14:paraId="749418D7" w14:textId="77777777" w:rsidR="00BA0582" w:rsidRDefault="00BA0582" w:rsidP="00BA0582">
            <w:pPr>
              <w:spacing w:line="360" w:lineRule="auto"/>
              <w:jc w:val="center"/>
            </w:pPr>
            <w:r>
              <w:t>IV.1.11</w:t>
            </w:r>
            <w:r>
              <w:rPr>
                <w:vertAlign w:val="superscript"/>
              </w:rPr>
              <w:t>e</w:t>
            </w:r>
          </w:p>
        </w:tc>
        <w:tc>
          <w:tcPr>
            <w:tcW w:w="3168" w:type="dxa"/>
            <w:gridSpan w:val="5"/>
            <w:tcBorders>
              <w:top w:val="single" w:sz="12" w:space="0" w:color="auto"/>
              <w:left w:val="single" w:sz="12" w:space="0" w:color="auto"/>
              <w:bottom w:val="single" w:sz="4" w:space="0" w:color="auto"/>
              <w:right w:val="nil"/>
            </w:tcBorders>
            <w:vAlign w:val="center"/>
            <w:hideMark/>
          </w:tcPr>
          <w:p w14:paraId="7089E225" w14:textId="77777777" w:rsidR="00BA0582" w:rsidRDefault="00BA0582" w:rsidP="00BA0582">
            <w:pPr>
              <w:spacing w:line="360" w:lineRule="auto"/>
            </w:pPr>
            <w:r>
              <w:object w:dxaOrig="2800" w:dyaOrig="1180" w14:anchorId="1E1C62D5">
                <v:shape id="_x0000_i1207" type="#_x0000_t75" style="width:139.25pt;height:56.2pt" o:ole="">
                  <v:imagedata r:id="rId483" o:title=""/>
                </v:shape>
                <o:OLEObject Type="Embed" ProgID="ChemDraw.Document.6.0" ShapeID="_x0000_i1207" DrawAspect="Content" ObjectID="_1532785028" r:id="rId484"/>
              </w:object>
            </w:r>
          </w:p>
        </w:tc>
      </w:tr>
      <w:tr w:rsidR="00BA0582" w14:paraId="7EF2228B" w14:textId="77777777" w:rsidTr="00BA0582">
        <w:tc>
          <w:tcPr>
            <w:tcW w:w="4176" w:type="dxa"/>
            <w:gridSpan w:val="6"/>
            <w:tcBorders>
              <w:top w:val="single" w:sz="4" w:space="0" w:color="auto"/>
              <w:left w:val="nil"/>
              <w:bottom w:val="single" w:sz="4" w:space="0" w:color="auto"/>
              <w:right w:val="nil"/>
            </w:tcBorders>
            <w:vAlign w:val="center"/>
            <w:hideMark/>
          </w:tcPr>
          <w:p w14:paraId="74872061" w14:textId="77777777" w:rsidR="00BA0582" w:rsidRDefault="00BA0582" w:rsidP="00BA0582">
            <w:pPr>
              <w:spacing w:line="276" w:lineRule="auto"/>
              <w:jc w:val="both"/>
            </w:pPr>
            <w:r>
              <w:rPr>
                <w:sz w:val="18"/>
              </w:rPr>
              <w:t>a) 0.1M reactants (ROH and PPh</w:t>
            </w:r>
            <w:r>
              <w:rPr>
                <w:sz w:val="18"/>
                <w:vertAlign w:val="subscript"/>
              </w:rPr>
              <w:t>3</w:t>
            </w:r>
            <w:r>
              <w:rPr>
                <w:sz w:val="18"/>
              </w:rPr>
              <w:t xml:space="preserve">), 0.011M </w:t>
            </w:r>
            <w:r>
              <w:rPr>
                <w:b/>
                <w:sz w:val="18"/>
              </w:rPr>
              <w:t>1</w:t>
            </w:r>
            <w:r>
              <w:rPr>
                <w:sz w:val="18"/>
              </w:rPr>
              <w:t>, benzene solvent, 150</w:t>
            </w:r>
            <w:r>
              <w:rPr>
                <w:sz w:val="18"/>
                <w:vertAlign w:val="superscript"/>
              </w:rPr>
              <w:t>o</w:t>
            </w:r>
            <w:r>
              <w:rPr>
                <w:sz w:val="18"/>
              </w:rPr>
              <w:t xml:space="preserve">C (sealed tube), 24h. b) Yields determined by </w:t>
            </w:r>
            <w:r>
              <w:rPr>
                <w:sz w:val="18"/>
                <w:vertAlign w:val="superscript"/>
              </w:rPr>
              <w:t>1</w:t>
            </w:r>
            <w:r>
              <w:rPr>
                <w:sz w:val="18"/>
              </w:rPr>
              <w:t>H NMR integration with Me</w:t>
            </w:r>
            <w:r>
              <w:rPr>
                <w:sz w:val="18"/>
                <w:vertAlign w:val="subscript"/>
              </w:rPr>
              <w:t>2</w:t>
            </w:r>
            <w:r>
              <w:rPr>
                <w:sz w:val="18"/>
              </w:rPr>
              <w:t>NCHO or CH</w:t>
            </w:r>
            <w:r>
              <w:rPr>
                <w:sz w:val="18"/>
                <w:vertAlign w:val="subscript"/>
              </w:rPr>
              <w:t>2</w:t>
            </w:r>
            <w:r>
              <w:rPr>
                <w:sz w:val="18"/>
              </w:rPr>
              <w:t>ClCH</w:t>
            </w:r>
            <w:r>
              <w:rPr>
                <w:sz w:val="18"/>
                <w:vertAlign w:val="subscript"/>
              </w:rPr>
              <w:t>2</w:t>
            </w:r>
            <w:r>
              <w:rPr>
                <w:sz w:val="18"/>
              </w:rPr>
              <w:t xml:space="preserve">Cl internal standard. c) Isolated yield after column chromatography. d) 1mol% </w:t>
            </w:r>
            <w:r>
              <w:rPr>
                <w:b/>
                <w:sz w:val="18"/>
              </w:rPr>
              <w:t>1</w:t>
            </w:r>
            <w:r>
              <w:rPr>
                <w:sz w:val="18"/>
              </w:rPr>
              <w:t>, 168h. e) 92h reaction time f</w:t>
            </w:r>
            <w:r>
              <w:rPr>
                <w:sz w:val="18"/>
                <w:szCs w:val="18"/>
              </w:rPr>
              <w:t>) PPh</w:t>
            </w:r>
            <w:r>
              <w:rPr>
                <w:sz w:val="18"/>
                <w:szCs w:val="18"/>
                <w:vertAlign w:val="subscript"/>
              </w:rPr>
              <w:t>3</w:t>
            </w:r>
            <w:r>
              <w:rPr>
                <w:sz w:val="18"/>
                <w:szCs w:val="18"/>
              </w:rPr>
              <w:t xml:space="preserve"> was almost entirely consumed for the ROH to R-H reactions, but ca. 50% remained for the ROH to R-R reactions</w:t>
            </w:r>
          </w:p>
        </w:tc>
      </w:tr>
    </w:tbl>
    <w:p w14:paraId="2A2431B2" w14:textId="77777777" w:rsidR="00BA0582" w:rsidRDefault="00BA0582" w:rsidP="00BA0582">
      <w:pPr>
        <w:spacing w:line="360" w:lineRule="auto"/>
        <w:rPr>
          <w:color w:val="365F91" w:themeColor="accent1" w:themeShade="BF"/>
        </w:rPr>
        <w:sectPr w:rsidR="00BA0582">
          <w:type w:val="continuous"/>
          <w:pgSz w:w="12240" w:h="15840"/>
          <w:pgMar w:top="1440" w:right="1440" w:bottom="1440" w:left="1440" w:header="720" w:footer="720" w:gutter="0"/>
          <w:cols w:num="2" w:space="720"/>
        </w:sectPr>
      </w:pPr>
    </w:p>
    <w:p w14:paraId="4993559A" w14:textId="77777777" w:rsidR="00497A22" w:rsidRPr="00497A22" w:rsidRDefault="00BA0582" w:rsidP="00497A22">
      <w:pPr>
        <w:ind w:firstLine="360"/>
        <w:jc w:val="both"/>
        <w:rPr>
          <w:rFonts w:cstheme="minorHAnsi"/>
        </w:rPr>
      </w:pPr>
      <w:r w:rsidRPr="00BA0582">
        <w:rPr>
          <w:rFonts w:cstheme="minorHAnsi"/>
        </w:rPr>
        <w:t>The formation of dimer product under these condition can be called a reductive coupling (RC) of alcohol. The RC process and also the catalytic deoxygenation (DO) have not been much described using homogeneous transition metal catalysis. The deoxygenation of activated alcohols was reported using stoichiometric Cp</w:t>
      </w:r>
      <w:r w:rsidRPr="00BA0582">
        <w:rPr>
          <w:rFonts w:cstheme="minorHAnsi"/>
          <w:vertAlign w:val="subscript"/>
        </w:rPr>
        <w:t>2</w:t>
      </w:r>
      <w:r w:rsidRPr="00BA0582">
        <w:rPr>
          <w:rFonts w:cstheme="minorHAnsi"/>
        </w:rPr>
        <w:t>TiCl</w:t>
      </w:r>
      <w:r w:rsidRPr="00BA0582">
        <w:rPr>
          <w:rFonts w:cstheme="minorHAnsi"/>
        </w:rPr>
        <w:fldChar w:fldCharType="begin"/>
      </w:r>
      <w:r w:rsidR="0091451B">
        <w:rPr>
          <w:rFonts w:cstheme="minorHAnsi"/>
        </w:rPr>
        <w:instrText xml:space="preserve"> ADDIN ZOTERO_ITEM CSL_CITATION {"citationID":"1il4sqacja","properties":{"formattedCitation":"{\\rtf \\super 196\\nosupersub{}}","plainCitation":"196"},"citationItems":[{"id":1842,"uris":["http://zotero.org/users/1624234/items/QHFC37QN"],"uri":["http://zotero.org/users/1624234/items/QHFC37QN"],"itemData":{"id":1842,"type":"article-journal","title":"Weakening C−O Bonds: Ti(III), a New Reagent for Alcohol Deoxygenation and Carbonyl Coupling Olefination","container-title":"Journal of the American Chemical Society","page":"254-259","volume":"132","issue":"1","source":"ACS Publications","abstract":"Investigations detailed herein, including density functional theory (DFT) calculations, demonstrate that the formation of either alkoxy− or hydroxy−Ti(III) complexes considerably decreases the energy of activation for C−O bond homolysis. As a consequence of this observation, we described two new synthetic applications of Nugent’s reagent in organic chemistry. The first of these applications is an one-step methodology for deoxygenation−reduction of alcohols, including benzylic and allylic alcohols and 1,2-dihydroxy compounds. Additionally, we have also proved that Ti(III) is capable of mediating carbonyl coupling−olefination. In this sense, and despite the fact that for over 35 years it has been widely accepted that either Ti(II) or Ti(0) was the active species in the reductive process of the McMurry reaction, the mechanistic evidence presented proves the involvement of Ti(III) pinacolates in the deoxygenation step of the herein described Nugent’s reagent-mediated McMurry olefination. This observation sheds some light on probably one of the mechanistically more complex transformations in organic chemistry. Finally, we have also proved that both of these processes can be performed catalytically in Cp2TiCl2 by using trimethylsilyl chloride (TMSCl) as the final oxygen trap.","DOI":"10.1021/ja906083c","ISSN":"0002-7863","shortTitle":"Weakening C−O Bonds","journalAbbreviation":"J. Am. Chem. Soc.","author":[{"family":"Diéguez","given":"Horacio R."},{"family":"López","given":"Armando"},{"family":"Domingo","given":"Victoriano"},{"family":"Arteaga","given":"Jesús F."},{"family":"Dobado","given":"José A."},{"family":"Herrador","given":"M. Mar"},{"family":"Quílez del Moral","given":"José F."},{"family":"Barrero","given":"Alejandro F."}],"issued":{"date-parts":[["2010",1,13]]}}}],"schema":"https://github.com/citation-style-language/schema/raw/master/csl-citation.json"} </w:instrText>
      </w:r>
      <w:r w:rsidRPr="00BA0582">
        <w:rPr>
          <w:rFonts w:cstheme="minorHAnsi"/>
        </w:rPr>
        <w:fldChar w:fldCharType="separate"/>
      </w:r>
      <w:r w:rsidR="0091451B" w:rsidRPr="0091451B">
        <w:rPr>
          <w:rFonts w:ascii="Times New Roman" w:hAnsi="Times New Roman"/>
          <w:vertAlign w:val="superscript"/>
        </w:rPr>
        <w:t>196</w:t>
      </w:r>
      <w:r w:rsidRPr="00BA0582">
        <w:rPr>
          <w:rFonts w:cstheme="minorHAnsi"/>
        </w:rPr>
        <w:fldChar w:fldCharType="end"/>
      </w:r>
      <w:r w:rsidRPr="00BA0582">
        <w:rPr>
          <w:rFonts w:cstheme="minorHAnsi"/>
        </w:rPr>
        <w:t xml:space="preserve"> and W</w:t>
      </w:r>
      <w:r w:rsidRPr="00BA0582">
        <w:rPr>
          <w:rFonts w:cstheme="minorHAnsi"/>
          <w:vertAlign w:val="superscript"/>
        </w:rPr>
        <w:t>ii</w:t>
      </w:r>
      <w:r w:rsidRPr="00BA0582">
        <w:rPr>
          <w:rFonts w:cstheme="minorHAnsi"/>
        </w:rPr>
        <w:t>Cl</w:t>
      </w:r>
      <w:r w:rsidRPr="00BA0582">
        <w:rPr>
          <w:rFonts w:cstheme="minorHAnsi"/>
          <w:vertAlign w:val="subscript"/>
        </w:rPr>
        <w:t>2</w:t>
      </w:r>
      <w:r w:rsidRPr="00BA0582">
        <w:rPr>
          <w:rFonts w:cstheme="minorHAnsi"/>
        </w:rPr>
        <w:t>(PMe</w:t>
      </w:r>
      <w:r w:rsidRPr="00BA0582">
        <w:rPr>
          <w:rFonts w:cstheme="minorHAnsi"/>
          <w:vertAlign w:val="subscript"/>
        </w:rPr>
        <w:t>3</w:t>
      </w:r>
      <w:r w:rsidRPr="00BA0582">
        <w:rPr>
          <w:rFonts w:cstheme="minorHAnsi"/>
        </w:rPr>
        <w:t>)</w:t>
      </w:r>
      <w:r w:rsidRPr="00BA0582">
        <w:rPr>
          <w:rFonts w:cstheme="minorHAnsi"/>
          <w:vertAlign w:val="subscript"/>
        </w:rPr>
        <w:t>4</w:t>
      </w:r>
      <w:r w:rsidRPr="00BA0582">
        <w:rPr>
          <w:rFonts w:cstheme="minorHAnsi"/>
          <w:highlight w:val="green"/>
          <w:vertAlign w:val="superscript"/>
        </w:rPr>
        <w:fldChar w:fldCharType="begin"/>
      </w:r>
      <w:r w:rsidR="0091451B">
        <w:rPr>
          <w:rFonts w:cstheme="minorHAnsi"/>
          <w:highlight w:val="green"/>
          <w:vertAlign w:val="superscript"/>
        </w:rPr>
        <w:instrText xml:space="preserve"> ADDIN ZOTERO_ITEM CSL_CITATION {"citationID":"15piuihfhf","properties":{"formattedCitation":"{\\rtf \\super 197\\nosupersub{}}","plainCitation":"197"},"citationItems":[{"id":1903,"uris":["http://zotero.org/users/1624234/items/XT8DVC55"],"uri":["http://zotero.org/users/1624234/items/XT8DVC55"],"itemData":{"id":1903,"type":"article-journal","title":"C−O Bond Homolysis in a Tungsten Alkoxide:  The Mechanism of Alcohol Deoxygenation by WCl2(PMe3)4 and WH2Cl2(PMe3)4","container-title":"Journal of the American Chemical Society","page":"8485-8491","volume":"119","issue":"36","source":"ACS Publications","abstract":"Reactions of alcohols with WCl2(PMe3)4 (1) or WH2Cl2(PMe3)4 (2) yield W(O)Cl2(PMe3)3 (3), PMe3, and hydrocarbons. Cyclopropanemethanol is deoxygenated to give 1-butene and a trace of trans-2-butene as the organic products; benzyl alcohol yields toluene and bibenzyl. These products indicate the intermediacy of organic radicals. Benzyl radicals in the reaction of 1 with PhCH2OH can be trapped by added 2 or by 9,10-dihydroanthracene (DHA), leading to increased yields of toluene vs bibenzyl. With WD2Cl2(PMe3)4 (2-d2) or DHA-d12, PhCH2D is formed. The reaction of methanol with 1 proceeds similarly in the presence of DHA, forming 3 and methane. Kinetic studies on the reaction of 1 with benzyl alcohol indicate that the reaction proceeds via alkoxide intermediates. A mechanism involving homolysis of the C−O bond in an alkoxide intermediate is suggested by these results. The thermodynamics of this unusual transformation are discussed.","DOI":"10.1021/ja970929s","ISSN":"0002-7863","shortTitle":"C−O Bond Homolysis in a Tungsten Alkoxide","journalAbbreviation":"J. Am. Chem. Soc.","author":[{"family":"Crevier","given":"Thomas J."},{"family":"Mayer","given":"James M."}],"issued":{"date-parts":[["1997",9,1]]}}}],"schema":"https://github.com/citation-style-language/schema/raw/master/csl-citation.json"} </w:instrText>
      </w:r>
      <w:r w:rsidRPr="00BA0582">
        <w:rPr>
          <w:rFonts w:cstheme="minorHAnsi"/>
          <w:highlight w:val="green"/>
          <w:vertAlign w:val="superscript"/>
        </w:rPr>
        <w:fldChar w:fldCharType="separate"/>
      </w:r>
      <w:r w:rsidR="0091451B" w:rsidRPr="0091451B">
        <w:rPr>
          <w:rFonts w:ascii="Times New Roman" w:hAnsi="Times New Roman"/>
          <w:vertAlign w:val="superscript"/>
        </w:rPr>
        <w:t>197</w:t>
      </w:r>
      <w:r w:rsidRPr="00BA0582">
        <w:rPr>
          <w:rFonts w:cstheme="minorHAnsi"/>
          <w:highlight w:val="green"/>
          <w:vertAlign w:val="superscript"/>
        </w:rPr>
        <w:fldChar w:fldCharType="end"/>
      </w:r>
      <w:r w:rsidRPr="00BA0582">
        <w:rPr>
          <w:rFonts w:cstheme="minorHAnsi"/>
        </w:rPr>
        <w:t>, and catalytic PMHS/PdCl</w:t>
      </w:r>
      <w:r w:rsidRPr="00BA0582">
        <w:rPr>
          <w:rFonts w:cstheme="minorHAnsi"/>
          <w:vertAlign w:val="subscript"/>
        </w:rPr>
        <w:t>2</w:t>
      </w:r>
      <w:r w:rsidRPr="00BA0582">
        <w:rPr>
          <w:rFonts w:cstheme="minorHAnsi"/>
        </w:rPr>
        <w:t>.</w:t>
      </w:r>
      <w:r w:rsidRPr="00BA0582">
        <w:rPr>
          <w:rFonts w:cstheme="minorHAnsi"/>
          <w:highlight w:val="green"/>
          <w:vertAlign w:val="superscript"/>
        </w:rPr>
        <w:fldChar w:fldCharType="begin"/>
      </w:r>
      <w:r w:rsidR="0091451B">
        <w:rPr>
          <w:rFonts w:cstheme="minorHAnsi"/>
          <w:highlight w:val="green"/>
          <w:vertAlign w:val="superscript"/>
        </w:rPr>
        <w:instrText xml:space="preserve"> ADDIN ZOTERO_ITEM CSL_CITATION {"citationID":"2jtg364u8i","properties":{"formattedCitation":"{\\rtf \\super 198\\nosupersub{}}","plainCitation":"198"},"citationItems":[{"id":1816,"uris":["http://zotero.org/users/1624234/items/KUZWZI5W"],"uri":["http://zotero.org/users/1624234/items/KUZWZI5W"],"itemData":{"id":1816,"type":"article-journal","title":"Efficient Palladium-Catalyzed CO Hydrogenolysis of Benzylic Alcohols and Aromatic Ketones with Polymethylhydrosiloxane","container-title":"Advanced Synthesis &amp; Catalysis","page":"341-347","volume":"355","issue":"2-3","source":"Wiley Online Library","abstract":"A simple method has been developed for the reductive deoxygenation of aromatic ketones and benzylic alcohols in the presence of polymethylhydrosiloxane (PMHS). The reductive deoxygenation of aromatic ketones and benzylic alcohols, including secondary alcohols, to the corresponding methylene hydrocarbons has been achieved in good to excellent yields using palladium chloride (PdCl2) as catalyst and PMHS as hydride source. Such deoxygenations were successfully with aryl alkyl ketones and diaryl ketones, as exemplified by the reductive deoxygenation of acetophenone and benzopheneone, respectively. The corresponding benzylic alcohols and secondary alcohol analogues could also be converted into their respective methylene hydrocarbons by the PdCl2/PMHS system.","DOI":"10.1002/adsc.201200832","ISSN":"1615-4169","journalAbbreviation":"Adv. Synth. Catal.","language":"en","author":[{"family":"Wang","given":"Hu"},{"family":"Li","given":"Li"},{"family":"Bai","given":"Xing-Feng"},{"family":"Shang","given":"Jun-Yan"},{"family":"Yang","given":"Ke-Fang"},{"family":"Xu","given":"Li-Wen"}],"issued":{"date-parts":[["2013",2,11]]}}}],"schema":"https://github.com/citation-style-language/schema/raw/master/csl-citation.json"} </w:instrText>
      </w:r>
      <w:r w:rsidRPr="00BA0582">
        <w:rPr>
          <w:rFonts w:cstheme="minorHAnsi"/>
          <w:highlight w:val="green"/>
          <w:vertAlign w:val="superscript"/>
        </w:rPr>
        <w:fldChar w:fldCharType="separate"/>
      </w:r>
      <w:r w:rsidR="0091451B" w:rsidRPr="0091451B">
        <w:rPr>
          <w:rFonts w:ascii="Times New Roman" w:hAnsi="Times New Roman"/>
          <w:vertAlign w:val="superscript"/>
        </w:rPr>
        <w:t>198</w:t>
      </w:r>
      <w:r w:rsidRPr="00BA0582">
        <w:rPr>
          <w:rFonts w:cstheme="minorHAnsi"/>
          <w:highlight w:val="green"/>
          <w:vertAlign w:val="superscript"/>
        </w:rPr>
        <w:fldChar w:fldCharType="end"/>
      </w:r>
      <w:r w:rsidRPr="00BA0582">
        <w:rPr>
          <w:rFonts w:cstheme="minorHAnsi"/>
        </w:rPr>
        <w:t xml:space="preserve"> Only the stoichiometric RC of activated alcohols by reduced Ti-compounds</w:t>
      </w:r>
      <w:r w:rsidRPr="00BA0582">
        <w:rPr>
          <w:rFonts w:cstheme="minorHAnsi"/>
          <w:highlight w:val="green"/>
          <w:vertAlign w:val="superscript"/>
        </w:rPr>
        <w:fldChar w:fldCharType="begin"/>
      </w:r>
      <w:r w:rsidR="0091451B">
        <w:rPr>
          <w:rFonts w:cstheme="minorHAnsi"/>
          <w:highlight w:val="green"/>
          <w:vertAlign w:val="superscript"/>
        </w:rPr>
        <w:instrText xml:space="preserve"> ADDIN ZOTERO_ITEM CSL_CITATION {"citationID":"2hdq87h4uh","properties":{"formattedCitation":"{\\rtf \\super 199\\uc0\\u8211{}202\\nosupersub{}}","plainCitation":"199–202"},"citationItems":[{"id":1977,"uris":["http://zotero.org/users/1624234/items/RG5HRVC7"],"uri":["http://zotero.org/users/1624234/items/RG5HRVC7"],"itemData":{"id":1977,"type":"article-journal","title":"Reductive Coupling of Alcohols to Hydrocarbons","container-title":"Journal of the American Chemical Society","page":"3277-3278","volume":"87","issue":"14","source":"ACS Publications","DOI":"10.1021/ja01092a069","ISSN":"0002-7863","journalAbbreviation":"J. Am. Chem. Soc.","author":[{"family":"Tamelen","given":"Eugene E.","non-dropping-particle":"van"},{"family":"Schwartz","given":"Martin A."}],"issued":{"date-parts":[["1965",7,1]]}}},{"id":1971,"uris":["http://zotero.org/users/1624234/items/QFZMRHES"],"uri":["http://zotero.org/users/1624234/items/QFZMRHES"],"itemData":{"id":1971,"type":"article-journal","title":"Simplified method for the titanium(II)-induced coupling of allylic and benzylic alcohols","container-title":"The Journal of Organic Chemistry","page":"2687-2688","volume":"40","issue":"18","source":"ACS Publications","DOI":"10.1021/jo00906a027","ISSN":"0022-3263","journalAbbreviation":"J. Org. Chem.","author":[{"family":"McMurry","given":"John E."},{"family":"Silvestri","given":"Michael"}],"issued":{"date-parts":[["1975",9,1]]}}},{"id":1881,"uris":["http://zotero.org/users/1624234/items/3PXC3A4F"],"uri":["http://zotero.org/users/1624234/items/3PXC3A4F"],"itemData":{"id":1881,"type":"article-journal","title":"The Head-to-Head ReductiveCoupling of Homoallylic Alcohols Promoted by Titanium(II)-OlefinComplexes","container-title":"Synlett","page":"0967-0970","issue":"7","source":"CrossRef","DOI":"10.1055/s-2003-39300","ISSN":"0936-5214, 1437-2096","language":"en","author":[{"family":"Isakov","given":"Vladimir E."},{"family":"Kulinkovich","given":"Oleg G."}],"issued":{"date-parts":[["2003"]]}}},{"id":1870,"uris":["http://zotero.org/users/1624234/items/332XIF2R"],"uri":["http://zotero.org/users/1624234/items/332XIF2R"],"itemData":{"id":1870,"type":"article-journal","title":"A simple method for the conversion of propargyl alcohols to symmetrical 1,5-diynes using low valent titanium reagents","container-title":"Tetrahedron Letters","page":"3549-3552","volume":"47","issue":"21","source":"ScienceDirect","abstract":"Reaction of propargyl alcohols with low valent titanium species, prepared using the TiCl4/Et3N and TiCl4/Zn reagent systems, gives the corresponding symmetrical 1,5-diynes in 56–74% yields.","DOI":"10.1016/j.tetlet.2006.03.097","ISSN":"0040-4039","journalAbbreviation":"Tetrahedron Letters","author":[{"family":"Karunakar","given":"Galla V."},{"family":"Periasamy","given":"Mariappan"}],"issued":{"date-parts":[["2006",5,22]]}}}],"schema":"https://github.com/citation-style-language/schema/raw/master/csl-citation.json"} </w:instrText>
      </w:r>
      <w:r w:rsidRPr="00BA0582">
        <w:rPr>
          <w:rFonts w:cstheme="minorHAnsi"/>
          <w:highlight w:val="green"/>
          <w:vertAlign w:val="superscript"/>
        </w:rPr>
        <w:fldChar w:fldCharType="separate"/>
      </w:r>
      <w:r w:rsidR="0091451B" w:rsidRPr="0091451B">
        <w:rPr>
          <w:rFonts w:ascii="Times New Roman" w:hAnsi="Times New Roman"/>
          <w:vertAlign w:val="superscript"/>
        </w:rPr>
        <w:t>199–202</w:t>
      </w:r>
      <w:r w:rsidRPr="00BA0582">
        <w:rPr>
          <w:rFonts w:cstheme="minorHAnsi"/>
          <w:highlight w:val="green"/>
          <w:vertAlign w:val="superscript"/>
        </w:rPr>
        <w:fldChar w:fldCharType="end"/>
      </w:r>
      <w:r w:rsidRPr="00BA0582">
        <w:rPr>
          <w:rFonts w:cstheme="minorHAnsi"/>
        </w:rPr>
        <w:t xml:space="preserve"> and La/Me</w:t>
      </w:r>
      <w:r w:rsidRPr="00BA0582">
        <w:rPr>
          <w:rFonts w:cstheme="minorHAnsi"/>
          <w:vertAlign w:val="subscript"/>
        </w:rPr>
        <w:t>3</w:t>
      </w:r>
      <w:r w:rsidRPr="00BA0582">
        <w:rPr>
          <w:rFonts w:cstheme="minorHAnsi"/>
        </w:rPr>
        <w:t>SiCl,</w:t>
      </w:r>
      <w:r w:rsidRPr="00BA0582">
        <w:rPr>
          <w:rFonts w:cstheme="minorHAnsi"/>
          <w:highlight w:val="green"/>
          <w:vertAlign w:val="superscript"/>
        </w:rPr>
        <w:fldChar w:fldCharType="begin"/>
      </w:r>
      <w:r w:rsidR="0091451B">
        <w:rPr>
          <w:rFonts w:cstheme="minorHAnsi"/>
          <w:highlight w:val="green"/>
          <w:vertAlign w:val="superscript"/>
        </w:rPr>
        <w:instrText xml:space="preserve"> ADDIN ZOTERO_ITEM CSL_CITATION {"citationID":"1fe4bit1mr","properties":{"formattedCitation":"{\\rtf \\super 203\\nosupersub{}}","plainCitation":"203"},"citationItems":[{"id":1885,"uris":["http://zotero.org/users/1624234/items/CIEJ3THG"],"uri":["http://zotero.org/users/1624234/items/CIEJ3THG"],"itemData":{"id":1885,"type":"article-journal","title":"Deoxygenative Dimerization of Benzylic and Allylic Alcohols, and Their Ethers and Esters Using Lanthanum Metal and Chlorotrimethylsilane in the Presence of a Catalytic Amount of Iodine and Copper(I) Iodide","container-title":"Bulletin of the Chemical Society of Japan","page":"635-641","volume":"76","issue":"3","source":"J-Stage","DOI":"10.1246/bcsj.76.635","author":[{"family":"Nishino","given":"Toshiki"},{"family":"Nishiyama","given":"Yutaka"},{"family":"Sonoda","given":"Noboru"}],"issued":{"date-parts":[["2003"]]}}}],"schema":"https://github.com/citation-style-language/schema/raw/master/csl-citation.json"} </w:instrText>
      </w:r>
      <w:r w:rsidRPr="00BA0582">
        <w:rPr>
          <w:rFonts w:cstheme="minorHAnsi"/>
          <w:highlight w:val="green"/>
          <w:vertAlign w:val="superscript"/>
        </w:rPr>
        <w:fldChar w:fldCharType="separate"/>
      </w:r>
      <w:r w:rsidR="0091451B" w:rsidRPr="0091451B">
        <w:rPr>
          <w:rFonts w:ascii="Times New Roman" w:hAnsi="Times New Roman"/>
          <w:vertAlign w:val="superscript"/>
        </w:rPr>
        <w:t>203</w:t>
      </w:r>
      <w:r w:rsidRPr="00BA0582">
        <w:rPr>
          <w:rFonts w:cstheme="minorHAnsi"/>
          <w:highlight w:val="green"/>
          <w:vertAlign w:val="superscript"/>
        </w:rPr>
        <w:fldChar w:fldCharType="end"/>
      </w:r>
      <w:r w:rsidRPr="00BA0582">
        <w:rPr>
          <w:rFonts w:cstheme="minorHAnsi"/>
        </w:rPr>
        <w:t xml:space="preserve"> and a Cu-catalyzed La/Me</w:t>
      </w:r>
      <w:r w:rsidRPr="00BA0582">
        <w:rPr>
          <w:rFonts w:cstheme="minorHAnsi"/>
          <w:vertAlign w:val="subscript"/>
        </w:rPr>
        <w:t>3</w:t>
      </w:r>
      <w:r w:rsidRPr="00BA0582">
        <w:rPr>
          <w:rFonts w:cstheme="minorHAnsi"/>
        </w:rPr>
        <w:t>SiCl variant have been reported.</w:t>
      </w:r>
      <w:r w:rsidRPr="00BA0582">
        <w:rPr>
          <w:rFonts w:cstheme="minorHAnsi"/>
        </w:rPr>
        <w:fldChar w:fldCharType="begin"/>
      </w:r>
      <w:r w:rsidR="0091451B">
        <w:rPr>
          <w:rFonts w:cstheme="minorHAnsi"/>
        </w:rPr>
        <w:instrText xml:space="preserve"> ADDIN ZOTERO_ITEM CSL_CITATION {"citationID":"1evf7e842a","properties":{"formattedCitation":"{\\rtf \\super 204\\nosupersub{}}","plainCitation":"204"},"citationItems":[{"id":2006,"uris":["http://zotero.org/users/1624234/items/25ZUGV84"],"uri":["http://zotero.org/users/1624234/items/25ZUGV84"],"itemData":{"id":2006,"type":"article-journal","title":"Lanthanum metal-assisted deoxygenative coupling of alcohols","container-title":"Tetrahedron Letters","page":"3689-3691","volume":"43","issue":"20","source":"ScienceDirect","abstract":"It was found that the deoxygenative coupling of alcohols efficiently proceeded by treatment with lanthanum metal and chlorotrimethylsilane in the presence of a catalytic amount of iodine. This coupling reaction was accelerated by the addition of a catalytic amount of copper(I) iodide.","DOI":"10.1016/S0040-4039(02)00602-0","ISSN":"0040-4039","journalAbbreviation":"Tetrahedron Letters","author":[{"family":"Nishino","given":"Toshiki"},{"family":"Nishiyama","given":"Yutaka"},{"family":"Sonoda","given":"Noboru"}],"issued":{"date-parts":[["2002",5,13]]}}}],"schema":"https://github.com/citation-style-language/schema/raw/master/csl-citation.json"} </w:instrText>
      </w:r>
      <w:r w:rsidRPr="00BA0582">
        <w:rPr>
          <w:rFonts w:cstheme="minorHAnsi"/>
        </w:rPr>
        <w:fldChar w:fldCharType="separate"/>
      </w:r>
      <w:r w:rsidR="0091451B" w:rsidRPr="0091451B">
        <w:rPr>
          <w:rFonts w:ascii="Times New Roman" w:hAnsi="Times New Roman"/>
          <w:vertAlign w:val="superscript"/>
        </w:rPr>
        <w:t>204</w:t>
      </w:r>
      <w:r w:rsidRPr="00BA0582">
        <w:rPr>
          <w:rFonts w:cstheme="minorHAnsi"/>
        </w:rPr>
        <w:fldChar w:fldCharType="end"/>
      </w:r>
    </w:p>
    <w:p w14:paraId="3447C9EA" w14:textId="77777777" w:rsidR="00BA0582" w:rsidRPr="00BA0582" w:rsidRDefault="00BA0582" w:rsidP="00BA0582">
      <w:pPr>
        <w:ind w:firstLine="360"/>
        <w:jc w:val="both"/>
        <w:rPr>
          <w:rFonts w:cstheme="minorHAnsi"/>
        </w:rPr>
      </w:pPr>
      <w:r w:rsidRPr="00BA0582">
        <w:rPr>
          <w:rFonts w:cstheme="minorHAnsi"/>
        </w:rPr>
        <w:t>In the initial publication</w:t>
      </w:r>
      <w:r w:rsidRPr="00BA0582">
        <w:rPr>
          <w:rFonts w:cstheme="minorHAnsi"/>
        </w:rPr>
        <w:fldChar w:fldCharType="begin"/>
      </w:r>
      <w:r w:rsidR="0091451B">
        <w:rPr>
          <w:rFonts w:cstheme="minorHAnsi"/>
        </w:rPr>
        <w:instrText xml:space="preserve"> ADDIN ZOTERO_ITEM CSL_CITATION {"citationID":"j0opaf9lo","properties":{"formattedCitation":"{\\rtf \\super 169\\nosupersub{}}","plainCitation":"169"},"citationItems":[{"id":1769,"uris":["http://zotero.org/users/1624234/items/KH5HTWTM"],"uri":["http://zotero.org/users/1624234/items/KH5HTWTM"],"itemData":{"id":1769,"type":"article-journal","title":"Oxo-rhenium catalyzed reductive coupling and deoxygenation of alcohols","container-title":"Chemical Communications","page":"7257-7260","volume":"52","issue":"45","source":"pubs.rsc.org","abstract":"Representative benzylic, allylic and α-keto alcohols are deoxygenated to alkanes and/or reductively coupled to alkane dimers by reaction with PPh3 catalyzed by (PPh3)2ReIO2 (1). The newly discovered catalytic reductive coupling reaction is a rare C–C bond-forming transformation of alcohols.","DOI":"10.1039/C6CC00537C","ISSN":"1364-548X","journalAbbreviation":"Chem. Commun.","language":"en","author":[{"family":"Kasner","given":"Gabrielle R."},{"family":"Boucher-Jacobs","given":"Camille"},{"family":"McClain","given":"J. Michael"},{"family":"Nicholas","given":"Kenneth M."}],"issued":{"date-parts":[["2016",5,26]]}}}],"schema":"https://github.com/citation-style-language/schema/raw/master/csl-citation.json"} </w:instrText>
      </w:r>
      <w:r w:rsidRPr="00BA0582">
        <w:rPr>
          <w:rFonts w:cstheme="minorHAnsi"/>
        </w:rPr>
        <w:fldChar w:fldCharType="separate"/>
      </w:r>
      <w:r w:rsidR="0091451B" w:rsidRPr="0091451B">
        <w:rPr>
          <w:rFonts w:ascii="Times New Roman" w:hAnsi="Times New Roman"/>
          <w:vertAlign w:val="superscript"/>
        </w:rPr>
        <w:t>169</w:t>
      </w:r>
      <w:r w:rsidRPr="00BA0582">
        <w:rPr>
          <w:rFonts w:cstheme="minorHAnsi"/>
        </w:rPr>
        <w:fldChar w:fldCharType="end"/>
      </w:r>
      <w:r w:rsidRPr="00BA0582">
        <w:rPr>
          <w:rFonts w:cstheme="minorHAnsi"/>
        </w:rPr>
        <w:t xml:space="preserve"> on these results we proposed a possible catalytic cycle for the deoxygenation and reductive coupling reactions (</w:t>
      </w:r>
      <w:r w:rsidR="00497A22">
        <w:rPr>
          <w:rFonts w:cstheme="minorHAnsi"/>
        </w:rPr>
        <w:fldChar w:fldCharType="begin"/>
      </w:r>
      <w:r w:rsidR="00497A22">
        <w:rPr>
          <w:rFonts w:cstheme="minorHAnsi"/>
        </w:rPr>
        <w:instrText xml:space="preserve"> REF _Ref457464865 \h </w:instrText>
      </w:r>
      <w:r w:rsidR="00497A22">
        <w:rPr>
          <w:rFonts w:cstheme="minorHAnsi"/>
        </w:rPr>
      </w:r>
      <w:r w:rsidR="00497A22">
        <w:rPr>
          <w:rFonts w:cstheme="minorHAnsi"/>
        </w:rPr>
        <w:fldChar w:fldCharType="separate"/>
      </w:r>
      <w:r w:rsidR="000A0E3D">
        <w:t xml:space="preserve">Figure </w:t>
      </w:r>
      <w:r w:rsidR="000A0E3D">
        <w:rPr>
          <w:noProof/>
        </w:rPr>
        <w:t>IV</w:t>
      </w:r>
      <w:r w:rsidR="000A0E3D">
        <w:t>.</w:t>
      </w:r>
      <w:r w:rsidR="000A0E3D">
        <w:rPr>
          <w:noProof/>
        </w:rPr>
        <w:t>1</w:t>
      </w:r>
      <w:r w:rsidR="00497A22">
        <w:rPr>
          <w:rFonts w:cstheme="minorHAnsi"/>
        </w:rPr>
        <w:fldChar w:fldCharType="end"/>
      </w:r>
      <w:r w:rsidRPr="00BA0582">
        <w:rPr>
          <w:rFonts w:cstheme="minorHAnsi"/>
        </w:rPr>
        <w:t xml:space="preserve">), beginning with association of the alcohol with </w:t>
      </w:r>
      <w:r w:rsidRPr="00BA0582">
        <w:rPr>
          <w:rFonts w:cstheme="minorHAnsi"/>
          <w:b/>
        </w:rPr>
        <w:t>1</w:t>
      </w:r>
      <w:r w:rsidRPr="00BA0582">
        <w:rPr>
          <w:rFonts w:cstheme="minorHAnsi"/>
        </w:rPr>
        <w:t xml:space="preserve"> to give an alkoxo-hydroxo rhenium species </w:t>
      </w:r>
      <w:r w:rsidRPr="00BA0582">
        <w:rPr>
          <w:rFonts w:cstheme="minorHAnsi"/>
          <w:b/>
        </w:rPr>
        <w:t>A</w:t>
      </w:r>
      <w:r w:rsidRPr="00BA0582">
        <w:rPr>
          <w:rFonts w:cstheme="minorHAnsi"/>
        </w:rPr>
        <w:t>. Such complexes have been suggested intermediates for other oxo-metal-mediated alcohol reactions, e.g. dehydration, oxidation and allylic alcohol isomerization.</w:t>
      </w:r>
      <w:r w:rsidRPr="00BA0582">
        <w:rPr>
          <w:rFonts w:cstheme="minorHAnsi"/>
          <w:vertAlign w:val="superscript"/>
        </w:rPr>
        <w:fldChar w:fldCharType="begin"/>
      </w:r>
      <w:r w:rsidR="0091451B">
        <w:rPr>
          <w:rFonts w:cstheme="minorHAnsi"/>
          <w:vertAlign w:val="superscript"/>
        </w:rPr>
        <w:instrText xml:space="preserve"> ADDIN ZOTERO_ITEM CSL_CITATION {"citationID":"kkrgopf4u","properties":{"formattedCitation":"{\\rtf \\super 192,193,205\\uc0\\u8211{}208\\nosupersub{}}","plainCitation":"192,193,205–208"},"citationItems":[{"id":1803,"uris":["http://zotero.org/users/1624234/items/EZMVINHD"],"uri":["http://zotero.org/users/1624234/items/EZMVINHD"],"itemData":{"id":1803,"type":"article-journal","title":"Mechanistic Insights into the Rhenium-Catalyzed Alcohol-To-Olefin Dehydration Reaction","container-title":"Chemistry – A European Journal","page":"13224-13234","volume":"19","issue":"39","source":"Wiley Online Library","abstract":"Rhenium-based complexes are powerful catalysts for the dehydration of various alcohols to the corresponding olefins. Here, we report on both experimental and theoretical (DFT) studies into the mechanism of the rhenium-catalyzed dehydration of alcohols to olefins in general, and the methyltrioxorhenium-catalyzed dehydration of 1-phenylethanol to styrene in particular. The experimental and theoretical studies are in good agreement, both showing the involvement of several proton transfers, and of a carbenium ion intermediate in the catalytic cycle.","DOI":"10.1002/chem.201300209","ISSN":"1521-3765","journalAbbreviation":"Chem. Eur. J.","language":"en","author":[{"family":"Korstanje","given":"Ties J."},{"family":"Jastrzebski","given":"Johann T. B. H."},{"family":"Klein Gebbink","given":"Robertus J. M."}],"issued":{"date-parts":[["2013",9,23]]}}},{"id":1943,"uris":["http://zotero.org/users/1624234/items/Q73DU9Z7"],"uri":["http://zotero.org/users/1624234/items/Q73DU9Z7"],"itemData":{"id":1943,"type":"article-journal","title":"Organic Reactions Catalyzed by Methylrhenium Trioxide:  Dehydration, Amination, and Disproportionation of Alcohols","container-title":"The Journal of Organic Chemistry","page":"324-328","volume":"61","issue":"1","source":"ACS Publications","abstract":"Methylrhenium trioxide (MTO) is the first transition metal complex in trace quantity to catalyze the direct formation of ethers from alcohols. The reactions are independent of the solvents used:  benzene, toluene, dichloromethane, chloroform, acetone, and in the alcohols themselves. Aromatic alcohols gave better yields than aliphatic. Reactions between two different alcohols could also be used to prepare unsymmetric ethers, the best yields being obtained when one of the alcohols is aromatic. MTO also catalyzes the dehydration of alcohols to form olefins at room temperature, aromatic alcohols proceeding in better yield. When primary (secondary) amines were used as the limiting reagent, direct amination of alcohols catalyzed by MTO gave good yields of the expected secondary (tertiary) amines at room temperature. Disproportionation of alcohols to alkanes and carbonyl compounds was also observed for aromatic alcohols in the presence of MTO. On the basis of the results of this investigation and a comparison with the interaction between MTO and water, a concerted process and a mechanism involving carbocation intermediates have been suggested.","DOI":"10.1021/jo951613a","ISSN":"0022-3263","shortTitle":"Organic Reactions Catalyzed by Methylrhenium Trioxide","journalAbbreviation":"J. Org. Chem.","author":[{"family":"Zhu","given":"Zuolin"},{"family":"Espenson","given":"James H."}],"issued":{"date-parts":[["1996",1,1]]}}},{"id":1968,"uris":["http://zotero.org/users/1624234/items/US34P6QS"],"uri":["http://zotero.org/users/1624234/items/US34P6QS"],"itemData":{"id":1968,"type":"article-journal","title":"Hydrocarbon oxidation by high-valent Group VI oxides","container-title":"Journal of the American Chemical Society","page":"3287-3294","volume":"104","issue":"12","source":"ACS Publications","DOI":"10.1021/ja00376a006","ISSN":"0002-7863","journalAbbreviation":"J. Am. Chem. Soc.","author":[{"family":"Rappe","given":"Anthony K."},{"family":"Goddard","given":"William A."}],"issued":{"date-parts":[["1982",6,1]]}}},{"id":1921,"uris":["http://zotero.org/users/1624234/items/ZMNAFW2F"],"uri":["http://zotero.org/users/1624234/items/ZMNAFW2F"],"itemData":{"id":1921,"type":"article-journal","title":"Mechanistic Insights into the Very Efficient [ReO3OSiR3]-Catalyzed Isomerization of Allyl Alcohols","container-title":"Angewandte Chemie International Edition in English","page":"976-978","volume":"36","issue":"9","source":"Wiley Online Library","DOI":"10.1002/anie.199709761","ISSN":"1521-3773","journalAbbreviation":"Angew. Chem. Int. Ed. Engl.","language":"en","author":[{"family":"Bellemin-Laponnaz","given":"Stéphane"},{"family":"Gisie","given":"Hervé"},{"family":"Le Ny","given":"Jean Pierre"},{"family":"Osborn","given":"John A."}],"issued":{"date-parts":[["1997",5,16]]}}},{"id":1844,"uris":["http://zotero.org/users/1624234/items/E26JPMWC"],"uri":["http://zotero.org/users/1624234/items/E26JPMWC"],"itemData":{"id":1844,"type":"article-journal","title":"Regio- and Stereocontrol in Rhenium-Catalyzed Transposition of Allylic Alcohols","container-title":"Journal of the American Chemical Society","page":"5962-5963","volume":"132","issue":"17","source":"ACS Publications","abstract":"A hydroxyl group-directed, highly regio- and stereoselective transposition of allylic alcohols based on rhenium catalysis has been developed. The method is suitable for a direct isomerization of acetals into the thermodynamically preferred isomer as long as one of the hydroxyl groups is allylic. This method will expand the scope of rhenium-catalyzed alcohol transpositions for complex molecule synthesis.","DOI":"10.1021/ja101673v","ISSN":"0002-7863","journalAbbreviation":"J. Am. Chem. Soc.","author":[{"family":"Herrmann","given":"Aaron T."},{"family":"Saito","given":"Tatsuo"},{"family":"Stivala","given":"Craig E."},{"family":"Tom","given":"Janine"},{"family":"Zakarian","given":"Armen"}],"issued":{"date-parts":[["2010",5,5]]}}},{"id":2015,"uris":["http://zotero.org/users/1624234/items/7V3DTUXC"],"uri":["http://zotero.org/users/1624234/items/7V3DTUXC"],"itemData":{"id":2015,"type":"article-journal","title":"1,3-Transposition of Allylic Alcohols Catalyzed by Methyltrioxorhenium","container-title":"Organometallics","page":"1835-1840","volume":"17","issue":"9","source":"ACS Publications","abstract":"Methyltrioxorhenium (MTO) catalyzes the 1,3-transposition of allylic alcohols to generate the more stable isomer at equilibrium. The direction of the equilibrium is largely decided by the nature of the OH group, i.e., whether it is primary, secondary, or tertiary. In the case of aliphatic allylic alcohols, tertiary is preferred to secondary which is preferred to primary. For aromatic allyl alcohols, the more conjugated isomer predominates largely at equilibrium. Oxygen-18 labeling showed that the OH groups of the parent and product are the same. The reaction is first order with respect to both allyl alcohol and MTO but strongly inhibited by traces of water. Theoretical calculations suggest the same results in the case of aliphatic allyl alcohols, although aromatic allyl alcohols do not follow the predictions. Studies of deuterium-labeled substrates show a large equilibrium isotope effect (K = 1.20 ± 0.02). For isomeric allyl alcohols differing in the position of deuterium only, the isomer with the deuterium at the sp3 center predominates at equilibrium. The effect of conjugation from a phenyl group appears to be less important since calculations suggest that the phenyl group is forced out of plane of the allylic π system.","DOI":"10.1021/om971115n","ISSN":"0276-7333","journalAbbreviation":"Organometallics","author":[{"family":"Jacob","given":"Josemon"},{"family":"Espenson","given":"James H."},{"family":"Jensen","given":"Jan H."},{"family":"Gordon","given":"Mark S."}],"issued":{"date-parts":[["1998",4,1]]}}}],"schema":"https://github.com/citation-style-language/schema/raw/master/csl-citation.json"} </w:instrText>
      </w:r>
      <w:r w:rsidRPr="00BA0582">
        <w:rPr>
          <w:rFonts w:cstheme="minorHAnsi"/>
          <w:vertAlign w:val="superscript"/>
        </w:rPr>
        <w:fldChar w:fldCharType="separate"/>
      </w:r>
      <w:r w:rsidR="0091451B" w:rsidRPr="0091451B">
        <w:rPr>
          <w:rFonts w:ascii="Times New Roman" w:hAnsi="Times New Roman"/>
          <w:vertAlign w:val="superscript"/>
        </w:rPr>
        <w:t>192,193,205–208</w:t>
      </w:r>
      <w:r w:rsidRPr="00BA0582">
        <w:rPr>
          <w:rFonts w:cstheme="minorHAnsi"/>
          <w:vertAlign w:val="superscript"/>
        </w:rPr>
        <w:fldChar w:fldCharType="end"/>
      </w:r>
      <w:r w:rsidRPr="00BA0582">
        <w:rPr>
          <w:rFonts w:cstheme="minorHAnsi"/>
        </w:rPr>
        <w:t xml:space="preserve"> From the complex </w:t>
      </w:r>
      <w:r w:rsidRPr="00BA0582">
        <w:rPr>
          <w:rFonts w:cstheme="minorHAnsi"/>
          <w:b/>
        </w:rPr>
        <w:t>A</w:t>
      </w:r>
      <w:r w:rsidRPr="00BA0582">
        <w:rPr>
          <w:rFonts w:cstheme="minorHAnsi"/>
        </w:rPr>
        <w:t xml:space="preserve"> R-H and/or R-R could be produced via concerted or stepwise oxidative elimination</w:t>
      </w:r>
      <w:r w:rsidRPr="00BA0582">
        <w:rPr>
          <w:rFonts w:cstheme="minorHAnsi"/>
          <w:vertAlign w:val="superscript"/>
        </w:rPr>
        <w:t>§</w:t>
      </w:r>
      <w:r w:rsidRPr="00BA0582">
        <w:rPr>
          <w:rFonts w:cstheme="minorHAnsi"/>
        </w:rPr>
        <w:t xml:space="preserve"> generating an oxidized Re(vii) species, IReO</w:t>
      </w:r>
      <w:r w:rsidRPr="00BA0582">
        <w:rPr>
          <w:rFonts w:cstheme="minorHAnsi"/>
          <w:vertAlign w:val="subscript"/>
        </w:rPr>
        <w:t>3</w:t>
      </w:r>
      <w:r w:rsidRPr="00BA0582">
        <w:rPr>
          <w:rFonts w:cstheme="minorHAnsi"/>
        </w:rPr>
        <w:t>TPP</w:t>
      </w:r>
      <w:r w:rsidRPr="00BA0582">
        <w:rPr>
          <w:rFonts w:cstheme="minorHAnsi"/>
          <w:vertAlign w:val="subscript"/>
        </w:rPr>
        <w:t>2</w:t>
      </w:r>
      <w:r w:rsidRPr="00BA0582">
        <w:rPr>
          <w:rFonts w:cstheme="minorHAnsi"/>
        </w:rPr>
        <w:t xml:space="preserve"> (</w:t>
      </w:r>
      <w:r w:rsidRPr="00BA0582">
        <w:rPr>
          <w:rFonts w:cstheme="minorHAnsi"/>
          <w:b/>
        </w:rPr>
        <w:t>C</w:t>
      </w:r>
      <w:r w:rsidRPr="00BA0582">
        <w:rPr>
          <w:rFonts w:cstheme="minorHAnsi"/>
        </w:rPr>
        <w:t xml:space="preserve">); </w:t>
      </w:r>
      <w:r w:rsidRPr="00BA0582">
        <w:rPr>
          <w:rFonts w:cstheme="minorHAnsi"/>
          <w:b/>
        </w:rPr>
        <w:t>C</w:t>
      </w:r>
      <w:r w:rsidRPr="00BA0582">
        <w:rPr>
          <w:rFonts w:cstheme="minorHAnsi"/>
        </w:rPr>
        <w:t xml:space="preserve"> could then be reduced by the phosphine to regenerate </w:t>
      </w:r>
      <w:r w:rsidRPr="00BA0582">
        <w:rPr>
          <w:rFonts w:cstheme="minorHAnsi"/>
          <w:b/>
        </w:rPr>
        <w:t>1</w:t>
      </w:r>
      <w:r w:rsidRPr="00BA0582">
        <w:rPr>
          <w:rFonts w:cstheme="minorHAnsi"/>
        </w:rPr>
        <w:t xml:space="preserve">. Alternatively, another alcohol molecule could coordinate to </w:t>
      </w:r>
      <w:r w:rsidRPr="00BA0582">
        <w:rPr>
          <w:rFonts w:cstheme="minorHAnsi"/>
          <w:b/>
        </w:rPr>
        <w:t>A</w:t>
      </w:r>
      <w:r w:rsidRPr="00BA0582">
        <w:rPr>
          <w:rFonts w:cstheme="minorHAnsi"/>
        </w:rPr>
        <w:t xml:space="preserve"> making an oxo-dialkoxo species </w:t>
      </w:r>
      <w:r w:rsidRPr="00BA0582">
        <w:rPr>
          <w:rFonts w:cstheme="minorHAnsi"/>
          <w:b/>
        </w:rPr>
        <w:t>B</w:t>
      </w:r>
      <w:r w:rsidRPr="00BA0582">
        <w:rPr>
          <w:rFonts w:cstheme="minorHAnsi"/>
        </w:rPr>
        <w:t xml:space="preserve"> (similar complexes have been described).</w:t>
      </w:r>
      <w:r w:rsidRPr="00BA0582">
        <w:rPr>
          <w:rFonts w:cstheme="minorHAnsi"/>
          <w:highlight w:val="green"/>
          <w:vertAlign w:val="superscript"/>
        </w:rPr>
        <w:fldChar w:fldCharType="begin"/>
      </w:r>
      <w:r w:rsidR="0091451B">
        <w:rPr>
          <w:rFonts w:cstheme="minorHAnsi"/>
          <w:highlight w:val="green"/>
          <w:vertAlign w:val="superscript"/>
        </w:rPr>
        <w:instrText xml:space="preserve"> ADDIN ZOTERO_ITEM CSL_CITATION {"citationID":"1i4ehu66vt","properties":{"formattedCitation":"{\\rtf \\super 209\\uc0\\u8211{}212\\nosupersub{}}","plainCitation":"209–212"},"citationItems":[{"id":2009,"uris":["http://zotero.org/users/1624234/items/7JI82VVI"],"uri":["http://zotero.org/users/1624234/items/7JI82VVI"],"itemData":{"id":2009,"type":"article-journal","title":"Rhenium(V) Oxo-Alkoxide Complexes: Syntheses and Oxidation to Aldehydes","container-title":"Inorganic Chemistry","page":"6396-6401","volume":"34","issue":"25","source":"ACS Publications","DOI":"10.1021/ic00129a026","ISSN":"0020-1669","shortTitle":"Rhenium(V) Oxo-Alkoxide Complexes","journalAbbreviation":"Inorg. Chem.","author":[{"family":"DuMez","given":"Darin D."},{"family":"Mayer","given":"James M."}],"issued":{"date-parts":[["1995",12,1]]}}},{"id":1955,"uris":["http://zotero.org/users/1624234/items/8SNZB884"],"uri":["http://zotero.org/users/1624234/items/8SNZB884"],"itemData":{"id":1955,"type":"article-journal","title":"Reactivity of a Tetrakis(pyrazolyl)borate Oxorhenium Complex","container-title":"Inorganic Chemistry","page":"2113-2120","volume":"34","issue":"8","source":"ACS Publications","DOI":"10.1021/ic00112a026","ISSN":"0020-1669","journalAbbreviation":"Inorg. Chem.","author":[{"family":"Paulo","given":"Antonio"},{"family":"Domingos","given":"Angela"},{"family":"Marcalo","given":"Joaquim"},{"family":"Pires de Matos","given":"Antonio"},{"family":"Santos","given":"Isabel"}],"issued":{"date-parts":[["1995",4,1]]}}},{"id":1958,"uris":["http://zotero.org/users/1624234/items/Z2MDKTRI"],"uri":["http://zotero.org/users/1624234/items/Z2MDKTRI"],"itemData":{"id":1958,"type":"article-journal","title":"Coordination chemistry of rhenium(V), -(IV), and -(III) with the macrocyclic ligands 1,4,7-triazacyclononane (L) and its N-methylated derivative (L').  Crystal structures of [LReCl3]Cl, [L2Re2Cl2(.mu.-Cl)(.mu.-OH)]I2.cntdot.2H2O, [L2Re2I2(.mu.-O)2]I2.cntdot.2H2O, and [L'2Re2Cl4(.mu.-O)]ZnCl4.  Effect of .pi.-donors on the Re-Re bond distance","container-title":"Inorganic Chemistry","page":"3464-3476","volume":"30","issue":"18","source":"ACS Publications","DOI":"10.1021/ic00018a017","ISSN":"0020-1669","journalAbbreviation":"Inorg. Chem.","author":[{"family":"Boehm","given":"Georg."},{"family":"Wieghardt","given":"Karl."},{"family":"Nuber","given":"Bernhard."},{"family":"Weiss","given":"Johannes."}],"issued":{"date-parts":[["1991",9,1]]}}},{"id":1897,"uris":["http://zotero.org/users/1624234/items/JQ3MXEXH"],"uri":["http://zotero.org/users/1624234/items/JQ3MXEXH"],"itemData":{"id":1897,"type":"article-journal","title":"Homo- and hetero-metallic rhenium oxomethoxide complexes with a M4(μ-O)2(μ-OMe)4 planar core—a new family of metal alkoxides displaying a peculiar structural disorder. Preparation and X-ray single crystal study","container-title":"Journal of the Chemical Society, Dalton Transactions","page":"2762-2768","issue":"19","source":"pubs.rsc.org","abstract":"The reaction of Re2O7 with MeOH at room temperature leads to a fine black powder. A product with the same crystal structure, according to X-ray powder data, was obtained in the form of single crystals on storage of solutions of Re2O3(OMe)6, obtained by anodic oxidation of Re metal. It was identified as Re4O6(OMe)12 (1) by an X-ray single crystal study. A mixed-valence complex of analogous composition and structure, Re4O6 − y(OMe)12 + y (2), earlier erroneously described as Re4O2(OMe)16, can be obtained via anodic dissolution of Re in MeOH using high current densities. The heterometallic members of this family, Re4 − xMxO6 − y(OMe)12 + y [M = Mo (3), W (4); x ≤ 0.55, y &amp;lt; 1.0], were obtained by interaction of Re2O7 with MO(OMe)4 or M(OMe)6 in toluene at reflux. Mo-poor samples of 3 (x ≤ 0.25) could also be obtained on storage of solutions prepared by anodic oxidation of Re in the presence of MoO(OMe)4. The reaction of Re2O7 with Nb(OMe)5 or Ta(OMe)5 in refluxing toluene gave M4(μ-O)2(μ-OMe)4(OMe)14(ReO4)2 [M = Nb (5), Ta (6)] as the only crystalline products. The compounds 1–6 are insoluble in organic solvents and display a remarkable resistance to ambient atmosphere, making them attractive precursors for soft chemical preparation of rhenium metal and alloy powders.","DOI":"10.1039/B103287A","ISSN":"1364-5447","journalAbbreviation":"J. Chem. Soc., Dalton Trans.","language":"en","author":[{"family":"Seisenbaeva","given":"Gulaim A."},{"family":"Shevelkov","given":"Andrei V."},{"family":"Tegenfeldt","given":"Jörgen"},{"family":"Kloo","given":"Lars"},{"family":"Drobot","given":"Dmitrii V."},{"family":"Kessler","given":"Vadim G."}],"issued":{"date-parts":[["2001",10,10]]}}}],"schema":"https://github.com/citation-style-language/schema/raw/master/csl-citation.json"} </w:instrText>
      </w:r>
      <w:r w:rsidRPr="00BA0582">
        <w:rPr>
          <w:rFonts w:cstheme="minorHAnsi"/>
          <w:highlight w:val="green"/>
          <w:vertAlign w:val="superscript"/>
        </w:rPr>
        <w:fldChar w:fldCharType="separate"/>
      </w:r>
      <w:r w:rsidR="0091451B" w:rsidRPr="0091451B">
        <w:rPr>
          <w:rFonts w:ascii="Times New Roman" w:hAnsi="Times New Roman"/>
          <w:vertAlign w:val="superscript"/>
        </w:rPr>
        <w:t>209–212</w:t>
      </w:r>
      <w:r w:rsidRPr="00BA0582">
        <w:rPr>
          <w:rFonts w:cstheme="minorHAnsi"/>
          <w:highlight w:val="green"/>
          <w:vertAlign w:val="superscript"/>
        </w:rPr>
        <w:fldChar w:fldCharType="end"/>
      </w:r>
      <w:r w:rsidRPr="00BA0582">
        <w:rPr>
          <w:rFonts w:cstheme="minorHAnsi"/>
        </w:rPr>
        <w:t xml:space="preserve"> Complex </w:t>
      </w:r>
      <w:r w:rsidRPr="00BA0582">
        <w:rPr>
          <w:rFonts w:cstheme="minorHAnsi"/>
          <w:b/>
        </w:rPr>
        <w:t>B</w:t>
      </w:r>
      <w:r w:rsidRPr="00BA0582">
        <w:rPr>
          <w:rFonts w:cstheme="minorHAnsi"/>
        </w:rPr>
        <w:t xml:space="preserve"> could then undergo oxidative elimination to produce the dimer. Analogous alkoxide or –glycolate reduced metal species were reported for the catalytic HDO of alcohols and phenols by heterogeneous reducible solid metal oxides</w:t>
      </w:r>
      <w:r w:rsidRPr="00BA0582">
        <w:rPr>
          <w:rFonts w:cstheme="minorHAnsi"/>
          <w:highlight w:val="green"/>
          <w:vertAlign w:val="superscript"/>
        </w:rPr>
        <w:fldChar w:fldCharType="begin"/>
      </w:r>
      <w:r w:rsidR="0091451B">
        <w:rPr>
          <w:rFonts w:cstheme="minorHAnsi"/>
          <w:highlight w:val="green"/>
          <w:vertAlign w:val="superscript"/>
        </w:rPr>
        <w:instrText xml:space="preserve"> ADDIN ZOTERO_ITEM CSL_CITATION {"citationID":"d53n5pl3q","properties":{"formattedCitation":"{\\rtf \\super 186\\uc0\\u8211{}188\\nosupersub{}}","plainCitation":"186–188"},"citationItems":[{"id":1827,"uris":["http://zotero.org/users/1624234/items/AQ74A7FC"],"uri":["http://zotero.org/users/1624234/items/AQ74A7FC"],"itemData":{"id":1827,"type":"article-journal","title":"Glycerol hydrogenolysis into propanediols using in situ generated hydrogen – A critical review","container-title":"European Journal of Lipid Science and Technology","page":"9-27","volume":"115","issue":"1","source":"Wiley Online Library","abstract":"The rise in chemical transesterification of plant triglycerides towards biodiesel is unbowed and thus the available amount of glycerol is still increasing. The produced amount overruns the chemically used portion. Various ways to convert glycerol have been shown recently to yield attractive intermediates and final products. One of the options of future chemical utilisation of glycerol might be its conversion to propanediols (1,2-PDO (propylene glycol), 1,3-PDO (trimethylene glycol)) by hydrogenolysis. 1,2-PDO finds various applications in chemical industries; 1,3-PDO is mainly used for the manufacture of polymers. A synthesis route via glycerol might substitute present industrial syntheses using for example propylene oxide. Such an alternative synthesis route might run in the presence of externally fed hydrogen or by use of in situ generated hydrogen that can be supplied for example by glycerol aqueous phase reforming (APR) and/or catalytic transfer hydrogenation (CTH) using hydrogen donor molecules. A very attractive approach seems to be the use of formic acid as hydrogen donor for CTH because only carbon dioxide is liberated as a by-product. This paper summarises most significant reports of the last decade, dealing with the production of PDOs via glycerol hydrogenolysis by in situ generated hydrogen.","DOI":"10.1002/ejlt.201200207","ISSN":"1438-9312","journalAbbreviation":"Eur. J. Lipid Sci. Technol.","language":"en","author":[{"family":"Martin","given":"Andreas"},{"family":"Armbruster","given":"Udo"},{"family":"Gandarias","given":"Inaki"},{"family":"Arias","given":"Pedro Luis"}],"issued":{"date-parts":[["2013",1,1]]}}},{"id":2012,"uris":["http://zotero.org/users/1624234/items/6NKH4IQK"],"uri":["http://zotero.org/users/1624234/items/6NKH4IQK"],"itemData":{"id":2012,"type":"article-journal","title":"Catalytic materials for the hydrogenolysis of glycerol to 1,3-propanediol","container-title":"Journal of Materials Chemistry A","page":"6688-6702","volume":"2","issue":"19","source":"pubs.rsc.org","abstract":"Recent progress in catalyst development for glycerol hydrogenolysis into 1,3-propanediol is reviewed. Unmodified conventional catalysts produce 1,2-propanediol as the main product instead of 1,3-propanediol. Most effective catalysts use noble metal as a center for hydrogen activation and tungsten or rhenium as an additive. Pt–WO3 catalysts on Al-based supports and Ir–ReOx/SiO2 catalysts are especially effective in 1,3-propanediol production among the reported materials. Characterization results and proposed reaction mechanisms are also summarized.","DOI":"10.1039/C3TA15384C","ISSN":"2050-7496","journalAbbreviation":"J. Mater. Chem. A","language":"en","author":[{"family":"Nakagawa","given":"Yoshinao"},{"family":"Tamura","given":"Masazumi"},{"family":"Tomishige","given":"Keiichi"}],"issued":{"date-parts":[["2014",4,15]]}}},{"id":184,"uris":["http://zotero.org/users/1624234/items/C9V4D8I9"],"uri":["http://zotero.org/users/1624234/items/C9V4D8I9"],"itemData":{"id":184,"type":"chapter","title":"Selective Hydrogenolysis of C–O Bonds Using the Interaction of the Catalyst Surface and OH Groups","container-title":"Selective Catalysis for Renewable Feedstocks and Chemicals","collection-title":"Topics in Current Chemistry","collection-number":"353","publisher":"Springer International Publishing","page":"127-162","source":"link.springer.com","abstract":"Hydrogenolysis of C–O bonds is becoming more and more important for the production of biomass-derived chemicals. Since substrates originated from biomass usually have high oxygen content and various kinds of C–O bonds, selective hydrogenolysis is required. Rhenium or molybdenum oxide modified rhodium and iridium metal catalysts (Rh-ReO x , Rh-MoO x , and Ir-ReO x ) have been reported to be effective for selective hydrogenolysis. This review introduces the catalytic performance and reaction kinetics of Rh-ReO x , Rh-MoO x , and Ir-ReO x in the hydrogenolysis of various substrates, where selectivity is especially characteristic. Based the model structure of the catalysts and the reaction mechanism, the role of the oxide components is to make the interaction between the OH groups in the substrates and the catalyst surface, and the role of metal components is to dissociate hydrogen molecule heterolytically to give hydride and proton.","URL":"http://link.springer.com/chapter/10.1007/128_2014_538","ISBN":"978-3-319-08653-8","language":"en","author":[{"family":"Tomishige","given":"Keiichi"},{"family":"Nakagawa","given":"Yoshinao"},{"family":"Tamura","given":"Masazumi"}],"editor":[{"family":"Nicholas","given":"Kenneth M."}],"issued":{"date-parts":[["2014",1,1]]},"accessed":{"date-parts":[["2014",12,14]]}}}],"schema":"https://github.com/citation-style-language/schema/raw/master/csl-citation.json"} </w:instrText>
      </w:r>
      <w:r w:rsidRPr="00BA0582">
        <w:rPr>
          <w:rFonts w:cstheme="minorHAnsi"/>
          <w:highlight w:val="green"/>
          <w:vertAlign w:val="superscript"/>
        </w:rPr>
        <w:fldChar w:fldCharType="separate"/>
      </w:r>
      <w:r w:rsidR="0091451B" w:rsidRPr="0091451B">
        <w:rPr>
          <w:rFonts w:ascii="Times New Roman" w:hAnsi="Times New Roman"/>
          <w:vertAlign w:val="superscript"/>
        </w:rPr>
        <w:t>186–188</w:t>
      </w:r>
      <w:r w:rsidRPr="00BA0582">
        <w:rPr>
          <w:rFonts w:cstheme="minorHAnsi"/>
          <w:highlight w:val="green"/>
          <w:vertAlign w:val="superscript"/>
        </w:rPr>
        <w:fldChar w:fldCharType="end"/>
      </w:r>
      <w:r w:rsidRPr="00BA0582">
        <w:rPr>
          <w:rFonts w:cstheme="minorHAnsi"/>
        </w:rPr>
        <w:t xml:space="preserve"> and the homogeneous oxo-metal catalyzed deoxydehydration of glycols</w:t>
      </w:r>
      <w:r w:rsidRPr="00BA0582">
        <w:rPr>
          <w:rFonts w:cstheme="minorHAnsi"/>
        </w:rPr>
        <w:fldChar w:fldCharType="begin"/>
      </w:r>
      <w:r w:rsidR="0091451B">
        <w:rPr>
          <w:rFonts w:cstheme="minorHAnsi"/>
        </w:rPr>
        <w:instrText xml:space="preserve"> ADDIN ZOTERO_ITEM CSL_CITATION {"citationID":"1pbded0jjt","properties":{"formattedCitation":"{\\rtf \\super 23,33,35,36,41,45,46,83\\nosupersub{}}","plainCitation":"23,33,35,36,41,45,46,83"},"citationItems":[{"id":68,"uris":["http://zotero.org/users/1624234/items/5E67XMES"],"uri":["http://zotero.org/users/1624234/items/5E67XMES"],"itemData":{"id":68,"type":"article-journal","title":"Toward Nonoxidative Routes to Oxygenated Organics:  Stereospecific Deoxydehydration of Diols and Polyols to Alkenes and Allylic Alcohols Catalyzed by the Metal Oxo Complex (C5Me5)ReO3","container-title":"Journal of the American Chemical Society","page":"9448-9449","volume":"118","issue":"39","source":"ACS Publications","DOI":"10.1021/ja9620604","ISSN":"0002-7863","shortTitle":"Toward Nonoxidative Routes to Oxygenated Organics","journalAbbreviation":"J. Am. Chem. Soc.","author":[{"family":"Cook","given":"Gerald K."},{"family":"Andrews","given":"Mark A."}],"issued":{"date-parts":[["1996",1,1]]}}},{"id":422,"uris":["http://zotero.org/users/1624234/items/UDXKBHCJ"],"uri":["http://zotero.org/users/1624234/items/UDXKBHCJ"],"itemData":{"id":422,"type":"article-journal","title":"H &lt;sub&gt;2&lt;/sub&gt; -Driven Deoxygenation of Epoxides and Diols to Alkenes Catalyzed by Methyltrioxorhenium","container-title":"Inorganic Chemistry","page":"9998-10000","volume":"48","issue":"21","source":"CrossRef","DOI":"10.1021/ic901792b","ISSN":"0020-1669, 1520-510X","author":[{"family":"Ziegler","given":"Jeanette E."},{"family":"Zdilla","given":"Michael J."},{"family":"Evans","given":"Andrew J."},{"family":"Abu-Omar","given":"Mahdi M."}],"issued":{"date-parts":[["2009",11,2]]}},"locator":"-"},{"id":279,"uris":["http://zotero.org/users/1624234/items/J3VCXV7S"],"uri":["http://zotero.org/users/1624234/items/J3VCXV7S"],"itemData":{"id":279,"type":"article-journal","title":"Rhenium-Catalyzed Didehydroxylation of Vicinal Diols to Alkenes Using a Simple Alcohol as a Reducing Agent","container-title":"Journal of the American Chemical Society","page":"11408-11409","volume":"132","issue":"33","source":"ACS Publications","abstract":"A new method for the catalytic didehydroxylation of vicinal diols is described. Employing a readily available low-valent rhenium carbonyl complex and a simple alcohol as a reducing agent, both terminal and internal vicinal diols are deoxygenated to olefins in good yield. The optional addition of acid (TsOH, H2SO4) provides access to lower reaction temperatures. This new system enables the transformation of a four-carbon sugar polyol into an oxygen-reduced compound, providing promising evidence for its practical application to produce unsaturated compounds from biomass-derived materials.","DOI":"10.1021/ja103436v","ISSN":"0002-7863","journalAbbreviation":"J. Am. Chem. Soc.","author":[{"family":"Arceo","given":"Elena"},{"family":"Ellman","given":"Jonathan A."},{"family":"Bergman","given":"Robert G."}],"issued":{"date-parts":[["2010"]],"season":"août"}}},{"id":405,"uris":["http://zotero.org/users/1624234/items/T47EEJV6"],"uri":["http://zotero.org/users/1624234/items/T47EEJV6"],"itemData":{"id":405,"type":"article-journal","title":"Expanding the Scope of Biomass-Derived Chemicals through Tandem Reactions Based on Oxorhenium-Catalyzed Deoxydehydration","container-title":"Angewandte Chemie International Edition","page":"12905-12909","volume":"52","issue":"49","source":"Wiley Online Library","DOI":"10.1002/anie.201307564","ISSN":"1521-3773","journalAbbreviation":"Angew. Chem. Int. Ed.","language":"en","author":[{"family":"Shiramizu","given":"Mika"},{"family":"Toste","given":"F. Dean"}],"issued":{"date-parts":[["2013"]]}}},{"id":435,"uris":["http://zotero.org/users/1624234/items/VS4SE8DS"],"uri":["http://zotero.org/users/1624234/items/VS4SE8DS"],"itemData":{"id":435,"type":"article-journal","title":"Catalytic Deoxydehydration of Glycols with Alcohol Reductants","container-title":"ChemSusChem","page":"597-599","volume":"6","issue":"4","source":"CrossRef","DOI":"10.1002/cssc.201200781","ISSN":"18645631","author":[{"family":"Boucher-Jacobs","given":"Camille"},{"family":"Nicholas","given":"Kenneth M."}],"issued":{"date-parts":[["2013",4]]}}},{"id":238,"uris":["http://zotero.org/users/1624234/items/G85QQDVR"],"uri":["http://zotero.org/users/1624234/items/G85QQDVR"],"itemData":{"id":238,"type":"article-journal","title":"Rhenium-Catalyzed Deoxydehydration of Glycols by Sulfite","container-title":"Inorganic Chemistry","page":"4744-4746","volume":"49","issue":"11","source":"CrossRef","DOI":"10.1021/ic100467p","ISSN":"0020-1669, 1520-510X","author":[{"family":"Vkuturi","given":"Saidi"},{"family":"Chapman","given":"Garry"},{"family":"Ahmad","given":"Irshad"},{"family":"Nicholas","given":"Kenneth M."}],"issued":{"date-parts":[["2010",6,7]]}}},{"id":360,"uris":["http://zotero.org/users/1624234/items/Q5NZBIZJ"],"uri":["http://zotero.org/users/1624234/items/Q5NZBIZJ"],"itemData":{"id":360,"type":"article-journal","title":"Sulfite-Driven, Oxorhenium-Catalyzed Deoxydehydration of Glycols","container-title":"Organometallics","page":"2810-2818","volume":"30","issue":"10","source":"CrossRef","DOI":"10.1021/om2001662","ISSN":"0276-7333, 1520-6041","author":[{"family":"Ahmad","given":"Irshad"},{"family":"Chapman","given":"Garry"},{"family":"Nicholas","given":"Kenneth M."}],"issued":{"date-parts":[["2011",5,23]]}}},{"id":1671,"uris":["http://zotero.org/users/1624234/items/BTSVQIK3"],"uri":["http://zotero.org/users/1624234/items/BTSVQIK3"],"itemData":{"id":1671,"type":"article-journal","title":"Oxo-Rhenium-Catalyzed Deoxydehydration of Polyols with Hydroaromatic Reductants","container-title":"Organometallics","page":"1985-1990","volume":"34","issue":"10","source":"ACS Publications","abstract":"Several dihydroaromatic compounds are shown to be effective reducing agents in the oxo-metal-catalyzed deoxydehydration of diols and polyols to produce olefins and the corresponding arenes. NH4ReO4 and MeReO3 are active catalysts for the reactions. The most effective of the hydroaromatic reductants is indoline, which is oxidized to indole. Yields for a variety of diols and polyols range from 35% to 99%. Two hydrogen donors, 1,3-cyclohexadiene and dihydroanthracene, engage in tandem DODH/cycloaddition reactions. Competition experiments show that indoline is more reactive than representative alcohols in H-transfer. Indoline is shown to reduce MeReO3 to MeReO2 via an isolable adduct, MeReO3(indoline) (4), which has been structurally characterized and is suggested to be an intermediate in the catalytic DODH process.","DOI":"10.1021/acs.organomet.5b00226","ISSN":"0276-7333","journalAbbreviation":"Organometallics","author":[{"family":"Boucher-Jacobs","given":"Camille"},{"family":"Nicholas","given":"Kenneth M."}],"issued":{"date-parts":[["2015",5,26]]}}}],"schema":"https://github.com/citation-style-language/schema/raw/master/csl-citation.json"} </w:instrText>
      </w:r>
      <w:r w:rsidRPr="00BA0582">
        <w:rPr>
          <w:rFonts w:cstheme="minorHAnsi"/>
        </w:rPr>
        <w:fldChar w:fldCharType="separate"/>
      </w:r>
      <w:r w:rsidR="0091451B" w:rsidRPr="0091451B">
        <w:rPr>
          <w:rFonts w:ascii="Times New Roman" w:hAnsi="Times New Roman"/>
          <w:vertAlign w:val="superscript"/>
        </w:rPr>
        <w:t>23,33,35,36,41,45,46,83</w:t>
      </w:r>
      <w:r w:rsidRPr="00BA0582">
        <w:rPr>
          <w:rFonts w:cstheme="minorHAnsi"/>
        </w:rPr>
        <w:fldChar w:fldCharType="end"/>
      </w:r>
      <w:r w:rsidRPr="00BA0582">
        <w:rPr>
          <w:rFonts w:cstheme="minorHAnsi"/>
        </w:rPr>
        <w:t>and epoxide deoxygenation.</w:t>
      </w:r>
      <w:r w:rsidRPr="00BA0582">
        <w:rPr>
          <w:rFonts w:cstheme="minorHAnsi"/>
        </w:rPr>
        <w:fldChar w:fldCharType="begin"/>
      </w:r>
      <w:r w:rsidR="00A074C8">
        <w:rPr>
          <w:rFonts w:cstheme="minorHAnsi"/>
        </w:rPr>
        <w:instrText xml:space="preserve"> ADDIN ZOTERO_ITEM CSL_CITATION {"citationID":"px89XKqW","properties":{"formattedCitation":"{\\rtf \\super 33,213\\nosupersub{}}","plainCitation":"33,213"},"citationItems":[{"id":422,"uris":["http://zotero.org/users/1624234/items/UDXKBHCJ"],"uri":["http://zotero.org/users/1624234/items/UDXKBHCJ"],"itemData":{"id":422,"type":"article-journal","title":"H &lt;sub&gt;2&lt;/sub&gt; -Driven Deoxygenation of Epoxides and Diols to Alkenes Catalyzed by Methyltrioxorhenium","container-title":"Inorganic Chemistry","page":"9998-10000","volume":"48","issue":"21","source":"CrossRef","DOI":"10.1021/ic901792b","ISSN":"0020-1669, 1520-510X","author":[{"family":"Ziegler","given":"Jeanette E."},{"family":"Zdilla","given":"Michael J."},{"family":"Evans","given":"Andrew J."},{"family":"Abu-Omar","given":"Mahdi M."}],"issued":{"date-parts":[["2009",11,2]]}}},{"id":2018,"uris":["http://zotero.org/users/1624234/items/5GU5SHFJ"],"uri":["http://zotero.org/users/1624234/items/5GU5SHFJ"],"itemData":{"id":2018,"type":"article-journal","title":"Rhenium-Catalyzed Epoxide Deoxygenation: Scope and Limitations","container-title":"Synlett","page":"2243-2245","issue":"14","source":"CrossRef","ISSN":"0936-5214, 1437-2096","shortTitle":"Rhenium-Catalyzed Epoxide Deoxygenation","language":"en","author":[{"family":"Gable","given":"Kevin P."},{"family":"Brown","given":"Eric C."}],"issued":{"date-parts":[["2003"]]}}}],"schema":"https://github.com/citation-style-language/schema/raw/master/csl-citation.json"} </w:instrText>
      </w:r>
      <w:r w:rsidRPr="00BA0582">
        <w:rPr>
          <w:rFonts w:cstheme="minorHAnsi"/>
        </w:rPr>
        <w:fldChar w:fldCharType="separate"/>
      </w:r>
      <w:r w:rsidR="0091451B" w:rsidRPr="0091451B">
        <w:rPr>
          <w:rFonts w:ascii="Times New Roman" w:hAnsi="Times New Roman"/>
          <w:vertAlign w:val="superscript"/>
        </w:rPr>
        <w:t>33,213</w:t>
      </w:r>
      <w:r w:rsidRPr="00BA0582">
        <w:rPr>
          <w:rFonts w:cstheme="minorHAnsi"/>
        </w:rPr>
        <w:fldChar w:fldCharType="end"/>
      </w:r>
    </w:p>
    <w:p w14:paraId="4119EF19" w14:textId="77777777" w:rsidR="00497A22" w:rsidRDefault="00497A22" w:rsidP="00497A22">
      <w:pPr>
        <w:keepNext/>
        <w:jc w:val="center"/>
      </w:pPr>
      <w:r w:rsidRPr="00BA0582">
        <w:rPr>
          <w:rFonts w:cstheme="minorHAnsi"/>
        </w:rPr>
        <w:object w:dxaOrig="3370" w:dyaOrig="3570" w14:anchorId="420841C5">
          <v:shape id="_x0000_i1208" type="#_x0000_t75" style="width:210.45pt;height:226.3pt" o:ole="">
            <v:imagedata r:id="rId485" o:title=""/>
          </v:shape>
          <o:OLEObject Type="Embed" ProgID="ChemDraw.Document.6.0" ShapeID="_x0000_i1208" DrawAspect="Content" ObjectID="_1532785029" r:id="rId486"/>
        </w:object>
      </w:r>
    </w:p>
    <w:p w14:paraId="1AF66ACD" w14:textId="77777777" w:rsidR="00BA0582" w:rsidRDefault="00497A22" w:rsidP="00183067">
      <w:pPr>
        <w:pStyle w:val="Caption"/>
        <w:rPr>
          <w:rFonts w:cstheme="minorHAnsi"/>
          <w:b w:val="0"/>
        </w:rPr>
      </w:pPr>
      <w:bookmarkStart w:id="416" w:name="_Toc457670788"/>
      <w:r>
        <w:t xml:space="preserve">Figure </w:t>
      </w:r>
      <w:r w:rsidR="00443010">
        <w:fldChar w:fldCharType="begin"/>
      </w:r>
      <w:r w:rsidR="00443010">
        <w:instrText xml:space="preserve"> STYLEREF 1 \s </w:instrText>
      </w:r>
      <w:r w:rsidR="00443010">
        <w:fldChar w:fldCharType="separate"/>
      </w:r>
      <w:r w:rsidR="000A0E3D">
        <w:rPr>
          <w:noProof/>
        </w:rPr>
        <w:t>IV</w:t>
      </w:r>
      <w:r w:rsidR="00443010">
        <w:rPr>
          <w:noProof/>
        </w:rPr>
        <w:fldChar w:fldCharType="end"/>
      </w:r>
      <w:r w:rsidR="00573BBE">
        <w:t>.</w:t>
      </w:r>
      <w:r w:rsidR="00443010">
        <w:fldChar w:fldCharType="begin"/>
      </w:r>
      <w:r w:rsidR="00443010">
        <w:instrText xml:space="preserve"> SEQ Figure \* ARABIC \s 1 </w:instrText>
      </w:r>
      <w:r w:rsidR="00443010">
        <w:fldChar w:fldCharType="separate"/>
      </w:r>
      <w:r w:rsidR="000A0E3D">
        <w:rPr>
          <w:noProof/>
        </w:rPr>
        <w:t>4</w:t>
      </w:r>
      <w:r w:rsidR="00443010">
        <w:rPr>
          <w:noProof/>
        </w:rPr>
        <w:fldChar w:fldCharType="end"/>
      </w:r>
      <w:r w:rsidRPr="00497A22">
        <w:t xml:space="preserve"> </w:t>
      </w:r>
      <w:r w:rsidR="00BA0582" w:rsidRPr="00497A22">
        <w:rPr>
          <w:rFonts w:cstheme="minorHAnsi"/>
        </w:rPr>
        <w:t>Possible catalytic cycle for deoxy</w:t>
      </w:r>
      <w:r w:rsidRPr="00497A22">
        <w:rPr>
          <w:rFonts w:cstheme="minorHAnsi"/>
        </w:rPr>
        <w:t>genation and reductive coupling</w:t>
      </w:r>
      <w:bookmarkEnd w:id="416"/>
    </w:p>
    <w:p w14:paraId="7A6BF058" w14:textId="77777777" w:rsidR="00497A22" w:rsidRPr="00497A22" w:rsidRDefault="00497A22" w:rsidP="00497A22"/>
    <w:p w14:paraId="19F050D0" w14:textId="77777777" w:rsidR="00BA0582" w:rsidRPr="00BA0582" w:rsidRDefault="00BA0582" w:rsidP="00BA0582">
      <w:pPr>
        <w:ind w:firstLine="360"/>
        <w:jc w:val="both"/>
        <w:rPr>
          <w:rFonts w:cstheme="minorHAnsi"/>
          <w:vertAlign w:val="subscript"/>
        </w:rPr>
      </w:pPr>
      <w:r w:rsidRPr="00BA0582">
        <w:rPr>
          <w:rFonts w:cstheme="minorHAnsi"/>
        </w:rPr>
        <w:t>One the most interesting parts of the mechanism is the C-O bond breaking step. In reported stoichiometric DO and RC reactions this step was suggested to take place via the generation of organic radicals by the metal-alkoxide complex.</w:t>
      </w:r>
      <w:r w:rsidRPr="00BA0582">
        <w:rPr>
          <w:rFonts w:cstheme="minorHAnsi"/>
        </w:rPr>
        <w:fldChar w:fldCharType="begin"/>
      </w:r>
      <w:r w:rsidR="0091451B">
        <w:rPr>
          <w:rFonts w:cstheme="minorHAnsi"/>
        </w:rPr>
        <w:instrText xml:space="preserve"> ADDIN ZOTERO_ITEM CSL_CITATION {"citationID":"14luhddkg3","properties":{"formattedCitation":"{\\rtf \\super 214\\nosupersub{}}","plainCitation":"214"},"citationItems":[{"id":1927,"uris":["http://zotero.org/users/1624234/items/XUR9W6PP"],"uri":["http://zotero.org/users/1624234/items/XUR9W6PP"],"itemData":{"id":1927,"type":"article-journal","title":"Assembly of Molybdenum/Titanium μ-Oxo Complexes via Radical Alkoxide C−O Cleavage","container-title":"Journal of the American Chemical Society","page":"10175-10188","volume":"118","issue":"42","source":"ACS Publications","abstract":"Three-coordinate Ti(NRAr)3 [R = C(CD3)2(CH3), Ar = C6H3Me2] was prepared in 73% yield by sodium amalgam reduction of ClTi(NRAr)3 and in 83% yield upon treatment of TiCl3(THF)3 with 3 equiv of Li(NRAr)(OEt2) in the presence of TMEDA. Ti(tBuNPh)3 was prepared similarly in 75% yield by treatment of TiCl3(THF)3 with 3 equiv of Li(tBuNPh)(OEt2) in the presence of TMEDA. Reaction of Ti(NRAr)3 with NMo(OtBu)3 in hydrocarbon solvents at −35 °C generates a thermally unstable intermediate formulated as (tBuO)3Mo[μ-N]Ti(NRAr)3, which readily loses a tert-butyl radical and isomerizes at 25 °C. Kinetics of the latter process were obtained over the temperature range 20−60 °C; the process exhibits clean first-order behavior. The following activation parameters were obtained:  ΔH</w:instrText>
      </w:r>
      <w:r w:rsidR="0091451B">
        <w:rPr>
          <w:rFonts w:ascii="Cambria Math" w:hAnsi="Cambria Math" w:cs="Cambria Math"/>
        </w:rPr>
        <w:instrText>⧧</w:instrText>
      </w:r>
      <w:r w:rsidR="0091451B">
        <w:rPr>
          <w:rFonts w:cstheme="minorHAnsi"/>
        </w:rPr>
        <w:instrText xml:space="preserve"> = 21.4 </w:instrText>
      </w:r>
      <w:r w:rsidR="0091451B">
        <w:rPr>
          <w:rFonts w:ascii="Times New Roman" w:hAnsi="Times New Roman"/>
        </w:rPr>
        <w:instrText>±</w:instrText>
      </w:r>
      <w:r w:rsidR="0091451B">
        <w:rPr>
          <w:rFonts w:cstheme="minorHAnsi"/>
        </w:rPr>
        <w:instrText xml:space="preserve"> 0.2 kcal mol-1 and </w:instrText>
      </w:r>
      <w:r w:rsidR="0091451B">
        <w:rPr>
          <w:rFonts w:ascii="Times New Roman" w:hAnsi="Times New Roman"/>
        </w:rPr>
        <w:instrText>Δ</w:instrText>
      </w:r>
      <w:r w:rsidR="0091451B">
        <w:rPr>
          <w:rFonts w:cstheme="minorHAnsi"/>
        </w:rPr>
        <w:instrText>S</w:instrText>
      </w:r>
      <w:r w:rsidR="0091451B">
        <w:rPr>
          <w:rFonts w:ascii="Cambria Math" w:hAnsi="Cambria Math" w:cs="Cambria Math"/>
        </w:rPr>
        <w:instrText>⧧</w:instrText>
      </w:r>
      <w:r w:rsidR="0091451B">
        <w:rPr>
          <w:rFonts w:cstheme="minorHAnsi"/>
        </w:rPr>
        <w:instrText xml:space="preserve"> = </w:instrText>
      </w:r>
      <w:r w:rsidR="0091451B">
        <w:rPr>
          <w:rFonts w:ascii="Times New Roman" w:hAnsi="Times New Roman"/>
        </w:rPr>
        <w:instrText>−</w:instrText>
      </w:r>
      <w:r w:rsidR="0091451B">
        <w:rPr>
          <w:rFonts w:cstheme="minorHAnsi"/>
        </w:rPr>
        <w:instrText xml:space="preserve">3.7 </w:instrText>
      </w:r>
      <w:r w:rsidR="0091451B">
        <w:rPr>
          <w:rFonts w:ascii="Times New Roman" w:hAnsi="Times New Roman"/>
        </w:rPr>
        <w:instrText>±</w:instrText>
      </w:r>
      <w:r w:rsidR="0091451B">
        <w:rPr>
          <w:rFonts w:cstheme="minorHAnsi"/>
        </w:rPr>
        <w:instrText xml:space="preserve"> 0.6 cal mol-1 K-1. The oxo-bridged product (tBuO)2(N)Mo[μ-O]Ti(NRAr)3 was isolated in 83% yield from this reaction. Full characterization of the latter diamagnetic complex included an X-ray crystal structure and an 15N NMR study. Ti(NRAr)3 (1 equiv) reacts further with (tBuO)2(N)Mo[μ-O]Ti(NRAr)3 to generate a species formulated as a second paramagnetic nitrido-bridged intermediate, (tBuO)2Mo{[μ-O]Ti(NRAr)3}{[μ-N]Ti(NRAr)3}, which at 25 °C loses a tert-butyl radical and isomerizes to give the final product, (tBuO)(N)Mo{[μ-O]Ti(NRAr)3}2, isolated as an orange powder in 91% yield. Characterization of the latter diamagnetic complex included an 15N NMR study. Attempts to displace a third tert-butyl radical by treatment of (tBuO)(N)Mo{[μ-O]Ti(NRAr)3}2 with Ti(NRAr)3 led to no reaction. Treatment of (tBuO)(N)Mo{[μ-O]Ti(NRAr)3}2 with neat methyl iodide led to the isolation of (MeO)(N)Mo{[μ-O]Ti(NRAr)3}2 in 51% yield; 13C and nitrido-15N derivatives of this species were prepared for spectroscopic characterization. O2Mo{[μ-O]Ti(tBuNPh)3}2 was prepared in 59% yield upon treatment of MoO2(OtBu)2 with 2 equiv of Ti(tBuNPh)3 in benzene at 65 °C. Full characterization of O2Mo{[μ-O]Ti(tBuNPh)3}2 included a single-crystal X-ray diffraction study. Previously reported (iPrO)3V[μ-O]Ti(NRAr)3 was oxidized with ferrocenium triflate to give TfOTi(NRAr)3 and OV(OiPr)3. TfOTi(NRAr)3 was prepared independently in 80% yield by treatment of Ti(NRAr)3 with ferrocenium triflate. (iPrO)3V[μ-O]Ti(NRAr)3 is stable in the presence of methyl iodide. ITi(NRAr)3 was prepared independently by treatment of Ti(NRAr)3 with the stoichiometric amount of iodine. Paramagnetic (tBuO)3V[μ-O]Ti(NRAr)3 was prepared as orange-brown needles in 94% yield and was found to be thermally stable. The relatively robust μ-nitrido compound (Me2N)3Mo[μ-N]Ti(tBuNPh)3, which was prepared in 77% isolated yield, showed no decomposition when heated in benzene at 70 °C for 13 h.","DOI":"10.1021/ja960564w","ISSN":"0002-7863","journalAbbreviation":"J. Am. Chem. Soc.","author":[{"family":"Peters","given":"Jonas C."},{"family":"Johnson","given":"Adam R."},{"family":"Odom","given":"Aaron L."},{"family":"Wanandi","given":"Paulus W."},{"family":"Davis","given":"William M."},{"family":"Cummins","given":"Christopher C."}],"issued":{"date-parts":[["1996",1,1]]}}}],"schema":"https://github.com/citation-style-language/schema/raw/master/csl-citation.json"} </w:instrText>
      </w:r>
      <w:r w:rsidRPr="00BA0582">
        <w:rPr>
          <w:rFonts w:cstheme="minorHAnsi"/>
        </w:rPr>
        <w:fldChar w:fldCharType="separate"/>
      </w:r>
      <w:r w:rsidR="0091451B" w:rsidRPr="0091451B">
        <w:rPr>
          <w:rFonts w:ascii="Times New Roman" w:hAnsi="Times New Roman"/>
          <w:vertAlign w:val="superscript"/>
        </w:rPr>
        <w:t>214</w:t>
      </w:r>
      <w:r w:rsidRPr="00BA0582">
        <w:rPr>
          <w:rFonts w:cstheme="minorHAnsi"/>
        </w:rPr>
        <w:fldChar w:fldCharType="end"/>
      </w:r>
      <w:r w:rsidRPr="00BA0582">
        <w:rPr>
          <w:rFonts w:cstheme="minorHAnsi"/>
        </w:rPr>
        <w:t xml:space="preserve"> Our oxo-Re-catalyzed reductive coupling reaction was facilitated by the presence of aryl and vinyl substituents on the alcohol, showed limited regioselectivity with allylic alcohols, and the selectivity toward deoxygenation (entries IV.1.9 and IV.1.10) could support the formation of Re-alkoxo intermediates (</w:t>
      </w:r>
      <w:r w:rsidRPr="00BA0582">
        <w:rPr>
          <w:rFonts w:cstheme="minorHAnsi"/>
          <w:b/>
        </w:rPr>
        <w:t>A</w:t>
      </w:r>
      <w:r w:rsidRPr="00BA0582">
        <w:rPr>
          <w:rFonts w:cstheme="minorHAnsi"/>
        </w:rPr>
        <w:t xml:space="preserve"> or </w:t>
      </w:r>
      <w:r w:rsidRPr="00BA0582">
        <w:rPr>
          <w:rFonts w:cstheme="minorHAnsi"/>
          <w:b/>
        </w:rPr>
        <w:t>B</w:t>
      </w:r>
      <w:r w:rsidRPr="00BA0582">
        <w:rPr>
          <w:rFonts w:cstheme="minorHAnsi"/>
        </w:rPr>
        <w:t>) and derived carbon-radicals. Also experiments conducted by Gabrielle were inconclusive to implicate C-radical intermediates (</w:t>
      </w:r>
      <w:r w:rsidR="00183067">
        <w:rPr>
          <w:rFonts w:cstheme="minorHAnsi"/>
        </w:rPr>
        <w:fldChar w:fldCharType="begin"/>
      </w:r>
      <w:r w:rsidR="00183067">
        <w:rPr>
          <w:rFonts w:cstheme="minorHAnsi"/>
        </w:rPr>
        <w:instrText xml:space="preserve"> REF _Ref457465540 \h </w:instrText>
      </w:r>
      <w:r w:rsidR="00183067">
        <w:rPr>
          <w:rFonts w:cstheme="minorHAnsi"/>
        </w:rPr>
      </w:r>
      <w:r w:rsidR="00183067">
        <w:rPr>
          <w:rFonts w:cstheme="minorHAnsi"/>
        </w:rPr>
        <w:fldChar w:fldCharType="separate"/>
      </w:r>
      <w:r w:rsidR="000A0E3D">
        <w:t xml:space="preserve">Figure </w:t>
      </w:r>
      <w:r w:rsidR="000A0E3D">
        <w:rPr>
          <w:noProof/>
        </w:rPr>
        <w:t>IV</w:t>
      </w:r>
      <w:r w:rsidR="000A0E3D">
        <w:t>.</w:t>
      </w:r>
      <w:r w:rsidR="000A0E3D">
        <w:rPr>
          <w:noProof/>
        </w:rPr>
        <w:t>5</w:t>
      </w:r>
      <w:r w:rsidR="00183067">
        <w:rPr>
          <w:rFonts w:cstheme="minorHAnsi"/>
        </w:rPr>
        <w:fldChar w:fldCharType="end"/>
      </w:r>
      <w:r w:rsidRPr="00BA0582">
        <w:rPr>
          <w:rFonts w:cstheme="minorHAnsi"/>
        </w:rPr>
        <w:t>). The reaction entry IV.1.1 was carried out in the presence of 1-2 equivalents of hydrogen donors and radical traps 1,4-cyclohexadiene, 9,10-dihydroanthracene or xanthene,</w:t>
      </w:r>
      <w:r w:rsidRPr="00BA0582">
        <w:rPr>
          <w:rFonts w:cstheme="minorHAnsi"/>
        </w:rPr>
        <w:fldChar w:fldCharType="begin"/>
      </w:r>
      <w:r w:rsidR="0091451B">
        <w:rPr>
          <w:rFonts w:cstheme="minorHAnsi"/>
        </w:rPr>
        <w:instrText xml:space="preserve"> ADDIN ZOTERO_ITEM CSL_CITATION {"citationID":"aCz4wgAS","properties":{"formattedCitation":"{\\rtf \\super 215,216\\nosupersub{}}","plainCitation":"215,216"},"citationItems":[{"id":1980,"uris":["http://zotero.org/users/1624234/items/8TRXJ6NQ"],"uri":["http://zotero.org/users/1624234/items/8TRXJ6NQ"],"itemData":{"id":1980,"type":"article-journal","title":"Hydrogen Abstraction by Benzyl Radicals","container-title":"Nature","page":"700-701","volume":"201","issue":"4920","source":"www.nature.com","DOI":"10.1038/201700c0","journalAbbreviation":"Nature","language":"en","author":[{"family":"Bass","given":"K. C."}],"issued":{"date-parts":[["1964",2,15]]}}},{"id":1906,"uris":["http://zotero.org/users/1624234/items/WZZJN2DN"],"uri":["http://zotero.org/users/1624234/items/WZZJN2DN"],"itemData":{"id":1906,"type":"article-journal","title":"Hydrogen Atom Abstraction by Metal−Oxo Complexes:  Understanding the Analogy with Organic Radical Reactions","container-title":"Accounts of Chemical Research","page":"441-450","volume":"31","issue":"8","source":"ACS Publications","DOI":"10.1021/ar970171h","ISSN":"0001-4842","shortTitle":"Hydrogen Atom Abstraction by Metal−Oxo Complexes","journalAbbreviation":"Acc. Chem. Res.","author":[{"family":"Mayer","given":"James M."}],"issued":{"date-parts":[["1998",8,1]]}}}],"schema":"https://github.com/citation-style-language/schema/raw/master/csl-citation.json"} </w:instrText>
      </w:r>
      <w:r w:rsidRPr="00BA0582">
        <w:rPr>
          <w:rFonts w:cstheme="minorHAnsi"/>
        </w:rPr>
        <w:fldChar w:fldCharType="separate"/>
      </w:r>
      <w:r w:rsidR="0091451B" w:rsidRPr="0091451B">
        <w:rPr>
          <w:rFonts w:ascii="Times New Roman" w:hAnsi="Times New Roman"/>
          <w:vertAlign w:val="superscript"/>
        </w:rPr>
        <w:t>215,216</w:t>
      </w:r>
      <w:r w:rsidRPr="00BA0582">
        <w:rPr>
          <w:rFonts w:cstheme="minorHAnsi"/>
        </w:rPr>
        <w:fldChar w:fldCharType="end"/>
      </w:r>
      <w:r w:rsidRPr="00BA0582">
        <w:rPr>
          <w:rFonts w:cstheme="minorHAnsi"/>
        </w:rPr>
        <w:t xml:space="preserve"> without any significant change in the dimer yield (80 ± 5%) or the H-donors derived products (</w:t>
      </w:r>
      <w:r w:rsidR="00183067">
        <w:rPr>
          <w:rFonts w:cstheme="minorHAnsi"/>
        </w:rPr>
        <w:fldChar w:fldCharType="begin"/>
      </w:r>
      <w:r w:rsidR="00183067">
        <w:rPr>
          <w:rFonts w:cstheme="minorHAnsi"/>
        </w:rPr>
        <w:instrText xml:space="preserve"> REF _Ref457465540 \h </w:instrText>
      </w:r>
      <w:r w:rsidR="00183067">
        <w:rPr>
          <w:rFonts w:cstheme="minorHAnsi"/>
        </w:rPr>
      </w:r>
      <w:r w:rsidR="00183067">
        <w:rPr>
          <w:rFonts w:cstheme="minorHAnsi"/>
        </w:rPr>
        <w:fldChar w:fldCharType="separate"/>
      </w:r>
      <w:r w:rsidR="000A0E3D">
        <w:t xml:space="preserve">Figure </w:t>
      </w:r>
      <w:r w:rsidR="000A0E3D">
        <w:rPr>
          <w:noProof/>
        </w:rPr>
        <w:t>IV</w:t>
      </w:r>
      <w:r w:rsidR="000A0E3D">
        <w:t>.</w:t>
      </w:r>
      <w:r w:rsidR="000A0E3D">
        <w:rPr>
          <w:noProof/>
        </w:rPr>
        <w:t>5</w:t>
      </w:r>
      <w:r w:rsidR="00183067">
        <w:rPr>
          <w:rFonts w:cstheme="minorHAnsi"/>
        </w:rPr>
        <w:fldChar w:fldCharType="end"/>
      </w:r>
      <w:r w:rsidRPr="00BA0582">
        <w:rPr>
          <w:rFonts w:cstheme="minorHAnsi"/>
        </w:rPr>
        <w:t>).</w:t>
      </w:r>
    </w:p>
    <w:p w14:paraId="33590452" w14:textId="77777777" w:rsidR="00497A22" w:rsidRDefault="00497A22" w:rsidP="00497A22">
      <w:pPr>
        <w:keepNext/>
        <w:jc w:val="center"/>
      </w:pPr>
      <w:r w:rsidRPr="00BA0582">
        <w:rPr>
          <w:rFonts w:cstheme="minorHAnsi"/>
        </w:rPr>
        <w:object w:dxaOrig="7094" w:dyaOrig="3031" w14:anchorId="51D00BD7">
          <v:shape id="_x0000_i1209" type="#_x0000_t75" style="width:354.45pt;height:154.3pt" o:ole="">
            <v:imagedata r:id="rId487" o:title=""/>
          </v:shape>
          <o:OLEObject Type="Embed" ProgID="ChemDraw.Document.6.0" ShapeID="_x0000_i1209" DrawAspect="Content" ObjectID="_1532785030" r:id="rId488"/>
        </w:object>
      </w:r>
    </w:p>
    <w:p w14:paraId="79077F93" w14:textId="77777777" w:rsidR="00BA0582" w:rsidRPr="00497A22" w:rsidRDefault="00497A22" w:rsidP="00497A22">
      <w:pPr>
        <w:pStyle w:val="Caption"/>
        <w:rPr>
          <w:rFonts w:cstheme="minorHAnsi"/>
        </w:rPr>
      </w:pPr>
      <w:bookmarkStart w:id="417" w:name="_Ref457465540"/>
      <w:bookmarkStart w:id="418" w:name="_Toc457670789"/>
      <w:r>
        <w:t xml:space="preserve">Figure </w:t>
      </w:r>
      <w:r w:rsidR="00443010">
        <w:fldChar w:fldCharType="begin"/>
      </w:r>
      <w:r w:rsidR="00443010">
        <w:instrText xml:space="preserve"> STYLEREF 1 \s </w:instrText>
      </w:r>
      <w:r w:rsidR="00443010">
        <w:fldChar w:fldCharType="separate"/>
      </w:r>
      <w:r w:rsidR="000A0E3D">
        <w:rPr>
          <w:noProof/>
        </w:rPr>
        <w:t>IV</w:t>
      </w:r>
      <w:r w:rsidR="00443010">
        <w:rPr>
          <w:noProof/>
        </w:rPr>
        <w:fldChar w:fldCharType="end"/>
      </w:r>
      <w:r w:rsidR="00573BBE">
        <w:t>.</w:t>
      </w:r>
      <w:r w:rsidR="00443010">
        <w:fldChar w:fldCharType="begin"/>
      </w:r>
      <w:r w:rsidR="00443010">
        <w:instrText xml:space="preserve"> SEQ Figure \* ARABIC \s 1 </w:instrText>
      </w:r>
      <w:r w:rsidR="00443010">
        <w:fldChar w:fldCharType="separate"/>
      </w:r>
      <w:r w:rsidR="000A0E3D">
        <w:rPr>
          <w:noProof/>
        </w:rPr>
        <w:t>5</w:t>
      </w:r>
      <w:r w:rsidR="00443010">
        <w:rPr>
          <w:noProof/>
        </w:rPr>
        <w:fldChar w:fldCharType="end"/>
      </w:r>
      <w:bookmarkEnd w:id="417"/>
      <w:r w:rsidR="00BA0582" w:rsidRPr="00497A22">
        <w:rPr>
          <w:rFonts w:cstheme="minorHAnsi"/>
        </w:rPr>
        <w:t xml:space="preserve"> (Non)Effect of H-Donors on reductive coupling</w:t>
      </w:r>
      <w:bookmarkEnd w:id="418"/>
    </w:p>
    <w:p w14:paraId="2FB616AD" w14:textId="77777777" w:rsidR="00497A22" w:rsidRPr="00497A22" w:rsidRDefault="00497A22" w:rsidP="00497A22"/>
    <w:p w14:paraId="7790B074" w14:textId="77777777" w:rsidR="00BA0582" w:rsidRPr="00BA0582" w:rsidRDefault="00BA0582" w:rsidP="00BA0582">
      <w:pPr>
        <w:ind w:firstLine="360"/>
        <w:jc w:val="both"/>
        <w:rPr>
          <w:rFonts w:cstheme="minorHAnsi"/>
        </w:rPr>
      </w:pPr>
      <w:r w:rsidRPr="00BA0582">
        <w:rPr>
          <w:rFonts w:cstheme="minorHAnsi"/>
        </w:rPr>
        <w:t>Prof. Nicholas conducted an initial DFT computational study of the deoxygenation of PhCH</w:t>
      </w:r>
      <w:r w:rsidRPr="00BA0582">
        <w:rPr>
          <w:rFonts w:cstheme="minorHAnsi"/>
          <w:vertAlign w:val="subscript"/>
        </w:rPr>
        <w:t>2</w:t>
      </w:r>
      <w:r w:rsidRPr="00BA0582">
        <w:rPr>
          <w:rFonts w:cstheme="minorHAnsi"/>
        </w:rPr>
        <w:t>OH by the model catalyst MeRe</w:t>
      </w:r>
      <w:r w:rsidRPr="007A65FE">
        <w:rPr>
          <w:rFonts w:cstheme="minorHAnsi"/>
          <w:vertAlign w:val="superscript"/>
        </w:rPr>
        <w:t>v</w:t>
      </w:r>
      <w:r w:rsidRPr="00BA0582">
        <w:rPr>
          <w:rFonts w:cstheme="minorHAnsi"/>
          <w:vertAlign w:val="superscript"/>
        </w:rPr>
        <w:t>ii</w:t>
      </w:r>
      <w:r w:rsidRPr="00BA0582">
        <w:rPr>
          <w:rFonts w:cstheme="minorHAnsi"/>
        </w:rPr>
        <w:t>O</w:t>
      </w:r>
      <w:r w:rsidRPr="00BA0582">
        <w:rPr>
          <w:rFonts w:cstheme="minorHAnsi"/>
          <w:vertAlign w:val="subscript"/>
        </w:rPr>
        <w:t>3</w:t>
      </w:r>
      <w:r w:rsidRPr="00BA0582">
        <w:rPr>
          <w:rFonts w:cstheme="minorHAnsi"/>
        </w:rPr>
        <w:t xml:space="preserve"> (</w:t>
      </w:r>
      <w:r w:rsidRPr="00BA0582">
        <w:rPr>
          <w:rFonts w:cstheme="minorHAnsi"/>
          <w:b/>
        </w:rPr>
        <w:t>C’</w:t>
      </w:r>
      <w:r w:rsidRPr="00BA0582">
        <w:rPr>
          <w:rFonts w:cstheme="minorHAnsi"/>
        </w:rPr>
        <w:t xml:space="preserve">). He found the mechanistic pathway in </w:t>
      </w:r>
      <w:r w:rsidR="009A3F44">
        <w:rPr>
          <w:rFonts w:cstheme="minorHAnsi"/>
        </w:rPr>
        <w:fldChar w:fldCharType="begin"/>
      </w:r>
      <w:r w:rsidR="009A3F44">
        <w:rPr>
          <w:rFonts w:cstheme="minorHAnsi"/>
        </w:rPr>
        <w:instrText xml:space="preserve"> REF _Ref457465631 \h </w:instrText>
      </w:r>
      <w:r w:rsidR="009A3F44">
        <w:rPr>
          <w:rFonts w:cstheme="minorHAnsi"/>
        </w:rPr>
      </w:r>
      <w:r w:rsidR="009A3F44">
        <w:rPr>
          <w:rFonts w:cstheme="minorHAnsi"/>
        </w:rPr>
        <w:fldChar w:fldCharType="separate"/>
      </w:r>
      <w:r w:rsidR="000A0E3D">
        <w:t xml:space="preserve">Figure </w:t>
      </w:r>
      <w:r w:rsidR="000A0E3D">
        <w:rPr>
          <w:noProof/>
        </w:rPr>
        <w:t>IV</w:t>
      </w:r>
      <w:r w:rsidR="000A0E3D">
        <w:t>.</w:t>
      </w:r>
      <w:r w:rsidR="000A0E3D">
        <w:rPr>
          <w:noProof/>
        </w:rPr>
        <w:t>6</w:t>
      </w:r>
      <w:r w:rsidR="009A3F44">
        <w:rPr>
          <w:rFonts w:cstheme="minorHAnsi"/>
        </w:rPr>
        <w:fldChar w:fldCharType="end"/>
      </w:r>
      <w:r w:rsidRPr="00BA0582">
        <w:rPr>
          <w:rFonts w:cstheme="minorHAnsi"/>
        </w:rPr>
        <w:t xml:space="preserve">for </w:t>
      </w:r>
      <w:r w:rsidRPr="00BA0582">
        <w:rPr>
          <w:rFonts w:cstheme="minorHAnsi"/>
          <w:b/>
        </w:rPr>
        <w:t>1</w:t>
      </w:r>
      <w:r w:rsidRPr="00BA0582">
        <w:rPr>
          <w:rFonts w:cstheme="minorHAnsi"/>
        </w:rPr>
        <w:t xml:space="preserve"> to be exoergic at each stage from MeRe</w:t>
      </w:r>
      <w:r w:rsidRPr="00BA0582">
        <w:rPr>
          <w:rFonts w:cstheme="minorHAnsi"/>
          <w:vertAlign w:val="superscript"/>
        </w:rPr>
        <w:t>v</w:t>
      </w:r>
      <w:r w:rsidRPr="00BA0582">
        <w:rPr>
          <w:rFonts w:cstheme="minorHAnsi"/>
        </w:rPr>
        <w:t>O</w:t>
      </w:r>
      <w:r w:rsidRPr="00BA0582">
        <w:rPr>
          <w:rFonts w:cstheme="minorHAnsi"/>
          <w:vertAlign w:val="subscript"/>
        </w:rPr>
        <w:t>2</w:t>
      </w:r>
      <w:r w:rsidRPr="00BA0582">
        <w:rPr>
          <w:rFonts w:cstheme="minorHAnsi"/>
        </w:rPr>
        <w:t xml:space="preserve"> (</w:t>
      </w:r>
      <w:r w:rsidRPr="00BA0582">
        <w:rPr>
          <w:rFonts w:cstheme="minorHAnsi"/>
          <w:b/>
        </w:rPr>
        <w:t>D</w:t>
      </w:r>
      <w:r w:rsidRPr="00BA0582">
        <w:rPr>
          <w:rFonts w:cstheme="minorHAnsi"/>
        </w:rPr>
        <w:t xml:space="preserve">) via intermediates </w:t>
      </w:r>
      <w:r w:rsidRPr="00BA0582">
        <w:rPr>
          <w:rFonts w:cstheme="minorHAnsi"/>
          <w:b/>
        </w:rPr>
        <w:t>E</w:t>
      </w:r>
      <w:r w:rsidRPr="00BA0582">
        <w:rPr>
          <w:rFonts w:cstheme="minorHAnsi"/>
        </w:rPr>
        <w:t xml:space="preserve">, </w:t>
      </w:r>
      <w:r w:rsidRPr="00BA0582">
        <w:rPr>
          <w:rFonts w:cstheme="minorHAnsi"/>
          <w:b/>
        </w:rPr>
        <w:t>A’</w:t>
      </w:r>
      <w:r w:rsidRPr="00BA0582">
        <w:rPr>
          <w:rFonts w:cstheme="minorHAnsi"/>
        </w:rPr>
        <w:t xml:space="preserve"> and </w:t>
      </w:r>
      <w:r w:rsidRPr="00BA0582">
        <w:rPr>
          <w:rFonts w:cstheme="minorHAnsi"/>
          <w:b/>
        </w:rPr>
        <w:t>C’</w:t>
      </w:r>
      <w:r w:rsidRPr="00BA0582">
        <w:rPr>
          <w:rFonts w:cstheme="minorHAnsi"/>
        </w:rPr>
        <w:t xml:space="preserve"> (</w:t>
      </w:r>
      <w:r w:rsidR="00183067">
        <w:rPr>
          <w:rFonts w:cstheme="minorHAnsi"/>
        </w:rPr>
        <w:fldChar w:fldCharType="begin"/>
      </w:r>
      <w:r w:rsidR="00183067">
        <w:rPr>
          <w:rFonts w:cstheme="minorHAnsi"/>
        </w:rPr>
        <w:instrText xml:space="preserve"> REF _Ref457465631 \h </w:instrText>
      </w:r>
      <w:r w:rsidR="00183067">
        <w:rPr>
          <w:rFonts w:cstheme="minorHAnsi"/>
        </w:rPr>
      </w:r>
      <w:r w:rsidR="00183067">
        <w:rPr>
          <w:rFonts w:cstheme="minorHAnsi"/>
        </w:rPr>
        <w:fldChar w:fldCharType="separate"/>
      </w:r>
      <w:r w:rsidR="000A0E3D">
        <w:t xml:space="preserve">Figure </w:t>
      </w:r>
      <w:r w:rsidR="000A0E3D">
        <w:rPr>
          <w:noProof/>
        </w:rPr>
        <w:t>IV</w:t>
      </w:r>
      <w:r w:rsidR="000A0E3D">
        <w:t>.</w:t>
      </w:r>
      <w:r w:rsidR="000A0E3D">
        <w:rPr>
          <w:noProof/>
        </w:rPr>
        <w:t>6</w:t>
      </w:r>
      <w:r w:rsidR="00183067">
        <w:rPr>
          <w:rFonts w:cstheme="minorHAnsi"/>
        </w:rPr>
        <w:fldChar w:fldCharType="end"/>
      </w:r>
      <w:r w:rsidRPr="00BA0582">
        <w:rPr>
          <w:rFonts w:cstheme="minorHAnsi"/>
        </w:rPr>
        <w:t>). The C-O bond in alkoxy-ReO</w:t>
      </w:r>
      <w:r w:rsidRPr="00BA0582">
        <w:rPr>
          <w:rFonts w:cstheme="minorHAnsi"/>
          <w:vertAlign w:val="subscript"/>
        </w:rPr>
        <w:t>x</w:t>
      </w:r>
      <w:r w:rsidRPr="00BA0582">
        <w:rPr>
          <w:rFonts w:cstheme="minorHAnsi"/>
        </w:rPr>
        <w:t xml:space="preserve"> species is indicated to be much weaker by a calculated dissociation energy of only 13 kcal/mol for conversion of PhCH</w:t>
      </w:r>
      <w:r w:rsidRPr="00BA0582">
        <w:rPr>
          <w:rFonts w:cstheme="minorHAnsi"/>
          <w:vertAlign w:val="subscript"/>
        </w:rPr>
        <w:t>2</w:t>
      </w:r>
      <w:r w:rsidRPr="00BA0582">
        <w:rPr>
          <w:rFonts w:cstheme="minorHAnsi"/>
        </w:rPr>
        <w:t>-ORe(O)Me(OH) (</w:t>
      </w:r>
      <w:r w:rsidRPr="00BA0582">
        <w:rPr>
          <w:rFonts w:cstheme="minorHAnsi"/>
          <w:b/>
        </w:rPr>
        <w:t>A’</w:t>
      </w:r>
      <w:r w:rsidRPr="00BA0582">
        <w:rPr>
          <w:rFonts w:cstheme="minorHAnsi"/>
        </w:rPr>
        <w:t xml:space="preserve">) to benzyl radical and </w:t>
      </w:r>
      <w:r w:rsidRPr="00BA0582">
        <w:rPr>
          <w:rFonts w:cstheme="minorHAnsi"/>
          <w:b/>
        </w:rPr>
        <w:t>F</w:t>
      </w:r>
      <w:r w:rsidRPr="00BA0582">
        <w:rPr>
          <w:rFonts w:cstheme="minorHAnsi"/>
        </w:rPr>
        <w:t xml:space="preserve">, which increases to 35 kcal for the more accurate model intermediate for catalyst </w:t>
      </w:r>
      <w:r w:rsidRPr="00BA0582">
        <w:rPr>
          <w:rFonts w:cstheme="minorHAnsi"/>
          <w:b/>
        </w:rPr>
        <w:t>1</w:t>
      </w:r>
      <w:r w:rsidRPr="00BA0582">
        <w:rPr>
          <w:rFonts w:cstheme="minorHAnsi"/>
        </w:rPr>
        <w:t>, PhCH</w:t>
      </w:r>
      <w:r w:rsidRPr="00BA0582">
        <w:rPr>
          <w:rFonts w:cstheme="minorHAnsi"/>
          <w:vertAlign w:val="subscript"/>
        </w:rPr>
        <w:t>2</w:t>
      </w:r>
      <w:r w:rsidRPr="00BA0582">
        <w:rPr>
          <w:rFonts w:cstheme="minorHAnsi"/>
        </w:rPr>
        <w:t>-ORe(O)Me(OH)(PMe</w:t>
      </w:r>
      <w:r w:rsidRPr="00BA0582">
        <w:rPr>
          <w:rFonts w:cstheme="minorHAnsi"/>
          <w:vertAlign w:val="subscript"/>
        </w:rPr>
        <w:t>3</w:t>
      </w:r>
      <w:r w:rsidRPr="00BA0582">
        <w:rPr>
          <w:rFonts w:cstheme="minorHAnsi"/>
        </w:rPr>
        <w:t>) (</w:t>
      </w:r>
      <w:r w:rsidRPr="00BA0582">
        <w:rPr>
          <w:rFonts w:cstheme="minorHAnsi"/>
          <w:b/>
        </w:rPr>
        <w:t>A’</w:t>
      </w:r>
      <w:r w:rsidRPr="00BA0582">
        <w:rPr>
          <w:rFonts w:cstheme="minorHAnsi"/>
        </w:rPr>
        <w:t>-&gt;</w:t>
      </w:r>
      <w:r w:rsidRPr="00BA0582">
        <w:rPr>
          <w:rFonts w:cstheme="minorHAnsi"/>
          <w:b/>
        </w:rPr>
        <w:t>F’</w:t>
      </w:r>
      <w:r w:rsidRPr="00BA0582">
        <w:rPr>
          <w:rFonts w:cstheme="minorHAnsi"/>
        </w:rPr>
        <w:t>). This energy is still much lower than for PhCH</w:t>
      </w:r>
      <w:r w:rsidRPr="00BA0582">
        <w:rPr>
          <w:rFonts w:cstheme="minorHAnsi"/>
          <w:vertAlign w:val="subscript"/>
        </w:rPr>
        <w:t>2</w:t>
      </w:r>
      <w:r w:rsidRPr="00BA0582">
        <w:rPr>
          <w:rFonts w:cstheme="minorHAnsi"/>
        </w:rPr>
        <w:t>-OH homolysis (81 kcal).</w:t>
      </w:r>
      <w:r w:rsidRPr="00BA0582">
        <w:rPr>
          <w:rFonts w:cstheme="minorHAnsi"/>
        </w:rPr>
        <w:fldChar w:fldCharType="begin"/>
      </w:r>
      <w:r w:rsidR="0091451B">
        <w:rPr>
          <w:rFonts w:cstheme="minorHAnsi"/>
        </w:rPr>
        <w:instrText xml:space="preserve"> ADDIN ZOTERO_ITEM CSL_CITATION {"citationID":"1s06jqoc5h","properties":{"formattedCitation":"{\\rtf \\super 217\\nosupersub{}}","plainCitation":"217"},"citationItems":[{"id":2047,"uris":["http://zotero.org/users/1624234/items/EXQCJEKX"],"uri":["http://zotero.org/users/1624234/items/EXQCJEKX"],"itemData":{"id":2047,"type":"article-journal","title":"O2 Activation and Catalytic Alcohol Oxidation by Re Complexes with Redox-Active Ligands: A DFT Study of Mechanism","container-title":"ACS Catalysis","page":"4869-4880","volume":"5","issue":"8","source":"ACS Publications","abstract":"As a contribution to understanding catalysis by transition metal complexes with redox-active ligands (here: catecholate – cat), we report a computational study on the mechanism of a catalytic cycle where (i) O2 is activated at the metal center of the catecholate complex [ReV(O)(cat)2]− to yield [ReVII(O)2(cat)2]−, which (ii) subsequently is applied to oxidize alcohols. We were able to identify the steps where the redox-active ligands played a crucial role as e– buffer. For O2 homolysis, a series of sequential 1e– steps leads to superoxo and bimetallic intermediates, followed by facile cleavage of the bimetallic peroxo O–O linkage. The trans–cis isomerization of trans-[ReV(O)(cat)2]− is the crucial step of O2 activation, with an absolute free energy barrier of 16.8 kcal mol–1 in methanol. Due to the ionic character of intermediates, all reaction barriers of O2 activation are significantly lowered in a polar solvent, thus rendering O2 homolysis kinetically accessible. With computational results for the activation barriers of all elementary steps as well as the calculated solvent effects, we are able to rationalize all pertinent experimental findings. For catalytic alcohol oxidation, we propose a novel cooperative mechanism that involves two units of the metal complexes, ruling out the reaction via a seven-coordinated active oxidant, as previously hypothesized. We present in detail calculated energies and barriers for the reaction steps of the oxidation of methanol as model alcohol as well as the energetics of crucial steps of the experimentally studied oxidation of benzyl alcohol, both transformations for methanol as solvent.","DOI":"10.1021/acscatal.5b00509","shortTitle":"O2 Activation and Catalytic Alcohol Oxidation by Re Complexes with Redox-Active Ligands","journalAbbreviation":"ACS Catal.","author":[{"family":"Dinda","given":"Shrabani"},{"family":"Genest","given":"Alexander"},{"family":"Rösch","given":"Notker"}],"issued":{"date-parts":[["2015",8,7]]}}}],"schema":"https://github.com/citation-style-language/schema/raw/master/csl-citation.json"} </w:instrText>
      </w:r>
      <w:r w:rsidRPr="00BA0582">
        <w:rPr>
          <w:rFonts w:cstheme="minorHAnsi"/>
        </w:rPr>
        <w:fldChar w:fldCharType="separate"/>
      </w:r>
      <w:r w:rsidR="0091451B" w:rsidRPr="0091451B">
        <w:rPr>
          <w:rFonts w:ascii="Times New Roman" w:hAnsi="Times New Roman"/>
          <w:vertAlign w:val="superscript"/>
        </w:rPr>
        <w:t>217</w:t>
      </w:r>
      <w:r w:rsidRPr="00BA0582">
        <w:rPr>
          <w:rFonts w:cstheme="minorHAnsi"/>
        </w:rPr>
        <w:fldChar w:fldCharType="end"/>
      </w:r>
      <w:r w:rsidRPr="00BA0582">
        <w:rPr>
          <w:rFonts w:cstheme="minorHAnsi"/>
        </w:rPr>
        <w:t xml:space="preserve"> While either homolytic or non-homolytic pathways for C-O cleavage in the DO and RC reactions may be operative, a weakened C-O bond in an intermediate Re-alkoxide was suggested to be the likely source of catalytic activation. </w:t>
      </w:r>
    </w:p>
    <w:p w14:paraId="04CE4888" w14:textId="77777777" w:rsidR="00BA0582" w:rsidRPr="00BA0582" w:rsidRDefault="00BA0582" w:rsidP="00BA0582">
      <w:pPr>
        <w:rPr>
          <w:rFonts w:cstheme="minorHAnsi"/>
        </w:rPr>
      </w:pPr>
    </w:p>
    <w:p w14:paraId="78C13C94" w14:textId="77777777" w:rsidR="00183067" w:rsidRDefault="00BA0582" w:rsidP="00183067">
      <w:pPr>
        <w:keepNext/>
        <w:jc w:val="center"/>
      </w:pPr>
      <w:r w:rsidRPr="00BA0582">
        <w:rPr>
          <w:rFonts w:cstheme="minorHAnsi"/>
          <w:noProof/>
          <w:lang w:bidi="ar-SA"/>
        </w:rPr>
        <w:drawing>
          <wp:inline distT="0" distB="0" distL="0" distR="0" wp14:anchorId="356318D0" wp14:editId="35BBB802">
            <wp:extent cx="3833246" cy="2255139"/>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9" cstate="print">
                      <a:extLst>
                        <a:ext uri="{28A0092B-C50C-407E-A947-70E740481C1C}">
                          <a14:useLocalDpi xmlns:a14="http://schemas.microsoft.com/office/drawing/2010/main" val="0"/>
                        </a:ext>
                      </a:extLst>
                    </a:blip>
                    <a:srcRect/>
                    <a:stretch>
                      <a:fillRect/>
                    </a:stretch>
                  </pic:blipFill>
                  <pic:spPr bwMode="auto">
                    <a:xfrm>
                      <a:off x="0" y="0"/>
                      <a:ext cx="3835240" cy="2256312"/>
                    </a:xfrm>
                    <a:prstGeom prst="rect">
                      <a:avLst/>
                    </a:prstGeom>
                    <a:noFill/>
                    <a:ln>
                      <a:noFill/>
                    </a:ln>
                  </pic:spPr>
                </pic:pic>
              </a:graphicData>
            </a:graphic>
          </wp:inline>
        </w:drawing>
      </w:r>
    </w:p>
    <w:p w14:paraId="283DFC4B" w14:textId="77777777" w:rsidR="00183067" w:rsidRPr="00183067" w:rsidRDefault="00183067" w:rsidP="00183067">
      <w:pPr>
        <w:jc w:val="center"/>
        <w:rPr>
          <w:rFonts w:cstheme="minorHAnsi"/>
          <w:i/>
          <w:sz w:val="20"/>
        </w:rPr>
      </w:pPr>
      <w:r w:rsidRPr="00BA0582">
        <w:rPr>
          <w:rFonts w:cstheme="minorHAnsi"/>
          <w:i/>
          <w:sz w:val="20"/>
        </w:rPr>
        <w:t xml:space="preserve">B3LYP method </w:t>
      </w:r>
      <w:r>
        <w:rPr>
          <w:rFonts w:cstheme="minorHAnsi"/>
          <w:i/>
          <w:sz w:val="20"/>
        </w:rPr>
        <w:t>and LANL2DZ/6-31G(d) basis sets</w:t>
      </w:r>
    </w:p>
    <w:p w14:paraId="6D048CE7" w14:textId="77777777" w:rsidR="00BA0582" w:rsidRPr="00183067" w:rsidRDefault="00183067" w:rsidP="00183067">
      <w:pPr>
        <w:pStyle w:val="Caption"/>
        <w:rPr>
          <w:rFonts w:cstheme="minorHAnsi"/>
        </w:rPr>
      </w:pPr>
      <w:bookmarkStart w:id="419" w:name="_Ref457465631"/>
      <w:bookmarkStart w:id="420" w:name="_Toc457670790"/>
      <w:r>
        <w:t xml:space="preserve">Figure </w:t>
      </w:r>
      <w:r w:rsidR="00443010">
        <w:fldChar w:fldCharType="begin"/>
      </w:r>
      <w:r w:rsidR="00443010">
        <w:instrText xml:space="preserve"> STYLEREF 1 \s </w:instrText>
      </w:r>
      <w:r w:rsidR="00443010">
        <w:fldChar w:fldCharType="separate"/>
      </w:r>
      <w:r w:rsidR="000A0E3D">
        <w:rPr>
          <w:noProof/>
        </w:rPr>
        <w:t>IV</w:t>
      </w:r>
      <w:r w:rsidR="00443010">
        <w:rPr>
          <w:noProof/>
        </w:rPr>
        <w:fldChar w:fldCharType="end"/>
      </w:r>
      <w:r w:rsidR="00573BBE">
        <w:t>.</w:t>
      </w:r>
      <w:r w:rsidR="00443010">
        <w:fldChar w:fldCharType="begin"/>
      </w:r>
      <w:r w:rsidR="00443010">
        <w:instrText xml:space="preserve"> SEQ Figure \* ARABIC \s 1 </w:instrText>
      </w:r>
      <w:r w:rsidR="00443010">
        <w:fldChar w:fldCharType="separate"/>
      </w:r>
      <w:r w:rsidR="000A0E3D">
        <w:rPr>
          <w:noProof/>
        </w:rPr>
        <w:t>6</w:t>
      </w:r>
      <w:r w:rsidR="00443010">
        <w:rPr>
          <w:noProof/>
        </w:rPr>
        <w:fldChar w:fldCharType="end"/>
      </w:r>
      <w:bookmarkEnd w:id="419"/>
      <w:r>
        <w:t xml:space="preserve"> </w:t>
      </w:r>
      <w:r w:rsidR="00BA0582" w:rsidRPr="00183067">
        <w:rPr>
          <w:rFonts w:cstheme="minorHAnsi"/>
        </w:rPr>
        <w:t>Calculated energetics of MeReO</w:t>
      </w:r>
      <w:r w:rsidR="00BA0582" w:rsidRPr="00183067">
        <w:rPr>
          <w:rFonts w:cstheme="minorHAnsi"/>
          <w:vertAlign w:val="subscript"/>
        </w:rPr>
        <w:t>2</w:t>
      </w:r>
      <w:r w:rsidR="00BA0582" w:rsidRPr="00183067">
        <w:rPr>
          <w:rFonts w:cstheme="minorHAnsi"/>
        </w:rPr>
        <w:t>-promoted alcohol deoxygenation</w:t>
      </w:r>
      <w:bookmarkEnd w:id="420"/>
      <w:r w:rsidR="00BA0582" w:rsidRPr="00BA0582">
        <w:rPr>
          <w:rFonts w:cstheme="minorHAnsi"/>
          <w:b w:val="0"/>
        </w:rPr>
        <w:t xml:space="preserve"> </w:t>
      </w:r>
    </w:p>
    <w:p w14:paraId="629E7AF1" w14:textId="77777777" w:rsidR="00BA0582" w:rsidRPr="00BA0582" w:rsidRDefault="00BA0582" w:rsidP="00BA0582">
      <w:pPr>
        <w:jc w:val="both"/>
        <w:rPr>
          <w:rFonts w:cstheme="minorHAnsi"/>
        </w:rPr>
      </w:pPr>
    </w:p>
    <w:p w14:paraId="74DF67A8" w14:textId="77777777" w:rsidR="00BA0582" w:rsidRPr="00BA0582" w:rsidRDefault="00BA0582" w:rsidP="00BA0582">
      <w:pPr>
        <w:ind w:firstLine="360"/>
        <w:jc w:val="both"/>
        <w:rPr>
          <w:rFonts w:cstheme="minorHAnsi"/>
        </w:rPr>
      </w:pPr>
      <w:r w:rsidRPr="00BA0582">
        <w:rPr>
          <w:rFonts w:cstheme="minorHAnsi"/>
        </w:rPr>
        <w:t>The catalytic RC and DO system we have uncovered offers a way to reductively convert alcohols to hydrocarbons under neutral condition avoiding pre-functionalization of the alcohol.</w:t>
      </w:r>
      <w:r w:rsidRPr="00BA0582">
        <w:rPr>
          <w:rFonts w:cstheme="minorHAnsi"/>
        </w:rPr>
        <w:fldChar w:fldCharType="begin"/>
      </w:r>
      <w:r w:rsidR="0091451B">
        <w:rPr>
          <w:rFonts w:cstheme="minorHAnsi"/>
        </w:rPr>
        <w:instrText xml:space="preserve"> ADDIN ZOTERO_ITEM CSL_CITATION {"citationID":"rnfhdspli","properties":{"formattedCitation":"{\\rtf \\super 218\\uc0\\u8211{}222\\nosupersub{}}","plainCitation":"218–222"},"citationItems":[{"id":1819,"uris":["http://zotero.org/users/1624234/items/HMSK56V3"],"uri":["http://zotero.org/users/1624234/items/HMSK56V3"],"itemData":{"id":1819,"type":"article-journal","title":"Iridium-Catalyzed Hydrosilylative Reduction of Glucose to Hexane(s)","container-title":"Journal of the American Chemical Society","page":"1225-1227","volume":"135","issue":"4","source":"ACS Publications","abstract":"In light of diminishing petroleum feedstocks, there is significant interest in developing carbohydrate defunctionalization reactions. In this context we have examined the use of iridium pincer catalysts for the hydrosilylative reduction of sugars, and we report herein complete reduction of silyl-protected glucose to a mixture of hexane isomers.","DOI":"10.1021/ja3110494","ISSN":"0002-7863","journalAbbreviation":"J. Am. Chem. Soc.","author":[{"family":"McLaughlin","given":"Matthew P."},{"family":"Adduci","given":"Laura L."},{"family":"Becker","given":"Jennifer J."},{"family":"Gagné","given":"Michel R."}],"issued":{"date-parts":[["2013",1,30]]}}},{"id":1888,"uris":["http://zotero.org/users/1624234/items/SRHT545U"],"uri":["http://zotero.org/users/1624234/items/SRHT545U"],"itemData":{"id":1888,"type":"article-journal","title":"Direct Reduction of Alcohols:  Highly Chemoselective Reducing System for Secondary or Tertiary Alcohols Using Chlorodiphenylsilane with a Catalytic Amount of Indium Trichloride","container-title":"The Journal of Organic Chemistry","page":"7741-7744","volume":"66","issue":"23","source":"ACS Publications","abstract":"The direct reduction of alcohols using chlorodiphenylsilane as a hydride source in the presence of a catalytic amount of indium trichloride is described. Benzylic alcohols, secondary alcohols, and tertiary alcohols were effectively reduced to give the corresponding alkanes in high yields. A compound bearing both primary and secondary hydroxyl groups was reduced only at the secondary site to afford the primary alcohol after workup with Bu4NF. This system showed high chemoselectivity only for the hydroxyl group while not reducing other functional groups that are readily reduced by standard reducing systems. Thus alcohols bearing ester, chloro, bromo, or nitro groups, which are sensitive to LiAlH4 or Zn/H+, were selectively reduced only at the hydroxyl sites by the chlorodiphenylsilane/InCl3 system. NMR studies revealed the reaction course. The hydrodiphenylsilyl ether is initially formed and then, with InCl3 acting as a Lewis acid, forms an oxonium complex, which accelerates the desiloxylation with donation of the hydrogen to the carbon.","DOI":"10.1021/jo0158534","ISSN":"0022-3263","shortTitle":"Direct Reduction of Alcohols","journalAbbreviation":"J. Org. Chem.","author":[{"family":"Yasuda","given":"Makoto"},{"family":"Onishi","given":"Yoshiyuki"},{"family":"Ueba","given":"Masako"},{"family":"Miyai","given":"Takashi"},{"family":"Baba","given":"Akio"}],"issued":{"date-parts":[["2001",11,1]]}}},{"id":1924,"uris":["http://zotero.org/users/1624234/items/JSMC352U"],"uri":["http://zotero.org/users/1624234/items/JSMC352U"],"itemData":{"id":1924,"type":"article-journal","title":"Selectivities in ionic reductions of alcohols and ketones with triethylsilane/trifluoroacetic acid","container-title":"Tetrahedron Letters","page":"1013-1016","volume":"38","issue":"6","source":"ScienceDirect","abstract":"The relative rates of reduction of alcohols and ketones by Et3SiH/CF3CO2H have been determined by competition experiments in order to derive scope and selectivities of these reactions.","DOI":"10.1016/S0040-4039(96)02484-7","ISSN":"0040-4039","journalAbbreviation":"Tetrahedron Letters","author":[{"family":"Mayr","given":"Herbert"},{"family":"Dogan","given":"Barbara"}],"issued":{"date-parts":[["1997",2,10]]}}},{"id":1964,"uris":["http://zotero.org/users/1624234/items/NX66QB5Z"],"uri":["http://zotero.org/users/1624234/items/NX66QB5Z"],"itemData":{"id":1964,"type":"article-journal","title":"A convenient one-step synthesis of hydrocarbons from alcohols through use of the organosilane-boron trifluoride reducing system","container-title":"Tetrahedron Letters","page":"2955-2958","volume":"17","issue":"34","source":"ScienceDirect","DOI":"10.1016/S0040-4039(01)85498-8","ISSN":"0040-4039","journalAbbreviation":"Tetrahedron Letters","author":[{"family":"Adlington","given":"Merwyn G."},{"family":"Orfanopoulos","given":"Michael"},{"family":"Fry","given":"James L."}],"issued":{"date-parts":[["1976",8,1]]}}},{"id":2019,"uris":["http://zotero.org/users/1624234/items/PGPZUBEI"],"uri":["http://zotero.org/users/1624234/items/PGPZUBEI"],"itemData":{"id":2019,"type":"article-journal","title":"The invention of radical reactions. Part XXI. Simple methods for the radical deoxygenation of primary alcohols.","container-title":"Tetrahedron","page":"8969-8984","volume":"47","issue":"43","source":"ScienceDirect","abstract":"Novel radical-chain deoxygenations of primary alcohols are described. The alcohols are acylated with the reagents pentafluorophenyl chlorothionoformate, 2,4,6-trichlorophenyl chlorothionoformate and 4-fluorophenyl chlorothionoformate and the intermediate thionocarbonates are deoxygenated with tributyltin hydride, triphenylsilane, diphenylsilane or phenylsilane in high-yielding reactions.","DOI":"10.1016/S0040-4020(01)86502-9","ISSN":"0040-4020","journalAbbreviation":"Tetrahedron","author":[{"family":"Barton","given":"Derek H. R."},{"family":"Blundell","given":"Paul"},{"family":"Dorchak","given":"Joseph"},{"family":"Jang","given":"Doo Ok"},{"family":"Jaszberenyi","given":"Joseph Cs."}],"issued":{"date-parts":[["1991",11,4]]}}}],"schema":"https://github.com/citation-style-language/schema/raw/master/csl-citation.json"} </w:instrText>
      </w:r>
      <w:r w:rsidRPr="00BA0582">
        <w:rPr>
          <w:rFonts w:cstheme="minorHAnsi"/>
        </w:rPr>
        <w:fldChar w:fldCharType="separate"/>
      </w:r>
      <w:r w:rsidR="0091451B" w:rsidRPr="0091451B">
        <w:rPr>
          <w:rFonts w:ascii="Times New Roman" w:hAnsi="Times New Roman"/>
          <w:vertAlign w:val="superscript"/>
        </w:rPr>
        <w:t>218–222</w:t>
      </w:r>
      <w:r w:rsidRPr="00BA0582">
        <w:rPr>
          <w:rFonts w:cstheme="minorHAnsi"/>
        </w:rPr>
        <w:fldChar w:fldCharType="end"/>
      </w:r>
      <w:r w:rsidRPr="00BA0582">
        <w:rPr>
          <w:rFonts w:cstheme="minorHAnsi"/>
        </w:rPr>
        <w:t xml:space="preserve"> This reaction could have a lot of potential for the conversion of biomass derived alcohols to organic platform chemicals and to provide an alternative to the Guerbert reaction.</w:t>
      </w:r>
      <w:r w:rsidRPr="00BA0582">
        <w:rPr>
          <w:rFonts w:cstheme="minorHAnsi"/>
        </w:rPr>
        <w:fldChar w:fldCharType="begin"/>
      </w:r>
      <w:r w:rsidR="0091451B">
        <w:rPr>
          <w:rFonts w:cstheme="minorHAnsi"/>
        </w:rPr>
        <w:instrText xml:space="preserve"> ADDIN ZOTERO_ITEM CSL_CITATION {"citationID":"2b0lorblto","properties":{"formattedCitation":"{\\rtf \\super 223\\nosupersub{}}","plainCitation":"223"},"citationItems":[{"id":1806,"uris":["http://zotero.org/users/1624234/items/WKCN3FX6"],"uri":["http://zotero.org/users/1624234/items/WKCN3FX6"],"itemData":{"id":1806,"type":"article-journal","title":"Heterogeneous Catalysts for the Guerbet Coupling of Alcohols","container-title":"ACS Catalysis","page":"1588-1600","volume":"3","issue":"7","source":"ACS Publications","abstract":"Alcohol coupling, also known as the Guerbet reaction, is a potentially important process to increase the value of short chain alcohols. Metal oxides, metal phosphates, and supported transition metals, such as copper, are important components of heterogeneous catalysts for the reaction. However, the wide variety of catalyst compositions, reaction conditions, and reactor configurations used to study the reaction complicate a direct comparison of various catalysts. In this review, rates over different catalysts will be compared, the influences of the acid and base properties of the catalyst on product selectivity will be presented, and possible reaction paths to accomplish alcohol coupling will be discussed.","DOI":"10.1021/cs400292f","journalAbbreviation":"ACS Catal.","author":[{"family":"Kozlowski","given":"Joseph T."},{"family":"Davis","given":"Robert J."}],"issued":{"date-parts":[["2013",7,5]]}}}],"schema":"https://github.com/citation-style-language/schema/raw/master/csl-citation.json"} </w:instrText>
      </w:r>
      <w:r w:rsidRPr="00BA0582">
        <w:rPr>
          <w:rFonts w:cstheme="minorHAnsi"/>
        </w:rPr>
        <w:fldChar w:fldCharType="separate"/>
      </w:r>
      <w:r w:rsidR="0091451B" w:rsidRPr="0091451B">
        <w:rPr>
          <w:rFonts w:ascii="Times New Roman" w:hAnsi="Times New Roman"/>
          <w:vertAlign w:val="superscript"/>
        </w:rPr>
        <w:t>223</w:t>
      </w:r>
      <w:r w:rsidRPr="00BA0582">
        <w:rPr>
          <w:rFonts w:cstheme="minorHAnsi"/>
        </w:rPr>
        <w:fldChar w:fldCharType="end"/>
      </w:r>
      <w:r w:rsidRPr="00BA0582">
        <w:rPr>
          <w:rFonts w:cstheme="minorHAnsi"/>
        </w:rPr>
        <w:t xml:space="preserve"> </w:t>
      </w:r>
    </w:p>
    <w:p w14:paraId="39989EC1" w14:textId="77777777" w:rsidR="00BA0582" w:rsidRPr="00BA0582" w:rsidRDefault="00BA0582" w:rsidP="00BA0582">
      <w:pPr>
        <w:ind w:firstLine="360"/>
        <w:jc w:val="both"/>
        <w:rPr>
          <w:rFonts w:cstheme="minorHAnsi"/>
          <w:b/>
        </w:rPr>
      </w:pPr>
      <w:r w:rsidRPr="00BA0582">
        <w:rPr>
          <w:rFonts w:cstheme="minorHAnsi"/>
        </w:rPr>
        <w:t>Gabrielle Kasner is currently working on expanding the substrate scope and to find more practical and economical reductant/catalyst pairs. Dr. Nicholas is expanding the DFT calculations. In this chapter I describe my recent (unpublished) efforts to identify the reactive intermediates and the catalytic pathway involved</w:t>
      </w:r>
    </w:p>
    <w:p w14:paraId="2F0F1C5E" w14:textId="77777777" w:rsidR="00BA0582" w:rsidRPr="00BA0582" w:rsidRDefault="00BA0582" w:rsidP="00BA0582">
      <w:pPr>
        <w:rPr>
          <w:rFonts w:cstheme="minorHAnsi"/>
        </w:rPr>
      </w:pPr>
    </w:p>
    <w:p w14:paraId="71C01C36" w14:textId="77777777" w:rsidR="00BA0582" w:rsidRPr="00BA0582" w:rsidRDefault="00BA0582" w:rsidP="000351A7">
      <w:pPr>
        <w:pStyle w:val="Heading2"/>
      </w:pPr>
      <w:r w:rsidRPr="00BA0582">
        <w:t xml:space="preserve"> </w:t>
      </w:r>
      <w:bookmarkStart w:id="421" w:name="_Ref457476976"/>
      <w:bookmarkStart w:id="422" w:name="_Toc458938341"/>
      <w:r w:rsidRPr="00BA0582">
        <w:t>Results</w:t>
      </w:r>
      <w:bookmarkEnd w:id="421"/>
      <w:bookmarkEnd w:id="422"/>
    </w:p>
    <w:p w14:paraId="72072A31" w14:textId="77777777" w:rsidR="00BA0582" w:rsidRPr="00BA0582" w:rsidRDefault="00BA0582" w:rsidP="00B5501C">
      <w:pPr>
        <w:pStyle w:val="Heading3"/>
        <w:numPr>
          <w:ilvl w:val="0"/>
          <w:numId w:val="40"/>
        </w:numPr>
      </w:pPr>
      <w:bookmarkStart w:id="423" w:name="_Ref457476946"/>
      <w:bookmarkStart w:id="424" w:name="_Toc458938342"/>
      <w:r w:rsidRPr="00BA0582">
        <w:t>Study of the catalyst in solution; ligand dissociation</w:t>
      </w:r>
      <w:bookmarkEnd w:id="423"/>
      <w:bookmarkEnd w:id="424"/>
    </w:p>
    <w:p w14:paraId="17EA8D45" w14:textId="77777777" w:rsidR="00BA0582" w:rsidRDefault="00BA0582" w:rsidP="00BA0582">
      <w:pPr>
        <w:ind w:firstLine="360"/>
        <w:jc w:val="both"/>
        <w:rPr>
          <w:rFonts w:cstheme="minorHAnsi"/>
        </w:rPr>
      </w:pPr>
      <w:r w:rsidRPr="00BA0582">
        <w:rPr>
          <w:rFonts w:cstheme="minorHAnsi"/>
        </w:rPr>
        <w:t>A solution of IReO</w:t>
      </w:r>
      <w:r w:rsidRPr="00BA0582">
        <w:rPr>
          <w:rFonts w:cstheme="minorHAnsi"/>
          <w:vertAlign w:val="subscript"/>
        </w:rPr>
        <w:t>2</w:t>
      </w:r>
      <w:r w:rsidRPr="00BA0582">
        <w:rPr>
          <w:rFonts w:cstheme="minorHAnsi"/>
        </w:rPr>
        <w:t>(PPh</w:t>
      </w:r>
      <w:r w:rsidRPr="00BA0582">
        <w:rPr>
          <w:rFonts w:cstheme="minorHAnsi"/>
          <w:vertAlign w:val="subscript"/>
        </w:rPr>
        <w:t>3</w:t>
      </w:r>
      <w:r w:rsidRPr="00BA0582">
        <w:rPr>
          <w:rFonts w:cstheme="minorHAnsi"/>
        </w:rPr>
        <w:t>)</w:t>
      </w:r>
      <w:r w:rsidRPr="00BA0582">
        <w:rPr>
          <w:rFonts w:cstheme="minorHAnsi"/>
          <w:vertAlign w:val="subscript"/>
        </w:rPr>
        <w:t>2</w:t>
      </w:r>
      <w:r w:rsidRPr="00BA0582">
        <w:rPr>
          <w:rFonts w:cstheme="minorHAnsi"/>
        </w:rPr>
        <w:t xml:space="preserve"> (</w:t>
      </w:r>
      <w:r w:rsidR="00183067">
        <w:rPr>
          <w:rFonts w:cstheme="minorHAnsi"/>
        </w:rPr>
        <w:fldChar w:fldCharType="begin"/>
      </w:r>
      <w:r w:rsidR="00183067">
        <w:rPr>
          <w:rFonts w:cstheme="minorHAnsi"/>
        </w:rPr>
        <w:instrText xml:space="preserve"> REF _Ref457465818 \h </w:instrText>
      </w:r>
      <w:r w:rsidR="00183067">
        <w:rPr>
          <w:rFonts w:cstheme="minorHAnsi"/>
        </w:rPr>
      </w:r>
      <w:r w:rsidR="00183067">
        <w:rPr>
          <w:rFonts w:cstheme="minorHAnsi"/>
        </w:rPr>
        <w:fldChar w:fldCharType="separate"/>
      </w:r>
      <w:r w:rsidR="000A0E3D">
        <w:t xml:space="preserve">Figure </w:t>
      </w:r>
      <w:r w:rsidR="000A0E3D">
        <w:rPr>
          <w:noProof/>
        </w:rPr>
        <w:t>IV</w:t>
      </w:r>
      <w:r w:rsidR="000A0E3D">
        <w:t>.</w:t>
      </w:r>
      <w:r w:rsidR="000A0E3D">
        <w:rPr>
          <w:noProof/>
        </w:rPr>
        <w:t>7</w:t>
      </w:r>
      <w:r w:rsidR="00183067">
        <w:rPr>
          <w:rFonts w:cstheme="minorHAnsi"/>
        </w:rPr>
        <w:fldChar w:fldCharType="end"/>
      </w:r>
      <w:r w:rsidRPr="00BA0582">
        <w:rPr>
          <w:rFonts w:cstheme="minorHAnsi"/>
        </w:rPr>
        <w:t>) in benzene-</w:t>
      </w:r>
      <w:r w:rsidRPr="00BA0582">
        <w:rPr>
          <w:rFonts w:cstheme="minorHAnsi"/>
          <w:i/>
        </w:rPr>
        <w:t>d</w:t>
      </w:r>
      <w:r w:rsidRPr="00BA0582">
        <w:rPr>
          <w:rFonts w:cstheme="minorHAnsi"/>
          <w:i/>
          <w:vertAlign w:val="superscript"/>
        </w:rPr>
        <w:t>6</w:t>
      </w:r>
      <w:r w:rsidRPr="00BA0582">
        <w:rPr>
          <w:rFonts w:cstheme="minorHAnsi"/>
        </w:rPr>
        <w:t xml:space="preserve"> was prepared</w:t>
      </w:r>
      <w:r w:rsidRPr="00BA0582">
        <w:rPr>
          <w:rFonts w:cstheme="minorHAnsi"/>
          <w:i/>
        </w:rPr>
        <w:t xml:space="preserve"> </w:t>
      </w:r>
      <w:r w:rsidRPr="00BA0582">
        <w:rPr>
          <w:rFonts w:cstheme="minorHAnsi"/>
        </w:rPr>
        <w:t>under nitrogen and wrapped in aluminum foil to avoid any potential interaction with air and light. The first observation was a color change of the solution from the purple color of the original solid catalyst to a crimson red after only 30 minutes. After a day in the solvent the color was light brown to yellow; past one day the sample was bright yellow (</w:t>
      </w:r>
      <w:r w:rsidR="00183067">
        <w:rPr>
          <w:rFonts w:cstheme="minorHAnsi"/>
        </w:rPr>
        <w:fldChar w:fldCharType="begin"/>
      </w:r>
      <w:r w:rsidR="00183067">
        <w:rPr>
          <w:rFonts w:cstheme="minorHAnsi"/>
        </w:rPr>
        <w:instrText xml:space="preserve"> REF _Ref457465807 \h </w:instrText>
      </w:r>
      <w:r w:rsidR="00183067">
        <w:rPr>
          <w:rFonts w:cstheme="minorHAnsi"/>
        </w:rPr>
      </w:r>
      <w:r w:rsidR="00183067">
        <w:rPr>
          <w:rFonts w:cstheme="minorHAnsi"/>
        </w:rPr>
        <w:fldChar w:fldCharType="separate"/>
      </w:r>
      <w:r w:rsidR="000A0E3D" w:rsidRPr="00183067">
        <w:t xml:space="preserve">Figure </w:t>
      </w:r>
      <w:r w:rsidR="000A0E3D">
        <w:rPr>
          <w:noProof/>
        </w:rPr>
        <w:t>IV</w:t>
      </w:r>
      <w:r w:rsidR="000A0E3D">
        <w:t>.</w:t>
      </w:r>
      <w:r w:rsidR="000A0E3D">
        <w:rPr>
          <w:noProof/>
        </w:rPr>
        <w:t>8</w:t>
      </w:r>
      <w:r w:rsidR="00183067">
        <w:rPr>
          <w:rFonts w:cstheme="minorHAnsi"/>
        </w:rPr>
        <w:fldChar w:fldCharType="end"/>
      </w:r>
      <w:r w:rsidRPr="00BA0582">
        <w:rPr>
          <w:rFonts w:cstheme="minorHAnsi"/>
        </w:rPr>
        <w:t xml:space="preserve">a). </w:t>
      </w:r>
    </w:p>
    <w:p w14:paraId="039BE4D6" w14:textId="77777777" w:rsidR="00B64294" w:rsidRPr="00BA0582" w:rsidRDefault="00B64294" w:rsidP="00BA0582">
      <w:pPr>
        <w:ind w:firstLine="360"/>
        <w:jc w:val="both"/>
        <w:rPr>
          <w:rFonts w:cstheme="minorHAnsi"/>
        </w:rPr>
      </w:pPr>
    </w:p>
    <w:p w14:paraId="1C3A4019" w14:textId="5672C2F6" w:rsidR="00183067" w:rsidRDefault="001539C6" w:rsidP="00183067">
      <w:pPr>
        <w:keepNext/>
        <w:jc w:val="center"/>
      </w:pPr>
      <w:r>
        <w:object w:dxaOrig="785" w:dyaOrig="920" w14:anchorId="2F85E681">
          <v:shape id="_x0000_i1210" type="#_x0000_t75" style="width:45.9pt;height:52.2pt" o:ole="">
            <v:imagedata r:id="rId490" o:title=""/>
          </v:shape>
          <o:OLEObject Type="Embed" ProgID="ChemDraw.Document.6.0" ShapeID="_x0000_i1210" DrawAspect="Content" ObjectID="_1532785031" r:id="rId491"/>
        </w:object>
      </w:r>
    </w:p>
    <w:p w14:paraId="01B9C31F" w14:textId="77777777" w:rsidR="00BA0582" w:rsidRDefault="00183067" w:rsidP="00183067">
      <w:pPr>
        <w:pStyle w:val="Caption"/>
      </w:pPr>
      <w:bookmarkStart w:id="425" w:name="_Ref457465818"/>
      <w:bookmarkStart w:id="426" w:name="_Toc457670791"/>
      <w:r>
        <w:t xml:space="preserve">Figure </w:t>
      </w:r>
      <w:r w:rsidR="00443010">
        <w:fldChar w:fldCharType="begin"/>
      </w:r>
      <w:r w:rsidR="00443010">
        <w:instrText xml:space="preserve"> STYLEREF 1 \s </w:instrText>
      </w:r>
      <w:r w:rsidR="00443010">
        <w:fldChar w:fldCharType="separate"/>
      </w:r>
      <w:r w:rsidR="000A0E3D">
        <w:rPr>
          <w:noProof/>
        </w:rPr>
        <w:t>IV</w:t>
      </w:r>
      <w:r w:rsidR="00443010">
        <w:rPr>
          <w:noProof/>
        </w:rPr>
        <w:fldChar w:fldCharType="end"/>
      </w:r>
      <w:r w:rsidR="00573BBE">
        <w:t>.</w:t>
      </w:r>
      <w:r w:rsidR="00443010">
        <w:fldChar w:fldCharType="begin"/>
      </w:r>
      <w:r w:rsidR="00443010">
        <w:instrText xml:space="preserve"> SEQ Figure \* ARABIC \s 1 </w:instrText>
      </w:r>
      <w:r w:rsidR="00443010">
        <w:fldChar w:fldCharType="separate"/>
      </w:r>
      <w:r w:rsidR="000A0E3D">
        <w:rPr>
          <w:noProof/>
        </w:rPr>
        <w:t>7</w:t>
      </w:r>
      <w:r w:rsidR="00443010">
        <w:rPr>
          <w:noProof/>
        </w:rPr>
        <w:fldChar w:fldCharType="end"/>
      </w:r>
      <w:bookmarkEnd w:id="425"/>
      <w:r>
        <w:t xml:space="preserve"> </w:t>
      </w:r>
      <w:r w:rsidR="0016299B">
        <w:t>Pre-c</w:t>
      </w:r>
      <w:r>
        <w:t>atalyst IReO</w:t>
      </w:r>
      <w:r w:rsidRPr="00183067">
        <w:rPr>
          <w:vertAlign w:val="subscript"/>
        </w:rPr>
        <w:t>2</w:t>
      </w:r>
      <w:r>
        <w:t>(PPh</w:t>
      </w:r>
      <w:r w:rsidRPr="00183067">
        <w:rPr>
          <w:vertAlign w:val="subscript"/>
        </w:rPr>
        <w:t>3</w:t>
      </w:r>
      <w:r>
        <w:t>)</w:t>
      </w:r>
      <w:r w:rsidRPr="00183067">
        <w:rPr>
          <w:vertAlign w:val="subscript"/>
        </w:rPr>
        <w:t>2</w:t>
      </w:r>
      <w:bookmarkEnd w:id="426"/>
    </w:p>
    <w:p w14:paraId="4E7F2D0A" w14:textId="77777777" w:rsidR="00183067" w:rsidRPr="00183067" w:rsidRDefault="00183067" w:rsidP="00183067"/>
    <w:p w14:paraId="7FEFBBFD" w14:textId="77777777" w:rsidR="00183067" w:rsidRDefault="00BA0582" w:rsidP="00183067">
      <w:pPr>
        <w:keepNext/>
        <w:jc w:val="center"/>
      </w:pPr>
      <w:r w:rsidRPr="00BA0582">
        <w:rPr>
          <w:rFonts w:cstheme="minorHAnsi"/>
          <w:b/>
          <w:noProof/>
          <w:lang w:bidi="ar-SA"/>
        </w:rPr>
        <w:drawing>
          <wp:inline distT="0" distB="0" distL="0" distR="0" wp14:anchorId="701C859D" wp14:editId="113ED817">
            <wp:extent cx="3291840" cy="2505710"/>
            <wp:effectExtent l="0" t="0" r="3810" b="889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92" cstate="print">
                      <a:extLst>
                        <a:ext uri="{28A0092B-C50C-407E-A947-70E740481C1C}">
                          <a14:useLocalDpi xmlns:a14="http://schemas.microsoft.com/office/drawing/2010/main" val="0"/>
                        </a:ext>
                      </a:extLst>
                    </a:blip>
                    <a:srcRect/>
                    <a:stretch>
                      <a:fillRect/>
                    </a:stretch>
                  </pic:blipFill>
                  <pic:spPr bwMode="auto">
                    <a:xfrm>
                      <a:off x="0" y="0"/>
                      <a:ext cx="3291840" cy="2505710"/>
                    </a:xfrm>
                    <a:prstGeom prst="rect">
                      <a:avLst/>
                    </a:prstGeom>
                    <a:noFill/>
                  </pic:spPr>
                </pic:pic>
              </a:graphicData>
            </a:graphic>
          </wp:inline>
        </w:drawing>
      </w:r>
    </w:p>
    <w:p w14:paraId="2B0BC436" w14:textId="77777777" w:rsidR="00BA0582" w:rsidRPr="00183067" w:rsidRDefault="00183067" w:rsidP="00183067">
      <w:pPr>
        <w:pStyle w:val="Caption"/>
        <w:rPr>
          <w:rFonts w:cstheme="minorHAnsi"/>
        </w:rPr>
      </w:pPr>
      <w:bookmarkStart w:id="427" w:name="_Ref457465807"/>
      <w:bookmarkStart w:id="428" w:name="_Toc457670792"/>
      <w:r w:rsidRPr="00183067">
        <w:t xml:space="preserve">Figure </w:t>
      </w:r>
      <w:r w:rsidR="00443010">
        <w:fldChar w:fldCharType="begin"/>
      </w:r>
      <w:r w:rsidR="00443010">
        <w:instrText xml:space="preserve"> STYLEREF 1 \s </w:instrText>
      </w:r>
      <w:r w:rsidR="00443010">
        <w:fldChar w:fldCharType="separate"/>
      </w:r>
      <w:r w:rsidR="000A0E3D">
        <w:rPr>
          <w:noProof/>
        </w:rPr>
        <w:t>IV</w:t>
      </w:r>
      <w:r w:rsidR="00443010">
        <w:rPr>
          <w:noProof/>
        </w:rPr>
        <w:fldChar w:fldCharType="end"/>
      </w:r>
      <w:r w:rsidR="00573BBE">
        <w:t>.</w:t>
      </w:r>
      <w:r w:rsidR="00443010">
        <w:fldChar w:fldCharType="begin"/>
      </w:r>
      <w:r w:rsidR="00443010">
        <w:instrText xml:space="preserve"> SEQ Figure \* ARABIC \s 1 </w:instrText>
      </w:r>
      <w:r w:rsidR="00443010">
        <w:fldChar w:fldCharType="separate"/>
      </w:r>
      <w:r w:rsidR="000A0E3D">
        <w:rPr>
          <w:noProof/>
        </w:rPr>
        <w:t>8</w:t>
      </w:r>
      <w:r w:rsidR="00443010">
        <w:rPr>
          <w:noProof/>
        </w:rPr>
        <w:fldChar w:fldCharType="end"/>
      </w:r>
      <w:bookmarkEnd w:id="427"/>
      <w:r w:rsidRPr="00183067">
        <w:t xml:space="preserve"> </w:t>
      </w:r>
      <w:r w:rsidR="00BA0582" w:rsidRPr="00183067">
        <w:rPr>
          <w:rFonts w:cstheme="minorHAnsi"/>
        </w:rPr>
        <w:t>Color changes of the pre-catalyst IReO</w:t>
      </w:r>
      <w:r w:rsidR="00BA0582" w:rsidRPr="00183067">
        <w:rPr>
          <w:rFonts w:cstheme="minorHAnsi"/>
          <w:vertAlign w:val="subscript"/>
        </w:rPr>
        <w:t>2</w:t>
      </w:r>
      <w:r w:rsidR="00BA0582" w:rsidRPr="00183067">
        <w:rPr>
          <w:rFonts w:cstheme="minorHAnsi"/>
        </w:rPr>
        <w:t>(PPh</w:t>
      </w:r>
      <w:r w:rsidR="00BA0582" w:rsidRPr="00183067">
        <w:rPr>
          <w:rFonts w:cstheme="minorHAnsi"/>
          <w:vertAlign w:val="subscript"/>
        </w:rPr>
        <w:t>3</w:t>
      </w:r>
      <w:r w:rsidR="00BA0582" w:rsidRPr="00183067">
        <w:rPr>
          <w:rFonts w:cstheme="minorHAnsi"/>
        </w:rPr>
        <w:t>)</w:t>
      </w:r>
      <w:r w:rsidR="00BA0582" w:rsidRPr="00183067">
        <w:rPr>
          <w:rFonts w:cstheme="minorHAnsi"/>
          <w:vertAlign w:val="subscript"/>
        </w:rPr>
        <w:t>2</w:t>
      </w:r>
      <w:r w:rsidR="00BA0582" w:rsidRPr="00183067">
        <w:rPr>
          <w:rFonts w:cstheme="minorHAnsi"/>
        </w:rPr>
        <w:t xml:space="preserve"> in solution</w:t>
      </w:r>
      <w:bookmarkEnd w:id="428"/>
    </w:p>
    <w:p w14:paraId="7D730349" w14:textId="77777777" w:rsidR="00183067" w:rsidRPr="00183067" w:rsidRDefault="00183067" w:rsidP="00183067"/>
    <w:p w14:paraId="40520626" w14:textId="05BE5978" w:rsidR="00BA0582" w:rsidRPr="00BA0582" w:rsidRDefault="00BA0582" w:rsidP="00BA0582">
      <w:pPr>
        <w:ind w:firstLine="360"/>
        <w:jc w:val="both"/>
        <w:rPr>
          <w:rFonts w:cstheme="minorHAnsi"/>
        </w:rPr>
      </w:pPr>
      <w:r w:rsidRPr="00BA0582">
        <w:rPr>
          <w:rFonts w:cstheme="minorHAnsi"/>
        </w:rPr>
        <w:t xml:space="preserve">Since the pre-catalyst has phosphine ligands we were also able to probe what was happening </w:t>
      </w:r>
      <w:r w:rsidR="001539C6">
        <w:rPr>
          <w:rFonts w:cstheme="minorHAnsi"/>
        </w:rPr>
        <w:t>during these color changes by</w:t>
      </w:r>
      <w:r w:rsidRPr="00BA0582">
        <w:rPr>
          <w:rFonts w:cstheme="minorHAnsi"/>
        </w:rPr>
        <w:t xml:space="preserve"> </w:t>
      </w:r>
      <w:r w:rsidRPr="00BA0582">
        <w:rPr>
          <w:rFonts w:cstheme="minorHAnsi"/>
          <w:vertAlign w:val="superscript"/>
        </w:rPr>
        <w:t>31</w:t>
      </w:r>
      <w:r w:rsidRPr="00BA0582">
        <w:rPr>
          <w:rFonts w:cstheme="minorHAnsi"/>
        </w:rPr>
        <w:t>P NMR. The starting Re</w:t>
      </w:r>
      <w:r w:rsidRPr="00BA0582">
        <w:rPr>
          <w:rFonts w:cstheme="minorHAnsi"/>
          <w:vertAlign w:val="superscript"/>
        </w:rPr>
        <w:t>V</w:t>
      </w:r>
      <w:r w:rsidRPr="00BA0582">
        <w:rPr>
          <w:rFonts w:cstheme="minorHAnsi"/>
        </w:rPr>
        <w:t xml:space="preserve"> complex has a symmetrical structure (</w:t>
      </w:r>
      <w:r w:rsidRPr="00BA0582">
        <w:rPr>
          <w:rFonts w:cstheme="minorHAnsi"/>
          <w:i/>
        </w:rPr>
        <w:t>C</w:t>
      </w:r>
      <w:r w:rsidRPr="00BA0582">
        <w:rPr>
          <w:rFonts w:cstheme="minorHAnsi"/>
          <w:i/>
          <w:vertAlign w:val="subscript"/>
        </w:rPr>
        <w:t>2</w:t>
      </w:r>
      <w:r w:rsidRPr="00BA0582">
        <w:rPr>
          <w:rFonts w:cstheme="minorHAnsi"/>
        </w:rPr>
        <w:t xml:space="preserve"> crystallographic symmetry, intermediate between trigonal-bipyramidal and square-pyramidal)</w:t>
      </w:r>
      <w:r w:rsidRPr="00BA0582">
        <w:rPr>
          <w:rFonts w:cstheme="minorHAnsi"/>
        </w:rPr>
        <w:fldChar w:fldCharType="begin"/>
      </w:r>
      <w:r w:rsidR="0091451B">
        <w:rPr>
          <w:rFonts w:cstheme="minorHAnsi"/>
        </w:rPr>
        <w:instrText xml:space="preserve"> ADDIN ZOTERO_ITEM CSL_CITATION {"citationID":"rvtufu1c3","properties":{"formattedCitation":"{\\rtf \\super 168\\nosupersub{}}","plainCitation":"168"},"citationItems":[{"id":1754,"uris":["http://zotero.org/users/1624234/items/Q9S2X7NP"],"uri":["http://zotero.org/users/1624234/items/Q9S2X7NP"],"itemData":{"id":1754,"type":"article-journal","title":"Rhenium(V) oxide complexes. Crystal and molecular structures of the compounds trans-ReI2O(OR)(PPh3)2 (R = Et, Me) and of their hydrolysis derivative ReIO2(PPh3)2","container-title":"Inorganica Chimica Acta","page":"29-37","volume":"72","source":"ScienceDirect","abstract":"The structure of the complex ReI2O(OEt)(PPh3)2·3/2C6H6 (I) has been investigated: the dark-yellow crystals are monoclinic, space group P21/n, with a = 17.410(8), b = 17.322(6), c = 15.039(5) Å, β = 103.49(3)°, Z = 4. Least-squares refinements based on 3636 significant counter data led to a final R value of 0.059. The compound exhibits a slightly distorted octahedral coordination, with the two PPh3 groups trans between themselves (mean Re</w:instrText>
      </w:r>
      <w:r w:rsidR="0091451B">
        <w:rPr>
          <w:rFonts w:cstheme="minorHAnsi" w:hint="eastAsia"/>
        </w:rPr>
        <w:instrText></w:instrText>
      </w:r>
      <w:r w:rsidR="0091451B">
        <w:rPr>
          <w:rFonts w:cstheme="minorHAnsi"/>
        </w:rPr>
        <w:instrText>P 2.523 Å), as well as the two iodide ligands (mean Re</w:instrText>
      </w:r>
      <w:r w:rsidR="0091451B">
        <w:rPr>
          <w:rFonts w:cstheme="minorHAnsi" w:hint="eastAsia"/>
        </w:rPr>
        <w:instrText></w:instrText>
      </w:r>
      <w:r w:rsidR="0091451B">
        <w:rPr>
          <w:rFonts w:cstheme="minorHAnsi"/>
        </w:rPr>
        <w:instrText>I 2.789 Å). The ethoxo group (Re</w:instrText>
      </w:r>
      <w:r w:rsidR="0091451B">
        <w:rPr>
          <w:rFonts w:cstheme="minorHAnsi" w:hint="eastAsia"/>
        </w:rPr>
        <w:instrText></w:instrText>
      </w:r>
      <w:r w:rsidR="0091451B">
        <w:rPr>
          <w:rFonts w:cstheme="minorHAnsi"/>
        </w:rPr>
        <w:instrText>O 1.880(9) Å) and the oxide ligand (Re</w:instrText>
      </w:r>
      <w:r w:rsidR="0091451B">
        <w:rPr>
          <w:rFonts w:cstheme="minorHAnsi" w:hint="eastAsia"/>
        </w:rPr>
        <w:instrText></w:instrText>
      </w:r>
      <w:r w:rsidR="0091451B">
        <w:rPr>
          <w:rFonts w:cstheme="minorHAnsi"/>
        </w:rPr>
        <w:instrText>O 1.715(9) Å) occupy the other two coordination sites. Compound I in methanol transforms into ReI2O(OMe)(PPh3)2 (II), which has been characterized by X-ray analysis in crystals containing CHCl3 molecules of solvation. The crystals are triclinic, space group P1, a = 12.835(3), b = 13.067(4), c = 13.485(4) Å, α = 89.71(2)°, β = 71.61(2)°, γ = 70.19(2)°, Z = 2. The refinements gave a final R value of 0.036, on the basis of 4524 significant counter intensities. The stereochemistry and the bond parameters are similar to those found in compound I. In particular the Re</w:instrText>
      </w:r>
      <w:r w:rsidR="0091451B">
        <w:rPr>
          <w:rFonts w:cstheme="minorHAnsi" w:hint="eastAsia"/>
        </w:rPr>
        <w:instrText></w:instrText>
      </w:r>
      <w:r w:rsidR="0091451B">
        <w:rPr>
          <w:rFonts w:cstheme="minorHAnsi"/>
        </w:rPr>
        <w:instrText>O (methoxo) and Re</w:instrText>
      </w:r>
      <w:r w:rsidR="0091451B">
        <w:rPr>
          <w:rFonts w:cstheme="minorHAnsi" w:hint="eastAsia"/>
        </w:rPr>
        <w:instrText></w:instrText>
      </w:r>
      <w:r w:rsidR="0091451B">
        <w:rPr>
          <w:rFonts w:cstheme="minorHAnsi"/>
        </w:rPr>
        <w:instrText>O (oxide) bond lengths are 1.859(5) and 1.698(5) Å respectively.\n\nHydrolysis reactions of both compounds I and II give the violet derivative ReIO2(PPh3)2 (III). The crystal data are: orthorhombic, space group Aba2, a = 19.834(5), b = 16.144(3), c = 10.560(2) Å, Z = 4. 1435 significant counter reflections were used in the refinements the final R value being 0.039. The compound is an unusual example of a five coordinate Re(V) complex. It possesses a rigorous C2 crystallographic symmetry and exhibits a distorted trigonal bipyramidal stereochemistry, with the two PPh3 groups in an axial direction (Re</w:instrText>
      </w:r>
      <w:r w:rsidR="0091451B">
        <w:rPr>
          <w:rFonts w:cstheme="minorHAnsi" w:hint="eastAsia"/>
        </w:rPr>
        <w:instrText></w:instrText>
      </w:r>
      <w:r w:rsidR="0091451B">
        <w:rPr>
          <w:rFonts w:cstheme="minorHAnsi"/>
        </w:rPr>
        <w:instrText>P 2.488(3) Å) and the two oxide and the iodide ligands in equatorial positions. The Re</w:instrText>
      </w:r>
      <w:r w:rsidR="0091451B">
        <w:rPr>
          <w:rFonts w:cstheme="minorHAnsi" w:hint="eastAsia"/>
        </w:rPr>
        <w:instrText></w:instrText>
      </w:r>
      <w:r w:rsidR="0091451B">
        <w:rPr>
          <w:rFonts w:cstheme="minorHAnsi"/>
        </w:rPr>
        <w:instrText>I and Re</w:instrText>
      </w:r>
      <w:r w:rsidR="0091451B">
        <w:rPr>
          <w:rFonts w:cstheme="minorHAnsi" w:hint="eastAsia"/>
        </w:rPr>
        <w:instrText></w:instrText>
      </w:r>
      <w:r w:rsidR="0091451B">
        <w:rPr>
          <w:rFonts w:cstheme="minorHAnsi"/>
        </w:rPr>
        <w:instrText xml:space="preserve">O interactions have values of 2.664(2) and 1.742(11) Å respectively.","DOI":"10.1016/S0020-1693(00)81690-4","ISSN":"0020-1693","journalAbbreviation":"Inorganica Chimica Acta","author":[{"family":"Ciani","given":"Giani Franco"},{"family":"D'Alfonso","given":"Giuseppe"},{"family":"Romiti","given":"Pier Francesco"},{"family":"Sironi","given":"Angelo"},{"family":"Freni","given":"Maria"}],"issued":{"date-parts":[["1983"]]}}}],"schema":"https://github.com/citation-style-language/schema/raw/master/csl-citation.json"} </w:instrText>
      </w:r>
      <w:r w:rsidRPr="00BA0582">
        <w:rPr>
          <w:rFonts w:cstheme="minorHAnsi"/>
        </w:rPr>
        <w:fldChar w:fldCharType="separate"/>
      </w:r>
      <w:r w:rsidR="0091451B" w:rsidRPr="0091451B">
        <w:rPr>
          <w:rFonts w:ascii="Times New Roman" w:hAnsi="Times New Roman"/>
          <w:vertAlign w:val="superscript"/>
        </w:rPr>
        <w:t>168</w:t>
      </w:r>
      <w:r w:rsidRPr="00BA0582">
        <w:rPr>
          <w:rFonts w:cstheme="minorHAnsi"/>
        </w:rPr>
        <w:fldChar w:fldCharType="end"/>
      </w:r>
      <w:r w:rsidRPr="00BA0582">
        <w:rPr>
          <w:rFonts w:cstheme="minorHAnsi"/>
        </w:rPr>
        <w:t xml:space="preserve"> and thus only one phosphorus NMR signal with a chemical shift of 4.6 ppm. After 30 min when the sample had turned into a crimson color, in addition to the signal of the starting complex we could detect two new phosphorous signals at -5 ppm and -11.0 ppm. The peak at -5 ppm corresponds to NMR shift for free triphenylphosphine. We followed the evolution of the </w:t>
      </w:r>
      <w:r w:rsidRPr="00BA0582">
        <w:rPr>
          <w:rFonts w:cstheme="minorHAnsi"/>
          <w:vertAlign w:val="superscript"/>
        </w:rPr>
        <w:t>31</w:t>
      </w:r>
      <w:r w:rsidRPr="00BA0582">
        <w:rPr>
          <w:rFonts w:cstheme="minorHAnsi"/>
        </w:rPr>
        <w:t>P spectrum of the sample as the color changed over time; the closer the color was to yellow the larger the two shielded signals became. After 3 days, the phosphorous signal of the starting complex was very small and the two other signals were dominant.</w:t>
      </w:r>
      <w:r w:rsidRPr="00BA0582">
        <w:rPr>
          <w:rFonts w:cstheme="minorHAnsi"/>
          <w:noProof/>
        </w:rPr>
        <w:t xml:space="preserve"> </w:t>
      </w:r>
    </w:p>
    <w:p w14:paraId="25C2B8BF" w14:textId="77777777" w:rsidR="00BA0582" w:rsidRDefault="00BA0582" w:rsidP="00BA0582">
      <w:pPr>
        <w:ind w:firstLine="360"/>
        <w:jc w:val="both"/>
        <w:rPr>
          <w:rFonts w:cstheme="minorHAnsi"/>
        </w:rPr>
      </w:pPr>
      <w:r w:rsidRPr="00BA0582">
        <w:rPr>
          <w:rFonts w:cstheme="minorHAnsi"/>
        </w:rPr>
        <w:t>Our interpretation of these observations is that one of the triphenylphosphine ligands of the IReO</w:t>
      </w:r>
      <w:r w:rsidRPr="00BA0582">
        <w:rPr>
          <w:rFonts w:cstheme="minorHAnsi"/>
          <w:vertAlign w:val="subscript"/>
        </w:rPr>
        <w:t>2</w:t>
      </w:r>
      <w:r w:rsidRPr="00BA0582">
        <w:rPr>
          <w:rFonts w:cstheme="minorHAnsi"/>
        </w:rPr>
        <w:t>(PPh</w:t>
      </w:r>
      <w:r w:rsidRPr="00BA0582">
        <w:rPr>
          <w:rFonts w:cstheme="minorHAnsi"/>
          <w:vertAlign w:val="subscript"/>
        </w:rPr>
        <w:t>3</w:t>
      </w:r>
      <w:r w:rsidRPr="00BA0582">
        <w:rPr>
          <w:rFonts w:cstheme="minorHAnsi"/>
        </w:rPr>
        <w:t>)</w:t>
      </w:r>
      <w:r w:rsidRPr="00BA0582">
        <w:rPr>
          <w:rFonts w:cstheme="minorHAnsi"/>
          <w:vertAlign w:val="subscript"/>
        </w:rPr>
        <w:t>2</w:t>
      </w:r>
      <w:r w:rsidRPr="00BA0582">
        <w:rPr>
          <w:rFonts w:cstheme="minorHAnsi"/>
        </w:rPr>
        <w:t xml:space="preserve"> complex dissociates from the metal center when dissolved in benzene. In order to confirm this we added IReO</w:t>
      </w:r>
      <w:r w:rsidRPr="00BA0582">
        <w:rPr>
          <w:rFonts w:cstheme="minorHAnsi"/>
          <w:vertAlign w:val="subscript"/>
        </w:rPr>
        <w:t>2</w:t>
      </w:r>
      <w:r w:rsidRPr="00BA0582">
        <w:rPr>
          <w:rFonts w:cstheme="minorHAnsi"/>
        </w:rPr>
        <w:t>(PPh</w:t>
      </w:r>
      <w:r w:rsidRPr="00BA0582">
        <w:rPr>
          <w:rFonts w:cstheme="minorHAnsi"/>
          <w:vertAlign w:val="subscript"/>
        </w:rPr>
        <w:t>3</w:t>
      </w:r>
      <w:r w:rsidRPr="00BA0582">
        <w:rPr>
          <w:rFonts w:cstheme="minorHAnsi"/>
        </w:rPr>
        <w:t>)</w:t>
      </w:r>
      <w:r w:rsidRPr="00BA0582">
        <w:rPr>
          <w:rFonts w:cstheme="minorHAnsi"/>
          <w:vertAlign w:val="subscript"/>
        </w:rPr>
        <w:t>2</w:t>
      </w:r>
      <w:r w:rsidRPr="00BA0582">
        <w:rPr>
          <w:rFonts w:cstheme="minorHAnsi"/>
        </w:rPr>
        <w:t xml:space="preserve"> to a solution containing approximately 5 equivalents of triphenylphosphine in benzene-</w:t>
      </w:r>
      <w:r w:rsidRPr="00BA0582">
        <w:rPr>
          <w:rFonts w:cstheme="minorHAnsi"/>
          <w:i/>
        </w:rPr>
        <w:t>d</w:t>
      </w:r>
      <w:r w:rsidRPr="00BA0582">
        <w:rPr>
          <w:rFonts w:cstheme="minorHAnsi"/>
          <w:i/>
          <w:vertAlign w:val="superscript"/>
        </w:rPr>
        <w:t>6</w:t>
      </w:r>
      <w:r w:rsidRPr="00BA0582">
        <w:rPr>
          <w:rFonts w:cstheme="minorHAnsi"/>
        </w:rPr>
        <w:t>. This sample did not change color and stayed purple for over a week (</w:t>
      </w:r>
      <w:r w:rsidR="00183067">
        <w:rPr>
          <w:rFonts w:cstheme="minorHAnsi"/>
        </w:rPr>
        <w:fldChar w:fldCharType="begin"/>
      </w:r>
      <w:r w:rsidR="00183067">
        <w:rPr>
          <w:rFonts w:cstheme="minorHAnsi"/>
        </w:rPr>
        <w:instrText xml:space="preserve"> REF _Ref457465807 \h </w:instrText>
      </w:r>
      <w:r w:rsidR="00183067">
        <w:rPr>
          <w:rFonts w:cstheme="minorHAnsi"/>
        </w:rPr>
      </w:r>
      <w:r w:rsidR="00183067">
        <w:rPr>
          <w:rFonts w:cstheme="minorHAnsi"/>
        </w:rPr>
        <w:fldChar w:fldCharType="separate"/>
      </w:r>
      <w:r w:rsidR="000A0E3D" w:rsidRPr="00183067">
        <w:t xml:space="preserve">Figure </w:t>
      </w:r>
      <w:r w:rsidR="000A0E3D">
        <w:rPr>
          <w:noProof/>
        </w:rPr>
        <w:t>IV</w:t>
      </w:r>
      <w:r w:rsidR="000A0E3D">
        <w:t>.</w:t>
      </w:r>
      <w:r w:rsidR="000A0E3D">
        <w:rPr>
          <w:noProof/>
        </w:rPr>
        <w:t>8</w:t>
      </w:r>
      <w:r w:rsidR="00183067">
        <w:rPr>
          <w:rFonts w:cstheme="minorHAnsi"/>
        </w:rPr>
        <w:fldChar w:fldCharType="end"/>
      </w:r>
      <w:r w:rsidRPr="00BA0582">
        <w:rPr>
          <w:rFonts w:cstheme="minorHAnsi"/>
        </w:rPr>
        <w:t xml:space="preserve">b) and its </w:t>
      </w:r>
      <w:r w:rsidRPr="00BA0582">
        <w:rPr>
          <w:rFonts w:cstheme="minorHAnsi"/>
          <w:vertAlign w:val="superscript"/>
        </w:rPr>
        <w:t>31</w:t>
      </w:r>
      <w:r w:rsidRPr="00BA0582">
        <w:rPr>
          <w:rFonts w:cstheme="minorHAnsi"/>
        </w:rPr>
        <w:t>P NMR spectrum showed a strong signal at 4.6 ppm from IReO</w:t>
      </w:r>
      <w:r w:rsidRPr="00BA0582">
        <w:rPr>
          <w:rFonts w:cstheme="minorHAnsi"/>
          <w:vertAlign w:val="subscript"/>
        </w:rPr>
        <w:t>2</w:t>
      </w:r>
      <w:r w:rsidRPr="00BA0582">
        <w:rPr>
          <w:rFonts w:cstheme="minorHAnsi"/>
        </w:rPr>
        <w:t>(PPh</w:t>
      </w:r>
      <w:r w:rsidRPr="00BA0582">
        <w:rPr>
          <w:rFonts w:cstheme="minorHAnsi"/>
          <w:vertAlign w:val="subscript"/>
        </w:rPr>
        <w:t>3</w:t>
      </w:r>
      <w:r w:rsidRPr="00BA0582">
        <w:rPr>
          <w:rFonts w:cstheme="minorHAnsi"/>
        </w:rPr>
        <w:t>)</w:t>
      </w:r>
      <w:r w:rsidRPr="00BA0582">
        <w:rPr>
          <w:rFonts w:cstheme="minorHAnsi"/>
          <w:vertAlign w:val="subscript"/>
        </w:rPr>
        <w:t>2</w:t>
      </w:r>
      <w:r w:rsidRPr="00BA0582">
        <w:rPr>
          <w:rFonts w:cstheme="minorHAnsi"/>
        </w:rPr>
        <w:t xml:space="preserve"> and only traces of the two signals observed previously. To probe further whether the process was reversible an excess of triphenylphosphine (~5 equivalents) was added to a bright yellow sample of IReO</w:t>
      </w:r>
      <w:r w:rsidRPr="00BA0582">
        <w:rPr>
          <w:rFonts w:cstheme="minorHAnsi"/>
          <w:vertAlign w:val="subscript"/>
        </w:rPr>
        <w:t>2</w:t>
      </w:r>
      <w:r w:rsidRPr="00BA0582">
        <w:rPr>
          <w:rFonts w:cstheme="minorHAnsi"/>
        </w:rPr>
        <w:t>TPP</w:t>
      </w:r>
      <w:r w:rsidRPr="00BA0582">
        <w:rPr>
          <w:rFonts w:cstheme="minorHAnsi"/>
          <w:vertAlign w:val="subscript"/>
        </w:rPr>
        <w:t xml:space="preserve">2 </w:t>
      </w:r>
      <w:r w:rsidRPr="00BA0582">
        <w:rPr>
          <w:rFonts w:cstheme="minorHAnsi"/>
        </w:rPr>
        <w:t>in benzene (0.01 mol/L) that had aged for 3 days. In less than an hour the sample darkened to a crimson color (</w:t>
      </w:r>
      <w:r w:rsidR="00183067">
        <w:rPr>
          <w:rFonts w:cstheme="minorHAnsi"/>
        </w:rPr>
        <w:fldChar w:fldCharType="begin"/>
      </w:r>
      <w:r w:rsidR="00183067">
        <w:rPr>
          <w:rFonts w:cstheme="minorHAnsi"/>
        </w:rPr>
        <w:instrText xml:space="preserve"> REF _Ref457465807 \h </w:instrText>
      </w:r>
      <w:r w:rsidR="00183067">
        <w:rPr>
          <w:rFonts w:cstheme="minorHAnsi"/>
        </w:rPr>
      </w:r>
      <w:r w:rsidR="00183067">
        <w:rPr>
          <w:rFonts w:cstheme="minorHAnsi"/>
        </w:rPr>
        <w:fldChar w:fldCharType="separate"/>
      </w:r>
      <w:r w:rsidR="000A0E3D" w:rsidRPr="00183067">
        <w:t xml:space="preserve">Figure </w:t>
      </w:r>
      <w:r w:rsidR="000A0E3D">
        <w:rPr>
          <w:noProof/>
        </w:rPr>
        <w:t>IV</w:t>
      </w:r>
      <w:r w:rsidR="000A0E3D">
        <w:t>.</w:t>
      </w:r>
      <w:r w:rsidR="000A0E3D">
        <w:rPr>
          <w:noProof/>
        </w:rPr>
        <w:t>8</w:t>
      </w:r>
      <w:r w:rsidR="00183067">
        <w:rPr>
          <w:rFonts w:cstheme="minorHAnsi"/>
        </w:rPr>
        <w:fldChar w:fldCharType="end"/>
      </w:r>
      <w:r w:rsidRPr="00BA0582">
        <w:rPr>
          <w:rFonts w:cstheme="minorHAnsi"/>
        </w:rPr>
        <w:t>c) and overnight the solution was back to the original purple color of IReO</w:t>
      </w:r>
      <w:r w:rsidRPr="00BA0582">
        <w:rPr>
          <w:rFonts w:cstheme="minorHAnsi"/>
          <w:vertAlign w:val="subscript"/>
        </w:rPr>
        <w:t>2</w:t>
      </w:r>
      <w:r w:rsidRPr="00BA0582">
        <w:rPr>
          <w:rFonts w:cstheme="minorHAnsi"/>
        </w:rPr>
        <w:t>TPP</w:t>
      </w:r>
      <w:r w:rsidRPr="00BA0582">
        <w:rPr>
          <w:rFonts w:cstheme="minorHAnsi"/>
          <w:vertAlign w:val="subscript"/>
        </w:rPr>
        <w:t>2</w:t>
      </w:r>
      <w:r w:rsidRPr="00BA0582">
        <w:rPr>
          <w:rFonts w:cstheme="minorHAnsi"/>
        </w:rPr>
        <w:t xml:space="preserve">. In the </w:t>
      </w:r>
      <w:r w:rsidRPr="00BA0582">
        <w:rPr>
          <w:rFonts w:cstheme="minorHAnsi"/>
          <w:vertAlign w:val="superscript"/>
        </w:rPr>
        <w:t>31</w:t>
      </w:r>
      <w:r w:rsidRPr="00BA0582">
        <w:rPr>
          <w:rFonts w:cstheme="minorHAnsi"/>
        </w:rPr>
        <w:t>P NMR spectrum the signal at 4.6 ppm was again predominant and the -11.0 ppm signal was very small.</w:t>
      </w:r>
    </w:p>
    <w:p w14:paraId="3A36422A" w14:textId="77777777" w:rsidR="00183067" w:rsidRPr="00BA0582" w:rsidRDefault="00183067" w:rsidP="00BA0582">
      <w:pPr>
        <w:ind w:firstLine="360"/>
        <w:jc w:val="both"/>
        <w:rPr>
          <w:rFonts w:cstheme="minorHAnsi"/>
        </w:rPr>
      </w:pPr>
    </w:p>
    <w:p w14:paraId="4E9529BC" w14:textId="77777777" w:rsidR="00183067" w:rsidRDefault="00BA0582" w:rsidP="001539C6">
      <w:pPr>
        <w:keepNext/>
        <w:spacing w:line="276" w:lineRule="auto"/>
        <w:jc w:val="center"/>
        <w:rPr>
          <w:rFonts w:cstheme="minorHAnsi"/>
        </w:rPr>
      </w:pPr>
      <w:r w:rsidRPr="00BA0582">
        <w:rPr>
          <w:rFonts w:cstheme="minorHAnsi"/>
        </w:rPr>
        <w:object w:dxaOrig="2663" w:dyaOrig="1118" w14:anchorId="32F4AE2B">
          <v:shape id="_x0000_i1211" type="#_x0000_t75" style="width:180.4pt;height:76.75pt" o:ole="">
            <v:imagedata r:id="rId493" o:title=""/>
          </v:shape>
          <o:OLEObject Type="Embed" ProgID="ChemDraw.Document.6.0" ShapeID="_x0000_i1211" DrawAspect="Content" ObjectID="_1532785032" r:id="rId494"/>
        </w:object>
      </w:r>
    </w:p>
    <w:p w14:paraId="0BAE2CB7" w14:textId="620F90A7" w:rsidR="001539C6" w:rsidRPr="001539C6" w:rsidRDefault="001539C6" w:rsidP="001539C6">
      <w:pPr>
        <w:keepNext/>
        <w:jc w:val="center"/>
        <w:rPr>
          <w:i/>
        </w:rPr>
      </w:pPr>
      <w:r w:rsidRPr="001539C6">
        <w:rPr>
          <w:rFonts w:cstheme="minorHAnsi"/>
          <w:i/>
        </w:rPr>
        <w:t>Purple</w:t>
      </w:r>
      <w:r w:rsidRPr="001539C6">
        <w:rPr>
          <w:rFonts w:cstheme="minorHAnsi"/>
          <w:i/>
        </w:rPr>
        <w:tab/>
      </w:r>
      <w:r w:rsidRPr="001539C6">
        <w:rPr>
          <w:rFonts w:cstheme="minorHAnsi"/>
          <w:i/>
        </w:rPr>
        <w:tab/>
      </w:r>
      <w:r w:rsidRPr="001539C6">
        <w:rPr>
          <w:rFonts w:cstheme="minorHAnsi"/>
          <w:i/>
        </w:rPr>
        <w:tab/>
        <w:t xml:space="preserve">  </w:t>
      </w:r>
      <w:r>
        <w:rPr>
          <w:rFonts w:cstheme="minorHAnsi"/>
          <w:i/>
        </w:rPr>
        <w:t xml:space="preserve"> </w:t>
      </w:r>
      <w:r w:rsidRPr="001539C6">
        <w:rPr>
          <w:rFonts w:cstheme="minorHAnsi"/>
          <w:i/>
        </w:rPr>
        <w:t>Yellow</w:t>
      </w:r>
    </w:p>
    <w:p w14:paraId="4B6F0164" w14:textId="77777777" w:rsidR="00BA0582" w:rsidRDefault="00183067" w:rsidP="00183067">
      <w:pPr>
        <w:pStyle w:val="Caption"/>
        <w:rPr>
          <w:rFonts w:cstheme="minorHAnsi"/>
          <w:b w:val="0"/>
        </w:rPr>
      </w:pPr>
      <w:bookmarkStart w:id="429" w:name="_Toc457670793"/>
      <w:r>
        <w:t xml:space="preserve">Figure </w:t>
      </w:r>
      <w:r w:rsidR="00443010">
        <w:fldChar w:fldCharType="begin"/>
      </w:r>
      <w:r w:rsidR="00443010">
        <w:instrText xml:space="preserve"> STYLEREF 1 \s </w:instrText>
      </w:r>
      <w:r w:rsidR="00443010">
        <w:fldChar w:fldCharType="separate"/>
      </w:r>
      <w:r w:rsidR="000A0E3D">
        <w:rPr>
          <w:noProof/>
        </w:rPr>
        <w:t>IV</w:t>
      </w:r>
      <w:r w:rsidR="00443010">
        <w:rPr>
          <w:noProof/>
        </w:rPr>
        <w:fldChar w:fldCharType="end"/>
      </w:r>
      <w:r w:rsidR="00573BBE">
        <w:t>.</w:t>
      </w:r>
      <w:r w:rsidR="00443010">
        <w:fldChar w:fldCharType="begin"/>
      </w:r>
      <w:r w:rsidR="00443010">
        <w:instrText xml:space="preserve"> SEQ Figure \* ARABIC \s 1 </w:instrText>
      </w:r>
      <w:r w:rsidR="00443010">
        <w:fldChar w:fldCharType="separate"/>
      </w:r>
      <w:r w:rsidR="000A0E3D">
        <w:rPr>
          <w:noProof/>
        </w:rPr>
        <w:t>9</w:t>
      </w:r>
      <w:r w:rsidR="00443010">
        <w:rPr>
          <w:noProof/>
        </w:rPr>
        <w:fldChar w:fldCharType="end"/>
      </w:r>
      <w:r>
        <w:t xml:space="preserve"> </w:t>
      </w:r>
      <w:r w:rsidR="0016299B">
        <w:rPr>
          <w:rFonts w:cstheme="minorHAnsi"/>
        </w:rPr>
        <w:t>Pre-c</w:t>
      </w:r>
      <w:r w:rsidR="00BA0582" w:rsidRPr="00183067">
        <w:rPr>
          <w:rFonts w:cstheme="minorHAnsi"/>
        </w:rPr>
        <w:t>atalyst ligand dissociation equilibrium in solution</w:t>
      </w:r>
      <w:bookmarkEnd w:id="429"/>
    </w:p>
    <w:p w14:paraId="7C9528F9" w14:textId="77777777" w:rsidR="00183067" w:rsidRPr="00183067" w:rsidRDefault="00183067" w:rsidP="00183067"/>
    <w:p w14:paraId="0151DBE3" w14:textId="77777777" w:rsidR="00BA0582" w:rsidRPr="00BA0582" w:rsidRDefault="00BA0582" w:rsidP="00BA0582">
      <w:pPr>
        <w:ind w:firstLine="360"/>
        <w:jc w:val="both"/>
        <w:rPr>
          <w:rFonts w:cstheme="minorHAnsi"/>
          <w:highlight w:val="yellow"/>
        </w:rPr>
      </w:pPr>
      <w:r w:rsidRPr="00BA0582">
        <w:rPr>
          <w:rFonts w:cstheme="minorHAnsi"/>
        </w:rPr>
        <w:t>From the observed behavior of IReO</w:t>
      </w:r>
      <w:r w:rsidRPr="00BA0582">
        <w:rPr>
          <w:rFonts w:cstheme="minorHAnsi"/>
          <w:vertAlign w:val="subscript"/>
        </w:rPr>
        <w:t>2</w:t>
      </w:r>
      <w:r w:rsidRPr="00BA0582">
        <w:rPr>
          <w:rFonts w:cstheme="minorHAnsi"/>
        </w:rPr>
        <w:t>(PPh</w:t>
      </w:r>
      <w:r w:rsidRPr="00BA0582">
        <w:rPr>
          <w:rFonts w:cstheme="minorHAnsi"/>
          <w:vertAlign w:val="subscript"/>
        </w:rPr>
        <w:t>3</w:t>
      </w:r>
      <w:r w:rsidRPr="00BA0582">
        <w:rPr>
          <w:rFonts w:cstheme="minorHAnsi"/>
        </w:rPr>
        <w:t>)</w:t>
      </w:r>
      <w:r w:rsidRPr="00BA0582">
        <w:rPr>
          <w:rFonts w:cstheme="minorHAnsi"/>
          <w:vertAlign w:val="subscript"/>
        </w:rPr>
        <w:t>2</w:t>
      </w:r>
      <w:r w:rsidRPr="00BA0582">
        <w:rPr>
          <w:rFonts w:cstheme="minorHAnsi"/>
        </w:rPr>
        <w:t xml:space="preserve"> in solution we speculated on the potential dissociation of a phosphine ligand in solution. This ligand dissociation is not clearly mentioned in the literature. A report from Chung and co-worker suggested the intermediacy of IReO</w:t>
      </w:r>
      <w:r w:rsidRPr="00BA0582">
        <w:rPr>
          <w:rFonts w:cstheme="minorHAnsi"/>
          <w:vertAlign w:val="subscript"/>
        </w:rPr>
        <w:t>2</w:t>
      </w:r>
      <w:r w:rsidRPr="00BA0582">
        <w:rPr>
          <w:rFonts w:cstheme="minorHAnsi"/>
        </w:rPr>
        <w:t>(PMe</w:t>
      </w:r>
      <w:r w:rsidRPr="00BA0582">
        <w:rPr>
          <w:rFonts w:cstheme="minorHAnsi"/>
          <w:vertAlign w:val="subscript"/>
        </w:rPr>
        <w:t>3</w:t>
      </w:r>
      <w:r w:rsidRPr="00BA0582">
        <w:rPr>
          <w:rFonts w:cstheme="minorHAnsi"/>
        </w:rPr>
        <w:t>) as a potential active catalyst for hydrosilylation of carbonyls starting from IReO</w:t>
      </w:r>
      <w:r w:rsidRPr="00BA0582">
        <w:rPr>
          <w:rFonts w:cstheme="minorHAnsi"/>
          <w:vertAlign w:val="subscript"/>
        </w:rPr>
        <w:t>2</w:t>
      </w:r>
      <w:r w:rsidRPr="00BA0582">
        <w:rPr>
          <w:rFonts w:cstheme="minorHAnsi"/>
        </w:rPr>
        <w:t>(PMe</w:t>
      </w:r>
      <w:r w:rsidRPr="00BA0582">
        <w:rPr>
          <w:rFonts w:cstheme="minorHAnsi"/>
          <w:vertAlign w:val="subscript"/>
        </w:rPr>
        <w:t>3</w:t>
      </w:r>
      <w:r w:rsidRPr="00BA0582">
        <w:rPr>
          <w:rFonts w:cstheme="minorHAnsi"/>
        </w:rPr>
        <w:t>)</w:t>
      </w:r>
      <w:r w:rsidRPr="00BA0582">
        <w:rPr>
          <w:rFonts w:cstheme="minorHAnsi"/>
          <w:vertAlign w:val="subscript"/>
        </w:rPr>
        <w:t>2</w:t>
      </w:r>
      <w:r w:rsidRPr="00BA0582">
        <w:rPr>
          <w:rFonts w:cstheme="minorHAnsi"/>
        </w:rPr>
        <w:t>, but they provided only the calculated energy for this dissociation (7.3 kcal/mol).</w:t>
      </w:r>
      <w:r w:rsidRPr="00BA0582">
        <w:rPr>
          <w:rFonts w:cstheme="minorHAnsi"/>
        </w:rPr>
        <w:fldChar w:fldCharType="begin"/>
      </w:r>
      <w:r w:rsidR="0091451B">
        <w:rPr>
          <w:rFonts w:cstheme="minorHAnsi"/>
        </w:rPr>
        <w:instrText xml:space="preserve"> ADDIN ZOTERO_ITEM CSL_CITATION {"citationID":"119s183t5q","properties":{"formattedCitation":"{\\rtf \\super 224\\nosupersub{}}","plainCitation":"224"},"citationItems":[{"id":2034,"uris":["http://zotero.org/users/1624234/items/ZJM5F98P"],"uri":["http://zotero.org/users/1624234/items/ZJM5F98P"],"itemData":{"id":2034,"type":"article-journal","title":"Computational Study on the Reaction Mechanism of Hydrosilylation of Carbonyls Catalyzed by High-Valent Rhenium(V)−Di-oxo Complexes","container-title":"The Journal of Organic Chemistry","page":"6000-6009","volume":"71","issue":"16","source":"ACS Publications","abstract":"Density functional theory (DFT) calculations have been performed to elucidate the reaction mechanism of hydrosilylation of carbonyl compounds catalyzed by high-valent rhenium(V)−di-oxo complexes ReO2I(PR3)2 (R = Me, Ph). The calculations suggest that the most favorable mechanism involves the rate-determining dissociative [2 + 2] addition of the Si−H bond across a ReO bond to form a Re(V) hydrido siloxy intermediate; this is followed by carbonyl coordination, reduction of the carbonyl, rearrangement, and final intramolecular nucleophilic attack from the alkoxy group to the silyl center (dissociative retro-[2 + 2] addition). It was also found that the additional oxo ligand in the ReO2I(PR3)2 complexes promotes the [2 + 2] addition across the rhenium−oxo bond both kinetically and thermodynamically, as compared to the neutral rhenium(V)−mono-oxo complex ReOCl3(PMe3)2. The effect of different silanes on the [2 + 2] addition barriers is also studied.","DOI":"10.1021/jo060654b","ISSN":"0022-3263","journalAbbreviation":"J. Org. Chem.","author":[{"family":"Chung","given":"Lung Wa"},{"family":"Lee","given":"Hung Gai"},{"family":"Lin","given":"Zhenyang"},{"family":"Wu","given":"Yun-Dong"}],"issued":{"date-parts":[["2006",8,1]]}}}],"schema":"https://github.com/citation-style-language/schema/raw/master/csl-citation.json"} </w:instrText>
      </w:r>
      <w:r w:rsidRPr="00BA0582">
        <w:rPr>
          <w:rFonts w:cstheme="minorHAnsi"/>
        </w:rPr>
        <w:fldChar w:fldCharType="separate"/>
      </w:r>
      <w:r w:rsidR="0091451B" w:rsidRPr="0091451B">
        <w:rPr>
          <w:rFonts w:ascii="Times New Roman" w:hAnsi="Times New Roman"/>
          <w:vertAlign w:val="superscript"/>
        </w:rPr>
        <w:t>224</w:t>
      </w:r>
      <w:r w:rsidRPr="00BA0582">
        <w:rPr>
          <w:rFonts w:cstheme="minorHAnsi"/>
        </w:rPr>
        <w:fldChar w:fldCharType="end"/>
      </w:r>
      <w:r w:rsidRPr="00BA0582">
        <w:rPr>
          <w:rFonts w:cstheme="minorHAnsi"/>
        </w:rPr>
        <w:t xml:space="preserve"> As this process can be stopped or reversed by adding an excess of triphenylphosphine, we concluded that the two species are equilibrium. In the alcohol reductive coupling reaction (RC) the Re</w:t>
      </w:r>
      <w:r w:rsidRPr="00BA0582">
        <w:rPr>
          <w:rFonts w:cstheme="minorHAnsi"/>
          <w:vertAlign w:val="superscript"/>
        </w:rPr>
        <w:t>v</w:t>
      </w:r>
      <w:r w:rsidRPr="00BA0582">
        <w:rPr>
          <w:rFonts w:cstheme="minorHAnsi"/>
        </w:rPr>
        <w:t xml:space="preserve"> oxo-complex is used in catalytic quantity (1-10 mol%) and triphenylphosphine in two equivalents (100 mol%). From our observations of the catalyst behavior in the presence and absence of added phosphine we conclude that the IReO</w:t>
      </w:r>
      <w:r w:rsidRPr="00BA0582">
        <w:rPr>
          <w:rFonts w:cstheme="minorHAnsi"/>
          <w:vertAlign w:val="subscript"/>
        </w:rPr>
        <w:t>2</w:t>
      </w:r>
      <w:r w:rsidRPr="00BA0582">
        <w:rPr>
          <w:rFonts w:cstheme="minorHAnsi"/>
        </w:rPr>
        <w:t>(PPh</w:t>
      </w:r>
      <w:r w:rsidRPr="00BA0582">
        <w:rPr>
          <w:rFonts w:cstheme="minorHAnsi"/>
          <w:vertAlign w:val="subscript"/>
        </w:rPr>
        <w:t>3</w:t>
      </w:r>
      <w:r w:rsidRPr="00BA0582">
        <w:rPr>
          <w:rFonts w:cstheme="minorHAnsi"/>
        </w:rPr>
        <w:t>)</w:t>
      </w:r>
      <w:r w:rsidRPr="00BA0582">
        <w:rPr>
          <w:rFonts w:cstheme="minorHAnsi"/>
          <w:vertAlign w:val="subscript"/>
        </w:rPr>
        <w:t>2</w:t>
      </w:r>
      <w:r w:rsidRPr="00BA0582">
        <w:rPr>
          <w:rFonts w:cstheme="minorHAnsi"/>
        </w:rPr>
        <w:t xml:space="preserve"> form of the catalyst would be favored under catalytic reaction conditions. </w:t>
      </w:r>
    </w:p>
    <w:p w14:paraId="3C6D37A8" w14:textId="77777777" w:rsidR="00BA0582" w:rsidRPr="00BA0582" w:rsidRDefault="00BA0582" w:rsidP="00BA0582">
      <w:pPr>
        <w:ind w:firstLine="360"/>
        <w:jc w:val="both"/>
        <w:rPr>
          <w:rFonts w:cstheme="minorHAnsi"/>
        </w:rPr>
      </w:pPr>
      <w:r w:rsidRPr="00BA0582">
        <w:rPr>
          <w:rFonts w:cstheme="minorHAnsi"/>
        </w:rPr>
        <w:t xml:space="preserve">In order probe the mechanism of the RC reaction we carried out a series of stoichiometric reactivity experiments to elucidate the sequence of pre-catalyst transformations in the presence of either or both reactants. </w:t>
      </w:r>
    </w:p>
    <w:p w14:paraId="44FCF79B" w14:textId="77777777" w:rsidR="00BA0582" w:rsidRPr="00BA0582" w:rsidRDefault="00BA0582" w:rsidP="00BA0582">
      <w:pPr>
        <w:rPr>
          <w:rFonts w:cstheme="minorHAnsi"/>
        </w:rPr>
      </w:pPr>
    </w:p>
    <w:p w14:paraId="37B3D6DE" w14:textId="77777777" w:rsidR="00BA0582" w:rsidRPr="00BA0582" w:rsidRDefault="00BA0582" w:rsidP="000351A7">
      <w:pPr>
        <w:pStyle w:val="Heading3"/>
      </w:pPr>
      <w:bookmarkStart w:id="430" w:name="_Ref457477036"/>
      <w:bookmarkStart w:id="431" w:name="_Toc458938343"/>
      <w:r w:rsidRPr="00BA0582">
        <w:t>Stoichiometric reaction NMR study: IReO</w:t>
      </w:r>
      <w:r w:rsidRPr="00BA0582">
        <w:rPr>
          <w:vertAlign w:val="subscript"/>
        </w:rPr>
        <w:t>2</w:t>
      </w:r>
      <w:r w:rsidRPr="00BA0582">
        <w:t>(PPh</w:t>
      </w:r>
      <w:r w:rsidRPr="00BA0582">
        <w:rPr>
          <w:vertAlign w:val="subscript"/>
        </w:rPr>
        <w:t>3</w:t>
      </w:r>
      <w:r w:rsidRPr="00BA0582">
        <w:t>)</w:t>
      </w:r>
      <w:r w:rsidRPr="00BA0582">
        <w:rPr>
          <w:vertAlign w:val="subscript"/>
        </w:rPr>
        <w:t>2</w:t>
      </w:r>
      <w:r w:rsidRPr="00BA0582">
        <w:t xml:space="preserve"> and benzhydrol</w:t>
      </w:r>
      <w:bookmarkEnd w:id="430"/>
      <w:bookmarkEnd w:id="431"/>
    </w:p>
    <w:p w14:paraId="0946C929" w14:textId="77777777" w:rsidR="00BA0582" w:rsidRPr="00BA0582" w:rsidRDefault="00BA0582" w:rsidP="00BA0582">
      <w:pPr>
        <w:ind w:firstLine="360"/>
        <w:jc w:val="both"/>
        <w:rPr>
          <w:rFonts w:cstheme="minorHAnsi"/>
        </w:rPr>
      </w:pPr>
      <w:r w:rsidRPr="00BA0582">
        <w:rPr>
          <w:rFonts w:cstheme="minorHAnsi"/>
        </w:rPr>
        <w:t>We started the study of the interaction of the pre-catalyst with alcohols by a series of experiments at room temperature. We intended with these experiments to observe potential key intermediates of the catalytic cycle. We prepared first a set of three samples with a stoichiometric quantity of alcohol and pre-catalyst in a sealed NMR tube purged with nitrogen with benzene-</w:t>
      </w:r>
      <w:r w:rsidRPr="00BA0582">
        <w:rPr>
          <w:rFonts w:cstheme="minorHAnsi"/>
          <w:i/>
        </w:rPr>
        <w:t>d</w:t>
      </w:r>
      <w:r w:rsidRPr="00BA0582">
        <w:rPr>
          <w:rFonts w:cstheme="minorHAnsi"/>
          <w:i/>
          <w:vertAlign w:val="superscript"/>
        </w:rPr>
        <w:t>6</w:t>
      </w:r>
      <w:r w:rsidRPr="00BA0582">
        <w:rPr>
          <w:rFonts w:cstheme="minorHAnsi"/>
        </w:rPr>
        <w:t xml:space="preserve"> as solvent: A, one without additional reagent; B, one with the pre-catalyst aged in the solvent to dissociate PPh</w:t>
      </w:r>
      <w:r w:rsidRPr="00BA0582">
        <w:rPr>
          <w:rFonts w:cstheme="minorHAnsi"/>
          <w:vertAlign w:val="subscript"/>
        </w:rPr>
        <w:t>3</w:t>
      </w:r>
      <w:r w:rsidRPr="00BA0582">
        <w:rPr>
          <w:rFonts w:cstheme="minorHAnsi"/>
        </w:rPr>
        <w:t>; and C, one with a 1:1 alcohol + PPh</w:t>
      </w:r>
      <w:r w:rsidRPr="00BA0582">
        <w:rPr>
          <w:rFonts w:cstheme="minorHAnsi"/>
          <w:vertAlign w:val="subscript"/>
        </w:rPr>
        <w:t>3</w:t>
      </w:r>
      <w:r w:rsidRPr="00BA0582">
        <w:rPr>
          <w:rFonts w:cstheme="minorHAnsi"/>
        </w:rPr>
        <w:t xml:space="preserve">. We kept these sample at room temperature for several weeks and followed the changes overtime by </w:t>
      </w:r>
      <w:r w:rsidRPr="00BA0582">
        <w:rPr>
          <w:rFonts w:cstheme="minorHAnsi"/>
          <w:vertAlign w:val="superscript"/>
        </w:rPr>
        <w:t>1</w:t>
      </w:r>
      <w:r w:rsidRPr="00BA0582">
        <w:rPr>
          <w:rFonts w:cstheme="minorHAnsi"/>
        </w:rPr>
        <w:t xml:space="preserve">H and </w:t>
      </w:r>
      <w:r w:rsidRPr="00BA0582">
        <w:rPr>
          <w:rFonts w:cstheme="minorHAnsi"/>
          <w:vertAlign w:val="superscript"/>
        </w:rPr>
        <w:t>31</w:t>
      </w:r>
      <w:r w:rsidRPr="00BA0582">
        <w:rPr>
          <w:rFonts w:cstheme="minorHAnsi"/>
        </w:rPr>
        <w:t>P NMR spectroscopy.</w:t>
      </w:r>
    </w:p>
    <w:p w14:paraId="7B9FDA72" w14:textId="234AED72" w:rsidR="00BA0582" w:rsidRPr="00BA0582" w:rsidRDefault="00BA0582" w:rsidP="00B5501C">
      <w:pPr>
        <w:pStyle w:val="ListParagraph"/>
        <w:numPr>
          <w:ilvl w:val="2"/>
          <w:numId w:val="38"/>
        </w:numPr>
        <w:spacing w:after="160"/>
        <w:ind w:left="1440"/>
        <w:jc w:val="both"/>
        <w:rPr>
          <w:rFonts w:cstheme="minorHAnsi"/>
        </w:rPr>
      </w:pPr>
      <w:r w:rsidRPr="00BA0582">
        <w:rPr>
          <w:rFonts w:cstheme="minorHAnsi"/>
        </w:rPr>
        <w:t>A [1:1:1 ratio of IReO</w:t>
      </w:r>
      <w:r w:rsidRPr="00BA0582">
        <w:rPr>
          <w:rFonts w:cstheme="minorHAnsi"/>
          <w:vertAlign w:val="subscript"/>
        </w:rPr>
        <w:t>2</w:t>
      </w:r>
      <w:r w:rsidRPr="00BA0582">
        <w:rPr>
          <w:rFonts w:cstheme="minorHAnsi"/>
        </w:rPr>
        <w:t>(PPh</w:t>
      </w:r>
      <w:r w:rsidRPr="00BA0582">
        <w:rPr>
          <w:rFonts w:cstheme="minorHAnsi"/>
          <w:vertAlign w:val="subscript"/>
        </w:rPr>
        <w:t>3</w:t>
      </w:r>
      <w:r w:rsidRPr="00BA0582">
        <w:rPr>
          <w:rFonts w:cstheme="minorHAnsi"/>
        </w:rPr>
        <w:t>)</w:t>
      </w:r>
      <w:r w:rsidRPr="00BA0582">
        <w:rPr>
          <w:rFonts w:cstheme="minorHAnsi"/>
          <w:vertAlign w:val="subscript"/>
        </w:rPr>
        <w:t>2</w:t>
      </w:r>
      <w:r w:rsidRPr="00BA0582">
        <w:rPr>
          <w:rFonts w:cstheme="minorHAnsi"/>
        </w:rPr>
        <w:t xml:space="preserve"> + Ph</w:t>
      </w:r>
      <w:r w:rsidRPr="00BA0582">
        <w:rPr>
          <w:rFonts w:cstheme="minorHAnsi"/>
          <w:vertAlign w:val="subscript"/>
        </w:rPr>
        <w:t>2</w:t>
      </w:r>
      <w:r w:rsidRPr="00BA0582">
        <w:rPr>
          <w:rFonts w:cstheme="minorHAnsi"/>
        </w:rPr>
        <w:t>CH(OH) + PPh</w:t>
      </w:r>
      <w:r w:rsidRPr="00BA0582">
        <w:rPr>
          <w:rFonts w:cstheme="minorHAnsi"/>
          <w:vertAlign w:val="subscript"/>
        </w:rPr>
        <w:t>3</w:t>
      </w:r>
      <w:r w:rsidRPr="00BA0582">
        <w:rPr>
          <w:rFonts w:cstheme="minorHAnsi"/>
        </w:rPr>
        <w:t>]</w:t>
      </w:r>
    </w:p>
    <w:p w14:paraId="3E8C3C3A" w14:textId="77777777" w:rsidR="00BA0582" w:rsidRPr="00BA0582" w:rsidRDefault="00BA0582" w:rsidP="00B5501C">
      <w:pPr>
        <w:pStyle w:val="ListParagraph"/>
        <w:numPr>
          <w:ilvl w:val="2"/>
          <w:numId w:val="38"/>
        </w:numPr>
        <w:spacing w:after="160"/>
        <w:ind w:left="1440"/>
        <w:jc w:val="both"/>
        <w:rPr>
          <w:rFonts w:cstheme="minorHAnsi"/>
        </w:rPr>
      </w:pPr>
      <w:r w:rsidRPr="00BA0582">
        <w:rPr>
          <w:rFonts w:cstheme="minorHAnsi"/>
        </w:rPr>
        <w:t>B [1:1 ratio of IReO</w:t>
      </w:r>
      <w:r w:rsidRPr="00BA0582">
        <w:rPr>
          <w:rFonts w:cstheme="minorHAnsi"/>
          <w:vertAlign w:val="subscript"/>
        </w:rPr>
        <w:t>2</w:t>
      </w:r>
      <w:r w:rsidRPr="00BA0582">
        <w:rPr>
          <w:rFonts w:cstheme="minorHAnsi"/>
        </w:rPr>
        <w:t>(PPh</w:t>
      </w:r>
      <w:r w:rsidRPr="00BA0582">
        <w:rPr>
          <w:rFonts w:cstheme="minorHAnsi"/>
          <w:vertAlign w:val="subscript"/>
        </w:rPr>
        <w:t>3</w:t>
      </w:r>
      <w:r w:rsidRPr="00BA0582">
        <w:rPr>
          <w:rFonts w:cstheme="minorHAnsi"/>
        </w:rPr>
        <w:t>)</w:t>
      </w:r>
      <w:r w:rsidRPr="00BA0582">
        <w:rPr>
          <w:rFonts w:cstheme="minorHAnsi"/>
          <w:vertAlign w:val="subscript"/>
        </w:rPr>
        <w:t>2</w:t>
      </w:r>
      <w:r w:rsidRPr="00BA0582">
        <w:rPr>
          <w:rFonts w:cstheme="minorHAnsi"/>
        </w:rPr>
        <w:t xml:space="preserve"> + Ph</w:t>
      </w:r>
      <w:r w:rsidRPr="00BA0582">
        <w:rPr>
          <w:rFonts w:cstheme="minorHAnsi"/>
          <w:vertAlign w:val="subscript"/>
        </w:rPr>
        <w:t>2</w:t>
      </w:r>
      <w:r w:rsidRPr="00BA0582">
        <w:rPr>
          <w:rFonts w:cstheme="minorHAnsi"/>
        </w:rPr>
        <w:t>CH(OH)]</w:t>
      </w:r>
    </w:p>
    <w:p w14:paraId="0DEE6E6C" w14:textId="6FF60F49" w:rsidR="00BA0582" w:rsidRDefault="00BA0582" w:rsidP="001539C6">
      <w:pPr>
        <w:pStyle w:val="ListParagraph"/>
        <w:numPr>
          <w:ilvl w:val="2"/>
          <w:numId w:val="38"/>
        </w:numPr>
        <w:spacing w:after="160"/>
        <w:ind w:left="1440"/>
        <w:jc w:val="both"/>
        <w:rPr>
          <w:rFonts w:cstheme="minorHAnsi"/>
        </w:rPr>
      </w:pPr>
      <w:r w:rsidRPr="00BA0582">
        <w:rPr>
          <w:rFonts w:cstheme="minorHAnsi"/>
        </w:rPr>
        <w:t>C [1:1 ratio of {IReO</w:t>
      </w:r>
      <w:r w:rsidRPr="00BA0582">
        <w:rPr>
          <w:rFonts w:cstheme="minorHAnsi"/>
          <w:vertAlign w:val="subscript"/>
        </w:rPr>
        <w:t>2</w:t>
      </w:r>
      <w:r w:rsidRPr="00BA0582">
        <w:rPr>
          <w:rFonts w:cstheme="minorHAnsi"/>
        </w:rPr>
        <w:t>(PPh</w:t>
      </w:r>
      <w:r w:rsidRPr="00BA0582">
        <w:rPr>
          <w:rFonts w:cstheme="minorHAnsi"/>
          <w:vertAlign w:val="subscript"/>
        </w:rPr>
        <w:t>3</w:t>
      </w:r>
      <w:r w:rsidRPr="00BA0582">
        <w:rPr>
          <w:rFonts w:cstheme="minorHAnsi"/>
        </w:rPr>
        <w:t>)+free PPh</w:t>
      </w:r>
      <w:r w:rsidRPr="00BA0582">
        <w:rPr>
          <w:rFonts w:cstheme="minorHAnsi"/>
          <w:vertAlign w:val="subscript"/>
        </w:rPr>
        <w:t>3</w:t>
      </w:r>
      <w:r w:rsidRPr="00BA0582">
        <w:rPr>
          <w:rFonts w:cstheme="minorHAnsi"/>
        </w:rPr>
        <w:t>} + Ph</w:t>
      </w:r>
      <w:r w:rsidRPr="00BA0582">
        <w:rPr>
          <w:rFonts w:cstheme="minorHAnsi"/>
          <w:vertAlign w:val="subscript"/>
        </w:rPr>
        <w:t>2</w:t>
      </w:r>
      <w:r w:rsidRPr="00BA0582">
        <w:rPr>
          <w:rFonts w:cstheme="minorHAnsi"/>
        </w:rPr>
        <w:t>CH(OH)]</w:t>
      </w:r>
    </w:p>
    <w:p w14:paraId="6DEFDA19" w14:textId="4D22BE86" w:rsidR="001539C6" w:rsidRPr="001539C6" w:rsidRDefault="001539C6" w:rsidP="001539C6">
      <w:pPr>
        <w:spacing w:after="160"/>
        <w:jc w:val="both"/>
        <w:rPr>
          <w:rFonts w:cstheme="minorHAnsi"/>
        </w:rPr>
      </w:pPr>
    </w:p>
    <w:p w14:paraId="4DB56884" w14:textId="48F3E83C" w:rsidR="001539C6" w:rsidRDefault="00C8401D" w:rsidP="001539C6">
      <w:pPr>
        <w:spacing w:after="160"/>
        <w:jc w:val="both"/>
        <w:rPr>
          <w:rFonts w:cstheme="minorHAnsi"/>
        </w:rPr>
      </w:pPr>
      <w:r>
        <w:rPr>
          <w:rFonts w:cstheme="minorHAnsi"/>
          <w:noProof/>
          <w:lang w:bidi="ar-SA"/>
        </w:rPr>
        <w:object w:dxaOrig="0" w:dyaOrig="0" w14:anchorId="448877D8">
          <v:shape id="_x0000_s1737" type="#_x0000_t75" style="position:absolute;left:0;text-align:left;margin-left:157.35pt;margin-top:1.2pt;width:46.95pt;height:33.8pt;z-index:251745792;mso-position-horizontal-relative:text;mso-position-vertical-relative:text" filled="t" fillcolor="white [3212]">
            <v:imagedata r:id="rId495" o:title=""/>
          </v:shape>
          <o:OLEObject Type="Embed" ProgID="ChemDraw.Document.6.0" ShapeID="_x0000_s1737" DrawAspect="Content" ObjectID="_1532785102" r:id="rId496"/>
        </w:object>
      </w:r>
      <w:r>
        <w:rPr>
          <w:rFonts w:cstheme="minorHAnsi"/>
          <w:noProof/>
          <w:lang w:bidi="ar-SA"/>
        </w:rPr>
        <mc:AlternateContent>
          <mc:Choice Requires="wps">
            <w:drawing>
              <wp:anchor distT="0" distB="0" distL="114300" distR="114300" simplePos="0" relativeHeight="251746816" behindDoc="0" locked="0" layoutInCell="1" allowOverlap="1" wp14:anchorId="632569ED" wp14:editId="2C5B8621">
                <wp:simplePos x="0" y="0"/>
                <wp:positionH relativeFrom="column">
                  <wp:posOffset>1955409</wp:posOffset>
                </wp:positionH>
                <wp:positionV relativeFrom="paragraph">
                  <wp:posOffset>429846</wp:posOffset>
                </wp:positionV>
                <wp:extent cx="140677" cy="119576"/>
                <wp:effectExtent l="38100" t="0" r="31115" b="52070"/>
                <wp:wrapNone/>
                <wp:docPr id="87" name="Straight Arrow Connector 87"/>
                <wp:cNvGraphicFramePr/>
                <a:graphic xmlns:a="http://schemas.openxmlformats.org/drawingml/2006/main">
                  <a:graphicData uri="http://schemas.microsoft.com/office/word/2010/wordprocessingShape">
                    <wps:wsp>
                      <wps:cNvCnPr/>
                      <wps:spPr>
                        <a:xfrm flipH="1">
                          <a:off x="0" y="0"/>
                          <a:ext cx="140677" cy="119576"/>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FEABCB" id="Straight Arrow Connector 87" o:spid="_x0000_s1026" type="#_x0000_t32" style="position:absolute;margin-left:153.95pt;margin-top:33.85pt;width:11.1pt;height:9.4pt;flip:x;z-index:251746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" strokecolor="#7f7f7f [1612]">
                <v:stroke endarrow="block"/>
              </v:shape>
            </w:pict>
          </mc:Fallback>
        </mc:AlternateContent>
      </w:r>
      <w:r w:rsidR="001539C6" w:rsidRPr="00BA0582">
        <w:rPr>
          <w:rFonts w:cstheme="minorHAnsi"/>
        </w:rPr>
        <w:object w:dxaOrig="16310" w:dyaOrig="11380" w14:anchorId="16035504">
          <v:shape id="_x0000_i1589" type="#_x0000_t75" style="width:5in;height:246.85pt" o:ole="">
            <v:imagedata r:id="rId497" o:title=""/>
          </v:shape>
          <o:OLEObject Type="Embed" ProgID="MestReNova.Document.1" ShapeID="_x0000_i1589" DrawAspect="Content" ObjectID="_1532785033" r:id="rId498"/>
        </w:object>
      </w:r>
      <w:r w:rsidR="00BA0582" w:rsidRPr="00BA0582">
        <w:rPr>
          <w:rFonts w:cstheme="minorHAnsi"/>
          <w:noProof/>
          <w:lang w:bidi="ar-SA"/>
        </w:rPr>
        <w:drawing>
          <wp:inline distT="0" distB="0" distL="0" distR="0" wp14:anchorId="434BE647" wp14:editId="51CE050A">
            <wp:extent cx="365760" cy="573405"/>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99" cstate="print">
                      <a:extLst>
                        <a:ext uri="{28A0092B-C50C-407E-A947-70E740481C1C}">
                          <a14:useLocalDpi xmlns:a14="http://schemas.microsoft.com/office/drawing/2010/main" val="0"/>
                        </a:ext>
                      </a:extLst>
                    </a:blip>
                    <a:srcRect/>
                    <a:stretch>
                      <a:fillRect/>
                    </a:stretch>
                  </pic:blipFill>
                  <pic:spPr bwMode="auto">
                    <a:xfrm>
                      <a:off x="0" y="0"/>
                      <a:ext cx="365760" cy="573405"/>
                    </a:xfrm>
                    <a:prstGeom prst="rect">
                      <a:avLst/>
                    </a:prstGeom>
                    <a:noFill/>
                  </pic:spPr>
                </pic:pic>
              </a:graphicData>
            </a:graphic>
          </wp:inline>
        </w:drawing>
      </w:r>
    </w:p>
    <w:p w14:paraId="5983C700" w14:textId="0E960929" w:rsidR="001539C6" w:rsidRDefault="00C8401D" w:rsidP="00183067">
      <w:pPr>
        <w:keepNext/>
        <w:ind w:right="36"/>
        <w:jc w:val="center"/>
        <w:rPr>
          <w:rFonts w:cstheme="minorHAnsi"/>
        </w:rPr>
      </w:pPr>
      <w:r>
        <w:rPr>
          <w:rFonts w:cstheme="minorHAnsi"/>
          <w:noProof/>
          <w:lang w:bidi="ar-SA"/>
        </w:rPr>
        <w:object w:dxaOrig="0" w:dyaOrig="0" w14:anchorId="448877D8">
          <v:shape id="_x0000_s1739" type="#_x0000_t75" style="position:absolute;left:0;text-align:left;margin-left:310.3pt;margin-top:6.9pt;width:40.45pt;height:42.05pt;z-index:251748864;mso-position-horizontal-relative:text;mso-position-vertical-relative:text" fillcolor="white [3212]">
            <v:imagedata r:id="rId500" o:title=""/>
          </v:shape>
          <o:OLEObject Type="Embed" ProgID="ChemDraw.Document.6.0" ShapeID="_x0000_s1739" DrawAspect="Content" ObjectID="_1532785104" r:id="rId501"/>
        </w:object>
      </w:r>
    </w:p>
    <w:p w14:paraId="0F0EDCC2" w14:textId="276D9B37" w:rsidR="00183067" w:rsidRDefault="00C8401D" w:rsidP="00183067">
      <w:pPr>
        <w:keepNext/>
        <w:ind w:right="36"/>
        <w:jc w:val="center"/>
      </w:pPr>
      <w:r>
        <w:rPr>
          <w:rFonts w:cstheme="minorHAnsi"/>
          <w:noProof/>
          <w:lang w:bidi="ar-SA"/>
        </w:rPr>
        <mc:AlternateContent>
          <mc:Choice Requires="wps">
            <w:drawing>
              <wp:anchor distT="0" distB="0" distL="114300" distR="114300" simplePos="0" relativeHeight="251755008" behindDoc="0" locked="0" layoutInCell="1" allowOverlap="1" wp14:anchorId="32E85FED" wp14:editId="30D1FA80">
                <wp:simplePos x="0" y="0"/>
                <wp:positionH relativeFrom="column">
                  <wp:posOffset>4149968</wp:posOffset>
                </wp:positionH>
                <wp:positionV relativeFrom="paragraph">
                  <wp:posOffset>148883</wp:posOffset>
                </wp:positionV>
                <wp:extent cx="140091" cy="245208"/>
                <wp:effectExtent l="0" t="0" r="69850" b="59690"/>
                <wp:wrapNone/>
                <wp:docPr id="90" name="Straight Arrow Connector 90"/>
                <wp:cNvGraphicFramePr/>
                <a:graphic xmlns:a="http://schemas.openxmlformats.org/drawingml/2006/main">
                  <a:graphicData uri="http://schemas.microsoft.com/office/word/2010/wordprocessingShape">
                    <wps:wsp>
                      <wps:cNvCnPr/>
                      <wps:spPr>
                        <a:xfrm>
                          <a:off x="0" y="0"/>
                          <a:ext cx="140091" cy="245208"/>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D4EFCC" id="Straight Arrow Connector 90" o:spid="_x0000_s1026" type="#_x0000_t32" style="position:absolute;margin-left:326.75pt;margin-top:11.7pt;width:11.05pt;height:19.3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" strokecolor="#7f7f7f [1612]">
                <v:stroke endarrow="block"/>
              </v:shape>
            </w:pict>
          </mc:Fallback>
        </mc:AlternateContent>
      </w:r>
      <w:r>
        <w:rPr>
          <w:rFonts w:cstheme="minorHAnsi"/>
          <w:noProof/>
          <w:lang w:bidi="ar-SA"/>
        </w:rPr>
        <mc:AlternateContent>
          <mc:Choice Requires="wps">
            <w:drawing>
              <wp:anchor distT="0" distB="0" distL="114300" distR="114300" simplePos="0" relativeHeight="251752960" behindDoc="0" locked="0" layoutInCell="1" allowOverlap="1" wp14:anchorId="739B6479" wp14:editId="0AF23DE0">
                <wp:simplePos x="0" y="0"/>
                <wp:positionH relativeFrom="column">
                  <wp:posOffset>3640846</wp:posOffset>
                </wp:positionH>
                <wp:positionV relativeFrom="paragraph">
                  <wp:posOffset>181415</wp:posOffset>
                </wp:positionV>
                <wp:extent cx="267286" cy="231726"/>
                <wp:effectExtent l="0" t="0" r="76200" b="54610"/>
                <wp:wrapNone/>
                <wp:docPr id="89" name="Straight Arrow Connector 89"/>
                <wp:cNvGraphicFramePr/>
                <a:graphic xmlns:a="http://schemas.openxmlformats.org/drawingml/2006/main">
                  <a:graphicData uri="http://schemas.microsoft.com/office/word/2010/wordprocessingShape">
                    <wps:wsp>
                      <wps:cNvCnPr/>
                      <wps:spPr>
                        <a:xfrm>
                          <a:off x="0" y="0"/>
                          <a:ext cx="267286" cy="231726"/>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618922" id="Straight Arrow Connector 89" o:spid="_x0000_s1026" type="#_x0000_t32" style="position:absolute;margin-left:286.7pt;margin-top:14.3pt;width:21.05pt;height:18.2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" strokecolor="#7f7f7f [1612]">
                <v:stroke endarrow="block"/>
              </v:shape>
            </w:pict>
          </mc:Fallback>
        </mc:AlternateContent>
      </w:r>
      <w:r>
        <w:rPr>
          <w:rFonts w:cstheme="minorHAnsi"/>
          <w:noProof/>
          <w:lang w:bidi="ar-SA"/>
        </w:rPr>
        <mc:AlternateContent>
          <mc:Choice Requires="wps">
            <w:drawing>
              <wp:anchor distT="0" distB="0" distL="114300" distR="114300" simplePos="0" relativeHeight="251750912" behindDoc="0" locked="0" layoutInCell="1" allowOverlap="1" wp14:anchorId="25DCA24B" wp14:editId="203F05AA">
                <wp:simplePos x="0" y="0"/>
                <wp:positionH relativeFrom="column">
                  <wp:posOffset>3066757</wp:posOffset>
                </wp:positionH>
                <wp:positionV relativeFrom="paragraph">
                  <wp:posOffset>697523</wp:posOffset>
                </wp:positionV>
                <wp:extent cx="267286" cy="231726"/>
                <wp:effectExtent l="0" t="0" r="76200" b="54610"/>
                <wp:wrapNone/>
                <wp:docPr id="88" name="Straight Arrow Connector 88"/>
                <wp:cNvGraphicFramePr/>
                <a:graphic xmlns:a="http://schemas.openxmlformats.org/drawingml/2006/main">
                  <a:graphicData uri="http://schemas.microsoft.com/office/word/2010/wordprocessingShape">
                    <wps:wsp>
                      <wps:cNvCnPr/>
                      <wps:spPr>
                        <a:xfrm>
                          <a:off x="0" y="0"/>
                          <a:ext cx="267286" cy="231726"/>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15C110" id="Straight Arrow Connector 88" o:spid="_x0000_s1026" type="#_x0000_t32" style="position:absolute;margin-left:241.5pt;margin-top:54.9pt;width:21.05pt;height:18.2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" strokecolor="#7f7f7f [1612]">
                <v:stroke endarrow="block"/>
              </v:shape>
            </w:pict>
          </mc:Fallback>
        </mc:AlternateContent>
      </w:r>
      <w:r>
        <w:rPr>
          <w:rFonts w:cstheme="minorHAnsi"/>
          <w:noProof/>
          <w:lang w:bidi="ar-SA"/>
        </w:rPr>
        <w:object w:dxaOrig="0" w:dyaOrig="0" w14:anchorId="448877D8">
          <v:shape id="_x0000_s1738" type="#_x0000_t75" style="position:absolute;left:0;text-align:left;margin-left:216.4pt;margin-top:4.15pt;width:40.4pt;height:54.3pt;z-index:251747840;mso-position-horizontal-relative:text;mso-position-vertical-relative:text" filled="t" fillcolor="white [3212]">
            <v:imagedata r:id="rId502" o:title=""/>
          </v:shape>
          <o:OLEObject Type="Embed" ProgID="ChemDraw.Document.6.0" ShapeID="_x0000_s1738" DrawAspect="Content" ObjectID="_1532785105" r:id="rId503"/>
        </w:object>
      </w:r>
      <w:r>
        <w:rPr>
          <w:rFonts w:cstheme="minorHAnsi"/>
          <w:noProof/>
          <w:lang w:bidi="ar-SA"/>
        </w:rPr>
        <w:object w:dxaOrig="0" w:dyaOrig="0" w14:anchorId="448877D8">
          <v:shape id="_x0000_s1740" type="#_x0000_t75" style="position:absolute;left:0;text-align:left;margin-left:278.15pt;margin-top:1.75pt;width:26.75pt;height:14.3pt;z-index:251749888;mso-position-horizontal-relative:text;mso-position-vertical-relative:text" fillcolor="white [3212]">
            <v:imagedata r:id="rId504" o:title=""/>
          </v:shape>
          <o:OLEObject Type="Embed" ProgID="ChemDraw.Document.6.0" ShapeID="_x0000_s1740" DrawAspect="Content" ObjectID="_1532785103" r:id="rId505"/>
        </w:object>
      </w:r>
      <w:r w:rsidR="001539C6" w:rsidRPr="00BA0582">
        <w:rPr>
          <w:rFonts w:cstheme="minorHAnsi"/>
        </w:rPr>
        <w:object w:dxaOrig="16310" w:dyaOrig="11380" w14:anchorId="67A422E7">
          <v:shape id="_x0000_i1213" type="#_x0000_t75" style="width:5in;height:246.85pt" o:ole="">
            <v:imagedata r:id="rId506" o:title=""/>
          </v:shape>
          <o:OLEObject Type="Embed" ProgID="MestReNova.Document.1" ShapeID="_x0000_i1213" DrawAspect="Content" ObjectID="_1532785034" r:id="rId507"/>
        </w:object>
      </w:r>
      <w:r w:rsidR="001539C6" w:rsidRPr="00BA0582">
        <w:rPr>
          <w:rFonts w:cstheme="minorHAnsi"/>
          <w:noProof/>
          <w:lang w:bidi="ar-SA"/>
        </w:rPr>
        <w:drawing>
          <wp:inline distT="0" distB="0" distL="0" distR="0" wp14:anchorId="0AC3DC98" wp14:editId="16F27143">
            <wp:extent cx="365760" cy="57340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99" cstate="print">
                      <a:extLst>
                        <a:ext uri="{28A0092B-C50C-407E-A947-70E740481C1C}">
                          <a14:useLocalDpi xmlns:a14="http://schemas.microsoft.com/office/drawing/2010/main" val="0"/>
                        </a:ext>
                      </a:extLst>
                    </a:blip>
                    <a:srcRect/>
                    <a:stretch>
                      <a:fillRect/>
                    </a:stretch>
                  </pic:blipFill>
                  <pic:spPr bwMode="auto">
                    <a:xfrm>
                      <a:off x="0" y="0"/>
                      <a:ext cx="365760" cy="573405"/>
                    </a:xfrm>
                    <a:prstGeom prst="rect">
                      <a:avLst/>
                    </a:prstGeom>
                    <a:noFill/>
                  </pic:spPr>
                </pic:pic>
              </a:graphicData>
            </a:graphic>
          </wp:inline>
        </w:drawing>
      </w:r>
    </w:p>
    <w:p w14:paraId="4837C8CE" w14:textId="77777777" w:rsidR="00BA0582" w:rsidRPr="00183067" w:rsidRDefault="00183067" w:rsidP="00183067">
      <w:pPr>
        <w:pStyle w:val="Caption"/>
        <w:rPr>
          <w:rFonts w:cstheme="minorHAnsi"/>
        </w:rPr>
      </w:pPr>
      <w:bookmarkStart w:id="432" w:name="_Toc457670794"/>
      <w:r>
        <w:t xml:space="preserve">Figure </w:t>
      </w:r>
      <w:r w:rsidR="00443010">
        <w:fldChar w:fldCharType="begin"/>
      </w:r>
      <w:r w:rsidR="00443010">
        <w:instrText xml:space="preserve"> STYLEREF 1 \s </w:instrText>
      </w:r>
      <w:r w:rsidR="00443010">
        <w:fldChar w:fldCharType="separate"/>
      </w:r>
      <w:r w:rsidR="000A0E3D">
        <w:rPr>
          <w:noProof/>
        </w:rPr>
        <w:t>IV</w:t>
      </w:r>
      <w:r w:rsidR="00443010">
        <w:rPr>
          <w:noProof/>
        </w:rPr>
        <w:fldChar w:fldCharType="end"/>
      </w:r>
      <w:r w:rsidR="00573BBE">
        <w:t>.</w:t>
      </w:r>
      <w:r w:rsidR="00443010">
        <w:fldChar w:fldCharType="begin"/>
      </w:r>
      <w:r w:rsidR="00443010">
        <w:instrText xml:space="preserve"> SEQ Figure \* ARABIC \s 1 </w:instrText>
      </w:r>
      <w:r w:rsidR="00443010">
        <w:fldChar w:fldCharType="separate"/>
      </w:r>
      <w:r w:rsidR="000A0E3D">
        <w:rPr>
          <w:noProof/>
        </w:rPr>
        <w:t>10</w:t>
      </w:r>
      <w:r w:rsidR="00443010">
        <w:rPr>
          <w:noProof/>
        </w:rPr>
        <w:fldChar w:fldCharType="end"/>
      </w:r>
      <w:r>
        <w:t xml:space="preserve"> </w:t>
      </w:r>
      <w:r w:rsidR="00BA0582" w:rsidRPr="00183067">
        <w:rPr>
          <w:rFonts w:cstheme="minorHAnsi"/>
          <w:vertAlign w:val="superscript"/>
        </w:rPr>
        <w:t>1</w:t>
      </w:r>
      <w:r w:rsidR="00BA0582" w:rsidRPr="00183067">
        <w:rPr>
          <w:rFonts w:cstheme="minorHAnsi"/>
        </w:rPr>
        <w:t xml:space="preserve">H (left) and </w:t>
      </w:r>
      <w:r w:rsidR="00BA0582" w:rsidRPr="00183067">
        <w:rPr>
          <w:rFonts w:cstheme="minorHAnsi"/>
          <w:vertAlign w:val="superscript"/>
        </w:rPr>
        <w:t>31</w:t>
      </w:r>
      <w:r w:rsidR="00BA0582" w:rsidRPr="00183067">
        <w:rPr>
          <w:rFonts w:cstheme="minorHAnsi"/>
        </w:rPr>
        <w:t>P (right) NMR spectra of sample B over a month</w:t>
      </w:r>
      <w:bookmarkEnd w:id="432"/>
    </w:p>
    <w:p w14:paraId="1F1F67DF" w14:textId="77777777" w:rsidR="00BA0582" w:rsidRPr="00BA0582" w:rsidRDefault="00BA0582" w:rsidP="00BA0582">
      <w:pPr>
        <w:jc w:val="center"/>
        <w:rPr>
          <w:rFonts w:cstheme="minorHAnsi"/>
        </w:rPr>
      </w:pPr>
    </w:p>
    <w:p w14:paraId="12E0921B" w14:textId="77777777" w:rsidR="00BA0582" w:rsidRPr="00BA0582" w:rsidRDefault="00BA0582" w:rsidP="00BA0582">
      <w:pPr>
        <w:ind w:firstLine="360"/>
        <w:jc w:val="both"/>
        <w:rPr>
          <w:rFonts w:cstheme="minorHAnsi"/>
        </w:rPr>
      </w:pPr>
      <w:r w:rsidRPr="00BA0582">
        <w:rPr>
          <w:rFonts w:cstheme="minorHAnsi"/>
        </w:rPr>
        <w:t xml:space="preserve">The three samples evolved in a similar way and changed color from purple to yellow. The only difference we observed was in the rate of these changes from sample to sample- C was the fastest, then B, and A was the slowest. In the </w:t>
      </w:r>
      <w:r w:rsidRPr="00BA0582">
        <w:rPr>
          <w:rFonts w:cstheme="minorHAnsi"/>
          <w:vertAlign w:val="superscript"/>
        </w:rPr>
        <w:t>1</w:t>
      </w:r>
      <w:r w:rsidRPr="00BA0582">
        <w:rPr>
          <w:rFonts w:cstheme="minorHAnsi"/>
        </w:rPr>
        <w:t xml:space="preserve">H NMR spectra we observed a new singlet at 6.23 ppm and in the </w:t>
      </w:r>
      <w:r w:rsidRPr="00BA0582">
        <w:rPr>
          <w:rFonts w:cstheme="minorHAnsi"/>
          <w:vertAlign w:val="superscript"/>
        </w:rPr>
        <w:t>31</w:t>
      </w:r>
      <w:r w:rsidRPr="00BA0582">
        <w:rPr>
          <w:rFonts w:cstheme="minorHAnsi"/>
        </w:rPr>
        <w:t>P NMR spectra we detected PPh</w:t>
      </w:r>
      <w:r w:rsidRPr="00BA0582">
        <w:rPr>
          <w:rFonts w:cstheme="minorHAnsi"/>
          <w:vertAlign w:val="subscript"/>
        </w:rPr>
        <w:t>3</w:t>
      </w:r>
      <w:r w:rsidRPr="00BA0582">
        <w:rPr>
          <w:rFonts w:cstheme="minorHAnsi"/>
        </w:rPr>
        <w:t xml:space="preserve"> dissociation and the formation of a new signal at -7.16 ppm. Later we also saw the formation of phosphine oxide at 25.4 ppm and a set of two doublets at 50.66 ppm and -11.46 ppm (J</w:t>
      </w:r>
      <w:r w:rsidRPr="00BA0582">
        <w:rPr>
          <w:rFonts w:cstheme="minorHAnsi"/>
          <w:vertAlign w:val="subscript"/>
        </w:rPr>
        <w:t>PP</w:t>
      </w:r>
      <w:r w:rsidRPr="00BA0582">
        <w:rPr>
          <w:rFonts w:cstheme="minorHAnsi"/>
        </w:rPr>
        <w:t xml:space="preserve">= 16 Hz). These new NMR signals demonstrate reaction of the catalyst with benzhydrol and the formation of new species. The formation of some triphenylphosphine oxide is evidence of a redox process occurring in the NMR tube overtime and at room temperature. </w:t>
      </w:r>
    </w:p>
    <w:p w14:paraId="4C51E336" w14:textId="6887AC1A" w:rsidR="00BA0582" w:rsidRPr="00BA0582" w:rsidRDefault="00BA0582" w:rsidP="00BA0582">
      <w:pPr>
        <w:ind w:firstLine="360"/>
        <w:jc w:val="both"/>
        <w:rPr>
          <w:rFonts w:cstheme="minorHAnsi"/>
        </w:rPr>
      </w:pPr>
      <w:r w:rsidRPr="00BA0582">
        <w:rPr>
          <w:rFonts w:cstheme="minorHAnsi"/>
        </w:rPr>
        <w:t xml:space="preserve">After several weeks no more changes were observed in the NMR spectrum. Then sample </w:t>
      </w:r>
      <w:r w:rsidRPr="00BA0582">
        <w:rPr>
          <w:rFonts w:cstheme="minorHAnsi"/>
          <w:b/>
        </w:rPr>
        <w:t>B</w:t>
      </w:r>
      <w:r w:rsidRPr="00BA0582">
        <w:rPr>
          <w:rFonts w:cstheme="minorHAnsi"/>
        </w:rPr>
        <w:t xml:space="preserve"> was warmed to 50</w:t>
      </w:r>
      <w:r w:rsidRPr="00BA0582">
        <w:rPr>
          <w:rFonts w:cstheme="minorHAnsi"/>
          <w:vertAlign w:val="superscript"/>
        </w:rPr>
        <w:t>o</w:t>
      </w:r>
      <w:r w:rsidRPr="00BA0582">
        <w:rPr>
          <w:rFonts w:cstheme="minorHAnsi"/>
        </w:rPr>
        <w:t xml:space="preserve">C. After many days at this moderate temperature the dimer product was not detected, but a color change from yellow to bright pink was. This color change corresponded to the appearance of a signal at 9.6 ppm in the </w:t>
      </w:r>
      <w:r w:rsidRPr="00BA0582">
        <w:rPr>
          <w:rFonts w:cstheme="minorHAnsi"/>
          <w:vertAlign w:val="superscript"/>
        </w:rPr>
        <w:t>1</w:t>
      </w:r>
      <w:r w:rsidRPr="00BA0582">
        <w:rPr>
          <w:rFonts w:cstheme="minorHAnsi"/>
        </w:rPr>
        <w:t xml:space="preserve">H NMR spectrum and a broad </w:t>
      </w:r>
      <w:r w:rsidRPr="00BA0582">
        <w:rPr>
          <w:rFonts w:cstheme="minorHAnsi"/>
          <w:vertAlign w:val="superscript"/>
        </w:rPr>
        <w:t>31</w:t>
      </w:r>
      <w:r w:rsidRPr="00BA0582">
        <w:rPr>
          <w:rFonts w:cstheme="minorHAnsi"/>
        </w:rPr>
        <w:t>P NMR signal in the phosphine oxide region ~27-24 ppm. We added more PPh</w:t>
      </w:r>
      <w:r w:rsidRPr="00BA0582">
        <w:rPr>
          <w:rFonts w:cstheme="minorHAnsi"/>
          <w:vertAlign w:val="subscript"/>
        </w:rPr>
        <w:t>3</w:t>
      </w:r>
      <w:r w:rsidRPr="00BA0582">
        <w:rPr>
          <w:rFonts w:cstheme="minorHAnsi"/>
        </w:rPr>
        <w:t xml:space="preserve"> (5 equivalents) to this sample and observed an immediate color change to yellow and overnight to purple. Both of these colors are close to the color of the mono PPh</w:t>
      </w:r>
      <w:r w:rsidRPr="00BA0582">
        <w:rPr>
          <w:rFonts w:cstheme="minorHAnsi"/>
          <w:vertAlign w:val="subscript"/>
        </w:rPr>
        <w:t>3</w:t>
      </w:r>
      <w:r w:rsidRPr="00BA0582">
        <w:rPr>
          <w:rFonts w:cstheme="minorHAnsi"/>
        </w:rPr>
        <w:t xml:space="preserve"> ReIO</w:t>
      </w:r>
      <w:r w:rsidRPr="00BA0582">
        <w:rPr>
          <w:rFonts w:cstheme="minorHAnsi"/>
          <w:vertAlign w:val="subscript"/>
        </w:rPr>
        <w:t>2</w:t>
      </w:r>
      <w:r w:rsidRPr="00BA0582">
        <w:rPr>
          <w:rFonts w:cstheme="minorHAnsi"/>
        </w:rPr>
        <w:t xml:space="preserve"> catalyst and starting catalyst the bis-PPh</w:t>
      </w:r>
      <w:r w:rsidRPr="00BA0582">
        <w:rPr>
          <w:rFonts w:cstheme="minorHAnsi"/>
          <w:vertAlign w:val="subscript"/>
        </w:rPr>
        <w:t>3</w:t>
      </w:r>
      <w:r w:rsidRPr="00BA0582">
        <w:rPr>
          <w:rFonts w:cstheme="minorHAnsi"/>
        </w:rPr>
        <w:t xml:space="preserve"> ReIO</w:t>
      </w:r>
      <w:r w:rsidRPr="00BA0582">
        <w:rPr>
          <w:rFonts w:cstheme="minorHAnsi"/>
          <w:vertAlign w:val="subscript"/>
        </w:rPr>
        <w:t>2</w:t>
      </w:r>
      <w:r w:rsidRPr="00BA0582">
        <w:rPr>
          <w:rFonts w:cstheme="minorHAnsi"/>
        </w:rPr>
        <w:t xml:space="preserve"> catalyst. </w:t>
      </w:r>
    </w:p>
    <w:p w14:paraId="7C865A71" w14:textId="1C9A1277" w:rsidR="00BA0582" w:rsidRPr="00BA0582" w:rsidRDefault="00BA0582" w:rsidP="00BA0582">
      <w:pPr>
        <w:ind w:firstLine="360"/>
        <w:jc w:val="both"/>
        <w:rPr>
          <w:rFonts w:cstheme="minorHAnsi"/>
        </w:rPr>
      </w:pPr>
      <w:r w:rsidRPr="00BA0582">
        <w:rPr>
          <w:rFonts w:cstheme="minorHAnsi"/>
        </w:rPr>
        <w:t>Following these stoichiometric experiments we prepared two additional samples in a similar way but using an excess of benzhydrol - 5 and 10 equivalents (D and E).</w:t>
      </w:r>
    </w:p>
    <w:p w14:paraId="49489A5C" w14:textId="1C8E62F2" w:rsidR="00BA0582" w:rsidRPr="00BA0582" w:rsidRDefault="00BA0582" w:rsidP="00B5501C">
      <w:pPr>
        <w:pStyle w:val="ListParagraph"/>
        <w:numPr>
          <w:ilvl w:val="2"/>
          <w:numId w:val="38"/>
        </w:numPr>
        <w:spacing w:after="160"/>
        <w:ind w:left="1440"/>
        <w:jc w:val="both"/>
        <w:rPr>
          <w:rFonts w:cstheme="minorHAnsi"/>
        </w:rPr>
      </w:pPr>
      <w:r w:rsidRPr="00BA0582">
        <w:rPr>
          <w:rFonts w:cstheme="minorHAnsi"/>
        </w:rPr>
        <w:t>D [1:5 ratio of IReO</w:t>
      </w:r>
      <w:r w:rsidRPr="00BA0582">
        <w:rPr>
          <w:rFonts w:cstheme="minorHAnsi"/>
          <w:vertAlign w:val="subscript"/>
        </w:rPr>
        <w:t>2</w:t>
      </w:r>
      <w:r w:rsidRPr="00BA0582">
        <w:rPr>
          <w:rFonts w:cstheme="minorHAnsi"/>
        </w:rPr>
        <w:t>(PPh</w:t>
      </w:r>
      <w:r w:rsidRPr="00BA0582">
        <w:rPr>
          <w:rFonts w:cstheme="minorHAnsi"/>
          <w:vertAlign w:val="subscript"/>
        </w:rPr>
        <w:t>3</w:t>
      </w:r>
      <w:r w:rsidRPr="00BA0582">
        <w:rPr>
          <w:rFonts w:cstheme="minorHAnsi"/>
        </w:rPr>
        <w:t>)</w:t>
      </w:r>
      <w:r w:rsidRPr="00BA0582">
        <w:rPr>
          <w:rFonts w:cstheme="minorHAnsi"/>
          <w:vertAlign w:val="subscript"/>
        </w:rPr>
        <w:t>2</w:t>
      </w:r>
      <w:r w:rsidRPr="00BA0582">
        <w:rPr>
          <w:rFonts w:cstheme="minorHAnsi"/>
        </w:rPr>
        <w:t xml:space="preserve"> + Ph</w:t>
      </w:r>
      <w:r w:rsidRPr="00BA0582">
        <w:rPr>
          <w:rFonts w:cstheme="minorHAnsi"/>
          <w:vertAlign w:val="subscript"/>
        </w:rPr>
        <w:t>2</w:t>
      </w:r>
      <w:r w:rsidRPr="00BA0582">
        <w:rPr>
          <w:rFonts w:cstheme="minorHAnsi"/>
        </w:rPr>
        <w:t>CH(OH)]</w:t>
      </w:r>
    </w:p>
    <w:p w14:paraId="01569843" w14:textId="34F7A616" w:rsidR="00BA0582" w:rsidRPr="00BA0582" w:rsidRDefault="00BA0582" w:rsidP="00B5501C">
      <w:pPr>
        <w:pStyle w:val="ListParagraph"/>
        <w:numPr>
          <w:ilvl w:val="2"/>
          <w:numId w:val="38"/>
        </w:numPr>
        <w:spacing w:after="160"/>
        <w:ind w:left="1440"/>
        <w:jc w:val="both"/>
        <w:rPr>
          <w:rFonts w:cstheme="minorHAnsi"/>
        </w:rPr>
      </w:pPr>
      <w:r w:rsidRPr="00BA0582">
        <w:rPr>
          <w:rFonts w:cstheme="minorHAnsi"/>
        </w:rPr>
        <w:t>E [1:10 ratio of IReO</w:t>
      </w:r>
      <w:r w:rsidRPr="00BA0582">
        <w:rPr>
          <w:rFonts w:cstheme="minorHAnsi"/>
          <w:vertAlign w:val="subscript"/>
        </w:rPr>
        <w:t>2</w:t>
      </w:r>
      <w:r w:rsidRPr="00BA0582">
        <w:rPr>
          <w:rFonts w:cstheme="minorHAnsi"/>
        </w:rPr>
        <w:t>(PPh</w:t>
      </w:r>
      <w:r w:rsidRPr="00BA0582">
        <w:rPr>
          <w:rFonts w:cstheme="minorHAnsi"/>
          <w:vertAlign w:val="subscript"/>
        </w:rPr>
        <w:t>3</w:t>
      </w:r>
      <w:r w:rsidRPr="00BA0582">
        <w:rPr>
          <w:rFonts w:cstheme="minorHAnsi"/>
        </w:rPr>
        <w:t>)</w:t>
      </w:r>
      <w:r w:rsidRPr="00BA0582">
        <w:rPr>
          <w:rFonts w:cstheme="minorHAnsi"/>
          <w:vertAlign w:val="subscript"/>
        </w:rPr>
        <w:t>2</w:t>
      </w:r>
      <w:r w:rsidRPr="00BA0582">
        <w:rPr>
          <w:rFonts w:cstheme="minorHAnsi"/>
        </w:rPr>
        <w:t xml:space="preserve"> + Ph</w:t>
      </w:r>
      <w:r w:rsidRPr="00BA0582">
        <w:rPr>
          <w:rFonts w:cstheme="minorHAnsi"/>
          <w:vertAlign w:val="subscript"/>
        </w:rPr>
        <w:t>2</w:t>
      </w:r>
      <w:r w:rsidRPr="00BA0582">
        <w:rPr>
          <w:rFonts w:cstheme="minorHAnsi"/>
        </w:rPr>
        <w:t>CH(OH)]</w:t>
      </w:r>
      <w:r w:rsidR="0046204F" w:rsidRPr="0046204F">
        <w:rPr>
          <w:rFonts w:eastAsiaTheme="minorEastAsia" w:cstheme="minorBidi"/>
          <w:sz w:val="22"/>
          <w:szCs w:val="22"/>
          <w:lang w:bidi="ar-SA"/>
        </w:rPr>
        <w:t xml:space="preserve"> </w:t>
      </w:r>
    </w:p>
    <w:p w14:paraId="721BF7D6" w14:textId="63899477" w:rsidR="00BA0582" w:rsidRPr="00BA0582" w:rsidRDefault="00BA0582" w:rsidP="00BA0582">
      <w:pPr>
        <w:ind w:firstLine="360"/>
        <w:jc w:val="both"/>
        <w:rPr>
          <w:rFonts w:cstheme="minorHAnsi"/>
        </w:rPr>
      </w:pPr>
      <w:r w:rsidRPr="00BA0582">
        <w:rPr>
          <w:rFonts w:cstheme="minorHAnsi"/>
        </w:rPr>
        <w:t>In these experiments at room temperature similar but faster changes in the proton and phosphorus NMR spectra were observed. When sample [D] was heated at 50</w:t>
      </w:r>
      <w:r w:rsidRPr="00BA0582">
        <w:rPr>
          <w:rFonts w:cstheme="minorHAnsi"/>
          <w:vertAlign w:val="superscript"/>
        </w:rPr>
        <w:t>o</w:t>
      </w:r>
      <w:r w:rsidRPr="00BA0582">
        <w:rPr>
          <w:rFonts w:cstheme="minorHAnsi"/>
        </w:rPr>
        <w:t>C, the dimeric product Ph</w:t>
      </w:r>
      <w:r w:rsidRPr="00BA0582">
        <w:rPr>
          <w:rFonts w:cstheme="minorHAnsi"/>
          <w:vertAlign w:val="subscript"/>
        </w:rPr>
        <w:t>2</w:t>
      </w:r>
      <w:r w:rsidRPr="00BA0582">
        <w:rPr>
          <w:rFonts w:cstheme="minorHAnsi"/>
        </w:rPr>
        <w:t>CHCHPh</w:t>
      </w:r>
      <w:r w:rsidRPr="00BA0582">
        <w:rPr>
          <w:rFonts w:cstheme="minorHAnsi"/>
          <w:vertAlign w:val="subscript"/>
        </w:rPr>
        <w:t>2</w:t>
      </w:r>
      <w:r w:rsidRPr="00BA0582">
        <w:rPr>
          <w:rFonts w:cstheme="minorHAnsi"/>
        </w:rPr>
        <w:t xml:space="preserve"> was detected (4.7 ppm, s, C</w:t>
      </w:r>
      <w:r w:rsidRPr="00BA0582">
        <w:rPr>
          <w:rFonts w:cstheme="minorHAnsi"/>
          <w:i/>
        </w:rPr>
        <w:t>H</w:t>
      </w:r>
      <w:r w:rsidRPr="00BA0582">
        <w:rPr>
          <w:rFonts w:cstheme="minorHAnsi"/>
        </w:rPr>
        <w:t>) after about 32h.</w:t>
      </w:r>
    </w:p>
    <w:p w14:paraId="0633F092" w14:textId="10FB7981" w:rsidR="001539C6" w:rsidRDefault="0046204F" w:rsidP="0035435E">
      <w:pPr>
        <w:jc w:val="center"/>
      </w:pPr>
      <w:r>
        <w:rPr>
          <w:rFonts w:cstheme="minorHAnsi"/>
          <w:noProof/>
          <w:lang w:bidi="ar-SA"/>
        </w:rPr>
        <w:object w:dxaOrig="0" w:dyaOrig="0" w14:anchorId="448877D8">
          <v:shape id="_x0000_s1730" type="#_x0000_t75" style="position:absolute;left:0;text-align:left;margin-left:305.95pt;margin-top:117.4pt;width:46.95pt;height:40.75pt;z-index:251730432;mso-position-horizontal-relative:text;mso-position-vertical-relative:text" filled="t" fillcolor="white [3212]">
            <v:imagedata r:id="rId508" o:title=""/>
          </v:shape>
          <o:OLEObject Type="Embed" ProgID="ChemDraw.Document.6.0" ShapeID="_x0000_s1730" DrawAspect="Content" ObjectID="_1532785096" r:id="rId509"/>
        </w:object>
      </w:r>
      <w:r>
        <w:rPr>
          <w:rFonts w:cstheme="minorHAnsi"/>
          <w:noProof/>
        </w:rPr>
        <w:object w:dxaOrig="0" w:dyaOrig="0" w14:anchorId="448877D8">
          <v:shape id="_x0000_s1729" type="#_x0000_t75" style="position:absolute;left:0;text-align:left;margin-left:190.9pt;margin-top:2.95pt;width:47.1pt;height:33.8pt;z-index:251729408;mso-position-horizontal-relative:text;mso-position-vertical-relative:text">
            <v:imagedata r:id="rId510" o:title=""/>
          </v:shape>
          <o:OLEObject Type="Embed" ProgID="ChemDraw.Document.6.0" ShapeID="_x0000_s1729" DrawAspect="Content" ObjectID="_1532785095" r:id="rId511"/>
        </w:object>
      </w:r>
      <w:r>
        <w:rPr>
          <w:rFonts w:cstheme="minorHAnsi"/>
          <w:noProof/>
          <w:lang w:bidi="ar-SA"/>
        </w:rPr>
        <mc:AlternateContent>
          <mc:Choice Requires="wps">
            <w:drawing>
              <wp:anchor distT="0" distB="0" distL="114300" distR="114300" simplePos="0" relativeHeight="251727360" behindDoc="0" locked="0" layoutInCell="1" allowOverlap="1" wp14:anchorId="29B8A353" wp14:editId="62370AAB">
                <wp:simplePos x="0" y="0"/>
                <wp:positionH relativeFrom="column">
                  <wp:posOffset>3785772</wp:posOffset>
                </wp:positionH>
                <wp:positionV relativeFrom="paragraph">
                  <wp:posOffset>1919507</wp:posOffset>
                </wp:positionV>
                <wp:extent cx="77373" cy="295422"/>
                <wp:effectExtent l="57150" t="0" r="37465" b="47625"/>
                <wp:wrapNone/>
                <wp:docPr id="82" name="Straight Arrow Connector 82"/>
                <wp:cNvGraphicFramePr/>
                <a:graphic xmlns:a="http://schemas.openxmlformats.org/drawingml/2006/main">
                  <a:graphicData uri="http://schemas.microsoft.com/office/word/2010/wordprocessingShape">
                    <wps:wsp>
                      <wps:cNvCnPr/>
                      <wps:spPr>
                        <a:xfrm flipH="1">
                          <a:off x="0" y="0"/>
                          <a:ext cx="77373" cy="295422"/>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C872BA" id="Straight Arrow Connector 82" o:spid="_x0000_s1026" type="#_x0000_t32" style="position:absolute;margin-left:298.1pt;margin-top:151.15pt;width:6.1pt;height:23.25pt;flip:x;z-index:251727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" strokecolor="#7f7f7f [1612]">
                <v:stroke endarrow="block"/>
              </v:shape>
            </w:pict>
          </mc:Fallback>
        </mc:AlternateContent>
      </w:r>
      <w:r>
        <w:rPr>
          <w:rFonts w:cstheme="minorHAnsi"/>
          <w:noProof/>
          <w:lang w:bidi="ar-SA"/>
        </w:rPr>
        <mc:AlternateContent>
          <mc:Choice Requires="wps">
            <w:drawing>
              <wp:anchor distT="0" distB="0" distL="114300" distR="114300" simplePos="0" relativeHeight="251725312" behindDoc="0" locked="0" layoutInCell="1" allowOverlap="1" wp14:anchorId="2C2C84D8" wp14:editId="366E421F">
                <wp:simplePos x="0" y="0"/>
                <wp:positionH relativeFrom="column">
                  <wp:posOffset>2550698</wp:posOffset>
                </wp:positionH>
                <wp:positionV relativeFrom="paragraph">
                  <wp:posOffset>409770</wp:posOffset>
                </wp:positionV>
                <wp:extent cx="77373" cy="295422"/>
                <wp:effectExtent l="57150" t="0" r="37465" b="47625"/>
                <wp:wrapNone/>
                <wp:docPr id="81" name="Straight Arrow Connector 81"/>
                <wp:cNvGraphicFramePr/>
                <a:graphic xmlns:a="http://schemas.openxmlformats.org/drawingml/2006/main">
                  <a:graphicData uri="http://schemas.microsoft.com/office/word/2010/wordprocessingShape">
                    <wps:wsp>
                      <wps:cNvCnPr/>
                      <wps:spPr>
                        <a:xfrm flipH="1">
                          <a:off x="0" y="0"/>
                          <a:ext cx="77373" cy="295422"/>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A1CEDF" id="Straight Arrow Connector 81" o:spid="_x0000_s1026" type="#_x0000_t32" style="position:absolute;margin-left:200.85pt;margin-top:32.25pt;width:6.1pt;height:23.25pt;flip:x;z-index:251725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" strokecolor="#7f7f7f [1612]">
                <v:stroke endarrow="block"/>
              </v:shape>
            </w:pict>
          </mc:Fallback>
        </mc:AlternateContent>
      </w:r>
      <w:r w:rsidR="001539C6">
        <w:object w:dxaOrig="16310" w:dyaOrig="11380" w14:anchorId="62DAD9F6">
          <v:shape id="_x0000_i1214" type="#_x0000_t75" style="width:5in;height:246.85pt" o:ole="">
            <v:imagedata r:id="rId512" o:title=""/>
          </v:shape>
          <o:OLEObject Type="Embed" ProgID="MestReNova.Document.1" ShapeID="_x0000_i1214" DrawAspect="Content" ObjectID="_1532785035" r:id="rId513"/>
        </w:object>
      </w:r>
      <w:r w:rsidR="00BA0582" w:rsidRPr="00BA0582">
        <w:rPr>
          <w:rFonts w:cstheme="minorHAnsi"/>
          <w:noProof/>
          <w:lang w:bidi="ar-SA"/>
        </w:rPr>
        <w:drawing>
          <wp:inline distT="0" distB="0" distL="0" distR="0" wp14:anchorId="7E2FF37B" wp14:editId="449CF2CB">
            <wp:extent cx="365760" cy="57340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99" cstate="print">
                      <a:extLst>
                        <a:ext uri="{28A0092B-C50C-407E-A947-70E740481C1C}">
                          <a14:useLocalDpi xmlns:a14="http://schemas.microsoft.com/office/drawing/2010/main" val="0"/>
                        </a:ext>
                      </a:extLst>
                    </a:blip>
                    <a:srcRect/>
                    <a:stretch>
                      <a:fillRect/>
                    </a:stretch>
                  </pic:blipFill>
                  <pic:spPr bwMode="auto">
                    <a:xfrm>
                      <a:off x="0" y="0"/>
                      <a:ext cx="365760" cy="573405"/>
                    </a:xfrm>
                    <a:prstGeom prst="rect">
                      <a:avLst/>
                    </a:prstGeom>
                    <a:noFill/>
                  </pic:spPr>
                </pic:pic>
              </a:graphicData>
            </a:graphic>
          </wp:inline>
        </w:drawing>
      </w:r>
    </w:p>
    <w:p w14:paraId="2FA011A2" w14:textId="52EEAF9B" w:rsidR="00183067" w:rsidRPr="0035435E" w:rsidRDefault="0046204F" w:rsidP="0035435E">
      <w:pPr>
        <w:jc w:val="center"/>
        <w:rPr>
          <w:rFonts w:cstheme="minorHAnsi"/>
        </w:rPr>
      </w:pPr>
      <w:r>
        <w:rPr>
          <w:rFonts w:cstheme="minorHAnsi"/>
          <w:noProof/>
          <w:lang w:bidi="ar-SA"/>
        </w:rPr>
        <w:object w:dxaOrig="0" w:dyaOrig="0" w14:anchorId="448877D8">
          <v:shape id="_x0000_s1735" type="#_x0000_t75" style="position:absolute;left:0;text-align:left;margin-left:180.15pt;margin-top:194.9pt;width:43.6pt;height:14.6pt;z-index:251741696;mso-position-horizontal-relative:text;mso-position-vertical-relative:text" fillcolor="white [3212]">
            <v:imagedata r:id="rId514" o:title=""/>
          </v:shape>
          <o:OLEObject Type="Embed" ProgID="ChemDraw.Document.6.0" ShapeID="_x0000_s1735" DrawAspect="Content" ObjectID="_1532785101" r:id="rId515"/>
        </w:object>
      </w:r>
      <w:r>
        <w:rPr>
          <w:rFonts w:cstheme="minorHAnsi"/>
          <w:noProof/>
          <w:lang w:bidi="ar-SA"/>
        </w:rPr>
        <mc:AlternateContent>
          <mc:Choice Requires="wps">
            <w:drawing>
              <wp:anchor distT="0" distB="0" distL="114300" distR="114300" simplePos="0" relativeHeight="251743744" behindDoc="0" locked="0" layoutInCell="1" allowOverlap="1" wp14:anchorId="592B2148" wp14:editId="2DD31414">
                <wp:simplePos x="0" y="0"/>
                <wp:positionH relativeFrom="column">
                  <wp:posOffset>2102192</wp:posOffset>
                </wp:positionH>
                <wp:positionV relativeFrom="paragraph">
                  <wp:posOffset>2573362</wp:posOffset>
                </wp:positionV>
                <wp:extent cx="182343" cy="246038"/>
                <wp:effectExtent l="38100" t="0" r="27305" b="59055"/>
                <wp:wrapNone/>
                <wp:docPr id="86" name="Straight Arrow Connector 86"/>
                <wp:cNvGraphicFramePr/>
                <a:graphic xmlns:a="http://schemas.openxmlformats.org/drawingml/2006/main">
                  <a:graphicData uri="http://schemas.microsoft.com/office/word/2010/wordprocessingShape">
                    <wps:wsp>
                      <wps:cNvCnPr/>
                      <wps:spPr>
                        <a:xfrm flipH="1">
                          <a:off x="0" y="0"/>
                          <a:ext cx="182343" cy="246038"/>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D74E29" id="Straight Arrow Connector 86" o:spid="_x0000_s1026" type="#_x0000_t32" style="position:absolute;margin-left:165.55pt;margin-top:202.65pt;width:14.35pt;height:19.35pt;flip:x;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" strokecolor="#7f7f7f [1612]">
                <v:stroke endarrow="block"/>
              </v:shape>
            </w:pict>
          </mc:Fallback>
        </mc:AlternateContent>
      </w:r>
      <w:r>
        <w:rPr>
          <w:rFonts w:cstheme="minorHAnsi"/>
          <w:noProof/>
          <w:lang w:bidi="ar-SA"/>
        </w:rPr>
        <w:object w:dxaOrig="0" w:dyaOrig="0" w14:anchorId="448877D8">
          <v:shape id="_x0000_s1734" type="#_x0000_t75" style="position:absolute;left:0;text-align:left;margin-left:254.9pt;margin-top:14pt;width:26.75pt;height:14.3pt;z-index:251740672;mso-position-horizontal-relative:text;mso-position-vertical-relative:text" fillcolor="white [3212]">
            <v:imagedata r:id="rId504" o:title=""/>
          </v:shape>
          <o:OLEObject Type="Embed" ProgID="ChemDraw.Document.6.0" ShapeID="_x0000_s1734" DrawAspect="Content" ObjectID="_1532785100" r:id="rId516"/>
        </w:object>
      </w:r>
      <w:r>
        <w:rPr>
          <w:rFonts w:cstheme="minorHAnsi"/>
          <w:noProof/>
          <w:lang w:bidi="ar-SA"/>
        </w:rPr>
        <mc:AlternateContent>
          <mc:Choice Requires="wps">
            <w:drawing>
              <wp:anchor distT="0" distB="0" distL="114300" distR="114300" simplePos="0" relativeHeight="251739648" behindDoc="0" locked="0" layoutInCell="1" allowOverlap="1" wp14:anchorId="099CBC7F" wp14:editId="3F7B0A20">
                <wp:simplePos x="0" y="0"/>
                <wp:positionH relativeFrom="column">
                  <wp:posOffset>3272252</wp:posOffset>
                </wp:positionH>
                <wp:positionV relativeFrom="paragraph">
                  <wp:posOffset>360045</wp:posOffset>
                </wp:positionV>
                <wp:extent cx="182343" cy="246038"/>
                <wp:effectExtent l="38100" t="0" r="27305" b="59055"/>
                <wp:wrapNone/>
                <wp:docPr id="85" name="Straight Arrow Connector 85"/>
                <wp:cNvGraphicFramePr/>
                <a:graphic xmlns:a="http://schemas.openxmlformats.org/drawingml/2006/main">
                  <a:graphicData uri="http://schemas.microsoft.com/office/word/2010/wordprocessingShape">
                    <wps:wsp>
                      <wps:cNvCnPr/>
                      <wps:spPr>
                        <a:xfrm flipH="1">
                          <a:off x="0" y="0"/>
                          <a:ext cx="182343" cy="246038"/>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C08E68" id="Straight Arrow Connector 85" o:spid="_x0000_s1026" type="#_x0000_t32" style="position:absolute;margin-left:257.65pt;margin-top:28.35pt;width:14.35pt;height:19.35pt;flip:x;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" strokecolor="#7f7f7f [1612]">
                <v:stroke endarrow="block"/>
              </v:shape>
            </w:pict>
          </mc:Fallback>
        </mc:AlternateContent>
      </w:r>
      <w:r>
        <w:rPr>
          <w:rFonts w:cstheme="minorHAnsi"/>
          <w:noProof/>
          <w:lang w:bidi="ar-SA"/>
        </w:rPr>
        <w:object w:dxaOrig="0" w:dyaOrig="0" w14:anchorId="448877D8">
          <v:shape id="_x0000_s1733" type="#_x0000_t75" style="position:absolute;left:0;text-align:left;margin-left:283.35pt;margin-top:10.9pt;width:40.45pt;height:42.05pt;z-index:251735552;mso-position-horizontal-relative:text;mso-position-vertical-relative:text" fillcolor="white [3212]">
            <v:imagedata r:id="rId500" o:title=""/>
          </v:shape>
          <o:OLEObject Type="Embed" ProgID="ChemDraw.Document.6.0" ShapeID="_x0000_s1733" DrawAspect="Content" ObjectID="_1532785099" r:id="rId517"/>
        </w:object>
      </w:r>
      <w:r>
        <w:rPr>
          <w:rFonts w:cstheme="minorHAnsi"/>
          <w:noProof/>
          <w:lang w:bidi="ar-SA"/>
        </w:rPr>
        <mc:AlternateContent>
          <mc:Choice Requires="wps">
            <w:drawing>
              <wp:anchor distT="0" distB="0" distL="114300" distR="114300" simplePos="0" relativeHeight="251737600" behindDoc="0" locked="0" layoutInCell="1" allowOverlap="1" wp14:anchorId="3C951AA7" wp14:editId="5C7C7EB4">
                <wp:simplePos x="0" y="0"/>
                <wp:positionH relativeFrom="column">
                  <wp:posOffset>3563376</wp:posOffset>
                </wp:positionH>
                <wp:positionV relativeFrom="paragraph">
                  <wp:posOffset>573991</wp:posOffset>
                </wp:positionV>
                <wp:extent cx="182343" cy="246038"/>
                <wp:effectExtent l="38100" t="0" r="27305" b="59055"/>
                <wp:wrapNone/>
                <wp:docPr id="84" name="Straight Arrow Connector 84"/>
                <wp:cNvGraphicFramePr/>
                <a:graphic xmlns:a="http://schemas.openxmlformats.org/drawingml/2006/main">
                  <a:graphicData uri="http://schemas.microsoft.com/office/word/2010/wordprocessingShape">
                    <wps:wsp>
                      <wps:cNvCnPr/>
                      <wps:spPr>
                        <a:xfrm flipH="1">
                          <a:off x="0" y="0"/>
                          <a:ext cx="182343" cy="246038"/>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ECCCF6" id="Straight Arrow Connector 84" o:spid="_x0000_s1026" type="#_x0000_t32" style="position:absolute;margin-left:280.6pt;margin-top:45.2pt;width:14.35pt;height:19.35pt;flip:x;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" strokecolor="#7f7f7f [1612]">
                <v:stroke endarrow="block"/>
              </v:shape>
            </w:pict>
          </mc:Fallback>
        </mc:AlternateContent>
      </w:r>
      <w:r>
        <w:rPr>
          <w:rFonts w:cstheme="minorHAnsi"/>
          <w:noProof/>
          <w:lang w:bidi="ar-SA"/>
        </w:rPr>
        <mc:AlternateContent>
          <mc:Choice Requires="wps">
            <w:drawing>
              <wp:anchor distT="0" distB="0" distL="114300" distR="114300" simplePos="0" relativeHeight="251732480" behindDoc="0" locked="0" layoutInCell="1" allowOverlap="1" wp14:anchorId="3D00E5E9" wp14:editId="379C72A5">
                <wp:simplePos x="0" y="0"/>
                <wp:positionH relativeFrom="column">
                  <wp:posOffset>2609557</wp:posOffset>
                </wp:positionH>
                <wp:positionV relativeFrom="paragraph">
                  <wp:posOffset>471268</wp:posOffset>
                </wp:positionV>
                <wp:extent cx="182343" cy="246038"/>
                <wp:effectExtent l="0" t="0" r="65405" b="59055"/>
                <wp:wrapNone/>
                <wp:docPr id="83" name="Straight Arrow Connector 83"/>
                <wp:cNvGraphicFramePr/>
                <a:graphic xmlns:a="http://schemas.openxmlformats.org/drawingml/2006/main">
                  <a:graphicData uri="http://schemas.microsoft.com/office/word/2010/wordprocessingShape">
                    <wps:wsp>
                      <wps:cNvCnPr/>
                      <wps:spPr>
                        <a:xfrm>
                          <a:off x="0" y="0"/>
                          <a:ext cx="182343" cy="246038"/>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8A8DFF" id="Straight Arrow Connector 83" o:spid="_x0000_s1026" type="#_x0000_t32" style="position:absolute;margin-left:205.5pt;margin-top:37.1pt;width:14.35pt;height:19.3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" strokecolor="#7f7f7f [1612]">
                <v:stroke endarrow="block"/>
              </v:shape>
            </w:pict>
          </mc:Fallback>
        </mc:AlternateContent>
      </w:r>
      <w:r>
        <w:rPr>
          <w:rFonts w:cstheme="minorHAnsi"/>
          <w:noProof/>
          <w:lang w:bidi="ar-SA"/>
        </w:rPr>
        <w:object w:dxaOrig="0" w:dyaOrig="0" w14:anchorId="448877D8">
          <v:shape id="_x0000_s1731" type="#_x0000_t75" style="position:absolute;left:0;text-align:left;margin-left:172.3pt;margin-top:11.95pt;width:40.4pt;height:54.3pt;z-index:251733504;mso-position-horizontal-relative:text;mso-position-vertical-relative:text" fillcolor="white [3212]">
            <v:imagedata r:id="rId502" o:title=""/>
          </v:shape>
          <o:OLEObject Type="Embed" ProgID="ChemDraw.Document.6.0" ShapeID="_x0000_s1731" DrawAspect="Content" ObjectID="_1532785097" r:id="rId518"/>
        </w:object>
      </w:r>
      <w:r>
        <w:rPr>
          <w:rFonts w:cstheme="minorHAnsi"/>
          <w:noProof/>
          <w:lang w:bidi="ar-SA"/>
        </w:rPr>
        <w:object w:dxaOrig="0" w:dyaOrig="0" w14:anchorId="448877D8">
          <v:shape id="_x0000_s1732" type="#_x0000_t75" style="position:absolute;left:0;text-align:left;margin-left:49.65pt;margin-top:-455.85pt;width:40.4pt;height:54.3pt;z-index:251734528;mso-position-horizontal-relative:text;mso-position-vertical-relative:text" fillcolor="white [3212]">
            <v:imagedata r:id="rId502" o:title=""/>
          </v:shape>
          <o:OLEObject Type="Embed" ProgID="ChemDraw.Document.6.0" ShapeID="_x0000_s1732" DrawAspect="Content" ObjectID="_1532785098" r:id="rId519"/>
        </w:object>
      </w:r>
      <w:r w:rsidR="001539C6" w:rsidRPr="00BA0582">
        <w:rPr>
          <w:rFonts w:cstheme="minorHAnsi"/>
        </w:rPr>
        <w:object w:dxaOrig="16310" w:dyaOrig="11380" w14:anchorId="66709D6B">
          <v:shape id="_x0000_i1215" type="#_x0000_t75" style="width:5in;height:246.85pt" o:ole="">
            <v:imagedata r:id="rId520" o:title=""/>
          </v:shape>
          <o:OLEObject Type="Embed" ProgID="MestReNova.Document.1" ShapeID="_x0000_i1215" DrawAspect="Content" ObjectID="_1532785036" r:id="rId521"/>
        </w:object>
      </w:r>
      <w:r w:rsidR="001539C6" w:rsidRPr="00BA0582">
        <w:rPr>
          <w:rFonts w:cstheme="minorHAnsi"/>
          <w:noProof/>
          <w:lang w:bidi="ar-SA"/>
        </w:rPr>
        <w:drawing>
          <wp:inline distT="0" distB="0" distL="0" distR="0" wp14:anchorId="5C13F6FD" wp14:editId="04F73A7B">
            <wp:extent cx="365760" cy="57340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99" cstate="print">
                      <a:extLst>
                        <a:ext uri="{28A0092B-C50C-407E-A947-70E740481C1C}">
                          <a14:useLocalDpi xmlns:a14="http://schemas.microsoft.com/office/drawing/2010/main" val="0"/>
                        </a:ext>
                      </a:extLst>
                    </a:blip>
                    <a:srcRect/>
                    <a:stretch>
                      <a:fillRect/>
                    </a:stretch>
                  </pic:blipFill>
                  <pic:spPr bwMode="auto">
                    <a:xfrm>
                      <a:off x="0" y="0"/>
                      <a:ext cx="365760" cy="573405"/>
                    </a:xfrm>
                    <a:prstGeom prst="rect">
                      <a:avLst/>
                    </a:prstGeom>
                    <a:noFill/>
                  </pic:spPr>
                </pic:pic>
              </a:graphicData>
            </a:graphic>
          </wp:inline>
        </w:drawing>
      </w:r>
    </w:p>
    <w:p w14:paraId="2AD1521D" w14:textId="1D7B1B2D" w:rsidR="00BA0582" w:rsidRPr="00183067" w:rsidRDefault="00183067" w:rsidP="00183067">
      <w:pPr>
        <w:pStyle w:val="Caption"/>
        <w:rPr>
          <w:rFonts w:cstheme="minorHAnsi"/>
        </w:rPr>
      </w:pPr>
      <w:bookmarkStart w:id="433" w:name="_Toc457670795"/>
      <w:r>
        <w:t>Figure</w:t>
      </w:r>
      <w:r w:rsidRPr="00183067">
        <w:t xml:space="preserve"> </w:t>
      </w:r>
      <w:r w:rsidR="00443010">
        <w:fldChar w:fldCharType="begin"/>
      </w:r>
      <w:r w:rsidR="00443010">
        <w:instrText xml:space="preserve"> STYLEREF 1 \s </w:instrText>
      </w:r>
      <w:r w:rsidR="00443010">
        <w:fldChar w:fldCharType="separate"/>
      </w:r>
      <w:r w:rsidR="000A0E3D">
        <w:rPr>
          <w:noProof/>
        </w:rPr>
        <w:t>IV</w:t>
      </w:r>
      <w:r w:rsidR="00443010">
        <w:rPr>
          <w:noProof/>
        </w:rPr>
        <w:fldChar w:fldCharType="end"/>
      </w:r>
      <w:r w:rsidR="00573BBE">
        <w:t>.</w:t>
      </w:r>
      <w:r w:rsidR="00443010">
        <w:fldChar w:fldCharType="begin"/>
      </w:r>
      <w:r w:rsidR="00443010">
        <w:instrText xml:space="preserve"> SEQ Figure \* ARABIC \s 1 </w:instrText>
      </w:r>
      <w:r w:rsidR="00443010">
        <w:fldChar w:fldCharType="separate"/>
      </w:r>
      <w:r w:rsidR="000A0E3D">
        <w:rPr>
          <w:noProof/>
        </w:rPr>
        <w:t>11</w:t>
      </w:r>
      <w:r w:rsidR="00443010">
        <w:rPr>
          <w:noProof/>
        </w:rPr>
        <w:fldChar w:fldCharType="end"/>
      </w:r>
      <w:r w:rsidRPr="00183067">
        <w:t xml:space="preserve"> </w:t>
      </w:r>
      <w:r w:rsidR="00BA0582" w:rsidRPr="00183067">
        <w:rPr>
          <w:rFonts w:cstheme="minorHAnsi"/>
          <w:vertAlign w:val="superscript"/>
        </w:rPr>
        <w:t>1</w:t>
      </w:r>
      <w:r w:rsidR="00BA0582" w:rsidRPr="00183067">
        <w:rPr>
          <w:rFonts w:cstheme="minorHAnsi"/>
        </w:rPr>
        <w:t xml:space="preserve">H (left) and </w:t>
      </w:r>
      <w:r w:rsidR="00BA0582" w:rsidRPr="00183067">
        <w:rPr>
          <w:rFonts w:cstheme="minorHAnsi"/>
          <w:vertAlign w:val="superscript"/>
        </w:rPr>
        <w:t>31</w:t>
      </w:r>
      <w:r w:rsidR="00BA0582" w:rsidRPr="00183067">
        <w:rPr>
          <w:rFonts w:cstheme="minorHAnsi"/>
        </w:rPr>
        <w:t>P (right) NMR spectra of sample D room temperature to 50</w:t>
      </w:r>
      <w:r w:rsidR="00BA0582" w:rsidRPr="00183067">
        <w:rPr>
          <w:rFonts w:cstheme="minorHAnsi"/>
          <w:vertAlign w:val="superscript"/>
        </w:rPr>
        <w:t>o</w:t>
      </w:r>
      <w:r w:rsidR="00BA0582" w:rsidRPr="00183067">
        <w:rPr>
          <w:rFonts w:cstheme="minorHAnsi"/>
        </w:rPr>
        <w:t>C</w:t>
      </w:r>
      <w:bookmarkEnd w:id="433"/>
    </w:p>
    <w:p w14:paraId="3B47E958" w14:textId="776A27AF" w:rsidR="00BA0582" w:rsidRPr="00BA0582" w:rsidRDefault="00BA0582" w:rsidP="00BA0582">
      <w:pPr>
        <w:jc w:val="center"/>
        <w:rPr>
          <w:rFonts w:cstheme="minorHAnsi"/>
        </w:rPr>
      </w:pPr>
    </w:p>
    <w:p w14:paraId="50CFA165" w14:textId="539B8653" w:rsidR="00BA0582" w:rsidRDefault="00BA0582" w:rsidP="00BA0582">
      <w:pPr>
        <w:ind w:firstLine="360"/>
        <w:jc w:val="both"/>
        <w:rPr>
          <w:rFonts w:cstheme="minorHAnsi"/>
        </w:rPr>
      </w:pPr>
      <w:r w:rsidRPr="00BA0582">
        <w:rPr>
          <w:rFonts w:cstheme="minorHAnsi"/>
        </w:rPr>
        <w:t xml:space="preserve">The set of two doublets in the </w:t>
      </w:r>
      <w:r w:rsidRPr="00BA0582">
        <w:rPr>
          <w:rFonts w:cstheme="minorHAnsi"/>
          <w:vertAlign w:val="superscript"/>
        </w:rPr>
        <w:t>31</w:t>
      </w:r>
      <w:r w:rsidRPr="00BA0582">
        <w:rPr>
          <w:rFonts w:cstheme="minorHAnsi"/>
        </w:rPr>
        <w:t xml:space="preserve">P NMR (50.66 ppm, -11.46 ppm) formed only in the sample containing the alcohol. Each of these shows a J coupling of 15 Hz. This value is too low to be from a direct P-P bond and is more typical of a </w:t>
      </w:r>
      <w:r w:rsidRPr="00BA0582">
        <w:rPr>
          <w:rFonts w:cstheme="minorHAnsi"/>
          <w:vertAlign w:val="superscript"/>
        </w:rPr>
        <w:t>2</w:t>
      </w:r>
      <w:r w:rsidRPr="00BA0582">
        <w:rPr>
          <w:rFonts w:cstheme="minorHAnsi"/>
        </w:rPr>
        <w:t xml:space="preserve">J or </w:t>
      </w:r>
      <w:r w:rsidRPr="00BA0582">
        <w:rPr>
          <w:rFonts w:cstheme="minorHAnsi"/>
          <w:vertAlign w:val="superscript"/>
        </w:rPr>
        <w:t>3</w:t>
      </w:r>
      <w:r w:rsidRPr="00BA0582">
        <w:rPr>
          <w:rFonts w:cstheme="minorHAnsi"/>
        </w:rPr>
        <w:t>J phosphorous-phosphorous coupling.</w:t>
      </w:r>
      <w:r w:rsidRPr="00BA0582">
        <w:rPr>
          <w:rFonts w:cstheme="minorHAnsi"/>
        </w:rPr>
        <w:fldChar w:fldCharType="begin"/>
      </w:r>
      <w:r w:rsidR="0091451B">
        <w:rPr>
          <w:rFonts w:cstheme="minorHAnsi"/>
        </w:rPr>
        <w:instrText xml:space="preserve"> ADDIN ZOTERO_ITEM CSL_CITATION {"citationID":"24of7u54hn","properties":{"formattedCitation":"{\\rtf \\super 225\\nosupersub{}}","plainCitation":"225"},"citationItems":[{"id":2027,"uris":["http://zotero.org/users/1624234/items/BMKRMMD3"],"uri":["http://zotero.org/users/1624234/items/BMKRMMD3"],"itemData":{"id":2027,"type":"chapter","title":"The Range of Chemical Shifts, Coupling Constants, and What Influences Each","container-title":"Phosphorus-31 NMR Spectroscopy","publisher":"Springer Berlin Heidelberg","page":"7-23","source":"link.springer.com","URL":"http://link.springer.com/chapter/10.1007/978-3-540-79118-8_2","ISBN":"978-3-540-79117-1","note":"DOI: 10.1007/978-3-540-79118-8_2","language":"en","author":[{"family":"Kühl","given":"Olaf"}],"editor":[{"family":"Kühl","given":"Olaf"}],"issued":{"date-parts":[["2008"]]},"accessed":{"date-parts":[["2016",7,19]]}}}],"schema":"https://github.com/citation-style-language/schema/raw/master/csl-citation.json"} </w:instrText>
      </w:r>
      <w:r w:rsidRPr="00BA0582">
        <w:rPr>
          <w:rFonts w:cstheme="minorHAnsi"/>
        </w:rPr>
        <w:fldChar w:fldCharType="separate"/>
      </w:r>
      <w:r w:rsidR="0091451B" w:rsidRPr="0091451B">
        <w:rPr>
          <w:rFonts w:ascii="Times New Roman" w:hAnsi="Times New Roman"/>
          <w:vertAlign w:val="superscript"/>
        </w:rPr>
        <w:t>225</w:t>
      </w:r>
      <w:r w:rsidRPr="00BA0582">
        <w:rPr>
          <w:rFonts w:cstheme="minorHAnsi"/>
        </w:rPr>
        <w:fldChar w:fldCharType="end"/>
      </w:r>
      <w:r w:rsidRPr="00BA0582">
        <w:rPr>
          <w:rFonts w:cstheme="minorHAnsi"/>
        </w:rPr>
        <w:t xml:space="preserve"> With chemical shifts of ~50 and ~ -12 ppm a complex with a (PPh</w:t>
      </w:r>
      <w:r w:rsidRPr="00BA0582">
        <w:rPr>
          <w:rFonts w:cstheme="minorHAnsi"/>
          <w:vertAlign w:val="subscript"/>
        </w:rPr>
        <w:t>3</w:t>
      </w:r>
      <w:r w:rsidRPr="00BA0582">
        <w:rPr>
          <w:rFonts w:cstheme="minorHAnsi"/>
        </w:rPr>
        <w:t>)Re(O=PPh</w:t>
      </w:r>
      <w:r w:rsidRPr="00BA0582">
        <w:rPr>
          <w:rFonts w:cstheme="minorHAnsi"/>
          <w:vertAlign w:val="subscript"/>
        </w:rPr>
        <w:t>3</w:t>
      </w:r>
      <w:r w:rsidRPr="00BA0582">
        <w:rPr>
          <w:rFonts w:cstheme="minorHAnsi"/>
        </w:rPr>
        <w:t>) subunit is suggested (</w:t>
      </w:r>
      <w:r w:rsidR="000C2F35">
        <w:rPr>
          <w:rFonts w:cstheme="minorHAnsi"/>
        </w:rPr>
        <w:fldChar w:fldCharType="begin"/>
      </w:r>
      <w:r w:rsidR="000C2F35">
        <w:rPr>
          <w:rFonts w:cstheme="minorHAnsi"/>
        </w:rPr>
        <w:instrText xml:space="preserve"> REF _Ref457466169 \h </w:instrText>
      </w:r>
      <w:r w:rsidR="000C2F35">
        <w:rPr>
          <w:rFonts w:cstheme="minorHAnsi"/>
        </w:rPr>
      </w:r>
      <w:r w:rsidR="000C2F35">
        <w:rPr>
          <w:rFonts w:cstheme="minorHAnsi"/>
        </w:rPr>
        <w:fldChar w:fldCharType="separate"/>
      </w:r>
      <w:r w:rsidR="000A0E3D">
        <w:t xml:space="preserve">Figure </w:t>
      </w:r>
      <w:r w:rsidR="000A0E3D">
        <w:rPr>
          <w:noProof/>
        </w:rPr>
        <w:t>IV</w:t>
      </w:r>
      <w:r w:rsidR="000A0E3D">
        <w:t>.</w:t>
      </w:r>
      <w:r w:rsidR="000A0E3D">
        <w:rPr>
          <w:noProof/>
        </w:rPr>
        <w:t>12</w:t>
      </w:r>
      <w:r w:rsidR="000C2F35">
        <w:rPr>
          <w:rFonts w:cstheme="minorHAnsi"/>
        </w:rPr>
        <w:fldChar w:fldCharType="end"/>
      </w:r>
      <w:r w:rsidRPr="00BA0582">
        <w:rPr>
          <w:rFonts w:cstheme="minorHAnsi"/>
        </w:rPr>
        <w:t>). Indeed the -12 ppm peak is really near that of the mono PPh</w:t>
      </w:r>
      <w:r w:rsidRPr="00BA0582">
        <w:rPr>
          <w:rFonts w:cstheme="minorHAnsi"/>
          <w:vertAlign w:val="subscript"/>
        </w:rPr>
        <w:t>3</w:t>
      </w:r>
      <w:r w:rsidRPr="00BA0582">
        <w:rPr>
          <w:rFonts w:cstheme="minorHAnsi"/>
        </w:rPr>
        <w:t>-ReIO</w:t>
      </w:r>
      <w:r w:rsidRPr="00BA0582">
        <w:rPr>
          <w:rFonts w:cstheme="minorHAnsi"/>
          <w:vertAlign w:val="subscript"/>
        </w:rPr>
        <w:t>2</w:t>
      </w:r>
      <w:r w:rsidRPr="00BA0582">
        <w:rPr>
          <w:rFonts w:cstheme="minorHAnsi"/>
        </w:rPr>
        <w:t xml:space="preserve"> complex (~11 ppm) and the 50 ppm signal is downfield of O=PPh</w:t>
      </w:r>
      <w:r w:rsidRPr="00BA0582">
        <w:rPr>
          <w:rFonts w:cstheme="minorHAnsi"/>
          <w:vertAlign w:val="subscript"/>
        </w:rPr>
        <w:t>3</w:t>
      </w:r>
      <w:r w:rsidRPr="00BA0582">
        <w:rPr>
          <w:rFonts w:cstheme="minorHAnsi"/>
        </w:rPr>
        <w:t xml:space="preserve"> (at 25 ppm), in the region of some reported phosphine oxide metal-complexes.</w:t>
      </w:r>
      <w:r w:rsidRPr="00BA0582">
        <w:rPr>
          <w:rFonts w:cstheme="minorHAnsi"/>
        </w:rPr>
        <w:fldChar w:fldCharType="begin"/>
      </w:r>
      <w:r w:rsidR="0091451B">
        <w:rPr>
          <w:rFonts w:cstheme="minorHAnsi"/>
        </w:rPr>
        <w:instrText xml:space="preserve"> ADDIN ZOTERO_ITEM CSL_CITATION {"citationID":"wouWrfi4","properties":{"formattedCitation":"{\\rtf \\super 226,227\\nosupersub{}}","plainCitation":"226,227"},"citationItems":[{"id":2030,"uris":["http://zotero.org/users/1624234/items/HJCN9DDT"],"uri":["http://zotero.org/users/1624234/items/HJCN9DDT"],"itemData":{"id":2030,"type":"article-journal","title":"A 31P nmr spectroscopic study of complexation of tin(II) and lead(II) by some phosphines, phosphine oxides, and related ligands, with the 31P nuclear magnetic resonance spectra of two tetratertiary phosphine tetraoxides and the analogous tetra-sulfides and -selenides","container-title":"Canadian Journal of Chemistry","page":"50-61","volume":"59","issue":"1","source":"NRC Research Press","abstract":"31P nmr has been used to show that, in MeNO2, M(SbF6)2 (M = Sn or Pb) forms 1:1 complexes with Ph2P(CH2)2PPh2, PhP[(CH2)2PPh2]2, MeC(CH2PPh2)3, P[(CH2)2PPh2]3, and Ph2P[(CH2)2PPh]2(CH2)2PPh2. The phosphonium ligands are formed in situ. Spectra characteristics of slow inter- and intramolecular exchange were obtained in all cases except, perhaps, those involving the last two ligands, which may be involved in rapid intramolecular exchange. For the first five ligands, the maximum denticity is achieved and unambiguous one-bond M(II)—31P (M = 117/119Sn or 207Pb) coupling constants are reported and discussed. In the presence of M(SbF6)2 (M = Sn or Pb). PPh3 is protonated in MeNO2, while in acetone Sn(SbF6)2 forms a 1:1 complex with PPh3 which appears to be solvent-inserted, [Sn—O—CMe2PPh3]2+.Reduced temperature 31P nmr spectroscopy has allowed the detection of 1:2 and 1:3 (M:L) complexes of OPPh3, and 1:1 complexes of Ph2P(O)(CH2)2P(O)Ph2, PhP(O)[(CH2)2P(O)Ph2]2, and (O)P[(CH2)2P(O)Ph2]3, with both tin(II) and l..., On a utilisé la rmn du 31P pour montrer que dans le MeNO2, le M(SbF6)2 (M = Sn ou Pb) forme des complexes 1:1 avec les composés suivants: Ph2P(CH2)2PPh2, PhP[(CH2)2PPh2]2, MeC(CH2PPh2)3, P[(CH2)2PPh2]3, et Ph2P[(CH2)2PPh]2(CH2)2PPh2. Les ligands phosphonium sont formés in situ. Dans tous les cas, excepté peut être dans les cas des deux derniers ligands qui peuvent subir un échange intermoléculaire rapide, on a observé des spectres caractéristiques d'échanges inter- et intramoléculaire lents. Dans les cas des 5 premiers ligands tous les points d'attaches sont utilisés; on a aussi observé d'une façon non ambigue des constantes de couplage pour une liaison simple M(II)—31P (M = 117/119Sn ou 207Pb que l'on discute. En présence du M(SbF6)2 (M = Sn ou Pb), PPh3 est protoné dans le MeNO2 alors que dans l'acétone le composé Sn(SbF6)2 forme un complexe 1:1 avec le PPh3 qui semble être inséré dans le solvant, [Sn—O—CMe2PPh3]2+.A basse température, la spectroscopie de rmn du 31P permet de déceler les complexes 1:2 e...","DOI":"10.1139/v81-010","ISSN":"0008-4042","journalAbbreviation":"Can. J. Chem.","author":[{"family":"Dean","given":"Philip A. W."},{"family":"Phillips","given":"Donald D."},{"family":"Polensek","given":"Lijana"}],"issued":{"date-parts":[["1981",1,1]]}}},{"id":2053,"uris":["http://zotero.org/users/1624234/items/CFVSPIK3"],"uri":["http://zotero.org/users/1624234/items/CFVSPIK3"],"itemData":{"id":2053,"type":"article-journal","title":"Synthesis and spectroscopic properties of Mo(VI) complexes with phosphine oxide ligands and the crystal structures of [MoO2X2(OPMe3)2] (X=Cl or Br) and [MoO2Br2{o-C6H4(P(O)Ph2)2}] · 2CH2Cl2","container-title":"Polyhedron","page":"1915-1921","volume":"23","issue":"11","source":"ScienceDirect","abstract":"The colourless neutral Mo(VI) complexes [MoO2Cl2(OPMe3)2], [MoO2Cl2(L–L)] (L–L=Ph2P(O)CH2P(O)Ph2, Ph2P(O)CH2CH2P(O)Ph2 and o-C6H4(P(O)Ph2)2) have been obtained in good yield by reaction of MoO2Cl2 with the ligand in anhydrous CH2Cl2 solution. The corresponding light yellow bromo species were obtained from reaction of a CH2Cl2 solution of the phosphine oxide ligand with MoO3 and HBr. The complexes have been characterised by IR, 1H, 31P{1H} and where possible by 95Mo NMR spectroscopy and trends in the spectroscopic data are discussed. Crystal structures of [MoO2X2(OPMe3)2] (X=Cl or Br) and [MoO2Br2{o-C6H4(P(O)Ph2)2}] · 2CH2Cl2 are also described. Each of the compounds adopts a distorted octahedral geometry at Mo(VI) with trans halo ligands, a cis dioxo unit and with the O-bound phosphine oxide ligands completing the coordination environment.","DOI":"10.1016/j.poly.2004.04.023","ISSN":"0277-5387","journalAbbreviation":"Polyhedron","author":[{"family":"Hursthouse","given":"Michael B"},{"family":"Levason","given":"William"},{"family":"Ratnani","given":"Raju"},{"family":"Reid","given":"Gillian"}],"issued":{"date-parts":[["2004",7,8]]}}}],"schema":"https://github.com/citation-style-language/schema/raw/master/csl-citation.json"} </w:instrText>
      </w:r>
      <w:r w:rsidRPr="00BA0582">
        <w:rPr>
          <w:rFonts w:cstheme="minorHAnsi"/>
        </w:rPr>
        <w:fldChar w:fldCharType="separate"/>
      </w:r>
      <w:r w:rsidR="0091451B" w:rsidRPr="0091451B">
        <w:rPr>
          <w:rFonts w:ascii="Times New Roman" w:hAnsi="Times New Roman"/>
          <w:vertAlign w:val="superscript"/>
        </w:rPr>
        <w:t>226,227</w:t>
      </w:r>
      <w:r w:rsidRPr="00BA0582">
        <w:rPr>
          <w:rFonts w:cstheme="minorHAnsi"/>
        </w:rPr>
        <w:fldChar w:fldCharType="end"/>
      </w:r>
      <w:r w:rsidRPr="00BA0582">
        <w:rPr>
          <w:rFonts w:cstheme="minorHAnsi"/>
        </w:rPr>
        <w:t xml:space="preserve"> To further support this assignment we decided to prepare a reaction sample with a 1:5 ratio of IReO</w:t>
      </w:r>
      <w:r w:rsidRPr="00BA0582">
        <w:rPr>
          <w:rFonts w:cstheme="minorHAnsi"/>
          <w:vertAlign w:val="subscript"/>
        </w:rPr>
        <w:t>2</w:t>
      </w:r>
      <w:r w:rsidRPr="00BA0582">
        <w:rPr>
          <w:rFonts w:cstheme="minorHAnsi"/>
        </w:rPr>
        <w:t>(PPh</w:t>
      </w:r>
      <w:r w:rsidRPr="00BA0582">
        <w:rPr>
          <w:rFonts w:cstheme="minorHAnsi"/>
          <w:vertAlign w:val="subscript"/>
        </w:rPr>
        <w:t>3</w:t>
      </w:r>
      <w:r w:rsidRPr="00BA0582">
        <w:rPr>
          <w:rFonts w:cstheme="minorHAnsi"/>
        </w:rPr>
        <w:t>)</w:t>
      </w:r>
      <w:r w:rsidRPr="00BA0582">
        <w:rPr>
          <w:rFonts w:cstheme="minorHAnsi"/>
          <w:vertAlign w:val="subscript"/>
        </w:rPr>
        <w:t>2</w:t>
      </w:r>
      <w:r w:rsidRPr="00BA0582">
        <w:rPr>
          <w:rFonts w:cstheme="minorHAnsi"/>
        </w:rPr>
        <w:t xml:space="preserve"> to O=PPh</w:t>
      </w:r>
      <w:r w:rsidRPr="00BA0582">
        <w:rPr>
          <w:rFonts w:cstheme="minorHAnsi"/>
          <w:vertAlign w:val="subscript"/>
        </w:rPr>
        <w:t>3</w:t>
      </w:r>
      <w:r w:rsidRPr="00BA0582">
        <w:rPr>
          <w:rFonts w:cstheme="minorHAnsi"/>
        </w:rPr>
        <w:t xml:space="preserve">. After 24h this sample solution was yellow and the same pair of doublets in the </w:t>
      </w:r>
      <w:r w:rsidRPr="00BA0582">
        <w:rPr>
          <w:rFonts w:cstheme="minorHAnsi"/>
          <w:vertAlign w:val="superscript"/>
        </w:rPr>
        <w:t>31</w:t>
      </w:r>
      <w:r w:rsidRPr="00BA0582">
        <w:rPr>
          <w:rFonts w:cstheme="minorHAnsi"/>
        </w:rPr>
        <w:t>P NMR spectrum was observed. The structure assigned to this rhenium complex is thus (PPh</w:t>
      </w:r>
      <w:r w:rsidRPr="00BA0582">
        <w:rPr>
          <w:rFonts w:cstheme="minorHAnsi"/>
          <w:vertAlign w:val="subscript"/>
        </w:rPr>
        <w:t>3</w:t>
      </w:r>
      <w:r w:rsidRPr="00BA0582">
        <w:rPr>
          <w:rFonts w:cstheme="minorHAnsi"/>
        </w:rPr>
        <w:t>)ReO</w:t>
      </w:r>
      <w:r w:rsidRPr="00BA0582">
        <w:rPr>
          <w:rFonts w:cstheme="minorHAnsi"/>
          <w:vertAlign w:val="subscript"/>
        </w:rPr>
        <w:t>2</w:t>
      </w:r>
      <w:r w:rsidRPr="00BA0582">
        <w:rPr>
          <w:rFonts w:cstheme="minorHAnsi"/>
        </w:rPr>
        <w:t>I(OPPh</w:t>
      </w:r>
      <w:r w:rsidRPr="00BA0582">
        <w:rPr>
          <w:rFonts w:cstheme="minorHAnsi"/>
          <w:vertAlign w:val="subscript"/>
        </w:rPr>
        <w:t>3</w:t>
      </w:r>
      <w:r w:rsidRPr="00BA0582">
        <w:rPr>
          <w:rFonts w:cstheme="minorHAnsi"/>
        </w:rPr>
        <w:t xml:space="preserve">). </w:t>
      </w:r>
    </w:p>
    <w:p w14:paraId="486F8405" w14:textId="19AA2ABB" w:rsidR="00183067" w:rsidRPr="00BA0582" w:rsidRDefault="00183067" w:rsidP="00BA0582">
      <w:pPr>
        <w:ind w:firstLine="360"/>
        <w:jc w:val="both"/>
        <w:rPr>
          <w:rFonts w:cstheme="minorHAnsi"/>
        </w:rPr>
      </w:pPr>
    </w:p>
    <w:p w14:paraId="792895F8" w14:textId="3FDD5F74" w:rsidR="00183067" w:rsidRDefault="00BA0582" w:rsidP="00183067">
      <w:pPr>
        <w:keepNext/>
        <w:jc w:val="center"/>
      </w:pPr>
      <w:r w:rsidRPr="00BA0582">
        <w:rPr>
          <w:rFonts w:cstheme="minorHAnsi"/>
        </w:rPr>
        <w:object w:dxaOrig="3480" w:dyaOrig="1231" w14:anchorId="0953F83A">
          <v:shape id="_x0000_i1216" type="#_x0000_t75" style="width:195.45pt;height:66.45pt" o:ole="">
            <v:imagedata r:id="rId522" o:title=""/>
          </v:shape>
          <o:OLEObject Type="Embed" ProgID="ChemDraw.Document.6.0" ShapeID="_x0000_i1216" DrawAspect="Content" ObjectID="_1532785037" r:id="rId523"/>
        </w:object>
      </w:r>
    </w:p>
    <w:p w14:paraId="250E495A" w14:textId="77777777" w:rsidR="00BA0582" w:rsidRDefault="00183067" w:rsidP="00183067">
      <w:pPr>
        <w:pStyle w:val="Caption"/>
        <w:rPr>
          <w:rFonts w:cstheme="minorHAnsi"/>
        </w:rPr>
      </w:pPr>
      <w:bookmarkStart w:id="434" w:name="_Ref457466169"/>
      <w:bookmarkStart w:id="435" w:name="_Toc457670796"/>
      <w:r>
        <w:t xml:space="preserve">Figure </w:t>
      </w:r>
      <w:r w:rsidR="00443010">
        <w:fldChar w:fldCharType="begin"/>
      </w:r>
      <w:r w:rsidR="00443010">
        <w:instrText xml:space="preserve"> STYLEREF 1 \s </w:instrText>
      </w:r>
      <w:r w:rsidR="00443010">
        <w:fldChar w:fldCharType="separate"/>
      </w:r>
      <w:r w:rsidR="000A0E3D">
        <w:rPr>
          <w:noProof/>
        </w:rPr>
        <w:t>IV</w:t>
      </w:r>
      <w:r w:rsidR="00443010">
        <w:rPr>
          <w:noProof/>
        </w:rPr>
        <w:fldChar w:fldCharType="end"/>
      </w:r>
      <w:r w:rsidR="00573BBE">
        <w:t>.</w:t>
      </w:r>
      <w:r w:rsidR="00443010">
        <w:fldChar w:fldCharType="begin"/>
      </w:r>
      <w:r w:rsidR="00443010">
        <w:instrText xml:space="preserve"> SEQ Figure \* ARABIC \s 1 </w:instrText>
      </w:r>
      <w:r w:rsidR="00443010">
        <w:fldChar w:fldCharType="separate"/>
      </w:r>
      <w:r w:rsidR="000A0E3D">
        <w:rPr>
          <w:noProof/>
        </w:rPr>
        <w:t>12</w:t>
      </w:r>
      <w:r w:rsidR="00443010">
        <w:rPr>
          <w:noProof/>
        </w:rPr>
        <w:fldChar w:fldCharType="end"/>
      </w:r>
      <w:bookmarkEnd w:id="434"/>
      <w:r>
        <w:t xml:space="preserve"> </w:t>
      </w:r>
      <w:r w:rsidR="0016299B">
        <w:rPr>
          <w:rFonts w:cstheme="minorHAnsi"/>
        </w:rPr>
        <w:t>Formation of phosphine oxide-</w:t>
      </w:r>
      <w:r w:rsidR="00BA0582" w:rsidRPr="00183067">
        <w:rPr>
          <w:rFonts w:cstheme="minorHAnsi"/>
        </w:rPr>
        <w:t xml:space="preserve">rhenium </w:t>
      </w:r>
      <w:r w:rsidR="0016299B">
        <w:rPr>
          <w:rFonts w:cstheme="minorHAnsi"/>
        </w:rPr>
        <w:t>complex</w:t>
      </w:r>
      <w:bookmarkEnd w:id="435"/>
    </w:p>
    <w:p w14:paraId="3020B7B8" w14:textId="4CF4FFDF" w:rsidR="00183067" w:rsidRPr="00183067" w:rsidRDefault="00183067" w:rsidP="00183067"/>
    <w:p w14:paraId="7234E642" w14:textId="0A32751E" w:rsidR="00BA0582" w:rsidRPr="00BA0582" w:rsidRDefault="007A65FE" w:rsidP="00BA0582">
      <w:pPr>
        <w:ind w:firstLine="360"/>
        <w:jc w:val="both"/>
        <w:rPr>
          <w:rFonts w:cstheme="minorHAnsi"/>
        </w:rPr>
      </w:pPr>
      <w:r>
        <w:rPr>
          <w:rFonts w:cstheme="minorHAnsi"/>
        </w:rPr>
        <w:t>M</w:t>
      </w:r>
      <w:r w:rsidR="00BA0582" w:rsidRPr="00BA0582">
        <w:rPr>
          <w:rFonts w:cstheme="minorHAnsi"/>
        </w:rPr>
        <w:t>ass spectrum</w:t>
      </w:r>
      <w:r>
        <w:rPr>
          <w:rFonts w:cstheme="minorHAnsi"/>
        </w:rPr>
        <w:t>,</w:t>
      </w:r>
      <w:r w:rsidR="00BA0582" w:rsidRPr="00BA0582">
        <w:rPr>
          <w:rFonts w:cstheme="minorHAnsi"/>
        </w:rPr>
        <w:t xml:space="preserve"> ESI+/- and APCI+/-</w:t>
      </w:r>
      <w:r>
        <w:rPr>
          <w:rFonts w:cstheme="minorHAnsi"/>
        </w:rPr>
        <w:t>,</w:t>
      </w:r>
      <w:r w:rsidR="00BA0582" w:rsidRPr="00BA0582">
        <w:rPr>
          <w:rFonts w:cstheme="minorHAnsi"/>
        </w:rPr>
        <w:t xml:space="preserve"> of samples E and B</w:t>
      </w:r>
      <w:r w:rsidR="00BA0582" w:rsidRPr="00BA0582">
        <w:rPr>
          <w:rFonts w:cstheme="minorHAnsi"/>
          <w:vertAlign w:val="subscript"/>
        </w:rPr>
        <w:t>2</w:t>
      </w:r>
      <w:r w:rsidR="00BA0582" w:rsidRPr="00BA0582">
        <w:rPr>
          <w:rFonts w:cstheme="minorHAnsi"/>
        </w:rPr>
        <w:t xml:space="preserve"> </w:t>
      </w:r>
      <w:r>
        <w:rPr>
          <w:rFonts w:cstheme="minorHAnsi"/>
        </w:rPr>
        <w:t xml:space="preserve">were collected </w:t>
      </w:r>
      <w:r w:rsidR="00BA0582" w:rsidRPr="00BA0582">
        <w:rPr>
          <w:rFonts w:cstheme="minorHAnsi"/>
        </w:rPr>
        <w:t xml:space="preserve">but with both of these ionization methods </w:t>
      </w:r>
      <w:r>
        <w:rPr>
          <w:rFonts w:cstheme="minorHAnsi"/>
        </w:rPr>
        <w:t>we</w:t>
      </w:r>
      <w:r w:rsidR="00BA0582" w:rsidRPr="00BA0582">
        <w:rPr>
          <w:rFonts w:cstheme="minorHAnsi"/>
        </w:rPr>
        <w:t xml:space="preserve"> observed only one mass signal with a Re isotope pattern (</w:t>
      </w:r>
      <w:r w:rsidR="00BA0582" w:rsidRPr="00BA0582">
        <w:rPr>
          <w:rFonts w:cstheme="minorHAnsi"/>
          <w:vertAlign w:val="superscript"/>
        </w:rPr>
        <w:t>185</w:t>
      </w:r>
      <w:r w:rsidR="00BA0582" w:rsidRPr="00BA0582">
        <w:rPr>
          <w:rFonts w:cstheme="minorHAnsi"/>
        </w:rPr>
        <w:t xml:space="preserve">Re 37.4% and </w:t>
      </w:r>
      <w:r w:rsidR="00BA0582" w:rsidRPr="00BA0582">
        <w:rPr>
          <w:rFonts w:cstheme="minorHAnsi"/>
          <w:vertAlign w:val="superscript"/>
        </w:rPr>
        <w:t>187</w:t>
      </w:r>
      <w:r w:rsidR="00BA0582" w:rsidRPr="00BA0582">
        <w:rPr>
          <w:rFonts w:cstheme="minorHAnsi"/>
        </w:rPr>
        <w:t>Re 62.6%) in the ESI – and this mass (1170.94 m/z) does not match a reasonable formulas for an alcohol-rhenium complex or a phosphine-rhenium-phosphine oxide complex.</w:t>
      </w:r>
    </w:p>
    <w:p w14:paraId="727258B3" w14:textId="6EBD9C0A" w:rsidR="00BA0582" w:rsidRPr="00BA0582" w:rsidRDefault="00BA0582" w:rsidP="00BA0582">
      <w:pPr>
        <w:ind w:firstLine="360"/>
        <w:jc w:val="both"/>
        <w:rPr>
          <w:rFonts w:cstheme="minorHAnsi"/>
        </w:rPr>
      </w:pPr>
      <w:r w:rsidRPr="00BA0582">
        <w:rPr>
          <w:rFonts w:cstheme="minorHAnsi"/>
        </w:rPr>
        <w:t xml:space="preserve">IR spectra of most of the samples (A – E) </w:t>
      </w:r>
      <w:r w:rsidR="007A65FE">
        <w:rPr>
          <w:rFonts w:cstheme="minorHAnsi"/>
        </w:rPr>
        <w:t xml:space="preserve">were collected </w:t>
      </w:r>
      <w:r w:rsidRPr="00BA0582">
        <w:rPr>
          <w:rFonts w:cstheme="minorHAnsi"/>
        </w:rPr>
        <w:t>in order to compare at least the rhenium-oxo absorptions in the 900-1000 cm</w:t>
      </w:r>
      <w:r w:rsidRPr="00BA0582">
        <w:rPr>
          <w:rFonts w:cstheme="minorHAnsi"/>
          <w:vertAlign w:val="superscript"/>
        </w:rPr>
        <w:t>-1</w:t>
      </w:r>
      <w:r w:rsidRPr="00BA0582">
        <w:rPr>
          <w:rFonts w:cstheme="minorHAnsi"/>
        </w:rPr>
        <w:t xml:space="preserve"> region. With samples in benzene we used a liquid cell to acquire IR spectra for which we had to substrate the benzene but the subtraction would not work as liquid IR of benzene has several broad signals. After all the potential new signals we found were too small to allow a clear interpretation. </w:t>
      </w:r>
    </w:p>
    <w:p w14:paraId="27C1CC6E" w14:textId="1CDB9595" w:rsidR="00BA0582" w:rsidRDefault="007A65FE" w:rsidP="00BA0582">
      <w:pPr>
        <w:ind w:firstLine="360"/>
        <w:jc w:val="both"/>
        <w:rPr>
          <w:rFonts w:cstheme="minorHAnsi"/>
        </w:rPr>
      </w:pPr>
      <w:r>
        <w:rPr>
          <w:rFonts w:cstheme="minorHAnsi"/>
        </w:rPr>
        <w:t>T</w:t>
      </w:r>
      <w:r w:rsidR="00BA0582" w:rsidRPr="00BA0582">
        <w:rPr>
          <w:rFonts w:cstheme="minorHAnsi"/>
        </w:rPr>
        <w:t xml:space="preserve">he stoichiometric interactions of the pre-catalyst and benzhydrol </w:t>
      </w:r>
      <w:r>
        <w:rPr>
          <w:rFonts w:cstheme="minorHAnsi"/>
        </w:rPr>
        <w:t xml:space="preserve">were </w:t>
      </w:r>
      <w:r w:rsidRPr="00BA0582">
        <w:rPr>
          <w:rFonts w:cstheme="minorHAnsi"/>
        </w:rPr>
        <w:t xml:space="preserve">studied in detail </w:t>
      </w:r>
      <w:r w:rsidR="00BA0582" w:rsidRPr="00BA0582">
        <w:rPr>
          <w:rFonts w:cstheme="minorHAnsi"/>
        </w:rPr>
        <w:t>without obtaining as much information as we hoped for, particularly to characterize species derived f</w:t>
      </w:r>
      <w:r w:rsidR="00E672F9">
        <w:rPr>
          <w:rFonts w:cstheme="minorHAnsi"/>
        </w:rPr>
        <w:t xml:space="preserve">rom the coordinated alcohol. We </w:t>
      </w:r>
      <w:r w:rsidR="00BA0582" w:rsidRPr="00BA0582">
        <w:rPr>
          <w:rFonts w:cstheme="minorHAnsi"/>
        </w:rPr>
        <w:t xml:space="preserve">decided vary the alcohols to include both unreactive and reactive ones in the reductive coupling, namely ethanol, benzyl alcohol, 1-phenylethanol, and cinnamyl alcohol. Some of these were chosen because their protons would NMR couple and show splitting patterns in the </w:t>
      </w:r>
      <w:r w:rsidR="00BA0582" w:rsidRPr="00BA0582">
        <w:rPr>
          <w:rFonts w:cstheme="minorHAnsi"/>
          <w:vertAlign w:val="superscript"/>
        </w:rPr>
        <w:t>1</w:t>
      </w:r>
      <w:r w:rsidR="00BA0582" w:rsidRPr="00BA0582">
        <w:rPr>
          <w:rFonts w:cstheme="minorHAnsi"/>
        </w:rPr>
        <w:t>H NMR. The samples containing (PPh</w:t>
      </w:r>
      <w:r w:rsidR="00BA0582" w:rsidRPr="00BA0582">
        <w:rPr>
          <w:rFonts w:cstheme="minorHAnsi"/>
          <w:vertAlign w:val="subscript"/>
        </w:rPr>
        <w:t>3</w:t>
      </w:r>
      <w:r w:rsidR="00BA0582" w:rsidRPr="00BA0582">
        <w:rPr>
          <w:rFonts w:cstheme="minorHAnsi"/>
        </w:rPr>
        <w:t>)</w:t>
      </w:r>
      <w:r w:rsidR="00BA0582" w:rsidRPr="00BA0582">
        <w:rPr>
          <w:rFonts w:cstheme="minorHAnsi"/>
          <w:vertAlign w:val="subscript"/>
        </w:rPr>
        <w:t>2</w:t>
      </w:r>
      <w:r w:rsidR="00BA0582" w:rsidRPr="00BA0582">
        <w:rPr>
          <w:rFonts w:cstheme="minorHAnsi"/>
        </w:rPr>
        <w:t>ReO</w:t>
      </w:r>
      <w:r w:rsidR="00BA0582" w:rsidRPr="00BA0582">
        <w:rPr>
          <w:rFonts w:cstheme="minorHAnsi"/>
          <w:vertAlign w:val="subscript"/>
        </w:rPr>
        <w:t>2</w:t>
      </w:r>
      <w:r w:rsidR="00BA0582" w:rsidRPr="00BA0582">
        <w:rPr>
          <w:rFonts w:cstheme="minorHAnsi"/>
        </w:rPr>
        <w:t xml:space="preserve">I together with ethanol or benzyl alcohol changed color overnight from purple to green; the sample with cinnamyl alcohol followed the same color changes after two days; the sample with 1-phenylethanol changed color from purple to crimson after two days. In the </w:t>
      </w:r>
      <w:r w:rsidR="00BA0582" w:rsidRPr="00BA0582">
        <w:rPr>
          <w:rFonts w:cstheme="minorHAnsi"/>
          <w:vertAlign w:val="superscript"/>
        </w:rPr>
        <w:t>1</w:t>
      </w:r>
      <w:r w:rsidR="00BA0582" w:rsidRPr="00BA0582">
        <w:rPr>
          <w:rFonts w:cstheme="minorHAnsi"/>
        </w:rPr>
        <w:t>H NMR spectra of the samples that changed to green- ethanol, benzyl alcohol and cinnamyl alcohol- two new sets of the protons appeared from molecules derived of the starting alcohol. The largest signals were from the free (uncomple</w:t>
      </w:r>
      <w:r w:rsidR="00B64294">
        <w:rPr>
          <w:rFonts w:cstheme="minorHAnsi"/>
        </w:rPr>
        <w:t>xed</w:t>
      </w:r>
      <w:r w:rsidR="00BA0582" w:rsidRPr="00BA0582">
        <w:rPr>
          <w:rFonts w:cstheme="minorHAnsi"/>
        </w:rPr>
        <w:t>) alcohols and the two new sets of signals were shifted substantially up field (Δ(ppm) from 1.1 to 1.7) of the free alcohol. The integrated H-NMR signals for these peaks in the samples containing ethanol and benzyl alcohol was about 1:2 and about 1:5 with cinnamyl alcohol. These signals are assigned to alkoxide rhenium complexes, LRe-O-C</w:t>
      </w:r>
      <w:r w:rsidR="00BA0582" w:rsidRPr="00BA0582">
        <w:rPr>
          <w:rFonts w:cstheme="minorHAnsi"/>
          <w:u w:val="single"/>
        </w:rPr>
        <w:t>H</w:t>
      </w:r>
      <w:r w:rsidR="00BA0582" w:rsidRPr="00BA0582">
        <w:rPr>
          <w:rFonts w:cstheme="minorHAnsi"/>
          <w:vertAlign w:val="subscript"/>
        </w:rPr>
        <w:t>2</w:t>
      </w:r>
      <w:r w:rsidR="00BA0582" w:rsidRPr="00BA0582">
        <w:rPr>
          <w:rFonts w:cstheme="minorHAnsi"/>
        </w:rPr>
        <w:t>-R.</w:t>
      </w:r>
      <w:r w:rsidR="00BA0582" w:rsidRPr="00BA0582">
        <w:rPr>
          <w:rFonts w:cstheme="minorHAnsi"/>
        </w:rPr>
        <w:fldChar w:fldCharType="begin"/>
      </w:r>
      <w:r w:rsidR="0091451B">
        <w:rPr>
          <w:rFonts w:cstheme="minorHAnsi"/>
        </w:rPr>
        <w:instrText xml:space="preserve"> ADDIN ZOTERO_ITEM CSL_CITATION {"citationID":"ik5l0lajc","properties":{"formattedCitation":"{\\rtf \\super 168,228,229\\nosupersub{}}","plainCitation":"168,228,229"},"citationItems":[{"id":2036,"uris":["http://zotero.org/users/1624234/items/P6MA6VHF"],"uri":["http://zotero.org/users/1624234/items/P6MA6VHF"],"itemData":{"id":2036,"type":"article-journal","title":"Reactivity of the dirhenium(III) carboxylate complexes Re2(O2CCH3)2X4(H2O)2 (X = Cl or Br) toward monodentate phosphines. A novel disproportionation reaction leading to dirhenium(IV,II) alkoxide complexes of the type (RO)2X2ReReX2(PPh3)2 (X = Cl or Br; R = Me, Et, or Pr)","container-title":"Inorganic Chemistry","page":"3619-3624","volume":"25","issue":"20","source":"ACS Publications","DOI":"10.1021/ic00240a018","ISSN":"0020-1669","journalAbbreviation":"Inorg. Chem.","author":[{"family":"Chakravarty","given":"Akhil R."},{"family":"Cotton","given":"F. Albert"},{"family":"Cutler","given":"Ann R."},{"family":"Walton","given":"Richard A."}],"issued":{"date-parts":[["1986",9,1]]}}},{"id":1754,"uris":["http://zotero.org/users/1624234/items/Q9S2X7NP"],"uri":["http://zotero.org/users/1624234/items/Q9S2X7NP"],"itemData":{"id":1754,"type":"article-journal","title":"Rhenium(V) oxide complexes. Crystal and molecular structures of the compounds trans-ReI2O(OR)(PPh3)2 (R = Et, Me) and of their hydrolysis derivative ReIO2(PPh3)2","container-title":"Inorganica Chimica Acta","page":"29-37","volume":"72","source":"ScienceDirect","abstract":"The structure of the complex ReI2O(OEt)(PPh3)2·3/2C6H6 (I) has been investigated: the dark-yellow crystals are monoclinic, space group P21/n, with a = 17.410(8), b = 17.322(6), c = 15.039(5) Å, β = 103.49(3)°, Z = 4. Least-squares refinements based on 3636 significant counter data led to a final R value of 0.059. The compound exhibits a slightly distorted octahedral coordination, with the two PPh3 groups trans between themselves (mean Re</w:instrText>
      </w:r>
      <w:r w:rsidR="0091451B">
        <w:rPr>
          <w:rFonts w:cstheme="minorHAnsi" w:hint="eastAsia"/>
        </w:rPr>
        <w:instrText></w:instrText>
      </w:r>
      <w:r w:rsidR="0091451B">
        <w:rPr>
          <w:rFonts w:cstheme="minorHAnsi"/>
        </w:rPr>
        <w:instrText>P 2.523 Å), as well as the two iodide ligands (mean Re</w:instrText>
      </w:r>
      <w:r w:rsidR="0091451B">
        <w:rPr>
          <w:rFonts w:cstheme="minorHAnsi" w:hint="eastAsia"/>
        </w:rPr>
        <w:instrText></w:instrText>
      </w:r>
      <w:r w:rsidR="0091451B">
        <w:rPr>
          <w:rFonts w:cstheme="minorHAnsi"/>
        </w:rPr>
        <w:instrText>I 2.789 Å). The ethoxo group (Re</w:instrText>
      </w:r>
      <w:r w:rsidR="0091451B">
        <w:rPr>
          <w:rFonts w:cstheme="minorHAnsi" w:hint="eastAsia"/>
        </w:rPr>
        <w:instrText></w:instrText>
      </w:r>
      <w:r w:rsidR="0091451B">
        <w:rPr>
          <w:rFonts w:cstheme="minorHAnsi"/>
        </w:rPr>
        <w:instrText>O 1.880(9) Å) and the oxide ligand (Re</w:instrText>
      </w:r>
      <w:r w:rsidR="0091451B">
        <w:rPr>
          <w:rFonts w:cstheme="minorHAnsi" w:hint="eastAsia"/>
        </w:rPr>
        <w:instrText></w:instrText>
      </w:r>
      <w:r w:rsidR="0091451B">
        <w:rPr>
          <w:rFonts w:cstheme="minorHAnsi"/>
        </w:rPr>
        <w:instrText>O 1.715(9) Å) occupy the other two coordination sites. Compound I in methanol transforms into ReI2O(OMe)(PPh3)2 (II), which has been characterized by X-ray analysis in crystals containing CHCl3 molecules of solvation. The crystals are triclinic, space group P1, a = 12.835(3), b = 13.067(4), c = 13.485(4) Å, α = 89.71(2)°, β = 71.61(2)°, γ = 70.19(2)°, Z = 2. The refinements gave a final R value of 0.036, on the basis of 4524 significant counter intensities. The stereochemistry and the bond parameters are similar to those found in compound I. In particular the Re</w:instrText>
      </w:r>
      <w:r w:rsidR="0091451B">
        <w:rPr>
          <w:rFonts w:cstheme="minorHAnsi" w:hint="eastAsia"/>
        </w:rPr>
        <w:instrText></w:instrText>
      </w:r>
      <w:r w:rsidR="0091451B">
        <w:rPr>
          <w:rFonts w:cstheme="minorHAnsi"/>
        </w:rPr>
        <w:instrText>O (methoxo) and Re</w:instrText>
      </w:r>
      <w:r w:rsidR="0091451B">
        <w:rPr>
          <w:rFonts w:cstheme="minorHAnsi" w:hint="eastAsia"/>
        </w:rPr>
        <w:instrText></w:instrText>
      </w:r>
      <w:r w:rsidR="0091451B">
        <w:rPr>
          <w:rFonts w:cstheme="minorHAnsi"/>
        </w:rPr>
        <w:instrText>O (oxide) bond lengths are 1.859(5) and 1.698(5) Å respectively.\n\nHydrolysis reactions of both compounds I and II give the violet derivative ReIO2(PPh3)2 (III). The crystal data are: orthorhombic, space group Aba2, a = 19.834(5), b = 16.144(3), c = 10.560(2) Å, Z = 4. 1435 significant counter reflections were used in the refinements the final R value being 0.039. The compound is an unusual example of a five coordinate Re(V) complex. It possesses a rigorous C2 crystallographic symmetry and exhibits a distorted trigonal bipyramidal stereochemistry, with the two PPh3 groups in an axial direction (Re</w:instrText>
      </w:r>
      <w:r w:rsidR="0091451B">
        <w:rPr>
          <w:rFonts w:cstheme="minorHAnsi" w:hint="eastAsia"/>
        </w:rPr>
        <w:instrText></w:instrText>
      </w:r>
      <w:r w:rsidR="0091451B">
        <w:rPr>
          <w:rFonts w:cstheme="minorHAnsi"/>
        </w:rPr>
        <w:instrText>P 2.488(3) Å) and the two oxide and the iodide ligands in equatorial positions. The Re</w:instrText>
      </w:r>
      <w:r w:rsidR="0091451B">
        <w:rPr>
          <w:rFonts w:cstheme="minorHAnsi" w:hint="eastAsia"/>
        </w:rPr>
        <w:instrText></w:instrText>
      </w:r>
      <w:r w:rsidR="0091451B">
        <w:rPr>
          <w:rFonts w:cstheme="minorHAnsi"/>
        </w:rPr>
        <w:instrText>I and Re</w:instrText>
      </w:r>
      <w:r w:rsidR="0091451B">
        <w:rPr>
          <w:rFonts w:cstheme="minorHAnsi" w:hint="eastAsia"/>
        </w:rPr>
        <w:instrText></w:instrText>
      </w:r>
      <w:r w:rsidR="0091451B">
        <w:rPr>
          <w:rFonts w:cstheme="minorHAnsi"/>
        </w:rPr>
        <w:instrText xml:space="preserve">O interactions have values of 2.664(2) and 1.742(11) Å respectively.","DOI":"10.1016/S0020-1693(00)81690-4","ISSN":"0020-1693","journalAbbreviation":"Inorganica Chimica Acta","author":[{"family":"Ciani","given":"Giani Franco"},{"family":"D'Alfonso","given":"Giuseppe"},{"family":"Romiti","given":"Pier Francesco"},{"family":"Sironi","given":"Angelo"},{"family":"Freni","given":"Maria"}],"issued":{"date-parts":[["1983"]]}}},{"id":2039,"uris":["http://zotero.org/users/1624234/items/ZMVP5RG3"],"uri":["http://zotero.org/users/1624234/items/ZMVP5RG3"],"itemData":{"id":2039,"type":"article-journal","title":"Rhenium(V)−Salen Complexes:  Configurational Control and Ligand Exchange","container-title":"Inorganic Chemistry","page":"4197-4203","volume":"37","issue":"17","source":"ACS Publications","abstract":"Reactions of ReO(PPh3)2Cl3 with tetradentate bis(salicylideneamine) ligands, H2salpd (1) and H2salbd (2), in different alcohols gave the novel mixed-ligand rhenium complexes ReO(sal)OAlk (OAlk = variety of alkoxy ligands). Configurational studies show that the rhenium complexes ReO(salpd)OAlk (1a−f) display either a symmetrical or a nonsymmetrical configuration, depending on the size of the alcohol and its boiling point. The rhenium complexes ReO(salbd)OAlk (2a−d) are all nonsymmetrical due to the number of carbons that bridge the imine nitrogens. In the case of the symmetrical ReO(salpd)OMe (1a) complex the methoxy ligand can be exchanged for a number of ligands of different types (OAlk, OPh, SAlk, OC(O)Alk). In the newly formed complexes the original configuration was retained except for the ReO(salpd)SAlk (1i,j) complexes which were isolated in the nonsymmetrical configuration. Starting from the nonsymmetrical ReO(salpd)OPr (2c) complex, ligand exchange led to a mixture of the symmetrical and nonsymmetrical complexes, with ratios depending on the reaction time. The crystal structures of ReO(salbd)OPr (2c), and ReO(salpd)OPhOMe (1g) have been determined. ReO(salbd)OPr crystallizes in the triclinic space group P1̄, Z = 2, with a = 10.0344(16) Å, b = 10.647(2) Å, c = 11.481(2) Å, α = 86.551(15)°, β = 86.998(14)°, γ = 80.112(15)°, V = 1205.1(4) Å3, and final R = 0.0460. Crystals of ReO(salpd)OPhOMe are orthorhombic, space group P212121, Z = 4, with a = 10.6222(15) Å, b = 12.442(3) Å, c = 16.354(3) Å, V = 2161.4(7) Å3, and final R = 0.0371. Under the influence of traces of water a number of symmetrical complexes react to a “dimeric” structure, consisting of two ReO(salpd) moieties bridged by an oxygen atom with the bridging Re−O−Re angle symmetrically imposed at 180°. [ReO(salpd)]2O (3) crystallizes in the monoclinic, space group P21/c, Z = 4, with a = 14.860(2) Å, b = 12.545(2) Å, c = 16.5111(17) Å, β = 95.030(10)°, V = 3066.1(7) Å3, and final R = 0.0439.","DOI":"10.1021/ic980125t","ISSN":"0020-1669","shortTitle":"Rhenium(V)−Salen Complexes","journalAbbreviation":"Inorg. Chem.","author":[{"family":"Bommel","given":"Kjeld J. C.","non-dropping-particle":"van"},{"family":"Verboom","given":"Willem"},{"family":"Kooijman","given":"Huub"},{"family":"Spek","given":"Anthony L."},{"family":"Reinhoudt","given":"David N."}],"issued":{"date-parts":[["1998",8,1]]}}}],"schema":"https://github.com/citation-style-language/schema/raw/master/csl-citation.json"} </w:instrText>
      </w:r>
      <w:r w:rsidR="00BA0582" w:rsidRPr="00BA0582">
        <w:rPr>
          <w:rFonts w:cstheme="minorHAnsi"/>
        </w:rPr>
        <w:fldChar w:fldCharType="separate"/>
      </w:r>
      <w:r w:rsidR="0091451B" w:rsidRPr="0091451B">
        <w:rPr>
          <w:rFonts w:ascii="Times New Roman" w:hAnsi="Times New Roman"/>
          <w:vertAlign w:val="superscript"/>
        </w:rPr>
        <w:t>168,228,229</w:t>
      </w:r>
      <w:r w:rsidR="00BA0582" w:rsidRPr="00BA0582">
        <w:rPr>
          <w:rFonts w:cstheme="minorHAnsi"/>
        </w:rPr>
        <w:fldChar w:fldCharType="end"/>
      </w:r>
      <w:r w:rsidR="00BA0582" w:rsidRPr="00BA0582">
        <w:rPr>
          <w:rFonts w:cstheme="minorHAnsi"/>
        </w:rPr>
        <w:t xml:space="preserve"> In the case of 1-phenylethanol after a week we could see the formation of one set of similar alcohol derived species in very </w:t>
      </w:r>
      <w:r>
        <w:rPr>
          <w:rFonts w:cstheme="minorHAnsi"/>
        </w:rPr>
        <w:t>small</w:t>
      </w:r>
      <w:r w:rsidR="00BA0582" w:rsidRPr="00BA0582">
        <w:rPr>
          <w:rFonts w:cstheme="minorHAnsi"/>
        </w:rPr>
        <w:t xml:space="preserve"> quantity</w:t>
      </w:r>
      <w:r>
        <w:rPr>
          <w:rFonts w:cstheme="minorHAnsi"/>
        </w:rPr>
        <w:t xml:space="preserve"> (&lt;10%)</w:t>
      </w:r>
      <w:r w:rsidR="00BA0582" w:rsidRPr="00BA0582">
        <w:rPr>
          <w:rFonts w:cstheme="minorHAnsi"/>
        </w:rPr>
        <w:t>.</w:t>
      </w:r>
    </w:p>
    <w:p w14:paraId="12FE4744" w14:textId="5EA94F9A" w:rsidR="001539C6" w:rsidRPr="00BA0582" w:rsidRDefault="001539C6" w:rsidP="00BA0582">
      <w:pPr>
        <w:ind w:firstLine="360"/>
        <w:jc w:val="both"/>
        <w:rPr>
          <w:rFonts w:cstheme="minorHAnsi"/>
        </w:rPr>
      </w:pPr>
    </w:p>
    <w:p w14:paraId="50CC661C" w14:textId="4DE67CE0" w:rsidR="000C2F35" w:rsidRDefault="00BA0582" w:rsidP="000C2F35">
      <w:pPr>
        <w:keepNext/>
        <w:jc w:val="center"/>
      </w:pPr>
      <w:r w:rsidRPr="00BA0582">
        <w:rPr>
          <w:rFonts w:cstheme="minorHAnsi"/>
        </w:rPr>
        <w:object w:dxaOrig="6243" w:dyaOrig="1195" w14:anchorId="75668130">
          <v:shape id="_x0000_i1217" type="#_x0000_t75" style="width:5in;height:67.25pt" o:ole="">
            <v:imagedata r:id="rId524" o:title=""/>
          </v:shape>
          <o:OLEObject Type="Embed" ProgID="ChemDraw.Document.6.0" ShapeID="_x0000_i1217" DrawAspect="Content" ObjectID="_1532785038" r:id="rId525"/>
        </w:object>
      </w:r>
    </w:p>
    <w:p w14:paraId="4C762B52" w14:textId="226B5574" w:rsidR="00BA0582" w:rsidRPr="000C2F35" w:rsidRDefault="000C2F35" w:rsidP="000C2F35">
      <w:pPr>
        <w:pStyle w:val="Caption"/>
        <w:rPr>
          <w:rFonts w:cstheme="minorHAnsi"/>
        </w:rPr>
      </w:pPr>
      <w:bookmarkStart w:id="436" w:name="_Toc457670797"/>
      <w:r>
        <w:t xml:space="preserve">Figure </w:t>
      </w:r>
      <w:r w:rsidR="00443010">
        <w:fldChar w:fldCharType="begin"/>
      </w:r>
      <w:r w:rsidR="00443010">
        <w:instrText xml:space="preserve"> STYLEREF 1 \s </w:instrText>
      </w:r>
      <w:r w:rsidR="00443010">
        <w:fldChar w:fldCharType="separate"/>
      </w:r>
      <w:r w:rsidR="000A0E3D">
        <w:rPr>
          <w:noProof/>
        </w:rPr>
        <w:t>IV</w:t>
      </w:r>
      <w:r w:rsidR="00443010">
        <w:rPr>
          <w:noProof/>
        </w:rPr>
        <w:fldChar w:fldCharType="end"/>
      </w:r>
      <w:r w:rsidR="00573BBE">
        <w:t>.</w:t>
      </w:r>
      <w:r w:rsidR="00443010">
        <w:fldChar w:fldCharType="begin"/>
      </w:r>
      <w:r w:rsidR="00443010">
        <w:instrText xml:space="preserve"> SEQ Figure \* ARABIC \s 1 </w:instrText>
      </w:r>
      <w:r w:rsidR="00443010">
        <w:fldChar w:fldCharType="separate"/>
      </w:r>
      <w:r w:rsidR="000A0E3D">
        <w:rPr>
          <w:noProof/>
        </w:rPr>
        <w:t>13</w:t>
      </w:r>
      <w:r w:rsidR="00443010">
        <w:rPr>
          <w:noProof/>
        </w:rPr>
        <w:fldChar w:fldCharType="end"/>
      </w:r>
      <w:r>
        <w:t xml:space="preserve"> </w:t>
      </w:r>
      <w:r w:rsidR="00BA0582" w:rsidRPr="000C2F35">
        <w:rPr>
          <w:rFonts w:cstheme="minorHAnsi"/>
        </w:rPr>
        <w:t>List of the alcohols studied</w:t>
      </w:r>
      <w:bookmarkEnd w:id="436"/>
    </w:p>
    <w:p w14:paraId="6C68B8E3" w14:textId="7085B598" w:rsidR="000C2F35" w:rsidRDefault="0052539C" w:rsidP="000C2F35">
      <w:pPr>
        <w:keepNext/>
        <w:jc w:val="center"/>
      </w:pPr>
      <w:r>
        <w:rPr>
          <w:rFonts w:cstheme="minorHAnsi"/>
          <w:noProof/>
          <w:lang w:bidi="ar-SA"/>
        </w:rPr>
        <mc:AlternateContent>
          <mc:Choice Requires="wps">
            <w:drawing>
              <wp:anchor distT="0" distB="0" distL="114300" distR="114300" simplePos="0" relativeHeight="251723264" behindDoc="0" locked="0" layoutInCell="1" allowOverlap="1" wp14:anchorId="72FE9986" wp14:editId="724EDD3D">
                <wp:simplePos x="0" y="0"/>
                <wp:positionH relativeFrom="column">
                  <wp:posOffset>4514606</wp:posOffset>
                </wp:positionH>
                <wp:positionV relativeFrom="paragraph">
                  <wp:posOffset>2525542</wp:posOffset>
                </wp:positionV>
                <wp:extent cx="77373" cy="295422"/>
                <wp:effectExtent l="57150" t="0" r="37465" b="47625"/>
                <wp:wrapNone/>
                <wp:docPr id="80" name="Straight Arrow Connector 80"/>
                <wp:cNvGraphicFramePr/>
                <a:graphic xmlns:a="http://schemas.openxmlformats.org/drawingml/2006/main">
                  <a:graphicData uri="http://schemas.microsoft.com/office/word/2010/wordprocessingShape">
                    <wps:wsp>
                      <wps:cNvCnPr/>
                      <wps:spPr>
                        <a:xfrm flipH="1">
                          <a:off x="0" y="0"/>
                          <a:ext cx="77373" cy="295422"/>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08FDB5" id="Straight Arrow Connector 80" o:spid="_x0000_s1026" type="#_x0000_t32" style="position:absolute;margin-left:355.5pt;margin-top:198.85pt;width:6.1pt;height:23.25pt;flip:x;z-index:251723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" strokecolor="#7f7f7f [1612]">
                <v:stroke endarrow="block"/>
              </v:shape>
            </w:pict>
          </mc:Fallback>
        </mc:AlternateContent>
      </w:r>
      <w:r>
        <w:rPr>
          <w:rFonts w:cstheme="minorHAnsi"/>
          <w:noProof/>
          <w:lang w:bidi="ar-SA"/>
        </w:rPr>
        <mc:AlternateContent>
          <mc:Choice Requires="wps">
            <w:drawing>
              <wp:anchor distT="0" distB="0" distL="114300" distR="114300" simplePos="0" relativeHeight="251721216" behindDoc="0" locked="0" layoutInCell="1" allowOverlap="1" wp14:anchorId="12B27E63" wp14:editId="6C5349B6">
                <wp:simplePos x="0" y="0"/>
                <wp:positionH relativeFrom="column">
                  <wp:posOffset>4763330</wp:posOffset>
                </wp:positionH>
                <wp:positionV relativeFrom="paragraph">
                  <wp:posOffset>2352040</wp:posOffset>
                </wp:positionV>
                <wp:extent cx="77373" cy="295422"/>
                <wp:effectExtent l="57150" t="0" r="37465" b="47625"/>
                <wp:wrapNone/>
                <wp:docPr id="79" name="Straight Arrow Connector 79"/>
                <wp:cNvGraphicFramePr/>
                <a:graphic xmlns:a="http://schemas.openxmlformats.org/drawingml/2006/main">
                  <a:graphicData uri="http://schemas.microsoft.com/office/word/2010/wordprocessingShape">
                    <wps:wsp>
                      <wps:cNvCnPr/>
                      <wps:spPr>
                        <a:xfrm flipH="1">
                          <a:off x="0" y="0"/>
                          <a:ext cx="77373" cy="295422"/>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F3C772" id="Straight Arrow Connector 79" o:spid="_x0000_s1026" type="#_x0000_t32" style="position:absolute;margin-left:375.05pt;margin-top:185.2pt;width:6.1pt;height:23.25pt;flip:x;z-index:251721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" strokecolor="#7f7f7f [1612]">
                <v:stroke endarrow="block"/>
              </v:shape>
            </w:pict>
          </mc:Fallback>
        </mc:AlternateContent>
      </w:r>
      <w:r>
        <w:rPr>
          <w:rFonts w:cstheme="minorHAnsi"/>
          <w:noProof/>
          <w:lang w:bidi="ar-SA"/>
        </w:rPr>
        <mc:AlternateContent>
          <mc:Choice Requires="wps">
            <w:drawing>
              <wp:anchor distT="0" distB="0" distL="114300" distR="114300" simplePos="0" relativeHeight="251719168" behindDoc="0" locked="0" layoutInCell="1" allowOverlap="1" wp14:anchorId="79D18BA0" wp14:editId="48CDEB0A">
                <wp:simplePos x="0" y="0"/>
                <wp:positionH relativeFrom="column">
                  <wp:posOffset>3577297</wp:posOffset>
                </wp:positionH>
                <wp:positionV relativeFrom="paragraph">
                  <wp:posOffset>2565889</wp:posOffset>
                </wp:positionV>
                <wp:extent cx="77373" cy="295422"/>
                <wp:effectExtent l="57150" t="0" r="37465" b="47625"/>
                <wp:wrapNone/>
                <wp:docPr id="78" name="Straight Arrow Connector 78"/>
                <wp:cNvGraphicFramePr/>
                <a:graphic xmlns:a="http://schemas.openxmlformats.org/drawingml/2006/main">
                  <a:graphicData uri="http://schemas.microsoft.com/office/word/2010/wordprocessingShape">
                    <wps:wsp>
                      <wps:cNvCnPr/>
                      <wps:spPr>
                        <a:xfrm flipH="1">
                          <a:off x="0" y="0"/>
                          <a:ext cx="77373" cy="295422"/>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476E24" id="Straight Arrow Connector 78" o:spid="_x0000_s1026" type="#_x0000_t32" style="position:absolute;margin-left:281.7pt;margin-top:202.05pt;width:6.1pt;height:23.25pt;flip:x;z-index:251719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" strokecolor="#7f7f7f [1612]">
                <v:stroke endarrow="block"/>
              </v:shape>
            </w:pict>
          </mc:Fallback>
        </mc:AlternateContent>
      </w:r>
      <w:r>
        <w:rPr>
          <w:rFonts w:cstheme="minorHAnsi"/>
          <w:noProof/>
          <w:lang w:bidi="ar-SA"/>
        </w:rPr>
        <mc:AlternateContent>
          <mc:Choice Requires="wps">
            <w:drawing>
              <wp:anchor distT="0" distB="0" distL="114300" distR="114300" simplePos="0" relativeHeight="251717120" behindDoc="0" locked="0" layoutInCell="1" allowOverlap="1" wp14:anchorId="5C832E27" wp14:editId="0C15649B">
                <wp:simplePos x="0" y="0"/>
                <wp:positionH relativeFrom="column">
                  <wp:posOffset>3284562</wp:posOffset>
                </wp:positionH>
                <wp:positionV relativeFrom="paragraph">
                  <wp:posOffset>2617519</wp:posOffset>
                </wp:positionV>
                <wp:extent cx="77373" cy="295422"/>
                <wp:effectExtent l="57150" t="0" r="37465" b="47625"/>
                <wp:wrapNone/>
                <wp:docPr id="77" name="Straight Arrow Connector 77"/>
                <wp:cNvGraphicFramePr/>
                <a:graphic xmlns:a="http://schemas.openxmlformats.org/drawingml/2006/main">
                  <a:graphicData uri="http://schemas.microsoft.com/office/word/2010/wordprocessingShape">
                    <wps:wsp>
                      <wps:cNvCnPr/>
                      <wps:spPr>
                        <a:xfrm flipH="1">
                          <a:off x="0" y="0"/>
                          <a:ext cx="77373" cy="295422"/>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9FDC6A" id="Straight Arrow Connector 77" o:spid="_x0000_s1026" type="#_x0000_t32" style="position:absolute;margin-left:258.65pt;margin-top:206.1pt;width:6.1pt;height:23.25pt;flip:x;z-index:251717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" strokecolor="#7f7f7f [1612]">
                <v:stroke endarrow="block"/>
              </v:shape>
            </w:pict>
          </mc:Fallback>
        </mc:AlternateContent>
      </w:r>
      <w:r>
        <w:rPr>
          <w:rFonts w:cstheme="minorHAnsi"/>
          <w:noProof/>
          <w:lang w:bidi="ar-SA"/>
        </w:rPr>
        <mc:AlternateContent>
          <mc:Choice Requires="wps">
            <w:drawing>
              <wp:anchor distT="0" distB="0" distL="114300" distR="114300" simplePos="0" relativeHeight="251715072" behindDoc="0" locked="0" layoutInCell="1" allowOverlap="1" wp14:anchorId="039470A8" wp14:editId="41F7B8DF">
                <wp:simplePos x="0" y="0"/>
                <wp:positionH relativeFrom="column">
                  <wp:posOffset>888755</wp:posOffset>
                </wp:positionH>
                <wp:positionV relativeFrom="paragraph">
                  <wp:posOffset>1178023</wp:posOffset>
                </wp:positionV>
                <wp:extent cx="77373" cy="295422"/>
                <wp:effectExtent l="57150" t="0" r="37465" b="47625"/>
                <wp:wrapNone/>
                <wp:docPr id="76" name="Straight Arrow Connector 76"/>
                <wp:cNvGraphicFramePr/>
                <a:graphic xmlns:a="http://schemas.openxmlformats.org/drawingml/2006/main">
                  <a:graphicData uri="http://schemas.microsoft.com/office/word/2010/wordprocessingShape">
                    <wps:wsp>
                      <wps:cNvCnPr/>
                      <wps:spPr>
                        <a:xfrm flipH="1">
                          <a:off x="0" y="0"/>
                          <a:ext cx="77373" cy="295422"/>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038559" id="Straight Arrow Connector 76" o:spid="_x0000_s1026" type="#_x0000_t32" style="position:absolute;margin-left:70pt;margin-top:92.75pt;width:6.1pt;height:23.25pt;flip:x;z-index:251715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" strokecolor="#7f7f7f [1612]">
                <v:stroke endarrow="block"/>
              </v:shape>
            </w:pict>
          </mc:Fallback>
        </mc:AlternateContent>
      </w:r>
      <w:r>
        <w:rPr>
          <w:rFonts w:cstheme="minorHAnsi"/>
          <w:noProof/>
          <w:lang w:bidi="ar-SA"/>
        </w:rPr>
        <mc:AlternateContent>
          <mc:Choice Requires="wps">
            <w:drawing>
              <wp:anchor distT="0" distB="0" distL="114300" distR="114300" simplePos="0" relativeHeight="251713024" behindDoc="0" locked="0" layoutInCell="1" allowOverlap="1" wp14:anchorId="2C8E3AA0" wp14:editId="5B0A8E64">
                <wp:simplePos x="0" y="0"/>
                <wp:positionH relativeFrom="column">
                  <wp:posOffset>801125</wp:posOffset>
                </wp:positionH>
                <wp:positionV relativeFrom="paragraph">
                  <wp:posOffset>1103484</wp:posOffset>
                </wp:positionV>
                <wp:extent cx="77373" cy="295422"/>
                <wp:effectExtent l="57150" t="0" r="37465" b="47625"/>
                <wp:wrapNone/>
                <wp:docPr id="75" name="Straight Arrow Connector 75"/>
                <wp:cNvGraphicFramePr/>
                <a:graphic xmlns:a="http://schemas.openxmlformats.org/drawingml/2006/main">
                  <a:graphicData uri="http://schemas.microsoft.com/office/word/2010/wordprocessingShape">
                    <wps:wsp>
                      <wps:cNvCnPr/>
                      <wps:spPr>
                        <a:xfrm flipH="1">
                          <a:off x="0" y="0"/>
                          <a:ext cx="77373" cy="295422"/>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3394D30" id="Straight Arrow Connector 75" o:spid="_x0000_s1026" type="#_x0000_t32" style="position:absolute;margin-left:63.1pt;margin-top:86.9pt;width:6.1pt;height:23.25pt;flip:x;z-index:251713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" strokecolor="#7f7f7f [1612]">
                <v:stroke endarrow="block"/>
              </v:shape>
            </w:pict>
          </mc:Fallback>
        </mc:AlternateContent>
      </w:r>
      <w:r>
        <w:rPr>
          <w:rFonts w:cstheme="minorHAnsi"/>
          <w:noProof/>
          <w:lang w:bidi="ar-SA"/>
        </w:rPr>
        <mc:AlternateContent>
          <mc:Choice Requires="wps">
            <w:drawing>
              <wp:anchor distT="0" distB="0" distL="114300" distR="114300" simplePos="0" relativeHeight="251710976" behindDoc="0" locked="0" layoutInCell="1" allowOverlap="1" wp14:anchorId="21A00814" wp14:editId="4AED4E48">
                <wp:simplePos x="0" y="0"/>
                <wp:positionH relativeFrom="column">
                  <wp:posOffset>1232779</wp:posOffset>
                </wp:positionH>
                <wp:positionV relativeFrom="paragraph">
                  <wp:posOffset>1155309</wp:posOffset>
                </wp:positionV>
                <wp:extent cx="77373" cy="295422"/>
                <wp:effectExtent l="57150" t="0" r="37465" b="47625"/>
                <wp:wrapNone/>
                <wp:docPr id="74" name="Straight Arrow Connector 74"/>
                <wp:cNvGraphicFramePr/>
                <a:graphic xmlns:a="http://schemas.openxmlformats.org/drawingml/2006/main">
                  <a:graphicData uri="http://schemas.microsoft.com/office/word/2010/wordprocessingShape">
                    <wps:wsp>
                      <wps:cNvCnPr/>
                      <wps:spPr>
                        <a:xfrm flipH="1">
                          <a:off x="0" y="0"/>
                          <a:ext cx="77373" cy="295422"/>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F81316" id="Straight Arrow Connector 74" o:spid="_x0000_s1026" type="#_x0000_t32" style="position:absolute;margin-left:97.05pt;margin-top:90.95pt;width:6.1pt;height:23.25pt;flip:x;z-index:251710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" strokecolor="#7f7f7f [1612]">
                <v:stroke endarrow="block"/>
              </v:shape>
            </w:pict>
          </mc:Fallback>
        </mc:AlternateContent>
      </w:r>
      <w:r>
        <w:rPr>
          <w:rFonts w:cstheme="minorHAnsi"/>
          <w:noProof/>
          <w:lang w:bidi="ar-SA"/>
        </w:rPr>
        <mc:AlternateContent>
          <mc:Choice Requires="wps">
            <w:drawing>
              <wp:anchor distT="0" distB="0" distL="114300" distR="114300" simplePos="0" relativeHeight="251708928" behindDoc="0" locked="0" layoutInCell="1" allowOverlap="1" wp14:anchorId="3D5B0FC9" wp14:editId="54E8DE6E">
                <wp:simplePos x="0" y="0"/>
                <wp:positionH relativeFrom="column">
                  <wp:posOffset>1411410</wp:posOffset>
                </wp:positionH>
                <wp:positionV relativeFrom="paragraph">
                  <wp:posOffset>1150766</wp:posOffset>
                </wp:positionV>
                <wp:extent cx="77373" cy="295422"/>
                <wp:effectExtent l="57150" t="0" r="37465" b="47625"/>
                <wp:wrapNone/>
                <wp:docPr id="73" name="Straight Arrow Connector 73"/>
                <wp:cNvGraphicFramePr/>
                <a:graphic xmlns:a="http://schemas.openxmlformats.org/drawingml/2006/main">
                  <a:graphicData uri="http://schemas.microsoft.com/office/word/2010/wordprocessingShape">
                    <wps:wsp>
                      <wps:cNvCnPr/>
                      <wps:spPr>
                        <a:xfrm flipH="1">
                          <a:off x="0" y="0"/>
                          <a:ext cx="77373" cy="295422"/>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05C4CD" id="Straight Arrow Connector 73" o:spid="_x0000_s1026" type="#_x0000_t32" style="position:absolute;margin-left:111.15pt;margin-top:90.6pt;width:6.1pt;height:23.25pt;flip:x;z-index:251708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" strokecolor="#7f7f7f [1612]">
                <v:stroke endarrow="block"/>
              </v:shape>
            </w:pict>
          </mc:Fallback>
        </mc:AlternateContent>
      </w:r>
      <w:r>
        <w:rPr>
          <w:rFonts w:cstheme="minorHAnsi"/>
          <w:noProof/>
          <w:lang w:bidi="ar-SA"/>
        </w:rPr>
        <mc:AlternateContent>
          <mc:Choice Requires="wps">
            <w:drawing>
              <wp:anchor distT="0" distB="0" distL="114300" distR="114300" simplePos="0" relativeHeight="251706880" behindDoc="0" locked="0" layoutInCell="1" allowOverlap="1" wp14:anchorId="458F072B" wp14:editId="21BE4F88">
                <wp:simplePos x="0" y="0"/>
                <wp:positionH relativeFrom="column">
                  <wp:posOffset>2754581</wp:posOffset>
                </wp:positionH>
                <wp:positionV relativeFrom="paragraph">
                  <wp:posOffset>1158191</wp:posOffset>
                </wp:positionV>
                <wp:extent cx="77373" cy="295422"/>
                <wp:effectExtent l="57150" t="0" r="37465" b="47625"/>
                <wp:wrapNone/>
                <wp:docPr id="72" name="Straight Arrow Connector 72"/>
                <wp:cNvGraphicFramePr/>
                <a:graphic xmlns:a="http://schemas.openxmlformats.org/drawingml/2006/main">
                  <a:graphicData uri="http://schemas.microsoft.com/office/word/2010/wordprocessingShape">
                    <wps:wsp>
                      <wps:cNvCnPr/>
                      <wps:spPr>
                        <a:xfrm flipH="1">
                          <a:off x="0" y="0"/>
                          <a:ext cx="77373" cy="295422"/>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33AED21" id="Straight Arrow Connector 72" o:spid="_x0000_s1026" type="#_x0000_t32" style="position:absolute;margin-left:216.9pt;margin-top:91.2pt;width:6.1pt;height:23.25pt;flip:x;z-index:251706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" strokecolor="#7f7f7f [1612]">
                <v:stroke endarrow="block"/>
              </v:shape>
            </w:pict>
          </mc:Fallback>
        </mc:AlternateContent>
      </w:r>
      <w:r>
        <w:rPr>
          <w:rFonts w:cstheme="minorHAnsi"/>
          <w:noProof/>
          <w:lang w:bidi="ar-SA"/>
        </w:rPr>
        <mc:AlternateContent>
          <mc:Choice Requires="wps">
            <w:drawing>
              <wp:anchor distT="0" distB="0" distL="114300" distR="114300" simplePos="0" relativeHeight="251704832" behindDoc="0" locked="0" layoutInCell="1" allowOverlap="1" wp14:anchorId="3343708B" wp14:editId="12A17552">
                <wp:simplePos x="0" y="0"/>
                <wp:positionH relativeFrom="column">
                  <wp:posOffset>3157709</wp:posOffset>
                </wp:positionH>
                <wp:positionV relativeFrom="paragraph">
                  <wp:posOffset>1103826</wp:posOffset>
                </wp:positionV>
                <wp:extent cx="77373" cy="295422"/>
                <wp:effectExtent l="57150" t="0" r="37465" b="47625"/>
                <wp:wrapNone/>
                <wp:docPr id="71" name="Straight Arrow Connector 71"/>
                <wp:cNvGraphicFramePr/>
                <a:graphic xmlns:a="http://schemas.openxmlformats.org/drawingml/2006/main">
                  <a:graphicData uri="http://schemas.microsoft.com/office/word/2010/wordprocessingShape">
                    <wps:wsp>
                      <wps:cNvCnPr/>
                      <wps:spPr>
                        <a:xfrm flipH="1">
                          <a:off x="0" y="0"/>
                          <a:ext cx="77373" cy="295422"/>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1EDE8C" id="Straight Arrow Connector 71" o:spid="_x0000_s1026" type="#_x0000_t32" style="position:absolute;margin-left:248.65pt;margin-top:86.9pt;width:6.1pt;height:23.25pt;flip:x;z-index:251704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" strokecolor="#7f7f7f [1612]">
                <v:stroke endarrow="block"/>
              </v:shape>
            </w:pict>
          </mc:Fallback>
        </mc:AlternateContent>
      </w:r>
      <w:r w:rsidR="00BA0582" w:rsidRPr="00BA0582">
        <w:rPr>
          <w:rFonts w:cstheme="minorHAnsi"/>
        </w:rPr>
        <w:object w:dxaOrig="16311" w:dyaOrig="11381" w14:anchorId="78771083">
          <v:shape id="_x0000_i1218" type="#_x0000_t75" style="width:396.4pt;height:277.7pt" o:ole="">
            <v:imagedata r:id="rId526" o:title=""/>
          </v:shape>
          <o:OLEObject Type="Embed" ProgID="MestReNova.Document.1" ShapeID="_x0000_i1218" DrawAspect="Content" ObjectID="_1532785039" r:id="rId527"/>
        </w:object>
      </w:r>
    </w:p>
    <w:p w14:paraId="0889BCFA" w14:textId="77777777" w:rsidR="00BA0582" w:rsidRDefault="000C2F35" w:rsidP="000C2F35">
      <w:pPr>
        <w:pStyle w:val="Caption"/>
      </w:pPr>
      <w:bookmarkStart w:id="437" w:name="_Toc457670798"/>
      <w:r w:rsidRPr="000C2F35">
        <w:t xml:space="preserve">Figure </w:t>
      </w:r>
      <w:r w:rsidR="00443010">
        <w:fldChar w:fldCharType="begin"/>
      </w:r>
      <w:r w:rsidR="00443010">
        <w:instrText xml:space="preserve"> STYLEREF 1 \s </w:instrText>
      </w:r>
      <w:r w:rsidR="00443010">
        <w:fldChar w:fldCharType="separate"/>
      </w:r>
      <w:r w:rsidR="000A0E3D">
        <w:rPr>
          <w:noProof/>
        </w:rPr>
        <w:t>IV</w:t>
      </w:r>
      <w:r w:rsidR="00443010">
        <w:rPr>
          <w:noProof/>
        </w:rPr>
        <w:fldChar w:fldCharType="end"/>
      </w:r>
      <w:r w:rsidR="00573BBE">
        <w:t>.</w:t>
      </w:r>
      <w:r w:rsidR="00443010">
        <w:fldChar w:fldCharType="begin"/>
      </w:r>
      <w:r w:rsidR="00443010">
        <w:instrText xml:space="preserve"> SEQ Figure \* ARABIC \s 1 </w:instrText>
      </w:r>
      <w:r w:rsidR="00443010">
        <w:fldChar w:fldCharType="separate"/>
      </w:r>
      <w:r w:rsidR="000A0E3D">
        <w:rPr>
          <w:noProof/>
        </w:rPr>
        <w:t>14</w:t>
      </w:r>
      <w:r w:rsidR="00443010">
        <w:rPr>
          <w:noProof/>
        </w:rPr>
        <w:fldChar w:fldCharType="end"/>
      </w:r>
      <w:r w:rsidRPr="000C2F35">
        <w:t xml:space="preserve"> </w:t>
      </w:r>
      <w:r w:rsidR="00BA0582" w:rsidRPr="000C2F35">
        <w:rPr>
          <w:vertAlign w:val="superscript"/>
        </w:rPr>
        <w:t>1</w:t>
      </w:r>
      <w:r w:rsidR="00BA0582" w:rsidRPr="000C2F35">
        <w:t>H NMR spectra of sample [PhCHCHCH</w:t>
      </w:r>
      <w:r w:rsidR="00BA0582" w:rsidRPr="000C2F35">
        <w:rPr>
          <w:vertAlign w:val="subscript"/>
        </w:rPr>
        <w:t>2</w:t>
      </w:r>
      <w:r w:rsidR="00BA0582" w:rsidRPr="000C2F35">
        <w:t xml:space="preserve">OH + </w:t>
      </w:r>
      <w:r w:rsidR="00BA0582" w:rsidRPr="000C2F35">
        <w:rPr>
          <w:u w:val="single"/>
        </w:rPr>
        <w:t>1</w:t>
      </w:r>
      <w:r w:rsidR="00BA0582" w:rsidRPr="000C2F35">
        <w:t>] (top) and [CH</w:t>
      </w:r>
      <w:r w:rsidR="00BA0582" w:rsidRPr="000C2F35">
        <w:rPr>
          <w:vertAlign w:val="subscript"/>
        </w:rPr>
        <w:t>3</w:t>
      </w:r>
      <w:r w:rsidR="00BA0582" w:rsidRPr="000C2F35">
        <w:t>CH</w:t>
      </w:r>
      <w:r w:rsidR="00BA0582" w:rsidRPr="000C2F35">
        <w:rPr>
          <w:vertAlign w:val="subscript"/>
        </w:rPr>
        <w:t>2</w:t>
      </w:r>
      <w:r w:rsidR="00BA0582" w:rsidRPr="000C2F35">
        <w:t xml:space="preserve">OH + </w:t>
      </w:r>
      <w:r w:rsidR="00BA0582" w:rsidRPr="000C2F35">
        <w:rPr>
          <w:u w:val="single"/>
        </w:rPr>
        <w:t>1</w:t>
      </w:r>
      <w:r w:rsidR="00BA0582" w:rsidRPr="000C2F35">
        <w:t>] (bottom) with 5:1 ratio of alcohol to rhenium complex</w:t>
      </w:r>
      <w:bookmarkEnd w:id="437"/>
    </w:p>
    <w:p w14:paraId="27237480" w14:textId="77777777" w:rsidR="000C2F35" w:rsidRPr="000C2F35" w:rsidRDefault="000C2F35" w:rsidP="000C2F35"/>
    <w:p w14:paraId="16391663" w14:textId="44CD4C8B" w:rsidR="00BA0582" w:rsidRPr="000C2F35" w:rsidRDefault="000C2F35" w:rsidP="000C2F35">
      <w:pPr>
        <w:pStyle w:val="Caption"/>
        <w:keepNext/>
      </w:pPr>
      <w:bookmarkStart w:id="438" w:name="_Toc457670500"/>
      <w:r>
        <w:t xml:space="preserve">Table </w:t>
      </w:r>
      <w:r w:rsidR="00443010">
        <w:fldChar w:fldCharType="begin"/>
      </w:r>
      <w:r w:rsidR="00443010">
        <w:instrText xml:space="preserve"> STYLEREF 1 \s </w:instrText>
      </w:r>
      <w:r w:rsidR="00443010">
        <w:fldChar w:fldCharType="separate"/>
      </w:r>
      <w:r w:rsidR="000A0E3D">
        <w:rPr>
          <w:noProof/>
        </w:rPr>
        <w:t>IV</w:t>
      </w:r>
      <w:r w:rsidR="00443010">
        <w:rPr>
          <w:noProof/>
        </w:rPr>
        <w:fldChar w:fldCharType="end"/>
      </w:r>
      <w:r w:rsidR="00A90478">
        <w:t>.</w:t>
      </w:r>
      <w:r w:rsidR="00443010">
        <w:fldChar w:fldCharType="begin"/>
      </w:r>
      <w:r w:rsidR="00443010">
        <w:instrText xml:space="preserve"> SEQ Table \* ARABIC \s 1 </w:instrText>
      </w:r>
      <w:r w:rsidR="00443010">
        <w:fldChar w:fldCharType="separate"/>
      </w:r>
      <w:r w:rsidR="000A0E3D">
        <w:rPr>
          <w:noProof/>
        </w:rPr>
        <w:t>2</w:t>
      </w:r>
      <w:r w:rsidR="00443010">
        <w:rPr>
          <w:noProof/>
        </w:rPr>
        <w:fldChar w:fldCharType="end"/>
      </w:r>
      <w:r>
        <w:t xml:space="preserve"> </w:t>
      </w:r>
      <w:r w:rsidR="001539C6">
        <w:t>New</w:t>
      </w:r>
      <w:r w:rsidRPr="000C2F35">
        <w:t xml:space="preserve"> signal</w:t>
      </w:r>
      <w:r w:rsidR="005943F9">
        <w:t>s</w:t>
      </w:r>
      <w:r w:rsidRPr="000C2F35">
        <w:t xml:space="preserve"> in </w:t>
      </w:r>
      <w:r w:rsidRPr="000C2F35">
        <w:rPr>
          <w:vertAlign w:val="superscript"/>
        </w:rPr>
        <w:t>1</w:t>
      </w:r>
      <w:r w:rsidRPr="000C2F35">
        <w:t xml:space="preserve">H and </w:t>
      </w:r>
      <w:r w:rsidRPr="000C2F35">
        <w:rPr>
          <w:vertAlign w:val="superscript"/>
        </w:rPr>
        <w:t>31</w:t>
      </w:r>
      <w:r w:rsidRPr="000C2F35">
        <w:t>P NMR of ROH/IReO</w:t>
      </w:r>
      <w:r w:rsidRPr="000C2F35">
        <w:rPr>
          <w:vertAlign w:val="subscript"/>
        </w:rPr>
        <w:t>2</w:t>
      </w:r>
      <w:r w:rsidRPr="000C2F35">
        <w:t>(PPh</w:t>
      </w:r>
      <w:r w:rsidRPr="000C2F35">
        <w:rPr>
          <w:vertAlign w:val="subscript"/>
        </w:rPr>
        <w:t>3</w:t>
      </w:r>
      <w:r w:rsidRPr="000C2F35">
        <w:t>)</w:t>
      </w:r>
      <w:r w:rsidRPr="000C2F35">
        <w:rPr>
          <w:vertAlign w:val="subscript"/>
        </w:rPr>
        <w:t>2</w:t>
      </w:r>
      <w:r w:rsidRPr="000C2F35">
        <w:t xml:space="preserve"> samples</w:t>
      </w:r>
      <w:bookmarkEnd w:id="438"/>
    </w:p>
    <w:tbl>
      <w:tblPr>
        <w:tblpPr w:leftFromText="180" w:rightFromText="180" w:vertAnchor="text" w:horzAnchor="margin" w:tblpXSpec="center" w:tblpY="-155"/>
        <w:tblW w:w="8190" w:type="dxa"/>
        <w:tblLayout w:type="fixed"/>
        <w:tblLook w:val="04A0" w:firstRow="1" w:lastRow="0" w:firstColumn="1" w:lastColumn="0" w:noHBand="0" w:noVBand="1"/>
      </w:tblPr>
      <w:tblGrid>
        <w:gridCol w:w="1349"/>
        <w:gridCol w:w="539"/>
        <w:gridCol w:w="36"/>
        <w:gridCol w:w="686"/>
        <w:gridCol w:w="34"/>
        <w:gridCol w:w="506"/>
        <w:gridCol w:w="34"/>
        <w:gridCol w:w="956"/>
        <w:gridCol w:w="810"/>
        <w:gridCol w:w="540"/>
        <w:gridCol w:w="720"/>
        <w:gridCol w:w="810"/>
        <w:gridCol w:w="1080"/>
        <w:gridCol w:w="90"/>
      </w:tblGrid>
      <w:tr w:rsidR="00A45FB5" w:rsidRPr="00B524C2" w14:paraId="661047B9" w14:textId="77777777" w:rsidTr="000351A7">
        <w:trPr>
          <w:trHeight w:val="330"/>
        </w:trPr>
        <w:tc>
          <w:tcPr>
            <w:tcW w:w="1349" w:type="dxa"/>
            <w:vMerge w:val="restart"/>
            <w:tcBorders>
              <w:top w:val="nil"/>
              <w:left w:val="nil"/>
              <w:bottom w:val="single" w:sz="4" w:space="0" w:color="000000"/>
            </w:tcBorders>
            <w:shd w:val="clear" w:color="auto" w:fill="auto"/>
            <w:noWrap/>
            <w:vAlign w:val="center"/>
            <w:hideMark/>
          </w:tcPr>
          <w:p w14:paraId="271C9D2C" w14:textId="77777777" w:rsidR="00A45FB5" w:rsidRPr="00B524C2" w:rsidRDefault="00A45FB5" w:rsidP="00BA0582">
            <w:pPr>
              <w:spacing w:line="240" w:lineRule="auto"/>
              <w:rPr>
                <w:rFonts w:cstheme="minorHAnsi"/>
                <w:color w:val="000000"/>
                <w:sz w:val="18"/>
                <w:szCs w:val="18"/>
              </w:rPr>
            </w:pPr>
            <w:r w:rsidRPr="00B524C2">
              <w:rPr>
                <w:rFonts w:cstheme="minorHAnsi"/>
                <w:color w:val="000000"/>
                <w:sz w:val="18"/>
                <w:szCs w:val="18"/>
              </w:rPr>
              <w:t>ROH</w:t>
            </w:r>
            <w:r w:rsidRPr="00B524C2">
              <w:rPr>
                <w:rFonts w:cstheme="minorHAnsi"/>
                <w:color w:val="000000"/>
                <w:sz w:val="18"/>
                <w:szCs w:val="18"/>
                <w:vertAlign w:val="superscript"/>
              </w:rPr>
              <w:t>a</w:t>
            </w:r>
          </w:p>
          <w:p w14:paraId="0FC66639" w14:textId="77777777" w:rsidR="00A45FB5" w:rsidRPr="00B524C2" w:rsidRDefault="00A45FB5" w:rsidP="00BA0582">
            <w:pPr>
              <w:spacing w:line="240" w:lineRule="auto"/>
              <w:rPr>
                <w:rFonts w:cstheme="minorHAnsi"/>
                <w:color w:val="000000"/>
                <w:sz w:val="18"/>
                <w:szCs w:val="18"/>
              </w:rPr>
            </w:pPr>
          </w:p>
          <w:p w14:paraId="494C45E3" w14:textId="77777777" w:rsidR="00A45FB5" w:rsidRPr="00B524C2" w:rsidRDefault="00A45FB5" w:rsidP="00BA0582">
            <w:pPr>
              <w:spacing w:line="240" w:lineRule="auto"/>
              <w:rPr>
                <w:rFonts w:cstheme="minorHAnsi"/>
                <w:color w:val="000000"/>
                <w:sz w:val="18"/>
                <w:szCs w:val="18"/>
              </w:rPr>
            </w:pPr>
          </w:p>
        </w:tc>
        <w:tc>
          <w:tcPr>
            <w:tcW w:w="539" w:type="dxa"/>
            <w:vMerge w:val="restart"/>
            <w:tcBorders>
              <w:top w:val="nil"/>
            </w:tcBorders>
          </w:tcPr>
          <w:p w14:paraId="0E22039D" w14:textId="77777777" w:rsidR="00A45FB5" w:rsidRPr="00B524C2" w:rsidRDefault="00A45FB5" w:rsidP="00BA0582">
            <w:pPr>
              <w:spacing w:line="240" w:lineRule="auto"/>
              <w:rPr>
                <w:rFonts w:cstheme="minorHAnsi"/>
                <w:color w:val="000000"/>
                <w:sz w:val="18"/>
                <w:szCs w:val="18"/>
              </w:rPr>
            </w:pPr>
          </w:p>
        </w:tc>
        <w:tc>
          <w:tcPr>
            <w:tcW w:w="1262" w:type="dxa"/>
            <w:gridSpan w:val="4"/>
            <w:tcBorders>
              <w:top w:val="nil"/>
              <w:left w:val="nil"/>
              <w:bottom w:val="dashed" w:sz="4" w:space="0" w:color="808080" w:themeColor="background1" w:themeShade="80"/>
              <w:right w:val="single" w:sz="4" w:space="0" w:color="808080"/>
            </w:tcBorders>
            <w:shd w:val="clear" w:color="auto" w:fill="auto"/>
            <w:noWrap/>
            <w:vAlign w:val="center"/>
            <w:hideMark/>
          </w:tcPr>
          <w:p w14:paraId="49F151F6" w14:textId="77777777" w:rsidR="00A45FB5" w:rsidRPr="00B524C2" w:rsidRDefault="00A45FB5" w:rsidP="00BA0582">
            <w:pPr>
              <w:spacing w:line="240" w:lineRule="auto"/>
              <w:rPr>
                <w:rFonts w:cstheme="minorHAnsi"/>
                <w:color w:val="000000"/>
                <w:sz w:val="18"/>
                <w:szCs w:val="18"/>
              </w:rPr>
            </w:pPr>
            <w:r w:rsidRPr="00B524C2">
              <w:rPr>
                <w:rFonts w:cstheme="minorHAnsi"/>
                <w:color w:val="000000"/>
                <w:sz w:val="18"/>
                <w:szCs w:val="18"/>
              </w:rPr>
              <w:t>EtOH</w:t>
            </w:r>
          </w:p>
        </w:tc>
        <w:tc>
          <w:tcPr>
            <w:tcW w:w="990" w:type="dxa"/>
            <w:gridSpan w:val="2"/>
            <w:tcBorders>
              <w:top w:val="nil"/>
              <w:left w:val="nil"/>
              <w:bottom w:val="dashed" w:sz="4" w:space="0" w:color="808080" w:themeColor="background1" w:themeShade="80"/>
              <w:right w:val="single" w:sz="4" w:space="0" w:color="808080"/>
            </w:tcBorders>
            <w:shd w:val="clear" w:color="auto" w:fill="auto"/>
            <w:noWrap/>
            <w:vAlign w:val="center"/>
            <w:hideMark/>
          </w:tcPr>
          <w:p w14:paraId="49E21F7C" w14:textId="77777777" w:rsidR="00A45FB5" w:rsidRPr="00B524C2" w:rsidRDefault="00A45FB5" w:rsidP="00BA0582">
            <w:pPr>
              <w:spacing w:line="240" w:lineRule="auto"/>
              <w:rPr>
                <w:rFonts w:cstheme="minorHAnsi"/>
                <w:color w:val="000000"/>
                <w:sz w:val="18"/>
                <w:szCs w:val="18"/>
              </w:rPr>
            </w:pPr>
            <w:r w:rsidRPr="00B524C2">
              <w:rPr>
                <w:rFonts w:cstheme="minorHAnsi"/>
                <w:color w:val="000000"/>
                <w:sz w:val="18"/>
                <w:szCs w:val="18"/>
              </w:rPr>
              <w:t>PhCH</w:t>
            </w:r>
            <w:r w:rsidRPr="00B524C2">
              <w:rPr>
                <w:rFonts w:cstheme="minorHAnsi"/>
                <w:color w:val="000000"/>
                <w:sz w:val="18"/>
                <w:szCs w:val="18"/>
                <w:vertAlign w:val="subscript"/>
              </w:rPr>
              <w:t>2</w:t>
            </w:r>
            <w:r w:rsidRPr="00B524C2">
              <w:rPr>
                <w:rFonts w:cstheme="minorHAnsi"/>
                <w:color w:val="000000"/>
                <w:sz w:val="18"/>
                <w:szCs w:val="18"/>
              </w:rPr>
              <w:t>OH</w:t>
            </w:r>
          </w:p>
        </w:tc>
        <w:tc>
          <w:tcPr>
            <w:tcW w:w="1350" w:type="dxa"/>
            <w:gridSpan w:val="2"/>
            <w:tcBorders>
              <w:top w:val="nil"/>
              <w:left w:val="nil"/>
              <w:bottom w:val="dashed" w:sz="4" w:space="0" w:color="808080" w:themeColor="background1" w:themeShade="80"/>
              <w:right w:val="single" w:sz="4" w:space="0" w:color="808080"/>
            </w:tcBorders>
            <w:shd w:val="clear" w:color="auto" w:fill="auto"/>
            <w:noWrap/>
            <w:vAlign w:val="center"/>
            <w:hideMark/>
          </w:tcPr>
          <w:p w14:paraId="02DEBF14" w14:textId="77777777" w:rsidR="00A45FB5" w:rsidRPr="00B524C2" w:rsidRDefault="00A45FB5" w:rsidP="00BA0582">
            <w:pPr>
              <w:spacing w:line="240" w:lineRule="auto"/>
              <w:rPr>
                <w:rFonts w:cstheme="minorHAnsi"/>
                <w:color w:val="000000"/>
                <w:sz w:val="18"/>
                <w:szCs w:val="18"/>
              </w:rPr>
            </w:pPr>
            <w:r w:rsidRPr="00B524C2">
              <w:rPr>
                <w:rFonts w:cstheme="minorHAnsi"/>
                <w:color w:val="000000"/>
                <w:sz w:val="18"/>
                <w:szCs w:val="18"/>
              </w:rPr>
              <w:t>PhCH(OH)CH</w:t>
            </w:r>
            <w:r w:rsidRPr="00B524C2">
              <w:rPr>
                <w:rFonts w:cstheme="minorHAnsi"/>
                <w:color w:val="000000"/>
                <w:sz w:val="18"/>
                <w:szCs w:val="18"/>
                <w:vertAlign w:val="subscript"/>
              </w:rPr>
              <w:t>3</w:t>
            </w:r>
          </w:p>
        </w:tc>
        <w:tc>
          <w:tcPr>
            <w:tcW w:w="1530" w:type="dxa"/>
            <w:gridSpan w:val="2"/>
            <w:tcBorders>
              <w:top w:val="nil"/>
              <w:left w:val="nil"/>
              <w:bottom w:val="dashed" w:sz="4" w:space="0" w:color="808080" w:themeColor="background1" w:themeShade="80"/>
              <w:right w:val="single" w:sz="4" w:space="0" w:color="808080"/>
            </w:tcBorders>
            <w:shd w:val="clear" w:color="auto" w:fill="auto"/>
            <w:noWrap/>
            <w:vAlign w:val="center"/>
            <w:hideMark/>
          </w:tcPr>
          <w:p w14:paraId="36550C60" w14:textId="77777777" w:rsidR="00A45FB5" w:rsidRPr="00B524C2" w:rsidRDefault="00A45FB5" w:rsidP="00BA0582">
            <w:pPr>
              <w:spacing w:line="240" w:lineRule="auto"/>
              <w:rPr>
                <w:rFonts w:cstheme="minorHAnsi"/>
                <w:color w:val="000000"/>
                <w:sz w:val="18"/>
                <w:szCs w:val="18"/>
              </w:rPr>
            </w:pPr>
            <w:r w:rsidRPr="00B524C2">
              <w:rPr>
                <w:rFonts w:cstheme="minorHAnsi"/>
                <w:color w:val="000000"/>
                <w:sz w:val="18"/>
                <w:szCs w:val="18"/>
              </w:rPr>
              <w:t>PhCHCHCH</w:t>
            </w:r>
            <w:r w:rsidRPr="00B524C2">
              <w:rPr>
                <w:rFonts w:cstheme="minorHAnsi"/>
                <w:color w:val="000000"/>
                <w:sz w:val="18"/>
                <w:szCs w:val="18"/>
                <w:vertAlign w:val="subscript"/>
              </w:rPr>
              <w:t>2</w:t>
            </w:r>
            <w:r w:rsidRPr="00B524C2">
              <w:rPr>
                <w:rFonts w:cstheme="minorHAnsi"/>
                <w:color w:val="000000"/>
                <w:sz w:val="18"/>
                <w:szCs w:val="18"/>
              </w:rPr>
              <w:t>OH</w:t>
            </w:r>
          </w:p>
        </w:tc>
        <w:tc>
          <w:tcPr>
            <w:tcW w:w="1170" w:type="dxa"/>
            <w:gridSpan w:val="2"/>
            <w:tcBorders>
              <w:top w:val="nil"/>
              <w:left w:val="nil"/>
              <w:bottom w:val="dashed" w:sz="4" w:space="0" w:color="808080" w:themeColor="background1" w:themeShade="80"/>
            </w:tcBorders>
            <w:shd w:val="clear" w:color="auto" w:fill="auto"/>
            <w:noWrap/>
            <w:vAlign w:val="center"/>
            <w:hideMark/>
          </w:tcPr>
          <w:p w14:paraId="77C89BDC" w14:textId="77777777" w:rsidR="00A45FB5" w:rsidRPr="00B524C2" w:rsidRDefault="00A45FB5" w:rsidP="00BA0582">
            <w:pPr>
              <w:spacing w:line="240" w:lineRule="auto"/>
              <w:rPr>
                <w:rFonts w:cstheme="minorHAnsi"/>
                <w:color w:val="000000"/>
                <w:sz w:val="18"/>
                <w:szCs w:val="18"/>
              </w:rPr>
            </w:pPr>
            <w:r w:rsidRPr="00B524C2">
              <w:rPr>
                <w:rFonts w:cstheme="minorHAnsi"/>
                <w:color w:val="000000"/>
                <w:sz w:val="18"/>
                <w:szCs w:val="18"/>
              </w:rPr>
              <w:t>Ph</w:t>
            </w:r>
            <w:r w:rsidRPr="00B524C2">
              <w:rPr>
                <w:rFonts w:cstheme="minorHAnsi"/>
                <w:color w:val="000000"/>
                <w:sz w:val="18"/>
                <w:szCs w:val="18"/>
                <w:vertAlign w:val="subscript"/>
              </w:rPr>
              <w:t>2</w:t>
            </w:r>
            <w:r w:rsidRPr="00B524C2">
              <w:rPr>
                <w:rFonts w:cstheme="minorHAnsi"/>
                <w:color w:val="000000"/>
                <w:sz w:val="18"/>
                <w:szCs w:val="18"/>
              </w:rPr>
              <w:t>CH(OH)</w:t>
            </w:r>
          </w:p>
        </w:tc>
      </w:tr>
      <w:tr w:rsidR="000351A7" w:rsidRPr="00B524C2" w14:paraId="3656C5BA" w14:textId="77777777" w:rsidTr="000351A7">
        <w:trPr>
          <w:trHeight w:val="290"/>
        </w:trPr>
        <w:tc>
          <w:tcPr>
            <w:tcW w:w="1349" w:type="dxa"/>
            <w:vMerge/>
            <w:tcBorders>
              <w:top w:val="nil"/>
              <w:left w:val="nil"/>
              <w:bottom w:val="single" w:sz="12" w:space="0" w:color="auto"/>
            </w:tcBorders>
            <w:vAlign w:val="center"/>
            <w:hideMark/>
          </w:tcPr>
          <w:p w14:paraId="199C6757" w14:textId="77777777" w:rsidR="00A45FB5" w:rsidRPr="00B524C2" w:rsidRDefault="00A45FB5" w:rsidP="00BA0582">
            <w:pPr>
              <w:spacing w:line="240" w:lineRule="auto"/>
              <w:rPr>
                <w:rFonts w:cstheme="minorHAnsi"/>
                <w:color w:val="000000"/>
                <w:sz w:val="18"/>
                <w:szCs w:val="18"/>
              </w:rPr>
            </w:pPr>
          </w:p>
        </w:tc>
        <w:tc>
          <w:tcPr>
            <w:tcW w:w="539" w:type="dxa"/>
            <w:vMerge/>
            <w:tcBorders>
              <w:bottom w:val="single" w:sz="12" w:space="0" w:color="auto"/>
            </w:tcBorders>
          </w:tcPr>
          <w:p w14:paraId="203533FF" w14:textId="77777777" w:rsidR="00A45FB5" w:rsidRPr="00B524C2" w:rsidRDefault="00A45FB5" w:rsidP="00BA0582">
            <w:pPr>
              <w:spacing w:line="240" w:lineRule="auto"/>
              <w:rPr>
                <w:rFonts w:cstheme="minorHAnsi"/>
                <w:color w:val="000000"/>
                <w:sz w:val="18"/>
                <w:szCs w:val="18"/>
              </w:rPr>
            </w:pPr>
          </w:p>
        </w:tc>
        <w:tc>
          <w:tcPr>
            <w:tcW w:w="722" w:type="dxa"/>
            <w:gridSpan w:val="2"/>
            <w:tcBorders>
              <w:top w:val="dashed" w:sz="4" w:space="0" w:color="808080" w:themeColor="background1" w:themeShade="80"/>
              <w:left w:val="nil"/>
              <w:bottom w:val="single" w:sz="12" w:space="0" w:color="auto"/>
              <w:right w:val="nil"/>
            </w:tcBorders>
            <w:shd w:val="clear" w:color="auto" w:fill="auto"/>
            <w:noWrap/>
            <w:vAlign w:val="center"/>
            <w:hideMark/>
          </w:tcPr>
          <w:p w14:paraId="34188ABD" w14:textId="77777777" w:rsidR="00A45FB5" w:rsidRPr="00B524C2" w:rsidRDefault="00A45FB5" w:rsidP="00BA0582">
            <w:pPr>
              <w:spacing w:line="240" w:lineRule="auto"/>
              <w:rPr>
                <w:rFonts w:cstheme="minorHAnsi"/>
                <w:color w:val="000000"/>
                <w:sz w:val="18"/>
                <w:szCs w:val="18"/>
              </w:rPr>
            </w:pPr>
            <w:r w:rsidRPr="00B524C2">
              <w:rPr>
                <w:rFonts w:cstheme="minorHAnsi"/>
                <w:color w:val="000000"/>
                <w:sz w:val="18"/>
                <w:szCs w:val="18"/>
              </w:rPr>
              <w:t>Shift</w:t>
            </w:r>
            <w:r w:rsidRPr="00B524C2">
              <w:rPr>
                <w:rFonts w:cstheme="minorHAnsi"/>
                <w:color w:val="000000"/>
                <w:sz w:val="18"/>
                <w:szCs w:val="18"/>
                <w:vertAlign w:val="superscript"/>
              </w:rPr>
              <w:t>b</w:t>
            </w:r>
          </w:p>
        </w:tc>
        <w:tc>
          <w:tcPr>
            <w:tcW w:w="540" w:type="dxa"/>
            <w:gridSpan w:val="2"/>
            <w:tcBorders>
              <w:top w:val="dashed" w:sz="4" w:space="0" w:color="808080" w:themeColor="background1" w:themeShade="80"/>
              <w:left w:val="nil"/>
              <w:bottom w:val="single" w:sz="12" w:space="0" w:color="auto"/>
              <w:right w:val="single" w:sz="4" w:space="0" w:color="808080"/>
            </w:tcBorders>
            <w:shd w:val="clear" w:color="auto" w:fill="auto"/>
            <w:noWrap/>
            <w:vAlign w:val="center"/>
            <w:hideMark/>
          </w:tcPr>
          <w:p w14:paraId="2C8F4AFB" w14:textId="77777777" w:rsidR="00A45FB5" w:rsidRPr="00B524C2" w:rsidRDefault="00A45FB5" w:rsidP="00BA0582">
            <w:pPr>
              <w:spacing w:line="240" w:lineRule="auto"/>
              <w:rPr>
                <w:rFonts w:cstheme="minorHAnsi"/>
                <w:color w:val="000000"/>
                <w:sz w:val="18"/>
                <w:szCs w:val="18"/>
              </w:rPr>
            </w:pPr>
            <w:r w:rsidRPr="00B524C2">
              <w:rPr>
                <w:rFonts w:cstheme="minorHAnsi"/>
                <w:color w:val="000000"/>
                <w:sz w:val="18"/>
                <w:szCs w:val="18"/>
              </w:rPr>
              <w:t>J</w:t>
            </w:r>
            <w:r w:rsidRPr="00B524C2">
              <w:rPr>
                <w:rFonts w:cstheme="minorHAnsi"/>
                <w:color w:val="000000"/>
                <w:sz w:val="18"/>
                <w:szCs w:val="18"/>
                <w:vertAlign w:val="superscript"/>
              </w:rPr>
              <w:t>c</w:t>
            </w:r>
          </w:p>
        </w:tc>
        <w:tc>
          <w:tcPr>
            <w:tcW w:w="990" w:type="dxa"/>
            <w:gridSpan w:val="2"/>
            <w:tcBorders>
              <w:top w:val="dashed" w:sz="4" w:space="0" w:color="808080" w:themeColor="background1" w:themeShade="80"/>
              <w:left w:val="nil"/>
              <w:bottom w:val="single" w:sz="12" w:space="0" w:color="auto"/>
              <w:right w:val="single" w:sz="4" w:space="0" w:color="808080"/>
            </w:tcBorders>
            <w:shd w:val="clear" w:color="auto" w:fill="auto"/>
            <w:noWrap/>
            <w:vAlign w:val="center"/>
            <w:hideMark/>
          </w:tcPr>
          <w:p w14:paraId="103C3C41" w14:textId="77777777" w:rsidR="00A45FB5" w:rsidRPr="00B524C2" w:rsidRDefault="00A45FB5" w:rsidP="00BA0582">
            <w:pPr>
              <w:spacing w:line="240" w:lineRule="auto"/>
              <w:rPr>
                <w:rFonts w:cstheme="minorHAnsi"/>
                <w:color w:val="000000"/>
                <w:sz w:val="18"/>
                <w:szCs w:val="18"/>
              </w:rPr>
            </w:pPr>
            <w:r w:rsidRPr="00B524C2">
              <w:rPr>
                <w:rFonts w:cstheme="minorHAnsi"/>
                <w:color w:val="000000"/>
                <w:sz w:val="18"/>
                <w:szCs w:val="18"/>
              </w:rPr>
              <w:t>Shift</w:t>
            </w:r>
            <w:r w:rsidRPr="00B524C2">
              <w:rPr>
                <w:rFonts w:cstheme="minorHAnsi"/>
                <w:color w:val="000000"/>
                <w:sz w:val="18"/>
                <w:szCs w:val="18"/>
                <w:vertAlign w:val="superscript"/>
              </w:rPr>
              <w:t>b</w:t>
            </w:r>
          </w:p>
        </w:tc>
        <w:tc>
          <w:tcPr>
            <w:tcW w:w="810" w:type="dxa"/>
            <w:tcBorders>
              <w:top w:val="dashed" w:sz="4" w:space="0" w:color="808080" w:themeColor="background1" w:themeShade="80"/>
              <w:left w:val="nil"/>
              <w:bottom w:val="single" w:sz="12" w:space="0" w:color="auto"/>
              <w:right w:val="nil"/>
            </w:tcBorders>
            <w:shd w:val="clear" w:color="auto" w:fill="auto"/>
            <w:noWrap/>
            <w:vAlign w:val="center"/>
            <w:hideMark/>
          </w:tcPr>
          <w:p w14:paraId="71E03E83" w14:textId="77777777" w:rsidR="00A45FB5" w:rsidRPr="00B524C2" w:rsidRDefault="00A45FB5" w:rsidP="00BA0582">
            <w:pPr>
              <w:spacing w:line="240" w:lineRule="auto"/>
              <w:rPr>
                <w:rFonts w:cstheme="minorHAnsi"/>
                <w:color w:val="000000"/>
                <w:sz w:val="18"/>
                <w:szCs w:val="18"/>
              </w:rPr>
            </w:pPr>
            <w:r w:rsidRPr="00B524C2">
              <w:rPr>
                <w:rFonts w:cstheme="minorHAnsi"/>
                <w:color w:val="000000"/>
                <w:sz w:val="18"/>
                <w:szCs w:val="18"/>
              </w:rPr>
              <w:t>Shift</w:t>
            </w:r>
            <w:r w:rsidRPr="00B524C2">
              <w:rPr>
                <w:rFonts w:cstheme="minorHAnsi"/>
                <w:color w:val="000000"/>
                <w:sz w:val="18"/>
                <w:szCs w:val="18"/>
                <w:vertAlign w:val="superscript"/>
              </w:rPr>
              <w:t>b</w:t>
            </w:r>
          </w:p>
        </w:tc>
        <w:tc>
          <w:tcPr>
            <w:tcW w:w="540" w:type="dxa"/>
            <w:tcBorders>
              <w:top w:val="dashed" w:sz="4" w:space="0" w:color="808080" w:themeColor="background1" w:themeShade="80"/>
              <w:left w:val="nil"/>
              <w:bottom w:val="single" w:sz="12" w:space="0" w:color="auto"/>
              <w:right w:val="single" w:sz="4" w:space="0" w:color="808080"/>
            </w:tcBorders>
            <w:shd w:val="clear" w:color="auto" w:fill="auto"/>
            <w:noWrap/>
            <w:vAlign w:val="center"/>
            <w:hideMark/>
          </w:tcPr>
          <w:p w14:paraId="42CB0A92" w14:textId="77777777" w:rsidR="00A45FB5" w:rsidRPr="00B524C2" w:rsidRDefault="00A45FB5" w:rsidP="00BA0582">
            <w:pPr>
              <w:spacing w:line="240" w:lineRule="auto"/>
              <w:rPr>
                <w:rFonts w:cstheme="minorHAnsi"/>
                <w:color w:val="000000"/>
                <w:sz w:val="18"/>
                <w:szCs w:val="18"/>
              </w:rPr>
            </w:pPr>
            <w:r w:rsidRPr="00B524C2">
              <w:rPr>
                <w:rFonts w:cstheme="minorHAnsi"/>
                <w:color w:val="000000"/>
                <w:sz w:val="18"/>
                <w:szCs w:val="18"/>
              </w:rPr>
              <w:t>J</w:t>
            </w:r>
            <w:r w:rsidRPr="00B524C2">
              <w:rPr>
                <w:rFonts w:cstheme="minorHAnsi"/>
                <w:color w:val="000000"/>
                <w:sz w:val="18"/>
                <w:szCs w:val="18"/>
                <w:vertAlign w:val="superscript"/>
              </w:rPr>
              <w:t>c</w:t>
            </w:r>
          </w:p>
        </w:tc>
        <w:tc>
          <w:tcPr>
            <w:tcW w:w="720" w:type="dxa"/>
            <w:tcBorders>
              <w:top w:val="dashed" w:sz="4" w:space="0" w:color="808080" w:themeColor="background1" w:themeShade="80"/>
              <w:left w:val="nil"/>
              <w:bottom w:val="single" w:sz="12" w:space="0" w:color="auto"/>
              <w:right w:val="nil"/>
            </w:tcBorders>
            <w:shd w:val="clear" w:color="auto" w:fill="auto"/>
            <w:noWrap/>
            <w:vAlign w:val="center"/>
            <w:hideMark/>
          </w:tcPr>
          <w:p w14:paraId="02615AEF" w14:textId="77777777" w:rsidR="00A45FB5" w:rsidRPr="00B524C2" w:rsidRDefault="00A45FB5" w:rsidP="00BA0582">
            <w:pPr>
              <w:spacing w:line="240" w:lineRule="auto"/>
              <w:rPr>
                <w:rFonts w:cstheme="minorHAnsi"/>
                <w:color w:val="000000"/>
                <w:sz w:val="18"/>
                <w:szCs w:val="18"/>
              </w:rPr>
            </w:pPr>
            <w:r w:rsidRPr="00B524C2">
              <w:rPr>
                <w:rFonts w:cstheme="minorHAnsi"/>
                <w:color w:val="000000"/>
                <w:sz w:val="18"/>
                <w:szCs w:val="18"/>
              </w:rPr>
              <w:t>Shift</w:t>
            </w:r>
            <w:r w:rsidRPr="00B524C2">
              <w:rPr>
                <w:rFonts w:cstheme="minorHAnsi"/>
                <w:color w:val="000000"/>
                <w:sz w:val="18"/>
                <w:szCs w:val="18"/>
                <w:vertAlign w:val="superscript"/>
              </w:rPr>
              <w:t>b</w:t>
            </w:r>
          </w:p>
        </w:tc>
        <w:tc>
          <w:tcPr>
            <w:tcW w:w="810" w:type="dxa"/>
            <w:tcBorders>
              <w:top w:val="dashed" w:sz="4" w:space="0" w:color="808080" w:themeColor="background1" w:themeShade="80"/>
              <w:left w:val="nil"/>
              <w:bottom w:val="single" w:sz="12" w:space="0" w:color="auto"/>
              <w:right w:val="single" w:sz="4" w:space="0" w:color="808080"/>
            </w:tcBorders>
            <w:shd w:val="clear" w:color="auto" w:fill="auto"/>
            <w:noWrap/>
            <w:vAlign w:val="center"/>
            <w:hideMark/>
          </w:tcPr>
          <w:p w14:paraId="6BEA38C5" w14:textId="77777777" w:rsidR="00A45FB5" w:rsidRPr="00B524C2" w:rsidRDefault="00A45FB5" w:rsidP="00BA0582">
            <w:pPr>
              <w:spacing w:line="240" w:lineRule="auto"/>
              <w:rPr>
                <w:rFonts w:cstheme="minorHAnsi"/>
                <w:color w:val="000000"/>
                <w:sz w:val="18"/>
                <w:szCs w:val="18"/>
              </w:rPr>
            </w:pPr>
            <w:r w:rsidRPr="00B524C2">
              <w:rPr>
                <w:rFonts w:cstheme="minorHAnsi"/>
                <w:color w:val="000000"/>
                <w:sz w:val="18"/>
                <w:szCs w:val="18"/>
              </w:rPr>
              <w:t>J</w:t>
            </w:r>
            <w:r w:rsidRPr="00B524C2">
              <w:rPr>
                <w:rFonts w:cstheme="minorHAnsi"/>
                <w:color w:val="000000"/>
                <w:sz w:val="18"/>
                <w:szCs w:val="18"/>
                <w:vertAlign w:val="superscript"/>
              </w:rPr>
              <w:t>c</w:t>
            </w:r>
          </w:p>
        </w:tc>
        <w:tc>
          <w:tcPr>
            <w:tcW w:w="1170" w:type="dxa"/>
            <w:gridSpan w:val="2"/>
            <w:tcBorders>
              <w:top w:val="dashed" w:sz="4" w:space="0" w:color="808080" w:themeColor="background1" w:themeShade="80"/>
              <w:left w:val="nil"/>
              <w:bottom w:val="single" w:sz="12" w:space="0" w:color="auto"/>
            </w:tcBorders>
            <w:shd w:val="clear" w:color="auto" w:fill="auto"/>
            <w:noWrap/>
            <w:vAlign w:val="center"/>
            <w:hideMark/>
          </w:tcPr>
          <w:p w14:paraId="1390D562" w14:textId="77777777" w:rsidR="00A45FB5" w:rsidRPr="00B524C2" w:rsidRDefault="00A45FB5" w:rsidP="00BA0582">
            <w:pPr>
              <w:spacing w:line="240" w:lineRule="auto"/>
              <w:rPr>
                <w:rFonts w:cstheme="minorHAnsi"/>
                <w:color w:val="000000"/>
                <w:sz w:val="18"/>
                <w:szCs w:val="18"/>
              </w:rPr>
            </w:pPr>
            <w:r w:rsidRPr="00B524C2">
              <w:rPr>
                <w:rFonts w:cstheme="minorHAnsi"/>
                <w:color w:val="000000"/>
                <w:sz w:val="18"/>
                <w:szCs w:val="18"/>
              </w:rPr>
              <w:t>Shift</w:t>
            </w:r>
            <w:r w:rsidRPr="00B524C2">
              <w:rPr>
                <w:rFonts w:cstheme="minorHAnsi"/>
                <w:color w:val="000000"/>
                <w:sz w:val="18"/>
                <w:szCs w:val="18"/>
                <w:vertAlign w:val="superscript"/>
              </w:rPr>
              <w:t>b</w:t>
            </w:r>
          </w:p>
        </w:tc>
      </w:tr>
      <w:tr w:rsidR="00BA0582" w:rsidRPr="00B524C2" w14:paraId="06913126" w14:textId="77777777" w:rsidTr="000351A7">
        <w:trPr>
          <w:trHeight w:val="1920"/>
        </w:trPr>
        <w:tc>
          <w:tcPr>
            <w:tcW w:w="1349" w:type="dxa"/>
            <w:vMerge w:val="restart"/>
            <w:tcBorders>
              <w:top w:val="single" w:sz="4" w:space="0" w:color="808080"/>
              <w:left w:val="nil"/>
              <w:right w:val="dashed" w:sz="4" w:space="0" w:color="808080" w:themeColor="background1" w:themeShade="80"/>
            </w:tcBorders>
            <w:shd w:val="clear" w:color="auto" w:fill="auto"/>
            <w:noWrap/>
            <w:vAlign w:val="center"/>
            <w:hideMark/>
          </w:tcPr>
          <w:p w14:paraId="39EC4218" w14:textId="77777777" w:rsidR="00BA0582" w:rsidRPr="00B524C2" w:rsidRDefault="00BA0582" w:rsidP="00BA0582">
            <w:pPr>
              <w:spacing w:line="240" w:lineRule="auto"/>
              <w:rPr>
                <w:rFonts w:cstheme="minorHAnsi"/>
                <w:color w:val="000000"/>
                <w:sz w:val="18"/>
                <w:szCs w:val="18"/>
              </w:rPr>
            </w:pPr>
            <w:r w:rsidRPr="00B524C2">
              <w:rPr>
                <w:rFonts w:cstheme="minorHAnsi"/>
                <w:color w:val="000000"/>
                <w:sz w:val="18"/>
                <w:szCs w:val="18"/>
              </w:rPr>
              <w:t>New signals in</w:t>
            </w:r>
          </w:p>
          <w:p w14:paraId="37B05E2C" w14:textId="77777777" w:rsidR="00B524C2" w:rsidRPr="00B524C2" w:rsidRDefault="00BA0582" w:rsidP="00BA0582">
            <w:pPr>
              <w:spacing w:line="240" w:lineRule="auto"/>
              <w:rPr>
                <w:rFonts w:cstheme="minorHAnsi"/>
                <w:color w:val="000000"/>
                <w:sz w:val="18"/>
                <w:szCs w:val="18"/>
              </w:rPr>
            </w:pPr>
            <w:r w:rsidRPr="00B524C2">
              <w:rPr>
                <w:rFonts w:cstheme="minorHAnsi"/>
                <w:color w:val="000000"/>
                <w:sz w:val="18"/>
                <w:szCs w:val="18"/>
              </w:rPr>
              <w:t xml:space="preserve">ROH + </w:t>
            </w:r>
          </w:p>
          <w:p w14:paraId="04199475" w14:textId="77777777" w:rsidR="00BA0582" w:rsidRPr="00B524C2" w:rsidRDefault="00BA0582" w:rsidP="00BA0582">
            <w:pPr>
              <w:spacing w:line="240" w:lineRule="auto"/>
              <w:rPr>
                <w:rFonts w:cstheme="minorHAnsi"/>
                <w:color w:val="000000"/>
                <w:sz w:val="18"/>
                <w:szCs w:val="18"/>
                <w:vertAlign w:val="subscript"/>
              </w:rPr>
            </w:pPr>
            <w:r w:rsidRPr="00B524C2">
              <w:rPr>
                <w:rFonts w:cstheme="minorHAnsi"/>
                <w:color w:val="000000"/>
                <w:sz w:val="18"/>
                <w:szCs w:val="18"/>
              </w:rPr>
              <w:t>IReO</w:t>
            </w:r>
            <w:r w:rsidRPr="00B524C2">
              <w:rPr>
                <w:rFonts w:cstheme="minorHAnsi"/>
                <w:color w:val="000000"/>
                <w:sz w:val="18"/>
                <w:szCs w:val="18"/>
                <w:vertAlign w:val="subscript"/>
              </w:rPr>
              <w:t>2</w:t>
            </w:r>
            <w:r w:rsidRPr="00B524C2">
              <w:rPr>
                <w:rFonts w:cstheme="minorHAnsi"/>
                <w:color w:val="000000"/>
                <w:sz w:val="18"/>
                <w:szCs w:val="18"/>
              </w:rPr>
              <w:t>(PPh</w:t>
            </w:r>
            <w:r w:rsidRPr="00B524C2">
              <w:rPr>
                <w:rFonts w:cstheme="minorHAnsi"/>
                <w:color w:val="000000"/>
                <w:sz w:val="18"/>
                <w:szCs w:val="18"/>
                <w:vertAlign w:val="subscript"/>
              </w:rPr>
              <w:t>3</w:t>
            </w:r>
            <w:r w:rsidRPr="00B524C2">
              <w:rPr>
                <w:rFonts w:cstheme="minorHAnsi"/>
                <w:color w:val="000000"/>
                <w:sz w:val="18"/>
                <w:szCs w:val="18"/>
              </w:rPr>
              <w:t>)</w:t>
            </w:r>
            <w:r w:rsidRPr="00B524C2">
              <w:rPr>
                <w:rFonts w:cstheme="minorHAnsi"/>
                <w:color w:val="000000"/>
                <w:sz w:val="18"/>
                <w:szCs w:val="18"/>
                <w:vertAlign w:val="subscript"/>
              </w:rPr>
              <w:t>2</w:t>
            </w:r>
          </w:p>
          <w:p w14:paraId="6460F124" w14:textId="77777777" w:rsidR="00BA0582" w:rsidRPr="00B524C2" w:rsidRDefault="00BA0582" w:rsidP="00BA0582">
            <w:pPr>
              <w:spacing w:line="240" w:lineRule="auto"/>
              <w:rPr>
                <w:rFonts w:cstheme="minorHAnsi"/>
                <w:color w:val="000000"/>
                <w:sz w:val="18"/>
                <w:szCs w:val="18"/>
              </w:rPr>
            </w:pPr>
            <w:r w:rsidRPr="00B524C2">
              <w:rPr>
                <w:rFonts w:cstheme="minorHAnsi"/>
                <w:color w:val="000000"/>
                <w:sz w:val="18"/>
                <w:szCs w:val="18"/>
              </w:rPr>
              <w:t>Sample</w:t>
            </w:r>
          </w:p>
        </w:tc>
        <w:tc>
          <w:tcPr>
            <w:tcW w:w="575" w:type="dxa"/>
            <w:gridSpan w:val="2"/>
            <w:tcBorders>
              <w:top w:val="single" w:sz="12" w:space="0" w:color="auto"/>
              <w:left w:val="dashed" w:sz="4" w:space="0" w:color="808080" w:themeColor="background1" w:themeShade="80"/>
              <w:bottom w:val="dashed" w:sz="4" w:space="0" w:color="808080" w:themeColor="background1" w:themeShade="80"/>
              <w:right w:val="single" w:sz="12" w:space="0" w:color="auto"/>
            </w:tcBorders>
            <w:vAlign w:val="center"/>
          </w:tcPr>
          <w:p w14:paraId="760FEB75" w14:textId="77777777" w:rsidR="00BA0582" w:rsidRPr="00B524C2" w:rsidRDefault="00BA0582" w:rsidP="00BA0582">
            <w:pPr>
              <w:spacing w:line="240" w:lineRule="auto"/>
              <w:jc w:val="center"/>
              <w:rPr>
                <w:rFonts w:cstheme="minorHAnsi"/>
                <w:color w:val="000000"/>
                <w:sz w:val="18"/>
                <w:szCs w:val="18"/>
              </w:rPr>
            </w:pPr>
            <w:r w:rsidRPr="00B524C2">
              <w:rPr>
                <w:rFonts w:cstheme="minorHAnsi"/>
                <w:color w:val="000000"/>
                <w:sz w:val="18"/>
                <w:szCs w:val="18"/>
                <w:vertAlign w:val="superscript"/>
              </w:rPr>
              <w:t>1</w:t>
            </w:r>
            <w:r w:rsidRPr="00B524C2">
              <w:rPr>
                <w:rFonts w:cstheme="minorHAnsi"/>
                <w:color w:val="000000"/>
                <w:sz w:val="18"/>
                <w:szCs w:val="18"/>
              </w:rPr>
              <w:t>H</w:t>
            </w:r>
          </w:p>
        </w:tc>
        <w:tc>
          <w:tcPr>
            <w:tcW w:w="720" w:type="dxa"/>
            <w:gridSpan w:val="2"/>
            <w:tcBorders>
              <w:top w:val="single" w:sz="4" w:space="0" w:color="808080"/>
              <w:left w:val="single" w:sz="12" w:space="0" w:color="auto"/>
              <w:bottom w:val="dashed" w:sz="4" w:space="0" w:color="808080" w:themeColor="background1" w:themeShade="80"/>
              <w:right w:val="nil"/>
            </w:tcBorders>
            <w:shd w:val="clear" w:color="auto" w:fill="auto"/>
            <w:hideMark/>
          </w:tcPr>
          <w:p w14:paraId="5BC8F198" w14:textId="77777777" w:rsidR="00BA0582" w:rsidRPr="00B524C2" w:rsidRDefault="00A45FB5" w:rsidP="00BA0582">
            <w:pPr>
              <w:spacing w:line="240" w:lineRule="auto"/>
              <w:rPr>
                <w:rFonts w:cstheme="minorHAnsi"/>
                <w:color w:val="000000"/>
                <w:sz w:val="18"/>
                <w:szCs w:val="18"/>
              </w:rPr>
            </w:pPr>
            <w:r>
              <w:rPr>
                <w:rFonts w:cstheme="minorHAnsi"/>
                <w:color w:val="000000"/>
                <w:sz w:val="18"/>
                <w:szCs w:val="18"/>
              </w:rPr>
              <w:t>2.12 q</w:t>
            </w:r>
          </w:p>
          <w:p w14:paraId="46E94B6E" w14:textId="77777777" w:rsidR="00BA0582" w:rsidRPr="00B524C2" w:rsidRDefault="00A45FB5" w:rsidP="00BA0582">
            <w:pPr>
              <w:spacing w:line="240" w:lineRule="auto"/>
              <w:rPr>
                <w:rFonts w:cstheme="minorHAnsi"/>
                <w:color w:val="000000"/>
                <w:sz w:val="18"/>
                <w:szCs w:val="18"/>
              </w:rPr>
            </w:pPr>
            <w:r>
              <w:rPr>
                <w:rFonts w:cstheme="minorHAnsi"/>
                <w:color w:val="000000"/>
                <w:sz w:val="18"/>
                <w:szCs w:val="18"/>
              </w:rPr>
              <w:t>0.24 t</w:t>
            </w:r>
          </w:p>
          <w:p w14:paraId="7EFF946C" w14:textId="77777777" w:rsidR="00BA0582" w:rsidRPr="00B524C2" w:rsidRDefault="00A45FB5" w:rsidP="00BA0582">
            <w:pPr>
              <w:spacing w:line="240" w:lineRule="auto"/>
              <w:rPr>
                <w:rFonts w:cstheme="minorHAnsi"/>
                <w:color w:val="000000"/>
                <w:sz w:val="18"/>
                <w:szCs w:val="18"/>
              </w:rPr>
            </w:pPr>
            <w:r>
              <w:rPr>
                <w:rFonts w:cstheme="minorHAnsi"/>
                <w:color w:val="000000"/>
                <w:sz w:val="18"/>
                <w:szCs w:val="18"/>
              </w:rPr>
              <w:t>1.67 q</w:t>
            </w:r>
          </w:p>
          <w:p w14:paraId="2DEDEECB" w14:textId="77777777" w:rsidR="00BA0582" w:rsidRPr="00B524C2" w:rsidRDefault="00A45FB5" w:rsidP="00BA0582">
            <w:pPr>
              <w:spacing w:line="240" w:lineRule="auto"/>
              <w:rPr>
                <w:rFonts w:cstheme="minorHAnsi"/>
                <w:color w:val="000000"/>
                <w:sz w:val="18"/>
                <w:szCs w:val="18"/>
              </w:rPr>
            </w:pPr>
            <w:r>
              <w:rPr>
                <w:rFonts w:cstheme="minorHAnsi"/>
                <w:color w:val="000000"/>
                <w:sz w:val="18"/>
                <w:szCs w:val="18"/>
              </w:rPr>
              <w:t>-0.16 t</w:t>
            </w:r>
          </w:p>
        </w:tc>
        <w:tc>
          <w:tcPr>
            <w:tcW w:w="540" w:type="dxa"/>
            <w:gridSpan w:val="2"/>
            <w:tcBorders>
              <w:top w:val="single" w:sz="4" w:space="0" w:color="808080"/>
              <w:left w:val="nil"/>
              <w:bottom w:val="dashed" w:sz="4" w:space="0" w:color="808080" w:themeColor="background1" w:themeShade="80"/>
              <w:right w:val="single" w:sz="4" w:space="0" w:color="808080"/>
            </w:tcBorders>
            <w:shd w:val="clear" w:color="auto" w:fill="auto"/>
            <w:noWrap/>
            <w:hideMark/>
          </w:tcPr>
          <w:p w14:paraId="1BEEA974" w14:textId="77777777" w:rsidR="00BA0582" w:rsidRPr="00B524C2" w:rsidRDefault="00BA0582" w:rsidP="00BA0582">
            <w:pPr>
              <w:spacing w:line="240" w:lineRule="auto"/>
              <w:rPr>
                <w:rFonts w:cstheme="minorHAnsi"/>
                <w:color w:val="000000"/>
                <w:sz w:val="18"/>
                <w:szCs w:val="18"/>
              </w:rPr>
            </w:pPr>
            <w:r w:rsidRPr="00B524C2">
              <w:rPr>
                <w:rFonts w:cstheme="minorHAnsi"/>
                <w:color w:val="000000"/>
                <w:sz w:val="18"/>
                <w:szCs w:val="18"/>
              </w:rPr>
              <w:t>6.99</w:t>
            </w:r>
          </w:p>
          <w:p w14:paraId="2DE79A76" w14:textId="77777777" w:rsidR="00BA0582" w:rsidRPr="00B524C2" w:rsidRDefault="00BA0582" w:rsidP="00BA0582">
            <w:pPr>
              <w:spacing w:line="240" w:lineRule="auto"/>
              <w:rPr>
                <w:rFonts w:cstheme="minorHAnsi"/>
                <w:color w:val="000000"/>
                <w:sz w:val="18"/>
                <w:szCs w:val="18"/>
              </w:rPr>
            </w:pPr>
            <w:r w:rsidRPr="00B524C2">
              <w:rPr>
                <w:rFonts w:cstheme="minorHAnsi"/>
                <w:color w:val="000000"/>
                <w:sz w:val="18"/>
                <w:szCs w:val="18"/>
              </w:rPr>
              <w:t>6.99</w:t>
            </w:r>
          </w:p>
        </w:tc>
        <w:tc>
          <w:tcPr>
            <w:tcW w:w="956" w:type="dxa"/>
            <w:tcBorders>
              <w:top w:val="single" w:sz="4" w:space="0" w:color="808080"/>
              <w:left w:val="nil"/>
              <w:bottom w:val="dashed" w:sz="4" w:space="0" w:color="808080" w:themeColor="background1" w:themeShade="80"/>
              <w:right w:val="single" w:sz="4" w:space="0" w:color="808080"/>
            </w:tcBorders>
            <w:shd w:val="clear" w:color="auto" w:fill="auto"/>
            <w:hideMark/>
          </w:tcPr>
          <w:p w14:paraId="291D7A1C" w14:textId="77777777" w:rsidR="00BA0582" w:rsidRPr="00B524C2" w:rsidRDefault="00BA0582" w:rsidP="00BA0582">
            <w:pPr>
              <w:spacing w:line="240" w:lineRule="auto"/>
              <w:rPr>
                <w:rFonts w:cstheme="minorHAnsi"/>
                <w:color w:val="000000"/>
                <w:sz w:val="18"/>
                <w:szCs w:val="18"/>
              </w:rPr>
            </w:pPr>
            <w:r w:rsidRPr="00B524C2">
              <w:rPr>
                <w:rFonts w:cstheme="minorHAnsi"/>
                <w:color w:val="000000"/>
                <w:sz w:val="18"/>
                <w:szCs w:val="18"/>
              </w:rPr>
              <w:t xml:space="preserve">3.56 s </w:t>
            </w:r>
          </w:p>
          <w:p w14:paraId="6AE24475" w14:textId="77777777" w:rsidR="00BA0582" w:rsidRPr="00B524C2" w:rsidRDefault="00BA0582" w:rsidP="00BA0582">
            <w:pPr>
              <w:spacing w:line="240" w:lineRule="auto"/>
              <w:rPr>
                <w:rFonts w:cstheme="minorHAnsi"/>
                <w:color w:val="000000"/>
                <w:sz w:val="18"/>
                <w:szCs w:val="18"/>
              </w:rPr>
            </w:pPr>
            <w:r w:rsidRPr="00B524C2">
              <w:rPr>
                <w:rFonts w:cstheme="minorHAnsi"/>
                <w:color w:val="000000"/>
                <w:sz w:val="18"/>
                <w:szCs w:val="18"/>
              </w:rPr>
              <w:t xml:space="preserve">2.70 s </w:t>
            </w:r>
          </w:p>
        </w:tc>
        <w:tc>
          <w:tcPr>
            <w:tcW w:w="810" w:type="dxa"/>
            <w:tcBorders>
              <w:top w:val="single" w:sz="4" w:space="0" w:color="808080"/>
              <w:left w:val="nil"/>
              <w:bottom w:val="dashed" w:sz="4" w:space="0" w:color="808080" w:themeColor="background1" w:themeShade="80"/>
              <w:right w:val="nil"/>
            </w:tcBorders>
            <w:shd w:val="clear" w:color="auto" w:fill="auto"/>
            <w:hideMark/>
          </w:tcPr>
          <w:p w14:paraId="056936DE" w14:textId="77777777" w:rsidR="00BA0582" w:rsidRPr="00B524C2" w:rsidRDefault="00A45FB5" w:rsidP="00BA0582">
            <w:pPr>
              <w:spacing w:line="240" w:lineRule="auto"/>
              <w:rPr>
                <w:rFonts w:cstheme="minorHAnsi"/>
                <w:color w:val="000000"/>
                <w:sz w:val="18"/>
                <w:szCs w:val="18"/>
              </w:rPr>
            </w:pPr>
            <w:r>
              <w:rPr>
                <w:rFonts w:cstheme="minorHAnsi"/>
                <w:color w:val="000000"/>
                <w:sz w:val="18"/>
                <w:szCs w:val="18"/>
              </w:rPr>
              <w:t>3.62 q</w:t>
            </w:r>
          </w:p>
          <w:p w14:paraId="306A8797" w14:textId="77777777" w:rsidR="00BA0582" w:rsidRPr="00B524C2" w:rsidRDefault="00A45FB5" w:rsidP="00BA0582">
            <w:pPr>
              <w:spacing w:line="240" w:lineRule="auto"/>
              <w:rPr>
                <w:rFonts w:cstheme="minorHAnsi"/>
                <w:color w:val="000000"/>
                <w:sz w:val="18"/>
                <w:szCs w:val="18"/>
              </w:rPr>
            </w:pPr>
            <w:r>
              <w:rPr>
                <w:rFonts w:cstheme="minorHAnsi"/>
                <w:color w:val="000000"/>
                <w:sz w:val="18"/>
                <w:szCs w:val="18"/>
              </w:rPr>
              <w:t>3.21 q</w:t>
            </w:r>
          </w:p>
          <w:p w14:paraId="01E07464" w14:textId="77777777" w:rsidR="00BA0582" w:rsidRPr="00B524C2" w:rsidRDefault="00A45FB5" w:rsidP="00BA0582">
            <w:pPr>
              <w:spacing w:line="240" w:lineRule="auto"/>
              <w:rPr>
                <w:rFonts w:cstheme="minorHAnsi"/>
                <w:color w:val="000000"/>
                <w:sz w:val="18"/>
                <w:szCs w:val="18"/>
              </w:rPr>
            </w:pPr>
            <w:r>
              <w:rPr>
                <w:rFonts w:cstheme="minorHAnsi"/>
                <w:color w:val="000000"/>
                <w:sz w:val="18"/>
                <w:szCs w:val="18"/>
              </w:rPr>
              <w:t>2.03 s</w:t>
            </w:r>
          </w:p>
          <w:p w14:paraId="1ADDCD36" w14:textId="77777777" w:rsidR="00BA0582" w:rsidRPr="00B524C2" w:rsidRDefault="00BA0582" w:rsidP="00BA0582">
            <w:pPr>
              <w:spacing w:line="240" w:lineRule="auto"/>
              <w:rPr>
                <w:rFonts w:cstheme="minorHAnsi"/>
                <w:color w:val="000000"/>
                <w:sz w:val="18"/>
                <w:szCs w:val="18"/>
              </w:rPr>
            </w:pPr>
            <w:r w:rsidRPr="00B524C2">
              <w:rPr>
                <w:rFonts w:cstheme="minorHAnsi"/>
                <w:color w:val="000000"/>
                <w:sz w:val="18"/>
                <w:szCs w:val="18"/>
              </w:rPr>
              <w:t>6.61 d</w:t>
            </w:r>
          </w:p>
          <w:p w14:paraId="4A1662E4" w14:textId="77777777" w:rsidR="00BA0582" w:rsidRPr="00B524C2" w:rsidRDefault="00A45FB5" w:rsidP="00BA0582">
            <w:pPr>
              <w:spacing w:line="240" w:lineRule="auto"/>
              <w:rPr>
                <w:rFonts w:cstheme="minorHAnsi"/>
                <w:color w:val="000000"/>
                <w:sz w:val="18"/>
                <w:szCs w:val="18"/>
              </w:rPr>
            </w:pPr>
            <w:r>
              <w:rPr>
                <w:rFonts w:cstheme="minorHAnsi"/>
                <w:color w:val="000000"/>
                <w:sz w:val="18"/>
                <w:szCs w:val="18"/>
              </w:rPr>
              <w:t>0.87 d</w:t>
            </w:r>
          </w:p>
          <w:p w14:paraId="57DCA03D" w14:textId="77777777" w:rsidR="00BA0582" w:rsidRPr="00B524C2" w:rsidRDefault="00BA0582" w:rsidP="00BA0582">
            <w:pPr>
              <w:spacing w:line="240" w:lineRule="auto"/>
              <w:rPr>
                <w:rFonts w:cstheme="minorHAnsi"/>
                <w:color w:val="000000"/>
                <w:sz w:val="18"/>
                <w:szCs w:val="18"/>
              </w:rPr>
            </w:pPr>
            <w:r w:rsidRPr="00B524C2">
              <w:rPr>
                <w:rFonts w:cstheme="minorHAnsi"/>
                <w:color w:val="000000"/>
                <w:sz w:val="18"/>
                <w:szCs w:val="18"/>
              </w:rPr>
              <w:t>0.73 d</w:t>
            </w:r>
          </w:p>
          <w:p w14:paraId="45FC3514" w14:textId="77777777" w:rsidR="00BA0582" w:rsidRPr="00B524C2" w:rsidRDefault="00BA0582" w:rsidP="00BA0582">
            <w:pPr>
              <w:spacing w:line="240" w:lineRule="auto"/>
              <w:rPr>
                <w:rFonts w:cstheme="minorHAnsi"/>
                <w:color w:val="000000"/>
                <w:sz w:val="18"/>
                <w:szCs w:val="18"/>
              </w:rPr>
            </w:pPr>
            <w:r w:rsidRPr="00B524C2">
              <w:rPr>
                <w:rFonts w:cstheme="minorHAnsi"/>
                <w:color w:val="000000"/>
                <w:sz w:val="18"/>
                <w:szCs w:val="18"/>
              </w:rPr>
              <w:t>1.07 d</w:t>
            </w:r>
          </w:p>
          <w:p w14:paraId="778D0FD6" w14:textId="77777777" w:rsidR="00BA0582" w:rsidRPr="00B524C2" w:rsidRDefault="00A45FB5" w:rsidP="00BA0582">
            <w:pPr>
              <w:spacing w:line="240" w:lineRule="auto"/>
              <w:rPr>
                <w:rFonts w:cstheme="minorHAnsi"/>
                <w:color w:val="000000"/>
                <w:sz w:val="18"/>
                <w:szCs w:val="18"/>
              </w:rPr>
            </w:pPr>
            <w:r>
              <w:rPr>
                <w:rFonts w:cstheme="minorHAnsi"/>
                <w:color w:val="000000"/>
                <w:sz w:val="18"/>
                <w:szCs w:val="18"/>
              </w:rPr>
              <w:t>0.23 m</w:t>
            </w:r>
          </w:p>
          <w:p w14:paraId="79A58132" w14:textId="77777777" w:rsidR="00BA0582" w:rsidRPr="00B524C2" w:rsidRDefault="00BA0582" w:rsidP="00BA0582">
            <w:pPr>
              <w:spacing w:line="240" w:lineRule="auto"/>
              <w:rPr>
                <w:rFonts w:cstheme="minorHAnsi"/>
                <w:color w:val="000000"/>
                <w:sz w:val="18"/>
                <w:szCs w:val="18"/>
              </w:rPr>
            </w:pPr>
            <w:r w:rsidRPr="00B524C2">
              <w:rPr>
                <w:rFonts w:cstheme="minorHAnsi"/>
                <w:color w:val="000000"/>
                <w:sz w:val="18"/>
                <w:szCs w:val="18"/>
              </w:rPr>
              <w:t>0.52 d</w:t>
            </w:r>
          </w:p>
        </w:tc>
        <w:tc>
          <w:tcPr>
            <w:tcW w:w="540" w:type="dxa"/>
            <w:tcBorders>
              <w:top w:val="single" w:sz="4" w:space="0" w:color="808080"/>
              <w:left w:val="nil"/>
              <w:bottom w:val="dashed" w:sz="4" w:space="0" w:color="808080" w:themeColor="background1" w:themeShade="80"/>
              <w:right w:val="single" w:sz="4" w:space="0" w:color="808080"/>
            </w:tcBorders>
            <w:shd w:val="clear" w:color="auto" w:fill="auto"/>
            <w:noWrap/>
            <w:hideMark/>
          </w:tcPr>
          <w:p w14:paraId="5D5A5020" w14:textId="77777777" w:rsidR="00BA0582" w:rsidRPr="00B524C2" w:rsidRDefault="00BA0582" w:rsidP="00BA0582">
            <w:pPr>
              <w:spacing w:line="240" w:lineRule="auto"/>
              <w:rPr>
                <w:rFonts w:cstheme="minorHAnsi"/>
                <w:color w:val="000000"/>
                <w:sz w:val="18"/>
                <w:szCs w:val="18"/>
              </w:rPr>
            </w:pPr>
            <w:r w:rsidRPr="00B524C2">
              <w:rPr>
                <w:rFonts w:cstheme="minorHAnsi"/>
                <w:color w:val="000000"/>
                <w:sz w:val="18"/>
                <w:szCs w:val="18"/>
              </w:rPr>
              <w:t>6.5</w:t>
            </w:r>
          </w:p>
          <w:p w14:paraId="6CC0CA4B" w14:textId="77777777" w:rsidR="00BA0582" w:rsidRPr="00B524C2" w:rsidRDefault="00A45FB5" w:rsidP="00BA0582">
            <w:pPr>
              <w:spacing w:line="240" w:lineRule="auto"/>
              <w:rPr>
                <w:rFonts w:cstheme="minorHAnsi"/>
                <w:color w:val="000000"/>
                <w:sz w:val="18"/>
                <w:szCs w:val="18"/>
              </w:rPr>
            </w:pPr>
            <w:r>
              <w:rPr>
                <w:rFonts w:cstheme="minorHAnsi"/>
                <w:color w:val="000000"/>
                <w:sz w:val="18"/>
                <w:szCs w:val="18"/>
              </w:rPr>
              <w:t>6.85</w:t>
            </w:r>
          </w:p>
          <w:p w14:paraId="3B1D83F3" w14:textId="77777777" w:rsidR="00BA0582" w:rsidRPr="00B524C2" w:rsidRDefault="00BA0582" w:rsidP="00BA0582">
            <w:pPr>
              <w:spacing w:line="240" w:lineRule="auto"/>
              <w:rPr>
                <w:rFonts w:cstheme="minorHAnsi"/>
                <w:color w:val="000000"/>
                <w:sz w:val="18"/>
                <w:szCs w:val="18"/>
              </w:rPr>
            </w:pPr>
            <w:r w:rsidRPr="00B524C2">
              <w:rPr>
                <w:rFonts w:cstheme="minorHAnsi"/>
                <w:color w:val="000000"/>
                <w:sz w:val="18"/>
                <w:szCs w:val="18"/>
              </w:rPr>
              <w:t>7.14</w:t>
            </w:r>
          </w:p>
          <w:p w14:paraId="765BDFE9" w14:textId="77777777" w:rsidR="00A45FB5" w:rsidRDefault="00A45FB5" w:rsidP="00BA0582">
            <w:pPr>
              <w:spacing w:line="240" w:lineRule="auto"/>
              <w:rPr>
                <w:rFonts w:cstheme="minorHAnsi"/>
                <w:color w:val="000000"/>
                <w:sz w:val="18"/>
                <w:szCs w:val="18"/>
              </w:rPr>
            </w:pPr>
            <w:r>
              <w:rPr>
                <w:rFonts w:cstheme="minorHAnsi"/>
                <w:color w:val="000000"/>
                <w:sz w:val="18"/>
                <w:szCs w:val="18"/>
              </w:rPr>
              <w:t>6.60</w:t>
            </w:r>
          </w:p>
          <w:p w14:paraId="3DA9D74B" w14:textId="77777777" w:rsidR="00BA0582" w:rsidRPr="00B524C2" w:rsidRDefault="00BA0582" w:rsidP="00BA0582">
            <w:pPr>
              <w:spacing w:line="240" w:lineRule="auto"/>
              <w:rPr>
                <w:rFonts w:cstheme="minorHAnsi"/>
                <w:color w:val="000000"/>
                <w:sz w:val="18"/>
                <w:szCs w:val="18"/>
              </w:rPr>
            </w:pPr>
            <w:r w:rsidRPr="00B524C2">
              <w:rPr>
                <w:rFonts w:cstheme="minorHAnsi"/>
                <w:color w:val="000000"/>
                <w:sz w:val="18"/>
                <w:szCs w:val="18"/>
              </w:rPr>
              <w:t>6.65</w:t>
            </w:r>
          </w:p>
          <w:p w14:paraId="37B53695" w14:textId="77777777" w:rsidR="00BA0582" w:rsidRPr="00B524C2" w:rsidRDefault="00BA0582" w:rsidP="00BA0582">
            <w:pPr>
              <w:spacing w:line="240" w:lineRule="auto"/>
              <w:rPr>
                <w:rFonts w:cstheme="minorHAnsi"/>
                <w:color w:val="000000"/>
                <w:sz w:val="18"/>
                <w:szCs w:val="18"/>
              </w:rPr>
            </w:pPr>
            <w:r w:rsidRPr="00B524C2">
              <w:rPr>
                <w:rFonts w:cstheme="minorHAnsi"/>
                <w:color w:val="000000"/>
                <w:sz w:val="18"/>
                <w:szCs w:val="18"/>
              </w:rPr>
              <w:t>1.47</w:t>
            </w:r>
          </w:p>
          <w:p w14:paraId="3DFBBFE8" w14:textId="77777777" w:rsidR="00BA0582" w:rsidRPr="00B524C2" w:rsidRDefault="00BA0582" w:rsidP="00BA0582">
            <w:pPr>
              <w:spacing w:line="240" w:lineRule="auto"/>
              <w:rPr>
                <w:rFonts w:cstheme="minorHAnsi"/>
                <w:color w:val="000000"/>
                <w:sz w:val="18"/>
                <w:szCs w:val="18"/>
              </w:rPr>
            </w:pPr>
          </w:p>
        </w:tc>
        <w:tc>
          <w:tcPr>
            <w:tcW w:w="720" w:type="dxa"/>
            <w:tcBorders>
              <w:top w:val="single" w:sz="4" w:space="0" w:color="808080"/>
              <w:left w:val="nil"/>
              <w:bottom w:val="dashed" w:sz="4" w:space="0" w:color="808080" w:themeColor="background1" w:themeShade="80"/>
              <w:right w:val="nil"/>
            </w:tcBorders>
            <w:shd w:val="clear" w:color="auto" w:fill="auto"/>
            <w:hideMark/>
          </w:tcPr>
          <w:p w14:paraId="7DFDEF95" w14:textId="77777777" w:rsidR="00BA0582" w:rsidRPr="00B524C2" w:rsidRDefault="00BA0582" w:rsidP="00BA0582">
            <w:pPr>
              <w:spacing w:line="240" w:lineRule="auto"/>
              <w:rPr>
                <w:rFonts w:cstheme="minorHAnsi"/>
                <w:color w:val="000000"/>
                <w:sz w:val="18"/>
                <w:szCs w:val="18"/>
              </w:rPr>
            </w:pPr>
            <w:r w:rsidRPr="00B524C2">
              <w:rPr>
                <w:rFonts w:cstheme="minorHAnsi"/>
                <w:color w:val="000000"/>
                <w:sz w:val="18"/>
                <w:szCs w:val="18"/>
              </w:rPr>
              <w:t xml:space="preserve">5.94 d </w:t>
            </w:r>
          </w:p>
          <w:p w14:paraId="11DD3233" w14:textId="77777777" w:rsidR="00BA0582" w:rsidRPr="00B524C2" w:rsidRDefault="00BA0582" w:rsidP="00BA0582">
            <w:pPr>
              <w:spacing w:line="240" w:lineRule="auto"/>
              <w:rPr>
                <w:rFonts w:cstheme="minorHAnsi"/>
                <w:color w:val="000000"/>
                <w:sz w:val="18"/>
                <w:szCs w:val="18"/>
              </w:rPr>
            </w:pPr>
            <w:r w:rsidRPr="00B524C2">
              <w:rPr>
                <w:rFonts w:cstheme="minorHAnsi"/>
                <w:color w:val="000000"/>
                <w:sz w:val="18"/>
                <w:szCs w:val="18"/>
              </w:rPr>
              <w:t xml:space="preserve">5.00 dt </w:t>
            </w:r>
          </w:p>
          <w:p w14:paraId="6DDB86CC" w14:textId="77777777" w:rsidR="00BA0582" w:rsidRPr="00B524C2" w:rsidRDefault="00BA0582" w:rsidP="00BA0582">
            <w:pPr>
              <w:spacing w:line="240" w:lineRule="auto"/>
              <w:rPr>
                <w:rFonts w:cstheme="minorHAnsi"/>
                <w:color w:val="000000"/>
                <w:sz w:val="18"/>
                <w:szCs w:val="18"/>
              </w:rPr>
            </w:pPr>
            <w:r w:rsidRPr="00B524C2">
              <w:rPr>
                <w:rFonts w:cstheme="minorHAnsi"/>
                <w:color w:val="000000"/>
                <w:sz w:val="18"/>
                <w:szCs w:val="18"/>
              </w:rPr>
              <w:t xml:space="preserve">2.36 s </w:t>
            </w:r>
          </w:p>
          <w:p w14:paraId="19CF29C3" w14:textId="77777777" w:rsidR="00BA0582" w:rsidRPr="00B524C2" w:rsidRDefault="00BA0582" w:rsidP="00BA0582">
            <w:pPr>
              <w:spacing w:line="240" w:lineRule="auto"/>
              <w:rPr>
                <w:rFonts w:cstheme="minorHAnsi"/>
                <w:color w:val="000000"/>
                <w:sz w:val="18"/>
                <w:szCs w:val="18"/>
              </w:rPr>
            </w:pPr>
            <w:r w:rsidRPr="00B524C2">
              <w:rPr>
                <w:rFonts w:cstheme="minorHAnsi"/>
                <w:color w:val="000000"/>
                <w:sz w:val="18"/>
                <w:szCs w:val="18"/>
              </w:rPr>
              <w:t>6.10 s</w:t>
            </w:r>
          </w:p>
        </w:tc>
        <w:tc>
          <w:tcPr>
            <w:tcW w:w="810" w:type="dxa"/>
            <w:tcBorders>
              <w:top w:val="single" w:sz="4" w:space="0" w:color="808080"/>
              <w:left w:val="nil"/>
              <w:bottom w:val="dashed" w:sz="4" w:space="0" w:color="808080" w:themeColor="background1" w:themeShade="80"/>
              <w:right w:val="single" w:sz="4" w:space="0" w:color="808080"/>
            </w:tcBorders>
            <w:shd w:val="clear" w:color="auto" w:fill="auto"/>
            <w:hideMark/>
          </w:tcPr>
          <w:p w14:paraId="3B81D5D0" w14:textId="77777777" w:rsidR="00BA0582" w:rsidRPr="00B524C2" w:rsidRDefault="00BA0582" w:rsidP="00BA0582">
            <w:pPr>
              <w:spacing w:line="240" w:lineRule="auto"/>
              <w:rPr>
                <w:rFonts w:cstheme="minorHAnsi"/>
                <w:color w:val="000000"/>
                <w:sz w:val="18"/>
                <w:szCs w:val="18"/>
              </w:rPr>
            </w:pPr>
            <w:r w:rsidRPr="00B524C2">
              <w:rPr>
                <w:rFonts w:cstheme="minorHAnsi"/>
                <w:color w:val="000000"/>
                <w:sz w:val="18"/>
                <w:szCs w:val="18"/>
              </w:rPr>
              <w:t>15.99</w:t>
            </w:r>
          </w:p>
          <w:p w14:paraId="7EF45A56" w14:textId="77777777" w:rsidR="00BA0582" w:rsidRPr="00B524C2" w:rsidRDefault="00BA0582" w:rsidP="00BA0582">
            <w:pPr>
              <w:spacing w:line="240" w:lineRule="auto"/>
              <w:rPr>
                <w:rFonts w:cstheme="minorHAnsi"/>
                <w:color w:val="000000"/>
                <w:sz w:val="18"/>
                <w:szCs w:val="18"/>
              </w:rPr>
            </w:pPr>
            <w:r w:rsidRPr="00B524C2">
              <w:rPr>
                <w:rFonts w:cstheme="minorHAnsi"/>
                <w:color w:val="000000"/>
                <w:sz w:val="18"/>
                <w:szCs w:val="18"/>
              </w:rPr>
              <w:t>3.91</w:t>
            </w:r>
          </w:p>
        </w:tc>
        <w:tc>
          <w:tcPr>
            <w:tcW w:w="1170" w:type="dxa"/>
            <w:gridSpan w:val="2"/>
            <w:tcBorders>
              <w:top w:val="single" w:sz="4" w:space="0" w:color="808080"/>
              <w:left w:val="nil"/>
              <w:bottom w:val="dashed" w:sz="4" w:space="0" w:color="808080" w:themeColor="background1" w:themeShade="80"/>
            </w:tcBorders>
            <w:shd w:val="clear" w:color="auto" w:fill="auto"/>
            <w:noWrap/>
          </w:tcPr>
          <w:p w14:paraId="7F3A83E8" w14:textId="77777777" w:rsidR="00BA0582" w:rsidRPr="00B524C2" w:rsidRDefault="00BA0582" w:rsidP="00BA0582">
            <w:pPr>
              <w:spacing w:line="240" w:lineRule="auto"/>
              <w:rPr>
                <w:rFonts w:cstheme="minorHAnsi"/>
                <w:color w:val="000000"/>
                <w:sz w:val="18"/>
                <w:szCs w:val="18"/>
              </w:rPr>
            </w:pPr>
            <w:r w:rsidRPr="00B524C2">
              <w:rPr>
                <w:rFonts w:cstheme="minorHAnsi"/>
                <w:color w:val="000000"/>
                <w:sz w:val="18"/>
                <w:szCs w:val="18"/>
              </w:rPr>
              <w:t>6.25 s,</w:t>
            </w:r>
          </w:p>
          <w:p w14:paraId="02E3666D" w14:textId="77777777" w:rsidR="00BA0582" w:rsidRPr="00B524C2" w:rsidRDefault="000351A7" w:rsidP="00BA0582">
            <w:pPr>
              <w:spacing w:line="240" w:lineRule="auto"/>
              <w:rPr>
                <w:rFonts w:cstheme="minorHAnsi"/>
                <w:color w:val="000000"/>
                <w:sz w:val="18"/>
                <w:szCs w:val="18"/>
              </w:rPr>
            </w:pPr>
            <w:r>
              <w:rPr>
                <w:rFonts w:cstheme="minorHAnsi"/>
                <w:color w:val="000000"/>
                <w:sz w:val="18"/>
                <w:szCs w:val="18"/>
              </w:rPr>
              <w:t>4.97 m small</w:t>
            </w:r>
          </w:p>
          <w:p w14:paraId="68DD22E9" w14:textId="77777777" w:rsidR="00BA0582" w:rsidRPr="00B524C2" w:rsidRDefault="00BA0582" w:rsidP="00BA0582">
            <w:pPr>
              <w:spacing w:line="240" w:lineRule="auto"/>
              <w:rPr>
                <w:rFonts w:cstheme="minorHAnsi"/>
                <w:color w:val="000000"/>
                <w:sz w:val="18"/>
                <w:szCs w:val="18"/>
              </w:rPr>
            </w:pPr>
            <w:r w:rsidRPr="00B524C2">
              <w:rPr>
                <w:rFonts w:cstheme="minorHAnsi"/>
                <w:color w:val="000000"/>
                <w:sz w:val="18"/>
                <w:szCs w:val="18"/>
              </w:rPr>
              <w:t>1.08 s</w:t>
            </w:r>
          </w:p>
        </w:tc>
      </w:tr>
      <w:tr w:rsidR="00BA0582" w:rsidRPr="00B524C2" w14:paraId="3C877D38" w14:textId="77777777" w:rsidTr="000351A7">
        <w:trPr>
          <w:trHeight w:val="1733"/>
        </w:trPr>
        <w:tc>
          <w:tcPr>
            <w:tcW w:w="1349" w:type="dxa"/>
            <w:vMerge/>
            <w:tcBorders>
              <w:left w:val="nil"/>
              <w:bottom w:val="dashed" w:sz="4" w:space="0" w:color="808080" w:themeColor="background1" w:themeShade="80"/>
              <w:right w:val="dashed" w:sz="4" w:space="0" w:color="808080" w:themeColor="background1" w:themeShade="80"/>
            </w:tcBorders>
            <w:shd w:val="clear" w:color="auto" w:fill="auto"/>
            <w:vAlign w:val="center"/>
            <w:hideMark/>
          </w:tcPr>
          <w:p w14:paraId="0B172386" w14:textId="77777777" w:rsidR="00BA0582" w:rsidRPr="00B524C2" w:rsidRDefault="00BA0582" w:rsidP="00BA0582">
            <w:pPr>
              <w:spacing w:line="240" w:lineRule="auto"/>
              <w:rPr>
                <w:rFonts w:cstheme="minorHAnsi"/>
                <w:color w:val="000000"/>
                <w:sz w:val="18"/>
                <w:szCs w:val="18"/>
              </w:rPr>
            </w:pPr>
          </w:p>
        </w:tc>
        <w:tc>
          <w:tcPr>
            <w:tcW w:w="575" w:type="dxa"/>
            <w:gridSpan w:val="2"/>
            <w:tcBorders>
              <w:top w:val="dashed" w:sz="4" w:space="0" w:color="808080" w:themeColor="background1" w:themeShade="80"/>
              <w:left w:val="dashed" w:sz="4" w:space="0" w:color="808080" w:themeColor="background1" w:themeShade="80"/>
              <w:bottom w:val="dashed" w:sz="4" w:space="0" w:color="808080" w:themeColor="background1" w:themeShade="80"/>
              <w:right w:val="single" w:sz="12" w:space="0" w:color="auto"/>
            </w:tcBorders>
            <w:vAlign w:val="center"/>
          </w:tcPr>
          <w:p w14:paraId="11BA7F4F" w14:textId="77777777" w:rsidR="00BA0582" w:rsidRPr="00B524C2" w:rsidRDefault="00BA0582" w:rsidP="00BA0582">
            <w:pPr>
              <w:spacing w:line="240" w:lineRule="auto"/>
              <w:jc w:val="center"/>
              <w:rPr>
                <w:rFonts w:cstheme="minorHAnsi"/>
                <w:color w:val="000000"/>
                <w:sz w:val="18"/>
                <w:szCs w:val="18"/>
              </w:rPr>
            </w:pPr>
            <w:r w:rsidRPr="00B524C2">
              <w:rPr>
                <w:rFonts w:cstheme="minorHAnsi"/>
                <w:color w:val="000000"/>
                <w:sz w:val="18"/>
                <w:szCs w:val="18"/>
                <w:vertAlign w:val="superscript"/>
              </w:rPr>
              <w:t>31</w:t>
            </w:r>
            <w:r w:rsidRPr="00B524C2">
              <w:rPr>
                <w:rFonts w:cstheme="minorHAnsi"/>
                <w:color w:val="000000"/>
                <w:sz w:val="18"/>
                <w:szCs w:val="18"/>
              </w:rPr>
              <w:t>P</w:t>
            </w:r>
            <w:r w:rsidRPr="00B524C2">
              <w:rPr>
                <w:rFonts w:cstheme="minorHAnsi"/>
                <w:color w:val="000000"/>
                <w:sz w:val="18"/>
                <w:szCs w:val="18"/>
                <w:vertAlign w:val="superscript"/>
              </w:rPr>
              <w:t>d</w:t>
            </w:r>
          </w:p>
        </w:tc>
        <w:tc>
          <w:tcPr>
            <w:tcW w:w="1260" w:type="dxa"/>
            <w:gridSpan w:val="4"/>
            <w:tcBorders>
              <w:top w:val="dashed" w:sz="4" w:space="0" w:color="808080" w:themeColor="background1" w:themeShade="80"/>
              <w:left w:val="single" w:sz="12" w:space="0" w:color="auto"/>
              <w:bottom w:val="dashed" w:sz="4" w:space="0" w:color="808080" w:themeColor="background1" w:themeShade="80"/>
              <w:right w:val="single" w:sz="4" w:space="0" w:color="808080"/>
            </w:tcBorders>
            <w:shd w:val="clear" w:color="auto" w:fill="auto"/>
            <w:noWrap/>
            <w:hideMark/>
          </w:tcPr>
          <w:p w14:paraId="3AB2B2F2" w14:textId="77777777" w:rsidR="00BA0582" w:rsidRPr="00B524C2" w:rsidRDefault="00BA0582" w:rsidP="00BA0582">
            <w:pPr>
              <w:spacing w:line="240" w:lineRule="auto"/>
              <w:rPr>
                <w:rFonts w:cstheme="minorHAnsi"/>
                <w:sz w:val="18"/>
                <w:szCs w:val="18"/>
              </w:rPr>
            </w:pPr>
            <w:r w:rsidRPr="00B524C2">
              <w:rPr>
                <w:rFonts w:cstheme="minorHAnsi"/>
                <w:b/>
                <w:sz w:val="18"/>
                <w:szCs w:val="18"/>
              </w:rPr>
              <w:t>-7.45</w:t>
            </w:r>
          </w:p>
          <w:p w14:paraId="7487BF0F" w14:textId="77777777" w:rsidR="00BA0582" w:rsidRPr="00B524C2" w:rsidRDefault="00BA0582" w:rsidP="00BA0582">
            <w:pPr>
              <w:spacing w:line="240" w:lineRule="auto"/>
              <w:rPr>
                <w:rFonts w:cstheme="minorHAnsi"/>
                <w:sz w:val="18"/>
                <w:szCs w:val="18"/>
              </w:rPr>
            </w:pPr>
            <w:r w:rsidRPr="00B524C2">
              <w:rPr>
                <w:rFonts w:cstheme="minorHAnsi"/>
                <w:b/>
                <w:sz w:val="18"/>
                <w:szCs w:val="18"/>
              </w:rPr>
              <w:t>-10.65</w:t>
            </w:r>
          </w:p>
        </w:tc>
        <w:tc>
          <w:tcPr>
            <w:tcW w:w="956" w:type="dxa"/>
            <w:tcBorders>
              <w:top w:val="dashed" w:sz="4" w:space="0" w:color="808080" w:themeColor="background1" w:themeShade="80"/>
              <w:left w:val="nil"/>
              <w:bottom w:val="dashed" w:sz="4" w:space="0" w:color="808080" w:themeColor="background1" w:themeShade="80"/>
              <w:right w:val="single" w:sz="4" w:space="0" w:color="808080"/>
            </w:tcBorders>
            <w:shd w:val="clear" w:color="auto" w:fill="auto"/>
            <w:noWrap/>
            <w:hideMark/>
          </w:tcPr>
          <w:p w14:paraId="16B997CA" w14:textId="77777777" w:rsidR="00BA0582" w:rsidRPr="00B524C2" w:rsidRDefault="00BA0582" w:rsidP="00BA0582">
            <w:pPr>
              <w:spacing w:line="240" w:lineRule="auto"/>
              <w:rPr>
                <w:rFonts w:cstheme="minorHAnsi"/>
                <w:sz w:val="18"/>
                <w:szCs w:val="18"/>
              </w:rPr>
            </w:pPr>
            <w:r w:rsidRPr="00B524C2">
              <w:rPr>
                <w:rFonts w:cstheme="minorHAnsi"/>
                <w:b/>
                <w:sz w:val="18"/>
                <w:szCs w:val="18"/>
              </w:rPr>
              <w:t>-6.76</w:t>
            </w:r>
          </w:p>
          <w:p w14:paraId="6900E53D" w14:textId="77777777" w:rsidR="00BA0582" w:rsidRPr="00B524C2" w:rsidRDefault="00BA0582" w:rsidP="00BA0582">
            <w:pPr>
              <w:spacing w:line="240" w:lineRule="auto"/>
              <w:rPr>
                <w:rFonts w:cstheme="minorHAnsi"/>
                <w:color w:val="000000"/>
                <w:sz w:val="18"/>
                <w:szCs w:val="18"/>
              </w:rPr>
            </w:pPr>
            <w:r w:rsidRPr="00B524C2">
              <w:rPr>
                <w:rFonts w:cstheme="minorHAnsi"/>
                <w:b/>
                <w:sz w:val="18"/>
                <w:szCs w:val="18"/>
              </w:rPr>
              <w:t>-10.93</w:t>
            </w:r>
          </w:p>
        </w:tc>
        <w:tc>
          <w:tcPr>
            <w:tcW w:w="1350" w:type="dxa"/>
            <w:gridSpan w:val="2"/>
            <w:tcBorders>
              <w:top w:val="dashed" w:sz="4" w:space="0" w:color="808080" w:themeColor="background1" w:themeShade="80"/>
              <w:left w:val="nil"/>
              <w:bottom w:val="dashed" w:sz="4" w:space="0" w:color="808080" w:themeColor="background1" w:themeShade="80"/>
              <w:right w:val="single" w:sz="4" w:space="0" w:color="808080"/>
            </w:tcBorders>
            <w:shd w:val="clear" w:color="auto" w:fill="auto"/>
            <w:hideMark/>
          </w:tcPr>
          <w:p w14:paraId="62675297" w14:textId="77777777" w:rsidR="00BA0582" w:rsidRPr="00B524C2" w:rsidRDefault="00BA0582" w:rsidP="00BA0582">
            <w:pPr>
              <w:spacing w:line="240" w:lineRule="auto"/>
              <w:rPr>
                <w:rFonts w:cstheme="minorHAnsi"/>
                <w:sz w:val="18"/>
                <w:szCs w:val="18"/>
              </w:rPr>
            </w:pPr>
            <w:r w:rsidRPr="00B524C2">
              <w:rPr>
                <w:rFonts w:cstheme="minorHAnsi"/>
                <w:b/>
                <w:sz w:val="18"/>
                <w:szCs w:val="18"/>
              </w:rPr>
              <w:t>-3.97</w:t>
            </w:r>
          </w:p>
          <w:p w14:paraId="30D8473E" w14:textId="77777777" w:rsidR="00BA0582" w:rsidRPr="00B524C2" w:rsidRDefault="00A45FB5" w:rsidP="00BA0582">
            <w:pPr>
              <w:spacing w:line="240" w:lineRule="auto"/>
              <w:rPr>
                <w:rFonts w:cstheme="minorHAnsi"/>
                <w:sz w:val="18"/>
                <w:szCs w:val="18"/>
              </w:rPr>
            </w:pPr>
            <w:r>
              <w:rPr>
                <w:rFonts w:cstheme="minorHAnsi"/>
                <w:sz w:val="18"/>
                <w:szCs w:val="18"/>
              </w:rPr>
              <w:t>-7.88</w:t>
            </w:r>
          </w:p>
          <w:p w14:paraId="7431EDF0" w14:textId="77777777" w:rsidR="00BA0582" w:rsidRPr="00B524C2" w:rsidRDefault="00A45FB5" w:rsidP="00BA0582">
            <w:pPr>
              <w:spacing w:line="240" w:lineRule="auto"/>
              <w:rPr>
                <w:rFonts w:cstheme="minorHAnsi"/>
                <w:sz w:val="18"/>
                <w:szCs w:val="18"/>
              </w:rPr>
            </w:pPr>
            <w:r>
              <w:rPr>
                <w:rFonts w:cstheme="minorHAnsi"/>
                <w:sz w:val="18"/>
                <w:szCs w:val="18"/>
              </w:rPr>
              <w:t>-8.12</w:t>
            </w:r>
          </w:p>
          <w:p w14:paraId="3A81F6EA" w14:textId="77777777" w:rsidR="00BA0582" w:rsidRPr="00B524C2" w:rsidRDefault="00A45FB5" w:rsidP="00BA0582">
            <w:pPr>
              <w:spacing w:line="240" w:lineRule="auto"/>
              <w:rPr>
                <w:rFonts w:cstheme="minorHAnsi"/>
                <w:sz w:val="18"/>
                <w:szCs w:val="18"/>
              </w:rPr>
            </w:pPr>
            <w:r>
              <w:rPr>
                <w:rFonts w:cstheme="minorHAnsi"/>
                <w:sz w:val="18"/>
                <w:szCs w:val="18"/>
              </w:rPr>
              <w:t>-8.82</w:t>
            </w:r>
          </w:p>
          <w:p w14:paraId="26EA4A0C" w14:textId="77777777" w:rsidR="00BA0582" w:rsidRPr="00B524C2" w:rsidRDefault="00A45FB5" w:rsidP="00BA0582">
            <w:pPr>
              <w:spacing w:line="240" w:lineRule="auto"/>
              <w:rPr>
                <w:rFonts w:cstheme="minorHAnsi"/>
                <w:sz w:val="18"/>
                <w:szCs w:val="18"/>
              </w:rPr>
            </w:pPr>
            <w:r>
              <w:rPr>
                <w:rFonts w:cstheme="minorHAnsi"/>
                <w:sz w:val="18"/>
                <w:szCs w:val="18"/>
              </w:rPr>
              <w:t>-9.34</w:t>
            </w:r>
          </w:p>
          <w:p w14:paraId="05277C70" w14:textId="77777777" w:rsidR="00BA0582" w:rsidRPr="00B524C2" w:rsidRDefault="00BA0582" w:rsidP="00BA0582">
            <w:pPr>
              <w:spacing w:line="240" w:lineRule="auto"/>
              <w:rPr>
                <w:rFonts w:cstheme="minorHAnsi"/>
                <w:color w:val="000000"/>
                <w:sz w:val="18"/>
                <w:szCs w:val="18"/>
              </w:rPr>
            </w:pPr>
            <w:r w:rsidRPr="00B524C2">
              <w:rPr>
                <w:rFonts w:cstheme="minorHAnsi"/>
                <w:b/>
                <w:sz w:val="18"/>
                <w:szCs w:val="18"/>
              </w:rPr>
              <w:t>-14.11</w:t>
            </w:r>
          </w:p>
        </w:tc>
        <w:tc>
          <w:tcPr>
            <w:tcW w:w="1530" w:type="dxa"/>
            <w:gridSpan w:val="2"/>
            <w:tcBorders>
              <w:top w:val="dashed" w:sz="4" w:space="0" w:color="808080" w:themeColor="background1" w:themeShade="80"/>
              <w:left w:val="nil"/>
              <w:bottom w:val="dashed" w:sz="4" w:space="0" w:color="808080" w:themeColor="background1" w:themeShade="80"/>
              <w:right w:val="single" w:sz="4" w:space="0" w:color="808080"/>
            </w:tcBorders>
            <w:shd w:val="clear" w:color="auto" w:fill="auto"/>
            <w:noWrap/>
          </w:tcPr>
          <w:p w14:paraId="56DD9281" w14:textId="77777777" w:rsidR="00BA0582" w:rsidRPr="00B524C2" w:rsidRDefault="00BA0582" w:rsidP="00BA0582">
            <w:pPr>
              <w:spacing w:line="240" w:lineRule="auto"/>
              <w:rPr>
                <w:rFonts w:cstheme="minorHAnsi"/>
                <w:sz w:val="18"/>
                <w:szCs w:val="18"/>
              </w:rPr>
            </w:pPr>
            <w:r w:rsidRPr="00B524C2">
              <w:rPr>
                <w:rFonts w:cstheme="minorHAnsi"/>
                <w:sz w:val="18"/>
                <w:szCs w:val="18"/>
              </w:rPr>
              <w:t xml:space="preserve">-6.88, </w:t>
            </w:r>
          </w:p>
          <w:p w14:paraId="0D4A3316" w14:textId="77777777" w:rsidR="00BA0582" w:rsidRPr="00B524C2" w:rsidRDefault="00BA0582" w:rsidP="00BA0582">
            <w:pPr>
              <w:spacing w:line="240" w:lineRule="auto"/>
              <w:rPr>
                <w:rFonts w:cstheme="minorHAnsi"/>
                <w:color w:val="000000"/>
                <w:sz w:val="18"/>
                <w:szCs w:val="18"/>
              </w:rPr>
            </w:pPr>
            <w:r w:rsidRPr="00B524C2">
              <w:rPr>
                <w:rFonts w:cstheme="minorHAnsi"/>
                <w:b/>
                <w:sz w:val="18"/>
                <w:szCs w:val="18"/>
              </w:rPr>
              <w:t>-10.45</w:t>
            </w:r>
          </w:p>
        </w:tc>
        <w:tc>
          <w:tcPr>
            <w:tcW w:w="1170" w:type="dxa"/>
            <w:gridSpan w:val="2"/>
            <w:tcBorders>
              <w:top w:val="dashed" w:sz="4" w:space="0" w:color="808080" w:themeColor="background1" w:themeShade="80"/>
              <w:left w:val="nil"/>
              <w:bottom w:val="dashed" w:sz="4" w:space="0" w:color="808080" w:themeColor="background1" w:themeShade="80"/>
            </w:tcBorders>
            <w:shd w:val="clear" w:color="auto" w:fill="auto"/>
            <w:noWrap/>
          </w:tcPr>
          <w:p w14:paraId="72968CC2" w14:textId="77777777" w:rsidR="00BA0582" w:rsidRPr="00B524C2" w:rsidRDefault="000351A7" w:rsidP="00BA0582">
            <w:pPr>
              <w:spacing w:line="240" w:lineRule="auto"/>
              <w:rPr>
                <w:rFonts w:cstheme="minorHAnsi"/>
                <w:sz w:val="18"/>
                <w:szCs w:val="18"/>
              </w:rPr>
            </w:pPr>
            <w:r>
              <w:rPr>
                <w:rFonts w:cstheme="minorHAnsi"/>
                <w:sz w:val="18"/>
                <w:szCs w:val="18"/>
              </w:rPr>
              <w:t>72.66</w:t>
            </w:r>
          </w:p>
          <w:p w14:paraId="14A2F068" w14:textId="77777777" w:rsidR="00A45FB5" w:rsidRDefault="00BA0582" w:rsidP="00BA0582">
            <w:pPr>
              <w:spacing w:line="240" w:lineRule="auto"/>
              <w:rPr>
                <w:rFonts w:cstheme="minorHAnsi"/>
                <w:sz w:val="18"/>
                <w:szCs w:val="18"/>
              </w:rPr>
            </w:pPr>
            <w:r w:rsidRPr="00B524C2">
              <w:rPr>
                <w:rFonts w:cstheme="minorHAnsi"/>
                <w:b/>
                <w:sz w:val="18"/>
                <w:szCs w:val="18"/>
              </w:rPr>
              <w:t>49.97</w:t>
            </w:r>
            <w:r w:rsidRPr="00B524C2">
              <w:rPr>
                <w:rFonts w:cstheme="minorHAnsi"/>
                <w:sz w:val="18"/>
                <w:szCs w:val="18"/>
              </w:rPr>
              <w:t xml:space="preserve"> d,(J</w:t>
            </w:r>
            <w:r w:rsidRPr="00B524C2">
              <w:rPr>
                <w:rFonts w:cstheme="minorHAnsi"/>
                <w:sz w:val="18"/>
                <w:szCs w:val="18"/>
                <w:vertAlign w:val="subscript"/>
              </w:rPr>
              <w:t>PP</w:t>
            </w:r>
            <w:r w:rsidR="00A45FB5">
              <w:rPr>
                <w:rFonts w:cstheme="minorHAnsi"/>
                <w:sz w:val="18"/>
                <w:szCs w:val="18"/>
              </w:rPr>
              <w:t xml:space="preserve">=16) </w:t>
            </w:r>
          </w:p>
          <w:p w14:paraId="49ED780F" w14:textId="77777777" w:rsidR="00BA0582" w:rsidRPr="00B524C2" w:rsidRDefault="00A45FB5" w:rsidP="00BA0582">
            <w:pPr>
              <w:spacing w:line="240" w:lineRule="auto"/>
              <w:rPr>
                <w:rFonts w:cstheme="minorHAnsi"/>
                <w:b/>
                <w:sz w:val="18"/>
                <w:szCs w:val="18"/>
              </w:rPr>
            </w:pPr>
            <w:r>
              <w:rPr>
                <w:rFonts w:cstheme="minorHAnsi"/>
                <w:sz w:val="18"/>
                <w:szCs w:val="18"/>
              </w:rPr>
              <w:t>21.79</w:t>
            </w:r>
          </w:p>
          <w:p w14:paraId="3623ACB8" w14:textId="77777777" w:rsidR="00BA0582" w:rsidRPr="00B524C2" w:rsidRDefault="000351A7" w:rsidP="00BA0582">
            <w:pPr>
              <w:spacing w:line="240" w:lineRule="auto"/>
              <w:rPr>
                <w:rFonts w:cstheme="minorHAnsi"/>
                <w:sz w:val="18"/>
                <w:szCs w:val="18"/>
              </w:rPr>
            </w:pPr>
            <w:r>
              <w:rPr>
                <w:rFonts w:cstheme="minorHAnsi"/>
                <w:sz w:val="18"/>
                <w:szCs w:val="18"/>
              </w:rPr>
              <w:t>-7.93</w:t>
            </w:r>
          </w:p>
          <w:p w14:paraId="11A5DD72" w14:textId="77777777" w:rsidR="00BA0582" w:rsidRPr="00B524C2" w:rsidRDefault="000351A7" w:rsidP="00BA0582">
            <w:pPr>
              <w:spacing w:line="240" w:lineRule="auto"/>
              <w:rPr>
                <w:rFonts w:cstheme="minorHAnsi"/>
                <w:sz w:val="18"/>
                <w:szCs w:val="18"/>
              </w:rPr>
            </w:pPr>
            <w:r>
              <w:rPr>
                <w:rFonts w:cstheme="minorHAnsi"/>
                <w:sz w:val="18"/>
                <w:szCs w:val="18"/>
              </w:rPr>
              <w:t>-8.81</w:t>
            </w:r>
          </w:p>
          <w:p w14:paraId="232D26A6" w14:textId="77777777" w:rsidR="00BA0582" w:rsidRPr="00B524C2" w:rsidRDefault="000351A7" w:rsidP="00BA0582">
            <w:pPr>
              <w:spacing w:line="240" w:lineRule="auto"/>
              <w:rPr>
                <w:rFonts w:cstheme="minorHAnsi"/>
                <w:sz w:val="18"/>
                <w:szCs w:val="18"/>
              </w:rPr>
            </w:pPr>
            <w:r>
              <w:rPr>
                <w:rFonts w:cstheme="minorHAnsi"/>
                <w:sz w:val="18"/>
                <w:szCs w:val="18"/>
              </w:rPr>
              <w:t>-9.57</w:t>
            </w:r>
          </w:p>
          <w:p w14:paraId="163065AE" w14:textId="77777777" w:rsidR="00BA0582" w:rsidRPr="00B524C2" w:rsidRDefault="000351A7" w:rsidP="00BA0582">
            <w:pPr>
              <w:spacing w:line="240" w:lineRule="auto"/>
              <w:rPr>
                <w:rFonts w:cstheme="minorHAnsi"/>
                <w:sz w:val="18"/>
                <w:szCs w:val="18"/>
              </w:rPr>
            </w:pPr>
            <w:r>
              <w:rPr>
                <w:rFonts w:cstheme="minorHAnsi"/>
                <w:sz w:val="18"/>
                <w:szCs w:val="18"/>
              </w:rPr>
              <w:t>-10.65</w:t>
            </w:r>
          </w:p>
          <w:p w14:paraId="59B9809A" w14:textId="77777777" w:rsidR="00BA0582" w:rsidRPr="00B524C2" w:rsidRDefault="00BA0582" w:rsidP="00BA0582">
            <w:pPr>
              <w:spacing w:line="240" w:lineRule="auto"/>
              <w:rPr>
                <w:rFonts w:cstheme="minorHAnsi"/>
                <w:color w:val="000000"/>
                <w:sz w:val="18"/>
                <w:szCs w:val="18"/>
              </w:rPr>
            </w:pPr>
            <w:r w:rsidRPr="00B524C2">
              <w:rPr>
                <w:rFonts w:cstheme="minorHAnsi"/>
                <w:b/>
                <w:sz w:val="18"/>
                <w:szCs w:val="18"/>
              </w:rPr>
              <w:t>-12.14</w:t>
            </w:r>
            <w:r w:rsidRPr="00B524C2">
              <w:rPr>
                <w:rFonts w:cstheme="minorHAnsi"/>
                <w:sz w:val="18"/>
                <w:szCs w:val="18"/>
              </w:rPr>
              <w:t xml:space="preserve"> d,(J</w:t>
            </w:r>
            <w:r w:rsidRPr="00B524C2">
              <w:rPr>
                <w:rFonts w:cstheme="minorHAnsi"/>
                <w:sz w:val="18"/>
                <w:szCs w:val="18"/>
                <w:vertAlign w:val="subscript"/>
              </w:rPr>
              <w:t>PP</w:t>
            </w:r>
            <w:r w:rsidRPr="00B524C2">
              <w:rPr>
                <w:rFonts w:cstheme="minorHAnsi"/>
                <w:sz w:val="18"/>
                <w:szCs w:val="18"/>
              </w:rPr>
              <w:t>=16)</w:t>
            </w:r>
          </w:p>
        </w:tc>
      </w:tr>
      <w:tr w:rsidR="00BA0582" w:rsidRPr="00B524C2" w14:paraId="6AD75A2A" w14:textId="77777777" w:rsidTr="000351A7">
        <w:trPr>
          <w:gridAfter w:val="1"/>
          <w:wAfter w:w="90" w:type="dxa"/>
          <w:trHeight w:val="144"/>
        </w:trPr>
        <w:tc>
          <w:tcPr>
            <w:tcW w:w="8100" w:type="dxa"/>
            <w:gridSpan w:val="13"/>
            <w:tcBorders>
              <w:top w:val="dashed" w:sz="4" w:space="0" w:color="808080" w:themeColor="background1" w:themeShade="80"/>
              <w:left w:val="nil"/>
              <w:bottom w:val="nil"/>
            </w:tcBorders>
          </w:tcPr>
          <w:p w14:paraId="34DBAF0D" w14:textId="77777777" w:rsidR="00BA0582" w:rsidRPr="00B524C2" w:rsidRDefault="00BA0582" w:rsidP="00BA0582">
            <w:pPr>
              <w:spacing w:line="240" w:lineRule="auto"/>
              <w:rPr>
                <w:rFonts w:cstheme="minorHAnsi"/>
                <w:color w:val="000000"/>
                <w:sz w:val="18"/>
                <w:szCs w:val="18"/>
              </w:rPr>
            </w:pPr>
            <w:r w:rsidRPr="00B524C2">
              <w:rPr>
                <w:rFonts w:cstheme="minorHAnsi"/>
                <w:sz w:val="18"/>
                <w:szCs w:val="18"/>
              </w:rPr>
              <w:t>a) 1:5</w:t>
            </w:r>
            <w:r w:rsidRPr="00B524C2">
              <w:rPr>
                <w:rFonts w:cstheme="minorHAnsi"/>
                <w:color w:val="000000"/>
                <w:sz w:val="18"/>
                <w:szCs w:val="18"/>
              </w:rPr>
              <w:t xml:space="preserve"> IReO</w:t>
            </w:r>
            <w:r w:rsidRPr="00B524C2">
              <w:rPr>
                <w:rFonts w:cstheme="minorHAnsi"/>
                <w:color w:val="000000"/>
                <w:sz w:val="18"/>
                <w:szCs w:val="18"/>
                <w:vertAlign w:val="subscript"/>
              </w:rPr>
              <w:t>2</w:t>
            </w:r>
            <w:r w:rsidRPr="00B524C2">
              <w:rPr>
                <w:rFonts w:cstheme="minorHAnsi"/>
                <w:color w:val="000000"/>
                <w:sz w:val="18"/>
                <w:szCs w:val="18"/>
              </w:rPr>
              <w:t>(PPh</w:t>
            </w:r>
            <w:r w:rsidRPr="00B524C2">
              <w:rPr>
                <w:rFonts w:cstheme="minorHAnsi"/>
                <w:color w:val="000000"/>
                <w:sz w:val="18"/>
                <w:szCs w:val="18"/>
                <w:vertAlign w:val="subscript"/>
              </w:rPr>
              <w:t>3</w:t>
            </w:r>
            <w:r w:rsidRPr="00B524C2">
              <w:rPr>
                <w:rFonts w:cstheme="minorHAnsi"/>
                <w:color w:val="000000"/>
                <w:sz w:val="18"/>
                <w:szCs w:val="18"/>
              </w:rPr>
              <w:t>)</w:t>
            </w:r>
            <w:r w:rsidRPr="00B524C2">
              <w:rPr>
                <w:rFonts w:cstheme="minorHAnsi"/>
                <w:color w:val="000000"/>
                <w:sz w:val="18"/>
                <w:szCs w:val="18"/>
                <w:vertAlign w:val="subscript"/>
              </w:rPr>
              <w:t>2</w:t>
            </w:r>
            <w:r w:rsidRPr="00B524C2">
              <w:rPr>
                <w:rFonts w:cstheme="minorHAnsi"/>
                <w:color w:val="000000"/>
                <w:sz w:val="18"/>
                <w:szCs w:val="18"/>
              </w:rPr>
              <w:t xml:space="preserve"> to ROH in 0.8 mL </w:t>
            </w:r>
            <w:r w:rsidRPr="00B524C2">
              <w:rPr>
                <w:rFonts w:cstheme="minorHAnsi"/>
                <w:i/>
                <w:color w:val="000000"/>
                <w:sz w:val="18"/>
                <w:szCs w:val="18"/>
              </w:rPr>
              <w:t>d</w:t>
            </w:r>
            <w:r w:rsidRPr="00B524C2">
              <w:rPr>
                <w:rFonts w:cstheme="minorHAnsi"/>
                <w:i/>
                <w:color w:val="000000"/>
                <w:sz w:val="18"/>
                <w:szCs w:val="18"/>
                <w:vertAlign w:val="superscript"/>
              </w:rPr>
              <w:t>6</w:t>
            </w:r>
            <w:r w:rsidRPr="00B524C2">
              <w:rPr>
                <w:rFonts w:cstheme="minorHAnsi"/>
                <w:color w:val="000000"/>
                <w:sz w:val="18"/>
                <w:szCs w:val="18"/>
              </w:rPr>
              <w:t xml:space="preserve">-benzene, b) </w:t>
            </w:r>
            <w:r w:rsidRPr="00B524C2">
              <w:rPr>
                <w:rFonts w:cstheme="minorHAnsi"/>
                <w:sz w:val="18"/>
                <w:szCs w:val="18"/>
              </w:rPr>
              <w:t>Shift in ppm, c) J coupling in Hz d) Strongest signals bolded</w:t>
            </w:r>
          </w:p>
        </w:tc>
      </w:tr>
    </w:tbl>
    <w:p w14:paraId="62AAF24B" w14:textId="77777777" w:rsidR="00BA0582" w:rsidRDefault="007A65FE" w:rsidP="00BA0582">
      <w:pPr>
        <w:ind w:firstLine="360"/>
        <w:jc w:val="both"/>
      </w:pPr>
      <w:r>
        <w:t>A</w:t>
      </w:r>
      <w:r w:rsidR="00BA0582">
        <w:t xml:space="preserve"> singlet </w:t>
      </w:r>
      <w:r>
        <w:t xml:space="preserve">was found </w:t>
      </w:r>
      <w:r w:rsidR="00BA0582">
        <w:t xml:space="preserve">near 6.1 ppm for the samples with ethanol and cinnamyl alcohol, which is similar to the 6.23 </w:t>
      </w:r>
      <w:r w:rsidR="00BA0582" w:rsidRPr="000868C9">
        <w:t xml:space="preserve">ppm signal in the samples containing benzhydrol. In the cases of the two other alcohols, benzyl alcohol and 1-phenylethanol, we found a multiplet, seemingly a doublet of doublets at 6.5 ppm. </w:t>
      </w:r>
      <w:r w:rsidR="00BA0582">
        <w:t xml:space="preserve">This signal could be a CH proton but we are lacking evidence to make a definitive </w:t>
      </w:r>
      <w:r w:rsidR="00BA0582" w:rsidRPr="00DD3ADE">
        <w:t>assignment.</w:t>
      </w:r>
    </w:p>
    <w:p w14:paraId="531E1CF5" w14:textId="77777777" w:rsidR="00BA0582" w:rsidRDefault="00BA0582" w:rsidP="00BA0582">
      <w:pPr>
        <w:ind w:firstLine="360"/>
        <w:jc w:val="both"/>
      </w:pPr>
      <w:r>
        <w:t xml:space="preserve">In parallel </w:t>
      </w:r>
      <w:r w:rsidRPr="000868C9">
        <w:t>with</w:t>
      </w:r>
      <w:r w:rsidR="007A65FE">
        <w:t xml:space="preserve"> the proton NMR spectra studies </w:t>
      </w:r>
      <w:r w:rsidRPr="000868C9">
        <w:rPr>
          <w:vertAlign w:val="superscript"/>
        </w:rPr>
        <w:t>31</w:t>
      </w:r>
      <w:r w:rsidRPr="000868C9">
        <w:t>P NMR spectra</w:t>
      </w:r>
      <w:r w:rsidR="007A65FE">
        <w:t xml:space="preserve"> were</w:t>
      </w:r>
      <w:r w:rsidRPr="000868C9">
        <w:t xml:space="preserve"> </w:t>
      </w:r>
      <w:r w:rsidR="007A65FE" w:rsidRPr="000868C9">
        <w:t xml:space="preserve">also acquired </w:t>
      </w:r>
      <w:r w:rsidRPr="000868C9">
        <w:t xml:space="preserve">for each of these samples. The presence of these two sets of alcohol derived protons correlated with the presence of a large signal at -10.5 to -10.9 ppm and a smaller one at -7 to -6 ppm in the </w:t>
      </w:r>
      <w:r w:rsidRPr="0000425B">
        <w:rPr>
          <w:vertAlign w:val="superscript"/>
        </w:rPr>
        <w:t>31</w:t>
      </w:r>
      <w:r>
        <w:t xml:space="preserve">P </w:t>
      </w:r>
      <w:r w:rsidRPr="000868C9">
        <w:t>NMR</w:t>
      </w:r>
      <w:r>
        <w:t xml:space="preserve"> spectrum</w:t>
      </w:r>
      <w:r w:rsidRPr="000868C9">
        <w:t xml:space="preserve">. Only </w:t>
      </w:r>
      <w:r>
        <w:t xml:space="preserve">the </w:t>
      </w:r>
      <w:r w:rsidRPr="0000425B">
        <w:rPr>
          <w:vertAlign w:val="superscript"/>
        </w:rPr>
        <w:t>31</w:t>
      </w:r>
      <w:r w:rsidRPr="0000425B">
        <w:t>P</w:t>
      </w:r>
      <w:r>
        <w:t xml:space="preserve"> NMR spectrum of [1-phenylethanol </w:t>
      </w:r>
      <w:r w:rsidRPr="003816AB">
        <w:t xml:space="preserve">+ </w:t>
      </w:r>
      <w:r>
        <w:t>I</w:t>
      </w:r>
      <w:r w:rsidRPr="003816AB">
        <w:t>ReO</w:t>
      </w:r>
      <w:r w:rsidRPr="003816AB">
        <w:rPr>
          <w:vertAlign w:val="subscript"/>
        </w:rPr>
        <w:t>2</w:t>
      </w:r>
      <w:r w:rsidRPr="003816AB">
        <w:t>(PPh</w:t>
      </w:r>
      <w:r w:rsidRPr="003816AB">
        <w:rPr>
          <w:vertAlign w:val="subscript"/>
        </w:rPr>
        <w:t>3</w:t>
      </w:r>
      <w:r w:rsidRPr="003816AB">
        <w:t>)</w:t>
      </w:r>
      <w:r w:rsidRPr="003816AB">
        <w:rPr>
          <w:vertAlign w:val="subscript"/>
        </w:rPr>
        <w:t>2</w:t>
      </w:r>
      <w:r w:rsidRPr="003816AB">
        <w:t>]</w:t>
      </w:r>
      <w:r>
        <w:t xml:space="preserve"> sample</w:t>
      </w:r>
      <w:r w:rsidRPr="003816AB">
        <w:t xml:space="preserve"> showed </w:t>
      </w:r>
      <w:r>
        <w:t>more signals, very similar to the [benzhydrol</w:t>
      </w:r>
      <w:r w:rsidRPr="003816AB">
        <w:t xml:space="preserve">+ </w:t>
      </w:r>
      <w:r>
        <w:t>I</w:t>
      </w:r>
      <w:r w:rsidRPr="003816AB">
        <w:t>ReO</w:t>
      </w:r>
      <w:r w:rsidRPr="003816AB">
        <w:rPr>
          <w:vertAlign w:val="subscript"/>
        </w:rPr>
        <w:t>2</w:t>
      </w:r>
      <w:r w:rsidRPr="003816AB">
        <w:t>(PPh</w:t>
      </w:r>
      <w:r w:rsidRPr="003816AB">
        <w:rPr>
          <w:vertAlign w:val="subscript"/>
        </w:rPr>
        <w:t>3</w:t>
      </w:r>
      <w:r w:rsidRPr="003816AB">
        <w:t>)</w:t>
      </w:r>
      <w:r w:rsidRPr="003816AB">
        <w:rPr>
          <w:vertAlign w:val="subscript"/>
        </w:rPr>
        <w:t>2</w:t>
      </w:r>
      <w:r w:rsidRPr="003816AB">
        <w:t>]</w:t>
      </w:r>
      <w:r>
        <w:t xml:space="preserve"> sample, </w:t>
      </w:r>
      <w:r w:rsidRPr="00AE7170">
        <w:t>between -7 and -10 ppm and also with an additional strong phosphorus signal at -14.11 ppm.</w:t>
      </w:r>
    </w:p>
    <w:p w14:paraId="4549CA8E" w14:textId="0F02ED2F" w:rsidR="00BA0582" w:rsidRDefault="00BA0582" w:rsidP="000C2F35">
      <w:pPr>
        <w:ind w:firstLine="360"/>
        <w:jc w:val="both"/>
      </w:pPr>
      <w:r w:rsidRPr="00AE7170">
        <w:t xml:space="preserve">From these observations we suggest that two different types of intermediate complexes are formed; one for each set </w:t>
      </w:r>
      <w:r>
        <w:t xml:space="preserve">of </w:t>
      </w:r>
      <w:r w:rsidRPr="00AE7170">
        <w:t>new ethyl</w:t>
      </w:r>
      <w:r>
        <w:t xml:space="preserve">ic </w:t>
      </w:r>
      <w:r w:rsidRPr="00AE7170">
        <w:t>signal</w:t>
      </w:r>
      <w:r>
        <w:t>s</w:t>
      </w:r>
      <w:r w:rsidRPr="00AE7170">
        <w:t>. With</w:t>
      </w:r>
      <w:r w:rsidRPr="000868C9">
        <w:t xml:space="preserve"> the different ratios of these proton signals we can imagine that </w:t>
      </w:r>
      <w:r>
        <w:t xml:space="preserve">only </w:t>
      </w:r>
      <w:r w:rsidRPr="000868C9">
        <w:t xml:space="preserve">one molecule of alcohol is </w:t>
      </w:r>
      <w:r w:rsidR="006E5A15">
        <w:t xml:space="preserve">coordinated to </w:t>
      </w:r>
      <w:r w:rsidRPr="000868C9">
        <w:t>two different rhenium species</w:t>
      </w:r>
      <w:r>
        <w:t xml:space="preserve"> (II, </w:t>
      </w:r>
      <w:r w:rsidR="000C2F35">
        <w:fldChar w:fldCharType="begin"/>
      </w:r>
      <w:r w:rsidR="000C2F35">
        <w:instrText xml:space="preserve"> REF _Ref457466444 \h </w:instrText>
      </w:r>
      <w:r w:rsidR="000C2F35">
        <w:fldChar w:fldCharType="separate"/>
      </w:r>
      <w:r w:rsidR="000A0E3D">
        <w:t xml:space="preserve">Figure </w:t>
      </w:r>
      <w:r w:rsidR="000A0E3D">
        <w:rPr>
          <w:noProof/>
        </w:rPr>
        <w:t>IV</w:t>
      </w:r>
      <w:r w:rsidR="000A0E3D">
        <w:t>.</w:t>
      </w:r>
      <w:r w:rsidR="000A0E3D">
        <w:rPr>
          <w:noProof/>
        </w:rPr>
        <w:t>15</w:t>
      </w:r>
      <w:r w:rsidR="000C2F35">
        <w:fldChar w:fldCharType="end"/>
      </w:r>
      <w:r>
        <w:t>)</w:t>
      </w:r>
      <w:r w:rsidRPr="000868C9">
        <w:t xml:space="preserve"> with one favored over the other</w:t>
      </w:r>
      <w:r w:rsidR="006E5A15">
        <w:t>,</w:t>
      </w:r>
      <w:r w:rsidRPr="000868C9">
        <w:t xml:space="preserve"> or that we have close to a 1:1 ratio of these rhenium complexes </w:t>
      </w:r>
      <w:r>
        <w:t>with</w:t>
      </w:r>
      <w:r w:rsidRPr="000868C9">
        <w:t xml:space="preserve"> one </w:t>
      </w:r>
      <w:r>
        <w:t xml:space="preserve">that </w:t>
      </w:r>
      <w:r w:rsidRPr="000868C9">
        <w:t>has two alcohol units coordinated to it</w:t>
      </w:r>
      <w:r>
        <w:t xml:space="preserve"> (I</w:t>
      </w:r>
      <w:r w:rsidR="000C2F35">
        <w:t>,</w:t>
      </w:r>
      <w:r>
        <w:t xml:space="preserve"> </w:t>
      </w:r>
      <w:r w:rsidR="000C2F35">
        <w:fldChar w:fldCharType="begin"/>
      </w:r>
      <w:r w:rsidR="000C2F35">
        <w:instrText xml:space="preserve"> REF _Ref457466444 \h </w:instrText>
      </w:r>
      <w:r w:rsidR="000C2F35">
        <w:fldChar w:fldCharType="separate"/>
      </w:r>
      <w:r w:rsidR="000A0E3D">
        <w:t xml:space="preserve">Figure </w:t>
      </w:r>
      <w:r w:rsidR="000A0E3D">
        <w:rPr>
          <w:noProof/>
        </w:rPr>
        <w:t>IV</w:t>
      </w:r>
      <w:r w:rsidR="000A0E3D">
        <w:t>.</w:t>
      </w:r>
      <w:r w:rsidR="000A0E3D">
        <w:rPr>
          <w:noProof/>
        </w:rPr>
        <w:t>15</w:t>
      </w:r>
      <w:r w:rsidR="000C2F35">
        <w:fldChar w:fldCharType="end"/>
      </w:r>
      <w:r>
        <w:t>)</w:t>
      </w:r>
      <w:r w:rsidRPr="000868C9">
        <w:t xml:space="preserve">. </w:t>
      </w:r>
    </w:p>
    <w:p w14:paraId="3AEC8479" w14:textId="77777777" w:rsidR="000C2F35" w:rsidRDefault="00BA0582" w:rsidP="000C2F35">
      <w:pPr>
        <w:keepNext/>
        <w:jc w:val="center"/>
      </w:pPr>
      <w:r>
        <w:object w:dxaOrig="3946" w:dyaOrig="2122" w14:anchorId="0AC15805">
          <v:shape id="_x0000_i1219" type="#_x0000_t75" style="width:195.45pt;height:108.4pt" o:ole="">
            <v:imagedata r:id="rId528" o:title=""/>
          </v:shape>
          <o:OLEObject Type="Embed" ProgID="ChemDraw.Document.6.0" ShapeID="_x0000_i1219" DrawAspect="Content" ObjectID="_1532785040" r:id="rId529"/>
        </w:object>
      </w:r>
    </w:p>
    <w:p w14:paraId="1EA2FC76" w14:textId="77777777" w:rsidR="00BA0582" w:rsidRPr="000C2F35" w:rsidRDefault="000C2F35" w:rsidP="000C2F35">
      <w:pPr>
        <w:pStyle w:val="Caption"/>
      </w:pPr>
      <w:bookmarkStart w:id="439" w:name="_Ref457466444"/>
      <w:bookmarkStart w:id="440" w:name="_Toc457670799"/>
      <w:r>
        <w:t xml:space="preserve">Figure </w:t>
      </w:r>
      <w:r w:rsidR="00443010">
        <w:fldChar w:fldCharType="begin"/>
      </w:r>
      <w:r w:rsidR="00443010">
        <w:instrText xml:space="preserve"> STYLEREF 1 \s </w:instrText>
      </w:r>
      <w:r w:rsidR="00443010">
        <w:fldChar w:fldCharType="separate"/>
      </w:r>
      <w:r w:rsidR="000A0E3D">
        <w:rPr>
          <w:noProof/>
        </w:rPr>
        <w:t>IV</w:t>
      </w:r>
      <w:r w:rsidR="00443010">
        <w:rPr>
          <w:noProof/>
        </w:rPr>
        <w:fldChar w:fldCharType="end"/>
      </w:r>
      <w:r w:rsidR="00573BBE">
        <w:t>.</w:t>
      </w:r>
      <w:r w:rsidR="00443010">
        <w:fldChar w:fldCharType="begin"/>
      </w:r>
      <w:r w:rsidR="00443010">
        <w:instrText xml:space="preserve"> SEQ Figure \* ARABIC \s 1 </w:instrText>
      </w:r>
      <w:r w:rsidR="00443010">
        <w:fldChar w:fldCharType="separate"/>
      </w:r>
      <w:r w:rsidR="000A0E3D">
        <w:rPr>
          <w:noProof/>
        </w:rPr>
        <w:t>15</w:t>
      </w:r>
      <w:r w:rsidR="00443010">
        <w:rPr>
          <w:noProof/>
        </w:rPr>
        <w:fldChar w:fldCharType="end"/>
      </w:r>
      <w:bookmarkEnd w:id="439"/>
      <w:r>
        <w:t xml:space="preserve"> </w:t>
      </w:r>
      <w:r w:rsidR="00BA0582" w:rsidRPr="000C2F35">
        <w:t>Potential complexes formed with alcohols</w:t>
      </w:r>
      <w:bookmarkEnd w:id="440"/>
    </w:p>
    <w:p w14:paraId="6DBC00EC" w14:textId="7E51D274" w:rsidR="00BA0582" w:rsidRDefault="00BA0582" w:rsidP="00BA0582">
      <w:pPr>
        <w:ind w:firstLine="360"/>
        <w:jc w:val="both"/>
      </w:pPr>
      <w:r>
        <w:t xml:space="preserve">In an attempt to address if we are looking at case I or II in </w:t>
      </w:r>
      <w:r w:rsidR="009A3F44">
        <w:fldChar w:fldCharType="begin"/>
      </w:r>
      <w:r w:rsidR="009A3F44">
        <w:instrText xml:space="preserve"> REF _Ref457466444 \h </w:instrText>
      </w:r>
      <w:r w:rsidR="009A3F44">
        <w:fldChar w:fldCharType="separate"/>
      </w:r>
      <w:r w:rsidR="000A0E3D">
        <w:t xml:space="preserve">Figure </w:t>
      </w:r>
      <w:r w:rsidR="000A0E3D">
        <w:rPr>
          <w:noProof/>
        </w:rPr>
        <w:t>IV</w:t>
      </w:r>
      <w:r w:rsidR="000A0E3D">
        <w:t>.</w:t>
      </w:r>
      <w:r w:rsidR="000A0E3D">
        <w:rPr>
          <w:noProof/>
        </w:rPr>
        <w:t>15</w:t>
      </w:r>
      <w:r w:rsidR="009A3F44">
        <w:fldChar w:fldCharType="end"/>
      </w:r>
      <w:r>
        <w:t xml:space="preserve"> we varied the ratio of rhenium to alcohol in </w:t>
      </w:r>
      <w:r w:rsidR="006E5A15">
        <w:t xml:space="preserve">two </w:t>
      </w:r>
      <w:r>
        <w:t xml:space="preserve">samples with 1:2 and 1:10 ratios. In fact by providing more or less alcohol equivalents to the catalyst in the case of I, </w:t>
      </w:r>
      <w:r w:rsidR="009A3F44">
        <w:fldChar w:fldCharType="begin"/>
      </w:r>
      <w:r w:rsidR="009A3F44">
        <w:instrText xml:space="preserve"> REF _Ref457466444 \h </w:instrText>
      </w:r>
      <w:r w:rsidR="009A3F44">
        <w:fldChar w:fldCharType="separate"/>
      </w:r>
      <w:r w:rsidR="000A0E3D">
        <w:t xml:space="preserve">Figure </w:t>
      </w:r>
      <w:r w:rsidR="000A0E3D">
        <w:rPr>
          <w:noProof/>
        </w:rPr>
        <w:t>IV</w:t>
      </w:r>
      <w:r w:rsidR="000A0E3D">
        <w:t>.</w:t>
      </w:r>
      <w:r w:rsidR="000A0E3D">
        <w:rPr>
          <w:noProof/>
        </w:rPr>
        <w:t>15</w:t>
      </w:r>
      <w:r w:rsidR="009A3F44">
        <w:fldChar w:fldCharType="end"/>
      </w:r>
      <w:r w:rsidR="007A65FE">
        <w:t xml:space="preserve"> we</w:t>
      </w:r>
      <w:r>
        <w:t xml:space="preserve"> observed a variation of the integration of the ethylic protons by favoring/disfavoring the mono or dialkoxi complex. </w:t>
      </w:r>
      <w:r w:rsidR="007A65FE">
        <w:t xml:space="preserve">Such </w:t>
      </w:r>
      <w:r>
        <w:t>variation</w:t>
      </w:r>
      <w:r w:rsidR="007A65FE">
        <w:t>s</w:t>
      </w:r>
      <w:r>
        <w:t xml:space="preserve"> </w:t>
      </w:r>
      <w:r w:rsidR="007A65FE">
        <w:t xml:space="preserve">in the ratio </w:t>
      </w:r>
      <w:r>
        <w:t xml:space="preserve">of catalyst to alcohol </w:t>
      </w:r>
      <w:r w:rsidR="007A65FE">
        <w:t>were made with</w:t>
      </w:r>
      <w:r>
        <w:t xml:space="preserve"> ethanol. We observed a different rate of color changes between each </w:t>
      </w:r>
      <w:r w:rsidR="007A65FE">
        <w:t xml:space="preserve">of </w:t>
      </w:r>
      <w:r>
        <w:t xml:space="preserve">these two samples (1:10 faster than 1:2). After 24h the integrations </w:t>
      </w:r>
      <w:r w:rsidR="007A65FE">
        <w:t xml:space="preserve">value were collected </w:t>
      </w:r>
      <w:r>
        <w:t>for each of the new ethylic proton sets. The ratio of the two new CH</w:t>
      </w:r>
      <w:r w:rsidRPr="006F2891">
        <w:rPr>
          <w:vertAlign w:val="subscript"/>
        </w:rPr>
        <w:t>2</w:t>
      </w:r>
      <w:r>
        <w:t xml:space="preserve"> signals was not much different for each of these samples (</w:t>
      </w:r>
      <w:r w:rsidR="00A90478">
        <w:fldChar w:fldCharType="begin"/>
      </w:r>
      <w:r w:rsidR="00A90478">
        <w:instrText xml:space="preserve"> REF _Ref457475016 \h </w:instrText>
      </w:r>
      <w:r w:rsidR="00A90478">
        <w:fldChar w:fldCharType="separate"/>
      </w:r>
      <w:r w:rsidR="000A0E3D">
        <w:t xml:space="preserve">Table </w:t>
      </w:r>
      <w:r w:rsidR="000A0E3D">
        <w:rPr>
          <w:noProof/>
        </w:rPr>
        <w:t>IV</w:t>
      </w:r>
      <w:r w:rsidR="000A0E3D">
        <w:t>.</w:t>
      </w:r>
      <w:r w:rsidR="000A0E3D">
        <w:rPr>
          <w:noProof/>
        </w:rPr>
        <w:t>3</w:t>
      </w:r>
      <w:r w:rsidR="00A90478">
        <w:fldChar w:fldCharType="end"/>
      </w:r>
      <w:r>
        <w:t xml:space="preserve">). This result shows the independency of the alcohol coordination to this concentration. Subsequently we are more likely to be in the case of II, </w:t>
      </w:r>
      <w:r w:rsidR="009A3F44">
        <w:fldChar w:fldCharType="begin"/>
      </w:r>
      <w:r w:rsidR="009A3F44">
        <w:instrText xml:space="preserve"> REF _Ref457466444 \h </w:instrText>
      </w:r>
      <w:r w:rsidR="009A3F44">
        <w:fldChar w:fldCharType="separate"/>
      </w:r>
      <w:r w:rsidR="000A0E3D">
        <w:t xml:space="preserve">Figure </w:t>
      </w:r>
      <w:r w:rsidR="000A0E3D">
        <w:rPr>
          <w:noProof/>
        </w:rPr>
        <w:t>IV</w:t>
      </w:r>
      <w:r w:rsidR="000A0E3D">
        <w:t>.</w:t>
      </w:r>
      <w:r w:rsidR="000A0E3D">
        <w:rPr>
          <w:noProof/>
        </w:rPr>
        <w:t>15</w:t>
      </w:r>
      <w:r w:rsidR="009A3F44">
        <w:fldChar w:fldCharType="end"/>
      </w:r>
      <w:r>
        <w:t xml:space="preserve"> with both rhenium complexes having the same number of alkoxy group coordinated.</w:t>
      </w:r>
    </w:p>
    <w:tbl>
      <w:tblPr>
        <w:tblStyle w:val="TableGrid"/>
        <w:tblW w:w="0" w:type="auto"/>
        <w:jc w:val="center"/>
        <w:tblLook w:val="04A0" w:firstRow="1" w:lastRow="0" w:firstColumn="1" w:lastColumn="0" w:noHBand="0" w:noVBand="1"/>
      </w:tblPr>
      <w:tblGrid>
        <w:gridCol w:w="1211"/>
        <w:gridCol w:w="1390"/>
        <w:gridCol w:w="1123"/>
        <w:gridCol w:w="1123"/>
      </w:tblGrid>
      <w:tr w:rsidR="00BA0582" w14:paraId="5BF9EA40" w14:textId="77777777" w:rsidTr="00BA0582">
        <w:trPr>
          <w:jc w:val="center"/>
        </w:trPr>
        <w:tc>
          <w:tcPr>
            <w:tcW w:w="1211" w:type="dxa"/>
            <w:tcBorders>
              <w:top w:val="nil"/>
              <w:left w:val="nil"/>
              <w:bottom w:val="single" w:sz="12" w:space="0" w:color="auto"/>
              <w:right w:val="single" w:sz="12" w:space="0" w:color="auto"/>
              <w:tl2br w:val="single" w:sz="4" w:space="0" w:color="auto"/>
            </w:tcBorders>
            <w:vAlign w:val="center"/>
          </w:tcPr>
          <w:p w14:paraId="607C5791" w14:textId="77777777" w:rsidR="00BA0582" w:rsidRDefault="00BA0582" w:rsidP="00BA0582">
            <w:pPr>
              <w:spacing w:line="276" w:lineRule="auto"/>
              <w:jc w:val="right"/>
              <w:rPr>
                <w:vertAlign w:val="subscript"/>
              </w:rPr>
            </w:pPr>
            <w:r>
              <w:t>CH</w:t>
            </w:r>
            <w:r w:rsidRPr="006F2891">
              <w:rPr>
                <w:vertAlign w:val="subscript"/>
              </w:rPr>
              <w:t>2</w:t>
            </w:r>
          </w:p>
          <w:p w14:paraId="1D383D01" w14:textId="77777777" w:rsidR="00BA0582" w:rsidRDefault="00BA0582" w:rsidP="00BA0582">
            <w:pPr>
              <w:spacing w:line="276" w:lineRule="auto"/>
            </w:pPr>
            <w:r>
              <w:t xml:space="preserve">ratio </w:t>
            </w:r>
          </w:p>
          <w:p w14:paraId="11891559" w14:textId="77777777" w:rsidR="00BA0582" w:rsidRDefault="00BA0582" w:rsidP="00BA0582">
            <w:pPr>
              <w:spacing w:line="276" w:lineRule="auto"/>
            </w:pPr>
            <w:r w:rsidRPr="00004AAF">
              <w:rPr>
                <w:b/>
              </w:rPr>
              <w:t>1</w:t>
            </w:r>
            <w:r>
              <w:t>:EtOH</w:t>
            </w:r>
          </w:p>
        </w:tc>
        <w:tc>
          <w:tcPr>
            <w:tcW w:w="0" w:type="auto"/>
            <w:tcBorders>
              <w:top w:val="nil"/>
              <w:left w:val="single" w:sz="12" w:space="0" w:color="auto"/>
              <w:bottom w:val="single" w:sz="12" w:space="0" w:color="auto"/>
              <w:right w:val="nil"/>
            </w:tcBorders>
            <w:vAlign w:val="center"/>
          </w:tcPr>
          <w:p w14:paraId="5304C3D5" w14:textId="77777777" w:rsidR="00BA0582" w:rsidRDefault="00BA0582" w:rsidP="00BA0582">
            <w:pPr>
              <w:spacing w:line="276" w:lineRule="auto"/>
              <w:jc w:val="center"/>
            </w:pPr>
            <w:r>
              <w:t>CH</w:t>
            </w:r>
            <w:r w:rsidRPr="00A2536F">
              <w:rPr>
                <w:vertAlign w:val="subscript"/>
              </w:rPr>
              <w:t>3</w:t>
            </w:r>
            <w:r>
              <w:t>C</w:t>
            </w:r>
            <w:r w:rsidRPr="00A2536F">
              <w:rPr>
                <w:i/>
              </w:rPr>
              <w:t>H</w:t>
            </w:r>
            <w:r w:rsidRPr="00A2536F">
              <w:rPr>
                <w:i/>
                <w:vertAlign w:val="subscript"/>
              </w:rPr>
              <w:t>2</w:t>
            </w:r>
            <w:r>
              <w:t>OH</w:t>
            </w:r>
          </w:p>
          <w:p w14:paraId="78D9ADAC" w14:textId="77777777" w:rsidR="00BA0582" w:rsidRDefault="00BA0582" w:rsidP="00BA0582">
            <w:pPr>
              <w:spacing w:line="276" w:lineRule="auto"/>
              <w:jc w:val="center"/>
            </w:pPr>
            <w:r>
              <w:t>3.26 ppm</w:t>
            </w:r>
          </w:p>
        </w:tc>
        <w:tc>
          <w:tcPr>
            <w:tcW w:w="0" w:type="auto"/>
            <w:tcBorders>
              <w:top w:val="nil"/>
              <w:left w:val="nil"/>
              <w:bottom w:val="single" w:sz="12" w:space="0" w:color="auto"/>
              <w:right w:val="nil"/>
            </w:tcBorders>
            <w:vAlign w:val="center"/>
          </w:tcPr>
          <w:p w14:paraId="51E8A3E2" w14:textId="77777777" w:rsidR="00BA0582" w:rsidRDefault="00BA0582" w:rsidP="00BA0582">
            <w:pPr>
              <w:spacing w:line="276" w:lineRule="auto"/>
              <w:jc w:val="center"/>
            </w:pPr>
          </w:p>
          <w:p w14:paraId="64E3ED71" w14:textId="77777777" w:rsidR="00BA0582" w:rsidRDefault="00BA0582" w:rsidP="00BA0582">
            <w:pPr>
              <w:spacing w:line="276" w:lineRule="auto"/>
              <w:jc w:val="center"/>
            </w:pPr>
            <w:r>
              <w:t>2.13 ppm</w:t>
            </w:r>
          </w:p>
        </w:tc>
        <w:tc>
          <w:tcPr>
            <w:tcW w:w="0" w:type="auto"/>
            <w:tcBorders>
              <w:top w:val="nil"/>
              <w:left w:val="nil"/>
              <w:bottom w:val="single" w:sz="12" w:space="0" w:color="auto"/>
              <w:right w:val="nil"/>
            </w:tcBorders>
            <w:vAlign w:val="center"/>
          </w:tcPr>
          <w:p w14:paraId="1718E7D0" w14:textId="77777777" w:rsidR="00BA0582" w:rsidRDefault="00BA0582" w:rsidP="00BA0582">
            <w:pPr>
              <w:spacing w:line="276" w:lineRule="auto"/>
              <w:jc w:val="center"/>
            </w:pPr>
          </w:p>
          <w:p w14:paraId="3181CF49" w14:textId="77777777" w:rsidR="00BA0582" w:rsidRDefault="00BA0582" w:rsidP="00BA0582">
            <w:pPr>
              <w:spacing w:line="276" w:lineRule="auto"/>
              <w:jc w:val="center"/>
            </w:pPr>
            <w:r>
              <w:t>1.68 ppm</w:t>
            </w:r>
          </w:p>
        </w:tc>
      </w:tr>
      <w:tr w:rsidR="00BA0582" w14:paraId="0C866E0A" w14:textId="77777777" w:rsidTr="00BA0582">
        <w:trPr>
          <w:jc w:val="center"/>
        </w:trPr>
        <w:tc>
          <w:tcPr>
            <w:tcW w:w="1211" w:type="dxa"/>
            <w:tcBorders>
              <w:top w:val="single" w:sz="12" w:space="0" w:color="auto"/>
              <w:left w:val="nil"/>
              <w:bottom w:val="nil"/>
              <w:right w:val="single" w:sz="12" w:space="0" w:color="auto"/>
            </w:tcBorders>
            <w:vAlign w:val="center"/>
          </w:tcPr>
          <w:p w14:paraId="1D9C8513" w14:textId="77777777" w:rsidR="00BA0582" w:rsidRDefault="00BA0582" w:rsidP="00BA0582">
            <w:pPr>
              <w:spacing w:line="360" w:lineRule="auto"/>
              <w:jc w:val="center"/>
            </w:pPr>
            <w:r>
              <w:t>1:2</w:t>
            </w:r>
          </w:p>
        </w:tc>
        <w:tc>
          <w:tcPr>
            <w:tcW w:w="0" w:type="auto"/>
            <w:tcBorders>
              <w:top w:val="single" w:sz="12" w:space="0" w:color="auto"/>
              <w:left w:val="single" w:sz="12" w:space="0" w:color="auto"/>
              <w:bottom w:val="nil"/>
              <w:right w:val="nil"/>
            </w:tcBorders>
            <w:vAlign w:val="center"/>
          </w:tcPr>
          <w:p w14:paraId="18A9EBFE" w14:textId="77777777" w:rsidR="00BA0582" w:rsidRDefault="00BA0582" w:rsidP="00BA0582">
            <w:pPr>
              <w:spacing w:line="360" w:lineRule="auto"/>
              <w:jc w:val="center"/>
            </w:pPr>
            <w:r>
              <w:t>1.28</w:t>
            </w:r>
          </w:p>
        </w:tc>
        <w:tc>
          <w:tcPr>
            <w:tcW w:w="0" w:type="auto"/>
            <w:tcBorders>
              <w:top w:val="single" w:sz="12" w:space="0" w:color="auto"/>
              <w:left w:val="nil"/>
              <w:bottom w:val="nil"/>
              <w:right w:val="nil"/>
            </w:tcBorders>
            <w:vAlign w:val="center"/>
          </w:tcPr>
          <w:p w14:paraId="49CF2AB1" w14:textId="77777777" w:rsidR="00BA0582" w:rsidRDefault="00BA0582" w:rsidP="00BA0582">
            <w:pPr>
              <w:spacing w:line="360" w:lineRule="auto"/>
              <w:jc w:val="center"/>
            </w:pPr>
            <w:r>
              <w:t>0.29</w:t>
            </w:r>
          </w:p>
        </w:tc>
        <w:tc>
          <w:tcPr>
            <w:tcW w:w="0" w:type="auto"/>
            <w:tcBorders>
              <w:top w:val="single" w:sz="12" w:space="0" w:color="auto"/>
              <w:left w:val="nil"/>
              <w:bottom w:val="nil"/>
              <w:right w:val="nil"/>
            </w:tcBorders>
            <w:vAlign w:val="center"/>
          </w:tcPr>
          <w:p w14:paraId="2BA5A3B7" w14:textId="77777777" w:rsidR="00BA0582" w:rsidRDefault="00BA0582" w:rsidP="00BA0582">
            <w:pPr>
              <w:spacing w:line="360" w:lineRule="auto"/>
              <w:jc w:val="center"/>
            </w:pPr>
            <w:r>
              <w:t>0.43</w:t>
            </w:r>
          </w:p>
        </w:tc>
      </w:tr>
      <w:tr w:rsidR="00BA0582" w14:paraId="0824E102" w14:textId="77777777" w:rsidTr="00BA0582">
        <w:trPr>
          <w:jc w:val="center"/>
        </w:trPr>
        <w:tc>
          <w:tcPr>
            <w:tcW w:w="1211" w:type="dxa"/>
            <w:tcBorders>
              <w:top w:val="nil"/>
              <w:left w:val="nil"/>
              <w:bottom w:val="nil"/>
              <w:right w:val="single" w:sz="12" w:space="0" w:color="auto"/>
            </w:tcBorders>
            <w:vAlign w:val="center"/>
          </w:tcPr>
          <w:p w14:paraId="1C381ED9" w14:textId="77777777" w:rsidR="00BA0582" w:rsidRDefault="00BA0582" w:rsidP="00BA0582">
            <w:pPr>
              <w:spacing w:line="360" w:lineRule="auto"/>
              <w:jc w:val="center"/>
            </w:pPr>
            <w:r>
              <w:t>1:5</w:t>
            </w:r>
          </w:p>
        </w:tc>
        <w:tc>
          <w:tcPr>
            <w:tcW w:w="0" w:type="auto"/>
            <w:tcBorders>
              <w:top w:val="nil"/>
              <w:left w:val="single" w:sz="12" w:space="0" w:color="auto"/>
              <w:bottom w:val="nil"/>
              <w:right w:val="nil"/>
            </w:tcBorders>
            <w:vAlign w:val="center"/>
          </w:tcPr>
          <w:p w14:paraId="30041A90" w14:textId="77777777" w:rsidR="00BA0582" w:rsidRDefault="00BA0582" w:rsidP="00BA0582">
            <w:pPr>
              <w:spacing w:line="360" w:lineRule="auto"/>
              <w:jc w:val="center"/>
            </w:pPr>
            <w:r>
              <w:t>4.19</w:t>
            </w:r>
          </w:p>
        </w:tc>
        <w:tc>
          <w:tcPr>
            <w:tcW w:w="0" w:type="auto"/>
            <w:tcBorders>
              <w:top w:val="nil"/>
              <w:left w:val="nil"/>
              <w:bottom w:val="nil"/>
              <w:right w:val="nil"/>
            </w:tcBorders>
            <w:vAlign w:val="center"/>
          </w:tcPr>
          <w:p w14:paraId="287BD4D7" w14:textId="77777777" w:rsidR="00BA0582" w:rsidRDefault="00BA0582" w:rsidP="00BA0582">
            <w:pPr>
              <w:spacing w:line="360" w:lineRule="auto"/>
              <w:jc w:val="center"/>
            </w:pPr>
            <w:r>
              <w:t>0.25</w:t>
            </w:r>
          </w:p>
        </w:tc>
        <w:tc>
          <w:tcPr>
            <w:tcW w:w="0" w:type="auto"/>
            <w:tcBorders>
              <w:top w:val="nil"/>
              <w:left w:val="nil"/>
              <w:bottom w:val="nil"/>
              <w:right w:val="nil"/>
            </w:tcBorders>
            <w:vAlign w:val="center"/>
          </w:tcPr>
          <w:p w14:paraId="31A0FD5F" w14:textId="77777777" w:rsidR="00BA0582" w:rsidRDefault="00BA0582" w:rsidP="00BA0582">
            <w:pPr>
              <w:spacing w:line="360" w:lineRule="auto"/>
              <w:jc w:val="center"/>
            </w:pPr>
            <w:r>
              <w:t>0.56</w:t>
            </w:r>
          </w:p>
        </w:tc>
      </w:tr>
      <w:tr w:rsidR="00BA0582" w14:paraId="72869A37" w14:textId="77777777" w:rsidTr="00BA0582">
        <w:trPr>
          <w:jc w:val="center"/>
        </w:trPr>
        <w:tc>
          <w:tcPr>
            <w:tcW w:w="1211" w:type="dxa"/>
            <w:tcBorders>
              <w:top w:val="nil"/>
              <w:left w:val="nil"/>
              <w:bottom w:val="nil"/>
              <w:right w:val="single" w:sz="12" w:space="0" w:color="auto"/>
            </w:tcBorders>
            <w:vAlign w:val="center"/>
          </w:tcPr>
          <w:p w14:paraId="09D8C5BF" w14:textId="77777777" w:rsidR="00BA0582" w:rsidRDefault="00BA0582" w:rsidP="00BA0582">
            <w:pPr>
              <w:spacing w:line="360" w:lineRule="auto"/>
              <w:jc w:val="center"/>
            </w:pPr>
            <w:r>
              <w:t>1:10</w:t>
            </w:r>
          </w:p>
        </w:tc>
        <w:tc>
          <w:tcPr>
            <w:tcW w:w="0" w:type="auto"/>
            <w:tcBorders>
              <w:top w:val="nil"/>
              <w:left w:val="single" w:sz="12" w:space="0" w:color="auto"/>
              <w:bottom w:val="nil"/>
              <w:right w:val="nil"/>
            </w:tcBorders>
            <w:vAlign w:val="center"/>
          </w:tcPr>
          <w:p w14:paraId="5C26F6D1" w14:textId="77777777" w:rsidR="00BA0582" w:rsidRDefault="00BA0582" w:rsidP="00BA0582">
            <w:pPr>
              <w:spacing w:line="360" w:lineRule="auto"/>
              <w:jc w:val="center"/>
            </w:pPr>
            <w:r>
              <w:t>9.32</w:t>
            </w:r>
          </w:p>
        </w:tc>
        <w:tc>
          <w:tcPr>
            <w:tcW w:w="0" w:type="auto"/>
            <w:tcBorders>
              <w:top w:val="nil"/>
              <w:left w:val="nil"/>
              <w:bottom w:val="nil"/>
              <w:right w:val="nil"/>
            </w:tcBorders>
            <w:vAlign w:val="center"/>
          </w:tcPr>
          <w:p w14:paraId="5DD7A63C" w14:textId="77777777" w:rsidR="00BA0582" w:rsidRDefault="00BA0582" w:rsidP="00BA0582">
            <w:pPr>
              <w:spacing w:line="360" w:lineRule="auto"/>
              <w:jc w:val="center"/>
            </w:pPr>
            <w:r>
              <w:t>0.25</w:t>
            </w:r>
          </w:p>
        </w:tc>
        <w:tc>
          <w:tcPr>
            <w:tcW w:w="0" w:type="auto"/>
            <w:tcBorders>
              <w:top w:val="nil"/>
              <w:left w:val="nil"/>
              <w:bottom w:val="nil"/>
              <w:right w:val="nil"/>
            </w:tcBorders>
            <w:vAlign w:val="center"/>
          </w:tcPr>
          <w:p w14:paraId="351144BB" w14:textId="77777777" w:rsidR="00BA0582" w:rsidRDefault="00BA0582" w:rsidP="00BA0582">
            <w:pPr>
              <w:spacing w:line="360" w:lineRule="auto"/>
              <w:jc w:val="center"/>
            </w:pPr>
            <w:r>
              <w:t>0.42</w:t>
            </w:r>
          </w:p>
        </w:tc>
      </w:tr>
    </w:tbl>
    <w:p w14:paraId="30D7197B" w14:textId="77777777" w:rsidR="00BA0582" w:rsidRDefault="00A90478" w:rsidP="00A90478">
      <w:pPr>
        <w:pStyle w:val="Caption"/>
      </w:pPr>
      <w:bookmarkStart w:id="441" w:name="_Ref457475016"/>
      <w:bookmarkStart w:id="442" w:name="_Toc457670501"/>
      <w:r>
        <w:t xml:space="preserve">Table </w:t>
      </w:r>
      <w:r w:rsidR="00443010">
        <w:fldChar w:fldCharType="begin"/>
      </w:r>
      <w:r w:rsidR="00443010">
        <w:instrText xml:space="preserve"> STYLEREF 1 \s </w:instrText>
      </w:r>
      <w:r w:rsidR="00443010">
        <w:fldChar w:fldCharType="separate"/>
      </w:r>
      <w:r w:rsidR="000A0E3D">
        <w:rPr>
          <w:noProof/>
        </w:rPr>
        <w:t>IV</w:t>
      </w:r>
      <w:r w:rsidR="00443010">
        <w:rPr>
          <w:noProof/>
        </w:rPr>
        <w:fldChar w:fldCharType="end"/>
      </w:r>
      <w:r>
        <w:t>.</w:t>
      </w:r>
      <w:r w:rsidR="00443010">
        <w:fldChar w:fldCharType="begin"/>
      </w:r>
      <w:r w:rsidR="00443010">
        <w:instrText xml:space="preserve"> SEQ Table \* ARABIC \s 1 </w:instrText>
      </w:r>
      <w:r w:rsidR="00443010">
        <w:fldChar w:fldCharType="separate"/>
      </w:r>
      <w:r w:rsidR="000A0E3D">
        <w:rPr>
          <w:noProof/>
        </w:rPr>
        <w:t>3</w:t>
      </w:r>
      <w:r w:rsidR="00443010">
        <w:rPr>
          <w:noProof/>
        </w:rPr>
        <w:fldChar w:fldCharType="end"/>
      </w:r>
      <w:bookmarkEnd w:id="441"/>
      <w:r w:rsidR="00BA0582" w:rsidRPr="00A90478">
        <w:t xml:space="preserve"> Integration ratios of new CH</w:t>
      </w:r>
      <w:r w:rsidR="00BA0582" w:rsidRPr="00A90478">
        <w:rPr>
          <w:vertAlign w:val="subscript"/>
        </w:rPr>
        <w:t>2</w:t>
      </w:r>
      <w:r w:rsidR="00BA0582" w:rsidRPr="00A90478">
        <w:t xml:space="preserve"> signals in ethanol/catalyst samples</w:t>
      </w:r>
      <w:bookmarkEnd w:id="442"/>
    </w:p>
    <w:p w14:paraId="46F953EF" w14:textId="77777777" w:rsidR="00A90478" w:rsidRPr="00A90478" w:rsidRDefault="00A90478" w:rsidP="00A90478"/>
    <w:p w14:paraId="6615BFE7" w14:textId="77777777" w:rsidR="00BA0582" w:rsidRDefault="00BA0582" w:rsidP="00BA0582">
      <w:pPr>
        <w:ind w:firstLine="360"/>
        <w:jc w:val="both"/>
      </w:pPr>
      <w:r w:rsidRPr="000868C9">
        <w:t xml:space="preserve">Now these complexes could have one or two phosphine ligands attached as well. But </w:t>
      </w:r>
      <w:r>
        <w:t xml:space="preserve">it </w:t>
      </w:r>
      <w:r w:rsidRPr="000868C9">
        <w:t xml:space="preserve">seems logical to anticipate that the larger proton signal (also the most up field one for ethanol, benzyl alcohol and cinnamyl alcohol) goes with the larger phosphorus signal (-10.5 to -10.9 ppm), leaving the -6 to -7 </w:t>
      </w:r>
      <w:r>
        <w:t xml:space="preserve">ppm phosphorus signal related to the other alcohol derived proton signal. </w:t>
      </w:r>
    </w:p>
    <w:p w14:paraId="6B6FF714" w14:textId="77777777" w:rsidR="00BA0582" w:rsidRPr="00E11E5F" w:rsidRDefault="00BA0582" w:rsidP="00BA0582">
      <w:pPr>
        <w:ind w:firstLine="360"/>
        <w:jc w:val="both"/>
      </w:pPr>
    </w:p>
    <w:p w14:paraId="4166A543" w14:textId="284FBCB1" w:rsidR="00BA0582" w:rsidRPr="00E62A66" w:rsidRDefault="00BA0582" w:rsidP="000351A7">
      <w:pPr>
        <w:pStyle w:val="Heading3"/>
      </w:pPr>
      <w:bookmarkStart w:id="443" w:name="_Toc458938344"/>
      <w:r w:rsidRPr="00E62A66">
        <w:t xml:space="preserve">Kinetic </w:t>
      </w:r>
      <w:r w:rsidR="00C76FF1">
        <w:t>s</w:t>
      </w:r>
      <w:r w:rsidRPr="00E62A66">
        <w:t>tudy</w:t>
      </w:r>
      <w:bookmarkEnd w:id="443"/>
      <w:r>
        <w:t xml:space="preserve"> </w:t>
      </w:r>
    </w:p>
    <w:p w14:paraId="19DEE3DE" w14:textId="77777777" w:rsidR="00BA0582" w:rsidRDefault="00BA0582" w:rsidP="00BA0582">
      <w:pPr>
        <w:ind w:firstLine="360"/>
        <w:jc w:val="both"/>
      </w:pPr>
      <w:r w:rsidRPr="000868C9">
        <w:t xml:space="preserve">The kinetic study of the reductive coupling of benzhydrol required some adjustment </w:t>
      </w:r>
      <w:r>
        <w:t xml:space="preserve">of the reaction conditions. </w:t>
      </w:r>
      <w:r w:rsidR="007A65FE">
        <w:t>A</w:t>
      </w:r>
      <w:r>
        <w:t xml:space="preserve"> higher boiling point solvent than benzene, chlorobenzene (PhCl), </w:t>
      </w:r>
      <w:r w:rsidR="00E672F9">
        <w:t xml:space="preserve">was tested </w:t>
      </w:r>
      <w:r>
        <w:t xml:space="preserve">and </w:t>
      </w:r>
      <w:r w:rsidR="00E672F9">
        <w:t>it provid</w:t>
      </w:r>
      <w:r>
        <w:t xml:space="preserve">ed the same yield (~ 80%, </w:t>
      </w:r>
      <w:r w:rsidR="009A3F44">
        <w:fldChar w:fldCharType="begin"/>
      </w:r>
      <w:r w:rsidR="009A3F44">
        <w:instrText xml:space="preserve"> REF _Ref457478747 \h </w:instrText>
      </w:r>
      <w:r w:rsidR="009A3F44">
        <w:fldChar w:fldCharType="separate"/>
      </w:r>
      <w:r w:rsidR="000A0E3D">
        <w:t xml:space="preserve">Figure </w:t>
      </w:r>
      <w:r w:rsidR="000A0E3D">
        <w:rPr>
          <w:noProof/>
        </w:rPr>
        <w:t>IV</w:t>
      </w:r>
      <w:r w:rsidR="000A0E3D">
        <w:t>.</w:t>
      </w:r>
      <w:r w:rsidR="000A0E3D">
        <w:rPr>
          <w:noProof/>
        </w:rPr>
        <w:t>16</w:t>
      </w:r>
      <w:r w:rsidR="009A3F44">
        <w:fldChar w:fldCharType="end"/>
      </w:r>
      <w:r>
        <w:t xml:space="preserve"> with T = 150 </w:t>
      </w:r>
      <w:r w:rsidRPr="0070506F">
        <w:rPr>
          <w:vertAlign w:val="superscript"/>
        </w:rPr>
        <w:t>o</w:t>
      </w:r>
      <w:r>
        <w:t>C). With this solvent we also able to decrease the temperature to the boiling point of chlorobenzene (</w:t>
      </w:r>
      <w:r w:rsidR="009A3F44">
        <w:fldChar w:fldCharType="begin"/>
      </w:r>
      <w:r w:rsidR="009A3F44">
        <w:instrText xml:space="preserve"> REF _Ref457478747 \h </w:instrText>
      </w:r>
      <w:r w:rsidR="009A3F44">
        <w:fldChar w:fldCharType="separate"/>
      </w:r>
      <w:r w:rsidR="000A0E3D">
        <w:t xml:space="preserve">Figure </w:t>
      </w:r>
      <w:r w:rsidR="000A0E3D">
        <w:rPr>
          <w:noProof/>
        </w:rPr>
        <w:t>IV</w:t>
      </w:r>
      <w:r w:rsidR="000A0E3D">
        <w:t>.</w:t>
      </w:r>
      <w:r w:rsidR="000A0E3D">
        <w:rPr>
          <w:noProof/>
        </w:rPr>
        <w:t>16</w:t>
      </w:r>
      <w:r w:rsidR="009A3F44">
        <w:fldChar w:fldCharType="end"/>
      </w:r>
      <w:r>
        <w:t xml:space="preserve">, T = 125 </w:t>
      </w:r>
      <w:r w:rsidRPr="0070506F">
        <w:rPr>
          <w:vertAlign w:val="superscript"/>
        </w:rPr>
        <w:t>o</w:t>
      </w:r>
      <w:r>
        <w:t xml:space="preserve">C) and </w:t>
      </w:r>
      <w:r w:rsidRPr="005D47AE">
        <w:t xml:space="preserve">obtain a </w:t>
      </w:r>
      <w:r>
        <w:t xml:space="preserve">75% yield. </w:t>
      </w:r>
    </w:p>
    <w:p w14:paraId="16D87E0A" w14:textId="77777777" w:rsidR="00BA0582" w:rsidRDefault="00BA0582" w:rsidP="00BA0582">
      <w:pPr>
        <w:ind w:firstLine="360"/>
        <w:jc w:val="both"/>
      </w:pPr>
    </w:p>
    <w:p w14:paraId="0A67F691" w14:textId="77777777" w:rsidR="00A90478" w:rsidRDefault="00BA0582" w:rsidP="00A90478">
      <w:pPr>
        <w:keepNext/>
        <w:jc w:val="center"/>
      </w:pPr>
      <w:r>
        <w:object w:dxaOrig="6278" w:dyaOrig="1135" w14:anchorId="365A76FB">
          <v:shape id="_x0000_i1220" type="#_x0000_t75" style="width:277.7pt;height:51.45pt" o:ole="">
            <v:imagedata r:id="rId530" o:title=""/>
          </v:shape>
          <o:OLEObject Type="Embed" ProgID="ChemDraw.Document.6.0" ShapeID="_x0000_i1220" DrawAspect="Content" ObjectID="_1532785041" r:id="rId531"/>
        </w:object>
      </w:r>
    </w:p>
    <w:p w14:paraId="516ABD3D" w14:textId="77777777" w:rsidR="00BA0582" w:rsidRDefault="00A90478" w:rsidP="00E672F9">
      <w:pPr>
        <w:pStyle w:val="Caption"/>
        <w:rPr>
          <w:b w:val="0"/>
        </w:rPr>
      </w:pPr>
      <w:bookmarkStart w:id="444" w:name="_Ref457478747"/>
      <w:bookmarkStart w:id="445" w:name="_Toc457670800"/>
      <w:r>
        <w:t xml:space="preserve">Figure </w:t>
      </w:r>
      <w:r w:rsidR="00443010">
        <w:fldChar w:fldCharType="begin"/>
      </w:r>
      <w:r w:rsidR="00443010">
        <w:instrText xml:space="preserve"> STYLEREF 1 \s </w:instrText>
      </w:r>
      <w:r w:rsidR="00443010">
        <w:fldChar w:fldCharType="separate"/>
      </w:r>
      <w:r w:rsidR="000A0E3D">
        <w:rPr>
          <w:noProof/>
        </w:rPr>
        <w:t>IV</w:t>
      </w:r>
      <w:r w:rsidR="00443010">
        <w:rPr>
          <w:noProof/>
        </w:rPr>
        <w:fldChar w:fldCharType="end"/>
      </w:r>
      <w:r w:rsidR="00573BBE">
        <w:t>.</w:t>
      </w:r>
      <w:r w:rsidR="00443010">
        <w:fldChar w:fldCharType="begin"/>
      </w:r>
      <w:r w:rsidR="00443010">
        <w:instrText xml:space="preserve"> SEQ Figure \* ARABIC \s 1 </w:instrText>
      </w:r>
      <w:r w:rsidR="00443010">
        <w:fldChar w:fldCharType="separate"/>
      </w:r>
      <w:r w:rsidR="000A0E3D">
        <w:rPr>
          <w:noProof/>
        </w:rPr>
        <w:t>16</w:t>
      </w:r>
      <w:r w:rsidR="00443010">
        <w:rPr>
          <w:noProof/>
        </w:rPr>
        <w:fldChar w:fldCharType="end"/>
      </w:r>
      <w:bookmarkEnd w:id="444"/>
      <w:r>
        <w:t xml:space="preserve"> </w:t>
      </w:r>
      <w:r w:rsidR="00BA0582" w:rsidRPr="00A90478">
        <w:t>Reductive coupling of benzhydrol in chlorobenzene</w:t>
      </w:r>
      <w:bookmarkEnd w:id="445"/>
    </w:p>
    <w:p w14:paraId="06EABF94" w14:textId="77777777" w:rsidR="00A90478" w:rsidRPr="00A90478" w:rsidRDefault="00A90478" w:rsidP="00A90478"/>
    <w:p w14:paraId="76C45240" w14:textId="77777777" w:rsidR="00BA0582" w:rsidRDefault="00BA0582" w:rsidP="00BA0582">
      <w:pPr>
        <w:ind w:firstLine="360"/>
        <w:jc w:val="both"/>
      </w:pPr>
      <w:r>
        <w:t xml:space="preserve">We planned on </w:t>
      </w:r>
      <w:r w:rsidRPr="000868C9">
        <w:t xml:space="preserve">following the reaction by NMR over time. In order to have an accurate quantification we needed to add an internal standard to the reaction mixture and to make sure the standard does not react in the reaction. Hexamethylbenzene and cyclooctane were good candidates as internal standard. </w:t>
      </w:r>
      <w:r w:rsidR="00E672F9">
        <w:t>W</w:t>
      </w:r>
      <w:r w:rsidRPr="000868C9">
        <w:t xml:space="preserve">e </w:t>
      </w:r>
      <w:r>
        <w:t>tested their accuracy by running</w:t>
      </w:r>
      <w:r w:rsidRPr="000868C9">
        <w:t xml:space="preserve"> the reductive coupling reaction of benzhydrol with an added quantity of internal standard. Both of the reactions hexamethylbenzene and cyclooctane were efficient and spectators in the reaction. We choose hexamethylbenzene for its higher boiling point (265</w:t>
      </w:r>
      <w:r w:rsidRPr="000868C9">
        <w:rPr>
          <w:vertAlign w:val="superscript"/>
        </w:rPr>
        <w:t>o</w:t>
      </w:r>
      <w:r w:rsidRPr="000868C9">
        <w:t xml:space="preserve">C) over cyclooctane </w:t>
      </w:r>
      <w:r>
        <w:t>(149</w:t>
      </w:r>
      <w:r w:rsidRPr="00C76014">
        <w:rPr>
          <w:vertAlign w:val="superscript"/>
        </w:rPr>
        <w:t>o</w:t>
      </w:r>
      <w:r>
        <w:t>C).</w:t>
      </w:r>
    </w:p>
    <w:p w14:paraId="64945802" w14:textId="77777777" w:rsidR="00573BBE" w:rsidRDefault="00BA0582" w:rsidP="00573BBE">
      <w:pPr>
        <w:ind w:firstLine="360"/>
        <w:rPr>
          <w:noProof/>
        </w:rPr>
      </w:pPr>
      <w:r>
        <w:t xml:space="preserve">We </w:t>
      </w:r>
      <w:r w:rsidRPr="000868C9">
        <w:t>started the kinetic study by running the reaction at 150</w:t>
      </w:r>
      <w:r w:rsidRPr="000868C9">
        <w:rPr>
          <w:vertAlign w:val="superscript"/>
        </w:rPr>
        <w:t>o</w:t>
      </w:r>
      <w:r w:rsidRPr="000868C9">
        <w:t>C and taking a sample every 10 min (</w:t>
      </w:r>
      <w:r w:rsidR="00573BBE" w:rsidRPr="00E672F9">
        <w:fldChar w:fldCharType="begin"/>
      </w:r>
      <w:r w:rsidR="00573BBE" w:rsidRPr="00E672F9">
        <w:instrText xml:space="preserve"> REF _Ref457475744 \h </w:instrText>
      </w:r>
      <w:r w:rsidR="00E672F9" w:rsidRPr="00E672F9">
        <w:instrText xml:space="preserve"> \* MERGEFORMAT </w:instrText>
      </w:r>
      <w:r w:rsidR="00573BBE" w:rsidRPr="00E672F9">
        <w:fldChar w:fldCharType="separate"/>
      </w:r>
      <w:r w:rsidR="000A0E3D" w:rsidRPr="00662CEC">
        <w:t xml:space="preserve">Figure </w:t>
      </w:r>
      <w:r w:rsidR="000A0E3D">
        <w:rPr>
          <w:noProof/>
        </w:rPr>
        <w:t>IV</w:t>
      </w:r>
      <w:r w:rsidR="000A0E3D" w:rsidRPr="00662CEC">
        <w:t>.</w:t>
      </w:r>
      <w:r w:rsidR="000A0E3D">
        <w:rPr>
          <w:noProof/>
        </w:rPr>
        <w:t>17</w:t>
      </w:r>
      <w:r w:rsidR="00573BBE" w:rsidRPr="00E672F9">
        <w:fldChar w:fldCharType="end"/>
      </w:r>
      <w:r w:rsidRPr="000868C9">
        <w:t xml:space="preserve">). In this set of data points we discovered that under these reaction conditions the reaction was almost complete within 30 minutes. Since we </w:t>
      </w:r>
      <w:r>
        <w:t>would like to study the initial reaction rates we would have to look at the first 10 min of the reactio</w:t>
      </w:r>
      <w:r w:rsidR="00D01B61">
        <w:t>n.</w:t>
      </w:r>
      <w:r w:rsidR="00D01B61" w:rsidRPr="00D01B61">
        <w:rPr>
          <w:noProof/>
        </w:rPr>
        <w:t xml:space="preserve"> </w:t>
      </w:r>
    </w:p>
    <w:tbl>
      <w:tblPr>
        <w:tblStyle w:val="TableGrid"/>
        <w:tblpPr w:leftFromText="180" w:rightFromText="180" w:vertAnchor="text" w:horzAnchor="page" w:tblpX="4193" w:tblpY="3986"/>
        <w:tblW w:w="0" w:type="auto"/>
        <w:tblLook w:val="04A0" w:firstRow="1" w:lastRow="0" w:firstColumn="1" w:lastColumn="0" w:noHBand="0" w:noVBand="1"/>
      </w:tblPr>
      <w:tblGrid>
        <w:gridCol w:w="990"/>
        <w:gridCol w:w="1470"/>
        <w:gridCol w:w="1550"/>
        <w:gridCol w:w="843"/>
      </w:tblGrid>
      <w:tr w:rsidR="00573BBE" w14:paraId="076F468E" w14:textId="77777777" w:rsidTr="00573BBE">
        <w:tc>
          <w:tcPr>
            <w:tcW w:w="0" w:type="auto"/>
            <w:tcBorders>
              <w:top w:val="nil"/>
              <w:left w:val="nil"/>
              <w:bottom w:val="single" w:sz="12" w:space="0" w:color="auto"/>
              <w:right w:val="single" w:sz="12" w:space="0" w:color="auto"/>
            </w:tcBorders>
            <w:vAlign w:val="center"/>
          </w:tcPr>
          <w:p w14:paraId="2A01412F" w14:textId="77777777" w:rsidR="00573BBE" w:rsidRDefault="00573BBE" w:rsidP="00573BBE">
            <w:pPr>
              <w:spacing w:line="360" w:lineRule="auto"/>
              <w:jc w:val="center"/>
            </w:pPr>
            <w:r>
              <w:t>m</w:t>
            </w:r>
            <w:r w:rsidRPr="003D2F6E">
              <w:t>mol/L</w:t>
            </w:r>
          </w:p>
        </w:tc>
        <w:tc>
          <w:tcPr>
            <w:tcW w:w="0" w:type="auto"/>
            <w:tcBorders>
              <w:top w:val="nil"/>
              <w:left w:val="single" w:sz="12" w:space="0" w:color="auto"/>
              <w:bottom w:val="single" w:sz="12" w:space="0" w:color="auto"/>
              <w:right w:val="dashed" w:sz="4" w:space="0" w:color="808080" w:themeColor="background1" w:themeShade="80"/>
            </w:tcBorders>
            <w:vAlign w:val="center"/>
          </w:tcPr>
          <w:p w14:paraId="0D2E769A" w14:textId="77777777" w:rsidR="00573BBE" w:rsidRDefault="00573BBE" w:rsidP="00573BBE">
            <w:pPr>
              <w:spacing w:line="360" w:lineRule="auto"/>
              <w:jc w:val="center"/>
            </w:pPr>
            <w:r w:rsidRPr="003D2F6E">
              <w:t>[IReO</w:t>
            </w:r>
            <w:r w:rsidRPr="003D2F6E">
              <w:rPr>
                <w:vertAlign w:val="subscript"/>
              </w:rPr>
              <w:t>2</w:t>
            </w:r>
            <w:r w:rsidRPr="003D2F6E">
              <w:t>TPP</w:t>
            </w:r>
            <w:r w:rsidRPr="003D2F6E">
              <w:rPr>
                <w:vertAlign w:val="subscript"/>
              </w:rPr>
              <w:t>2</w:t>
            </w:r>
            <w:r w:rsidRPr="003D2F6E">
              <w:t>]</w:t>
            </w:r>
          </w:p>
        </w:tc>
        <w:tc>
          <w:tcPr>
            <w:tcW w:w="0" w:type="auto"/>
            <w:tcBorders>
              <w:top w:val="nil"/>
              <w:left w:val="dashed" w:sz="4" w:space="0" w:color="808080" w:themeColor="background1" w:themeShade="80"/>
              <w:bottom w:val="single" w:sz="12" w:space="0" w:color="auto"/>
              <w:right w:val="dashed" w:sz="4" w:space="0" w:color="808080" w:themeColor="background1" w:themeShade="80"/>
            </w:tcBorders>
            <w:vAlign w:val="center"/>
          </w:tcPr>
          <w:p w14:paraId="4A88B335" w14:textId="77777777" w:rsidR="00573BBE" w:rsidRDefault="00573BBE" w:rsidP="00573BBE">
            <w:pPr>
              <w:spacing w:line="360" w:lineRule="auto"/>
              <w:jc w:val="center"/>
            </w:pPr>
            <w:r w:rsidRPr="003D2F6E">
              <w:t>[Ph</w:t>
            </w:r>
            <w:r w:rsidRPr="003D2F6E">
              <w:rPr>
                <w:vertAlign w:val="subscript"/>
              </w:rPr>
              <w:t>2</w:t>
            </w:r>
            <w:r w:rsidRPr="003D2F6E">
              <w:t>CH(OH)]</w:t>
            </w:r>
          </w:p>
        </w:tc>
        <w:tc>
          <w:tcPr>
            <w:tcW w:w="0" w:type="auto"/>
            <w:tcBorders>
              <w:top w:val="nil"/>
              <w:left w:val="dashed" w:sz="4" w:space="0" w:color="808080" w:themeColor="background1" w:themeShade="80"/>
              <w:bottom w:val="single" w:sz="12" w:space="0" w:color="auto"/>
              <w:right w:val="nil"/>
            </w:tcBorders>
            <w:vAlign w:val="center"/>
          </w:tcPr>
          <w:p w14:paraId="794FDA1B" w14:textId="77777777" w:rsidR="00573BBE" w:rsidRDefault="00573BBE" w:rsidP="00573BBE">
            <w:pPr>
              <w:spacing w:line="360" w:lineRule="auto"/>
              <w:jc w:val="center"/>
            </w:pPr>
            <w:r w:rsidRPr="003D2F6E">
              <w:t>[PPh</w:t>
            </w:r>
            <w:r w:rsidRPr="003D2F6E">
              <w:rPr>
                <w:vertAlign w:val="subscript"/>
              </w:rPr>
              <w:t>3</w:t>
            </w:r>
            <w:r w:rsidRPr="003D2F6E">
              <w:t>]</w:t>
            </w:r>
          </w:p>
        </w:tc>
      </w:tr>
      <w:tr w:rsidR="00573BBE" w14:paraId="1E17347D" w14:textId="77777777" w:rsidTr="00573BBE">
        <w:tc>
          <w:tcPr>
            <w:tcW w:w="0" w:type="auto"/>
            <w:tcBorders>
              <w:top w:val="single" w:sz="12" w:space="0" w:color="auto"/>
              <w:left w:val="nil"/>
              <w:bottom w:val="nil"/>
              <w:right w:val="single" w:sz="12" w:space="0" w:color="auto"/>
            </w:tcBorders>
            <w:vAlign w:val="center"/>
          </w:tcPr>
          <w:p w14:paraId="52F27C18" w14:textId="77777777" w:rsidR="00573BBE" w:rsidRDefault="00573BBE" w:rsidP="00573BBE">
            <w:pPr>
              <w:pStyle w:val="ListParagraph"/>
              <w:spacing w:line="360" w:lineRule="auto"/>
              <w:ind w:left="162"/>
              <w:jc w:val="center"/>
            </w:pPr>
            <w:r w:rsidRPr="00FC143F">
              <w:t>a’</w:t>
            </w:r>
          </w:p>
        </w:tc>
        <w:tc>
          <w:tcPr>
            <w:tcW w:w="0" w:type="auto"/>
            <w:tcBorders>
              <w:top w:val="single" w:sz="12" w:space="0" w:color="auto"/>
              <w:left w:val="single" w:sz="12" w:space="0" w:color="auto"/>
              <w:bottom w:val="nil"/>
              <w:right w:val="dashed" w:sz="4" w:space="0" w:color="808080" w:themeColor="background1" w:themeShade="80"/>
            </w:tcBorders>
            <w:vAlign w:val="center"/>
          </w:tcPr>
          <w:p w14:paraId="3B8F7BA3" w14:textId="77777777" w:rsidR="00573BBE" w:rsidRDefault="00573BBE" w:rsidP="00573BBE">
            <w:pPr>
              <w:spacing w:line="360" w:lineRule="auto"/>
              <w:jc w:val="center"/>
            </w:pPr>
            <w:r>
              <w:t>10</w:t>
            </w:r>
          </w:p>
        </w:tc>
        <w:tc>
          <w:tcPr>
            <w:tcW w:w="0" w:type="auto"/>
            <w:tcBorders>
              <w:top w:val="single" w:sz="12" w:space="0" w:color="auto"/>
              <w:left w:val="dashed" w:sz="4" w:space="0" w:color="808080" w:themeColor="background1" w:themeShade="80"/>
              <w:bottom w:val="nil"/>
              <w:right w:val="dashed" w:sz="4" w:space="0" w:color="808080" w:themeColor="background1" w:themeShade="80"/>
            </w:tcBorders>
            <w:vAlign w:val="center"/>
          </w:tcPr>
          <w:p w14:paraId="0A86EAAB" w14:textId="77777777" w:rsidR="00573BBE" w:rsidRDefault="00573BBE" w:rsidP="00573BBE">
            <w:pPr>
              <w:spacing w:line="360" w:lineRule="auto"/>
              <w:jc w:val="center"/>
            </w:pPr>
            <w:r>
              <w:t>100</w:t>
            </w:r>
          </w:p>
        </w:tc>
        <w:tc>
          <w:tcPr>
            <w:tcW w:w="0" w:type="auto"/>
            <w:tcBorders>
              <w:top w:val="single" w:sz="12" w:space="0" w:color="auto"/>
              <w:left w:val="dashed" w:sz="4" w:space="0" w:color="808080" w:themeColor="background1" w:themeShade="80"/>
              <w:bottom w:val="nil"/>
              <w:right w:val="nil"/>
            </w:tcBorders>
            <w:vAlign w:val="center"/>
          </w:tcPr>
          <w:p w14:paraId="74E55C6A" w14:textId="77777777" w:rsidR="00573BBE" w:rsidRDefault="00573BBE" w:rsidP="00573BBE">
            <w:pPr>
              <w:spacing w:line="360" w:lineRule="auto"/>
              <w:jc w:val="center"/>
            </w:pPr>
            <w:r>
              <w:t>100</w:t>
            </w:r>
          </w:p>
        </w:tc>
      </w:tr>
    </w:tbl>
    <w:p w14:paraId="7B455B20" w14:textId="77777777" w:rsidR="00D01B61" w:rsidRDefault="00D01B61" w:rsidP="00D01B61">
      <w:pPr>
        <w:jc w:val="center"/>
      </w:pPr>
      <w:r w:rsidRPr="00AC5F68">
        <w:rPr>
          <w:noProof/>
          <w:lang w:bidi="ar-SA"/>
        </w:rPr>
        <w:drawing>
          <wp:inline distT="0" distB="0" distL="0" distR="0" wp14:anchorId="479359BE" wp14:editId="7AE6B0B3">
            <wp:extent cx="3657600" cy="2514600"/>
            <wp:effectExtent l="0" t="0" r="0" b="0"/>
            <wp:docPr id="219" name="Chart 2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2"/>
              </a:graphicData>
            </a:graphic>
          </wp:inline>
        </w:drawing>
      </w:r>
    </w:p>
    <w:p w14:paraId="2EC5D1EA" w14:textId="77777777" w:rsidR="00BA0582" w:rsidRDefault="00BA0582" w:rsidP="00D01B61">
      <w:pPr>
        <w:jc w:val="center"/>
      </w:pPr>
    </w:p>
    <w:p w14:paraId="7612B813" w14:textId="77777777" w:rsidR="00D01B61" w:rsidRPr="00662CEC" w:rsidRDefault="00D01B61" w:rsidP="00BA0582">
      <w:pPr>
        <w:spacing w:line="276" w:lineRule="auto"/>
      </w:pPr>
    </w:p>
    <w:p w14:paraId="472CA857" w14:textId="77777777" w:rsidR="00BA0582" w:rsidRPr="00662CEC" w:rsidRDefault="00A90478" w:rsidP="00662CEC">
      <w:pPr>
        <w:pStyle w:val="Caption"/>
      </w:pPr>
      <w:bookmarkStart w:id="446" w:name="_Ref457475744"/>
      <w:bookmarkStart w:id="447" w:name="_Toc457670801"/>
      <w:r w:rsidRPr="00662CEC">
        <w:t xml:space="preserve">Figure </w:t>
      </w:r>
      <w:r w:rsidR="00443010">
        <w:fldChar w:fldCharType="begin"/>
      </w:r>
      <w:r w:rsidR="00443010">
        <w:instrText xml:space="preserve"> STYLEREF 1 \s </w:instrText>
      </w:r>
      <w:r w:rsidR="00443010">
        <w:fldChar w:fldCharType="separate"/>
      </w:r>
      <w:r w:rsidR="000A0E3D">
        <w:rPr>
          <w:noProof/>
        </w:rPr>
        <w:t>IV</w:t>
      </w:r>
      <w:r w:rsidR="00443010">
        <w:rPr>
          <w:noProof/>
        </w:rPr>
        <w:fldChar w:fldCharType="end"/>
      </w:r>
      <w:r w:rsidR="00573BBE" w:rsidRPr="00662CEC">
        <w:t>.</w:t>
      </w:r>
      <w:r w:rsidR="00443010">
        <w:fldChar w:fldCharType="begin"/>
      </w:r>
      <w:r w:rsidR="00443010">
        <w:instrText xml:space="preserve"> SEQ Figure \* ARABIC \s 1 </w:instrText>
      </w:r>
      <w:r w:rsidR="00443010">
        <w:fldChar w:fldCharType="separate"/>
      </w:r>
      <w:r w:rsidR="000A0E3D">
        <w:rPr>
          <w:noProof/>
        </w:rPr>
        <w:t>17</w:t>
      </w:r>
      <w:r w:rsidR="00443010">
        <w:rPr>
          <w:noProof/>
        </w:rPr>
        <w:fldChar w:fldCharType="end"/>
      </w:r>
      <w:bookmarkEnd w:id="446"/>
      <w:r w:rsidRPr="00662CEC">
        <w:t xml:space="preserve"> Kinetic plot 1</w:t>
      </w:r>
      <w:bookmarkEnd w:id="447"/>
    </w:p>
    <w:p w14:paraId="1742D9C4" w14:textId="77777777" w:rsidR="00A90478" w:rsidRPr="00A90478" w:rsidRDefault="00A90478" w:rsidP="00A90478"/>
    <w:p w14:paraId="7AA8E49B" w14:textId="77777777" w:rsidR="00BA0582" w:rsidRDefault="00BA0582" w:rsidP="00D01B61">
      <w:pPr>
        <w:ind w:firstLine="360"/>
        <w:jc w:val="both"/>
      </w:pPr>
      <w:r w:rsidRPr="000868C9">
        <w:t>We lowered the temperature to 125</w:t>
      </w:r>
      <w:r w:rsidRPr="000868C9">
        <w:rPr>
          <w:vertAlign w:val="superscript"/>
        </w:rPr>
        <w:t>o</w:t>
      </w:r>
      <w:r w:rsidRPr="000868C9">
        <w:t>C and the sampling time to every 5 min (</w:t>
      </w:r>
      <w:r w:rsidR="00573BBE">
        <w:fldChar w:fldCharType="begin"/>
      </w:r>
      <w:r w:rsidR="00573BBE">
        <w:instrText xml:space="preserve"> REF _Ref457475829 \h </w:instrText>
      </w:r>
      <w:r w:rsidR="00573BBE">
        <w:fldChar w:fldCharType="separate"/>
      </w:r>
      <w:r w:rsidR="000A0E3D" w:rsidRPr="00662CEC">
        <w:t xml:space="preserve">Figure </w:t>
      </w:r>
      <w:r w:rsidR="000A0E3D">
        <w:rPr>
          <w:noProof/>
        </w:rPr>
        <w:t>IV</w:t>
      </w:r>
      <w:r w:rsidR="000A0E3D" w:rsidRPr="00662CEC">
        <w:t>.</w:t>
      </w:r>
      <w:r w:rsidR="000A0E3D">
        <w:rPr>
          <w:noProof/>
        </w:rPr>
        <w:t>18</w:t>
      </w:r>
      <w:r w:rsidR="00573BBE">
        <w:fldChar w:fldCharType="end"/>
      </w:r>
      <w:r w:rsidRPr="000868C9">
        <w:t>). This time we tried two different concentration of catalyst (0.01 and 0.005 mol/L). After 50 min the reaction was nearly complete giving about 75% yield of the dimer product for the higher concentration of the catalyst and about 60% for the lower concentration of catalyst. These sets showed that at 125</w:t>
      </w:r>
      <w:r w:rsidRPr="000868C9">
        <w:rPr>
          <w:vertAlign w:val="superscript"/>
        </w:rPr>
        <w:t>o</w:t>
      </w:r>
      <w:r w:rsidRPr="000868C9">
        <w:t xml:space="preserve">C the initial rate period in is in the first 15 </w:t>
      </w:r>
      <w:r>
        <w:t>min of reaction.</w:t>
      </w:r>
    </w:p>
    <w:p w14:paraId="3C56F530" w14:textId="77777777" w:rsidR="00D01B61" w:rsidRDefault="00D01B61" w:rsidP="00D01B61">
      <w:pPr>
        <w:spacing w:line="360" w:lineRule="auto"/>
        <w:jc w:val="center"/>
      </w:pPr>
      <w:r w:rsidRPr="00D35B21">
        <w:rPr>
          <w:noProof/>
          <w:lang w:bidi="ar-SA"/>
        </w:rPr>
        <w:drawing>
          <wp:inline distT="0" distB="0" distL="0" distR="0" wp14:anchorId="7F15CBB1" wp14:editId="08523C07">
            <wp:extent cx="3657600" cy="2551176"/>
            <wp:effectExtent l="0" t="0" r="0" b="1905"/>
            <wp:docPr id="220" name="Chart 2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3"/>
              </a:graphicData>
            </a:graphic>
          </wp:inline>
        </w:drawing>
      </w:r>
    </w:p>
    <w:tbl>
      <w:tblPr>
        <w:tblStyle w:val="TableGrid"/>
        <w:tblpPr w:leftFromText="180" w:rightFromText="180" w:vertAnchor="text" w:horzAnchor="page" w:tblpXSpec="center" w:tblpY="124"/>
        <w:tblW w:w="0" w:type="auto"/>
        <w:tblLook w:val="04A0" w:firstRow="1" w:lastRow="0" w:firstColumn="1" w:lastColumn="0" w:noHBand="0" w:noVBand="1"/>
      </w:tblPr>
      <w:tblGrid>
        <w:gridCol w:w="990"/>
        <w:gridCol w:w="1470"/>
        <w:gridCol w:w="1550"/>
        <w:gridCol w:w="843"/>
      </w:tblGrid>
      <w:tr w:rsidR="00D01B61" w14:paraId="38431946" w14:textId="77777777" w:rsidTr="00D01B61">
        <w:tc>
          <w:tcPr>
            <w:tcW w:w="0" w:type="auto"/>
            <w:tcBorders>
              <w:top w:val="nil"/>
              <w:left w:val="nil"/>
              <w:bottom w:val="single" w:sz="12" w:space="0" w:color="auto"/>
              <w:right w:val="single" w:sz="12" w:space="0" w:color="auto"/>
            </w:tcBorders>
            <w:vAlign w:val="center"/>
          </w:tcPr>
          <w:p w14:paraId="6F08F50C" w14:textId="77777777" w:rsidR="00D01B61" w:rsidRDefault="00D01B61" w:rsidP="00D01B61">
            <w:pPr>
              <w:spacing w:line="360" w:lineRule="auto"/>
              <w:jc w:val="center"/>
            </w:pPr>
            <w:r>
              <w:t>m</w:t>
            </w:r>
            <w:r w:rsidRPr="003D2F6E">
              <w:t>mol/L</w:t>
            </w:r>
          </w:p>
        </w:tc>
        <w:tc>
          <w:tcPr>
            <w:tcW w:w="0" w:type="auto"/>
            <w:tcBorders>
              <w:top w:val="nil"/>
              <w:left w:val="single" w:sz="12" w:space="0" w:color="auto"/>
              <w:bottom w:val="single" w:sz="12" w:space="0" w:color="auto"/>
              <w:right w:val="dashed" w:sz="4" w:space="0" w:color="808080" w:themeColor="background1" w:themeShade="80"/>
            </w:tcBorders>
            <w:vAlign w:val="center"/>
          </w:tcPr>
          <w:p w14:paraId="45ADB98E" w14:textId="77777777" w:rsidR="00D01B61" w:rsidRDefault="00D01B61" w:rsidP="00D01B61">
            <w:pPr>
              <w:spacing w:line="360" w:lineRule="auto"/>
              <w:jc w:val="center"/>
            </w:pPr>
            <w:r w:rsidRPr="003D2F6E">
              <w:t>[IReO</w:t>
            </w:r>
            <w:r w:rsidRPr="003D2F6E">
              <w:rPr>
                <w:vertAlign w:val="subscript"/>
              </w:rPr>
              <w:t>2</w:t>
            </w:r>
            <w:r w:rsidRPr="003D2F6E">
              <w:t>TPP</w:t>
            </w:r>
            <w:r w:rsidRPr="003D2F6E">
              <w:rPr>
                <w:vertAlign w:val="subscript"/>
              </w:rPr>
              <w:t>2</w:t>
            </w:r>
            <w:r w:rsidRPr="003D2F6E">
              <w:t>]</w:t>
            </w:r>
          </w:p>
        </w:tc>
        <w:tc>
          <w:tcPr>
            <w:tcW w:w="0" w:type="auto"/>
            <w:tcBorders>
              <w:top w:val="nil"/>
              <w:left w:val="dashed" w:sz="4" w:space="0" w:color="808080" w:themeColor="background1" w:themeShade="80"/>
              <w:bottom w:val="single" w:sz="12" w:space="0" w:color="auto"/>
              <w:right w:val="dashed" w:sz="4" w:space="0" w:color="808080" w:themeColor="background1" w:themeShade="80"/>
            </w:tcBorders>
            <w:vAlign w:val="center"/>
          </w:tcPr>
          <w:p w14:paraId="34B46184" w14:textId="77777777" w:rsidR="00D01B61" w:rsidRDefault="00D01B61" w:rsidP="00D01B61">
            <w:pPr>
              <w:spacing w:line="360" w:lineRule="auto"/>
              <w:jc w:val="center"/>
            </w:pPr>
            <w:r w:rsidRPr="003D2F6E">
              <w:t>[Ph</w:t>
            </w:r>
            <w:r w:rsidRPr="003D2F6E">
              <w:rPr>
                <w:vertAlign w:val="subscript"/>
              </w:rPr>
              <w:t>2</w:t>
            </w:r>
            <w:r w:rsidRPr="003D2F6E">
              <w:t>CH(OH)]</w:t>
            </w:r>
          </w:p>
        </w:tc>
        <w:tc>
          <w:tcPr>
            <w:tcW w:w="0" w:type="auto"/>
            <w:tcBorders>
              <w:top w:val="nil"/>
              <w:left w:val="dashed" w:sz="4" w:space="0" w:color="808080" w:themeColor="background1" w:themeShade="80"/>
              <w:bottom w:val="single" w:sz="12" w:space="0" w:color="auto"/>
              <w:right w:val="nil"/>
            </w:tcBorders>
            <w:vAlign w:val="center"/>
          </w:tcPr>
          <w:p w14:paraId="070DD222" w14:textId="77777777" w:rsidR="00D01B61" w:rsidRDefault="00D01B61" w:rsidP="00D01B61">
            <w:pPr>
              <w:spacing w:line="360" w:lineRule="auto"/>
              <w:jc w:val="center"/>
            </w:pPr>
            <w:r w:rsidRPr="003D2F6E">
              <w:t>[PPh</w:t>
            </w:r>
            <w:r w:rsidRPr="003D2F6E">
              <w:rPr>
                <w:vertAlign w:val="subscript"/>
              </w:rPr>
              <w:t>3</w:t>
            </w:r>
            <w:r w:rsidRPr="003D2F6E">
              <w:t>]</w:t>
            </w:r>
          </w:p>
        </w:tc>
      </w:tr>
      <w:tr w:rsidR="00D01B61" w14:paraId="65AEAC2D" w14:textId="77777777" w:rsidTr="00D01B61">
        <w:tc>
          <w:tcPr>
            <w:tcW w:w="0" w:type="auto"/>
            <w:tcBorders>
              <w:top w:val="single" w:sz="12" w:space="0" w:color="auto"/>
              <w:left w:val="nil"/>
              <w:bottom w:val="dashed" w:sz="4" w:space="0" w:color="808080" w:themeColor="background1" w:themeShade="80"/>
              <w:right w:val="single" w:sz="12" w:space="0" w:color="auto"/>
            </w:tcBorders>
            <w:vAlign w:val="center"/>
          </w:tcPr>
          <w:p w14:paraId="012D71BE" w14:textId="77777777" w:rsidR="00D01B61" w:rsidRDefault="00D01B61" w:rsidP="00D01B61">
            <w:pPr>
              <w:spacing w:line="360" w:lineRule="auto"/>
              <w:jc w:val="center"/>
            </w:pPr>
            <w:r>
              <w:sym w:font="Wingdings" w:char="F06C"/>
            </w:r>
            <w:r>
              <w:t xml:space="preserve">  a’’</w:t>
            </w:r>
          </w:p>
        </w:tc>
        <w:tc>
          <w:tcPr>
            <w:tcW w:w="0" w:type="auto"/>
            <w:tcBorders>
              <w:top w:val="single" w:sz="12" w:space="0" w:color="auto"/>
              <w:left w:val="single" w:sz="12" w:space="0" w:color="auto"/>
              <w:bottom w:val="dashed" w:sz="4" w:space="0" w:color="808080" w:themeColor="background1" w:themeShade="80"/>
              <w:right w:val="dashed" w:sz="4" w:space="0" w:color="808080" w:themeColor="background1" w:themeShade="80"/>
            </w:tcBorders>
            <w:vAlign w:val="center"/>
          </w:tcPr>
          <w:p w14:paraId="47713B4C" w14:textId="77777777" w:rsidR="00D01B61" w:rsidRDefault="00D01B61" w:rsidP="00D01B61">
            <w:pPr>
              <w:spacing w:line="360" w:lineRule="auto"/>
              <w:jc w:val="center"/>
            </w:pPr>
            <w:r>
              <w:t>10</w:t>
            </w:r>
          </w:p>
        </w:tc>
        <w:tc>
          <w:tcPr>
            <w:tcW w:w="0" w:type="auto"/>
            <w:vMerge w:val="restart"/>
            <w:tcBorders>
              <w:top w:val="single" w:sz="12" w:space="0" w:color="auto"/>
              <w:left w:val="dashed" w:sz="4" w:space="0" w:color="808080" w:themeColor="background1" w:themeShade="80"/>
              <w:right w:val="dashed" w:sz="4" w:space="0" w:color="808080" w:themeColor="background1" w:themeShade="80"/>
            </w:tcBorders>
            <w:vAlign w:val="center"/>
          </w:tcPr>
          <w:p w14:paraId="5DFCB211" w14:textId="77777777" w:rsidR="00D01B61" w:rsidRDefault="00D01B61" w:rsidP="00D01B61">
            <w:pPr>
              <w:spacing w:line="360" w:lineRule="auto"/>
              <w:jc w:val="center"/>
            </w:pPr>
            <w:r>
              <w:t>100</w:t>
            </w:r>
          </w:p>
        </w:tc>
        <w:tc>
          <w:tcPr>
            <w:tcW w:w="0" w:type="auto"/>
            <w:vMerge w:val="restart"/>
            <w:tcBorders>
              <w:top w:val="single" w:sz="12" w:space="0" w:color="auto"/>
              <w:left w:val="dashed" w:sz="4" w:space="0" w:color="808080" w:themeColor="background1" w:themeShade="80"/>
              <w:right w:val="nil"/>
            </w:tcBorders>
            <w:vAlign w:val="center"/>
          </w:tcPr>
          <w:p w14:paraId="42482B37" w14:textId="77777777" w:rsidR="00D01B61" w:rsidRDefault="00D01B61" w:rsidP="00D01B61">
            <w:pPr>
              <w:spacing w:line="360" w:lineRule="auto"/>
              <w:jc w:val="center"/>
            </w:pPr>
            <w:r>
              <w:t>100</w:t>
            </w:r>
          </w:p>
        </w:tc>
      </w:tr>
      <w:tr w:rsidR="00D01B61" w14:paraId="28A99A78" w14:textId="77777777" w:rsidTr="00D01B61">
        <w:tc>
          <w:tcPr>
            <w:tcW w:w="0" w:type="auto"/>
            <w:tcBorders>
              <w:top w:val="dashed" w:sz="4" w:space="0" w:color="808080" w:themeColor="background1" w:themeShade="80"/>
              <w:left w:val="nil"/>
              <w:bottom w:val="nil"/>
              <w:right w:val="single" w:sz="12" w:space="0" w:color="auto"/>
            </w:tcBorders>
            <w:vAlign w:val="center"/>
          </w:tcPr>
          <w:p w14:paraId="79103A52" w14:textId="77777777" w:rsidR="00D01B61" w:rsidRDefault="00D01B61" w:rsidP="00D01B61">
            <w:pPr>
              <w:spacing w:line="360" w:lineRule="auto"/>
              <w:jc w:val="center"/>
            </w:pPr>
            <w:r>
              <w:sym w:font="Wingdings" w:char="F06E"/>
            </w:r>
            <w:r>
              <w:t xml:space="preserve">  b’</w:t>
            </w:r>
          </w:p>
        </w:tc>
        <w:tc>
          <w:tcPr>
            <w:tcW w:w="0" w:type="auto"/>
            <w:tcBorders>
              <w:top w:val="dashed" w:sz="4" w:space="0" w:color="808080" w:themeColor="background1" w:themeShade="80"/>
              <w:left w:val="single" w:sz="12" w:space="0" w:color="auto"/>
              <w:bottom w:val="nil"/>
              <w:right w:val="dashed" w:sz="4" w:space="0" w:color="808080" w:themeColor="background1" w:themeShade="80"/>
            </w:tcBorders>
            <w:vAlign w:val="center"/>
          </w:tcPr>
          <w:p w14:paraId="7E9A6547" w14:textId="77777777" w:rsidR="00D01B61" w:rsidRDefault="00D01B61" w:rsidP="00D01B61">
            <w:pPr>
              <w:spacing w:line="360" w:lineRule="auto"/>
              <w:jc w:val="center"/>
            </w:pPr>
            <w:r>
              <w:t>5</w:t>
            </w:r>
          </w:p>
        </w:tc>
        <w:tc>
          <w:tcPr>
            <w:tcW w:w="0" w:type="auto"/>
            <w:vMerge/>
            <w:tcBorders>
              <w:left w:val="dashed" w:sz="4" w:space="0" w:color="808080" w:themeColor="background1" w:themeShade="80"/>
              <w:bottom w:val="nil"/>
              <w:right w:val="dashed" w:sz="4" w:space="0" w:color="808080" w:themeColor="background1" w:themeShade="80"/>
            </w:tcBorders>
            <w:vAlign w:val="center"/>
          </w:tcPr>
          <w:p w14:paraId="042C60FD" w14:textId="77777777" w:rsidR="00D01B61" w:rsidRDefault="00D01B61" w:rsidP="00D01B61">
            <w:pPr>
              <w:spacing w:line="360" w:lineRule="auto"/>
              <w:jc w:val="center"/>
            </w:pPr>
          </w:p>
        </w:tc>
        <w:tc>
          <w:tcPr>
            <w:tcW w:w="0" w:type="auto"/>
            <w:vMerge/>
            <w:tcBorders>
              <w:left w:val="dashed" w:sz="4" w:space="0" w:color="808080" w:themeColor="background1" w:themeShade="80"/>
              <w:bottom w:val="nil"/>
              <w:right w:val="nil"/>
            </w:tcBorders>
            <w:vAlign w:val="center"/>
          </w:tcPr>
          <w:p w14:paraId="359177B1" w14:textId="77777777" w:rsidR="00D01B61" w:rsidRDefault="00D01B61" w:rsidP="00D01B61">
            <w:pPr>
              <w:spacing w:line="360" w:lineRule="auto"/>
              <w:jc w:val="center"/>
            </w:pPr>
          </w:p>
        </w:tc>
      </w:tr>
    </w:tbl>
    <w:p w14:paraId="0D97A6EB" w14:textId="77777777" w:rsidR="00BA0582" w:rsidRDefault="00BA0582" w:rsidP="00BA0582">
      <w:pPr>
        <w:spacing w:line="276" w:lineRule="auto"/>
      </w:pPr>
    </w:p>
    <w:p w14:paraId="0DEB3720" w14:textId="77777777" w:rsidR="00D01B61" w:rsidRDefault="00D01B61" w:rsidP="00BA0582">
      <w:pPr>
        <w:spacing w:line="276" w:lineRule="auto"/>
      </w:pPr>
    </w:p>
    <w:p w14:paraId="13AE917B" w14:textId="77777777" w:rsidR="00D01B61" w:rsidRDefault="00D01B61" w:rsidP="00BA0582">
      <w:pPr>
        <w:spacing w:line="276" w:lineRule="auto"/>
      </w:pPr>
    </w:p>
    <w:p w14:paraId="2B0FE0C5" w14:textId="77777777" w:rsidR="00D01B61" w:rsidRDefault="00D01B61" w:rsidP="00BA0582">
      <w:pPr>
        <w:spacing w:line="360" w:lineRule="auto"/>
        <w:jc w:val="center"/>
        <w:rPr>
          <w:b/>
        </w:rPr>
      </w:pPr>
    </w:p>
    <w:p w14:paraId="1B2EAB2D" w14:textId="77777777" w:rsidR="00D01B61" w:rsidRDefault="00D01B61" w:rsidP="00BA0582">
      <w:pPr>
        <w:spacing w:line="360" w:lineRule="auto"/>
        <w:jc w:val="center"/>
        <w:rPr>
          <w:b/>
        </w:rPr>
      </w:pPr>
    </w:p>
    <w:p w14:paraId="6869AD5E" w14:textId="77777777" w:rsidR="00D01B61" w:rsidRPr="00662CEC" w:rsidRDefault="00573BBE" w:rsidP="00573BBE">
      <w:pPr>
        <w:pStyle w:val="Caption"/>
      </w:pPr>
      <w:bookmarkStart w:id="448" w:name="_Ref457475829"/>
      <w:bookmarkStart w:id="449" w:name="_Toc457670802"/>
      <w:r w:rsidRPr="00662CEC">
        <w:t xml:space="preserve">Figure </w:t>
      </w:r>
      <w:r w:rsidR="00443010">
        <w:fldChar w:fldCharType="begin"/>
      </w:r>
      <w:r w:rsidR="00443010">
        <w:instrText xml:space="preserve"> STYLEREF 1 \s </w:instrText>
      </w:r>
      <w:r w:rsidR="00443010">
        <w:fldChar w:fldCharType="separate"/>
      </w:r>
      <w:r w:rsidR="000A0E3D">
        <w:rPr>
          <w:noProof/>
        </w:rPr>
        <w:t>IV</w:t>
      </w:r>
      <w:r w:rsidR="00443010">
        <w:rPr>
          <w:noProof/>
        </w:rPr>
        <w:fldChar w:fldCharType="end"/>
      </w:r>
      <w:r w:rsidRPr="00662CEC">
        <w:t>.</w:t>
      </w:r>
      <w:r w:rsidR="00443010">
        <w:fldChar w:fldCharType="begin"/>
      </w:r>
      <w:r w:rsidR="00443010">
        <w:instrText xml:space="preserve"> SEQ Figure \* ARABIC \s 1 </w:instrText>
      </w:r>
      <w:r w:rsidR="00443010">
        <w:fldChar w:fldCharType="separate"/>
      </w:r>
      <w:r w:rsidR="000A0E3D">
        <w:rPr>
          <w:noProof/>
        </w:rPr>
        <w:t>18</w:t>
      </w:r>
      <w:r w:rsidR="00443010">
        <w:rPr>
          <w:noProof/>
        </w:rPr>
        <w:fldChar w:fldCharType="end"/>
      </w:r>
      <w:bookmarkEnd w:id="448"/>
      <w:r w:rsidRPr="00662CEC">
        <w:t xml:space="preserve"> Kinetic plot 2</w:t>
      </w:r>
      <w:bookmarkEnd w:id="449"/>
    </w:p>
    <w:p w14:paraId="392CEF0D" w14:textId="77777777" w:rsidR="00573BBE" w:rsidRPr="00573BBE" w:rsidRDefault="00573BBE" w:rsidP="00573BBE"/>
    <w:p w14:paraId="03DE44FB" w14:textId="4000BC37" w:rsidR="00BA0582" w:rsidRDefault="00E672F9" w:rsidP="001539C6">
      <w:pPr>
        <w:ind w:firstLine="360"/>
        <w:jc w:val="both"/>
      </w:pPr>
      <w:r>
        <w:t>Subsequently</w:t>
      </w:r>
      <w:r w:rsidR="00BA0582">
        <w:t xml:space="preserve"> the reaction at the same temperature (125</w:t>
      </w:r>
      <w:r w:rsidR="00BA0582" w:rsidRPr="00532B67">
        <w:rPr>
          <w:vertAlign w:val="superscript"/>
        </w:rPr>
        <w:t>o</w:t>
      </w:r>
      <w:r w:rsidR="00BA0582">
        <w:t>C)</w:t>
      </w:r>
      <w:r>
        <w:t xml:space="preserve"> was run</w:t>
      </w:r>
      <w:r w:rsidR="00BA0582">
        <w:t xml:space="preserve"> but </w:t>
      </w:r>
      <w:r w:rsidR="006E5A15">
        <w:t xml:space="preserve">we </w:t>
      </w:r>
      <w:r w:rsidR="00BA0582">
        <w:t>took samples every minute (</w:t>
      </w:r>
      <w:r w:rsidR="00573BBE">
        <w:fldChar w:fldCharType="begin"/>
      </w:r>
      <w:r w:rsidR="00573BBE">
        <w:instrText xml:space="preserve"> REF _Ref457475867 \h </w:instrText>
      </w:r>
      <w:r w:rsidR="00573BBE">
        <w:fldChar w:fldCharType="separate"/>
      </w:r>
      <w:r w:rsidR="000A0E3D">
        <w:t xml:space="preserve">Figure </w:t>
      </w:r>
      <w:r w:rsidR="000A0E3D">
        <w:rPr>
          <w:noProof/>
        </w:rPr>
        <w:t>IV</w:t>
      </w:r>
      <w:r w:rsidR="000A0E3D">
        <w:t>.</w:t>
      </w:r>
      <w:r w:rsidR="000A0E3D">
        <w:rPr>
          <w:noProof/>
        </w:rPr>
        <w:t>19</w:t>
      </w:r>
      <w:r w:rsidR="00573BBE">
        <w:fldChar w:fldCharType="end"/>
      </w:r>
      <w:r w:rsidR="00BA0582">
        <w:t xml:space="preserve">) </w:t>
      </w:r>
      <w:r w:rsidR="00BA0582" w:rsidRPr="000868C9">
        <w:t>which allowed us finally to observe the initial rate of the reaction. Having three components in the reaction</w:t>
      </w:r>
      <w:r>
        <w:t>,</w:t>
      </w:r>
      <w:r w:rsidR="00BA0582" w:rsidRPr="000868C9">
        <w:t xml:space="preserve"> IReO</w:t>
      </w:r>
      <w:r w:rsidR="00BA0582" w:rsidRPr="000868C9">
        <w:rPr>
          <w:vertAlign w:val="subscript"/>
        </w:rPr>
        <w:t>2</w:t>
      </w:r>
      <w:r w:rsidR="00BA0582" w:rsidRPr="000868C9">
        <w:t>TPP</w:t>
      </w:r>
      <w:r w:rsidR="00BA0582" w:rsidRPr="000868C9">
        <w:rPr>
          <w:vertAlign w:val="subscript"/>
        </w:rPr>
        <w:t>2</w:t>
      </w:r>
      <w:r w:rsidR="00BA0582" w:rsidRPr="000868C9">
        <w:t>, Ph</w:t>
      </w:r>
      <w:r w:rsidR="00BA0582" w:rsidRPr="000868C9">
        <w:rPr>
          <w:vertAlign w:val="subscript"/>
        </w:rPr>
        <w:t>2</w:t>
      </w:r>
      <w:r w:rsidR="00BA0582" w:rsidRPr="000868C9">
        <w:t>CH(OH) and PPh</w:t>
      </w:r>
      <w:r w:rsidR="00BA0582" w:rsidRPr="000868C9">
        <w:rPr>
          <w:vertAlign w:val="subscript"/>
        </w:rPr>
        <w:t>3</w:t>
      </w:r>
      <w:r>
        <w:t>,</w:t>
      </w:r>
      <w:r w:rsidR="00BA0582" w:rsidRPr="000868C9">
        <w:t xml:space="preserve"> several sets of reaction varying only the concentration of one component at a time</w:t>
      </w:r>
      <w:r>
        <w:t xml:space="preserve"> were run</w:t>
      </w:r>
      <w:r w:rsidR="00BA0582" w:rsidRPr="000868C9">
        <w:t xml:space="preserve">. </w:t>
      </w:r>
      <w:r>
        <w:t>Staring</w:t>
      </w:r>
      <w:r w:rsidR="00BA0582" w:rsidRPr="000868C9">
        <w:t xml:space="preserve"> by keeping the alcohol and reducing agent at </w:t>
      </w:r>
      <w:r>
        <w:t>a fixed concentration (0.10 M)</w:t>
      </w:r>
      <w:r w:rsidR="00BA0582" w:rsidRPr="000868C9">
        <w:t xml:space="preserve"> the catalyst </w:t>
      </w:r>
      <w:r>
        <w:t xml:space="preserve">was changed with </w:t>
      </w:r>
      <w:r w:rsidR="00BA0582" w:rsidRPr="000868C9">
        <w:t>concentration</w:t>
      </w:r>
      <w:r>
        <w:t>s</w:t>
      </w:r>
      <w:r w:rsidR="00BA0582" w:rsidRPr="000868C9">
        <w:t xml:space="preserve"> at 0.01, 0.005 and 0.001 M; (</w:t>
      </w:r>
      <w:r w:rsidR="00573BBE">
        <w:fldChar w:fldCharType="begin"/>
      </w:r>
      <w:r w:rsidR="00573BBE">
        <w:instrText xml:space="preserve"> REF _Ref457475867 \h </w:instrText>
      </w:r>
      <w:r w:rsidR="00573BBE">
        <w:fldChar w:fldCharType="separate"/>
      </w:r>
      <w:r w:rsidR="000A0E3D">
        <w:t xml:space="preserve">Figure </w:t>
      </w:r>
      <w:r w:rsidR="000A0E3D">
        <w:rPr>
          <w:noProof/>
        </w:rPr>
        <w:t>IV</w:t>
      </w:r>
      <w:r w:rsidR="000A0E3D">
        <w:t>.</w:t>
      </w:r>
      <w:r w:rsidR="000A0E3D">
        <w:rPr>
          <w:noProof/>
        </w:rPr>
        <w:t>19</w:t>
      </w:r>
      <w:r w:rsidR="00573BBE">
        <w:fldChar w:fldCharType="end"/>
      </w:r>
      <w:r w:rsidR="00BA0582" w:rsidRPr="000868C9">
        <w:t xml:space="preserve">). From this catalyst </w:t>
      </w:r>
      <w:r w:rsidR="00BA0582">
        <w:t>concentration</w:t>
      </w:r>
      <w:r w:rsidR="00BA0582" w:rsidRPr="000868C9">
        <w:t xml:space="preserve"> variation we could see a clear trend </w:t>
      </w:r>
      <w:r w:rsidR="00BA0582">
        <w:t>in the rate- the rate increased with an increase of the catalyst concentration. With such a clear trend we plotted: rate=f([catalyst]</w:t>
      </w:r>
      <w:r w:rsidR="00BA0582" w:rsidRPr="00554E8E">
        <w:rPr>
          <w:vertAlign w:val="superscript"/>
        </w:rPr>
        <w:t>n</w:t>
      </w:r>
      <w:r w:rsidR="00BA0582">
        <w:t xml:space="preserve">) and varied n to </w:t>
      </w:r>
      <w:r w:rsidR="00BA0582" w:rsidRPr="000868C9">
        <w:t>find the reaction order in the catalyst</w:t>
      </w:r>
      <w:r w:rsidR="00BA0582">
        <w:t xml:space="preserve">. Having only three points in this data set the exact order could not be determined between 1 and ½. </w:t>
      </w:r>
    </w:p>
    <w:p w14:paraId="0108F78D" w14:textId="77777777" w:rsidR="00BA0582" w:rsidRDefault="00BA0582" w:rsidP="00BA0582">
      <w:pPr>
        <w:spacing w:line="360" w:lineRule="auto"/>
        <w:jc w:val="center"/>
      </w:pPr>
      <w:r w:rsidRPr="00E62A66">
        <w:rPr>
          <w:noProof/>
          <w:lang w:bidi="ar-SA"/>
        </w:rPr>
        <w:drawing>
          <wp:inline distT="0" distB="0" distL="0" distR="0" wp14:anchorId="2C2722EB" wp14:editId="45A15945">
            <wp:extent cx="3562985" cy="2446020"/>
            <wp:effectExtent l="0" t="0" r="18415" b="11430"/>
            <wp:docPr id="221" name="Chart 2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4"/>
              </a:graphicData>
            </a:graphic>
          </wp:inline>
        </w:drawing>
      </w:r>
    </w:p>
    <w:tbl>
      <w:tblPr>
        <w:tblStyle w:val="TableGrid"/>
        <w:tblW w:w="0" w:type="auto"/>
        <w:jc w:val="center"/>
        <w:tblLook w:val="04A0" w:firstRow="1" w:lastRow="0" w:firstColumn="1" w:lastColumn="0" w:noHBand="0" w:noVBand="1"/>
      </w:tblPr>
      <w:tblGrid>
        <w:gridCol w:w="990"/>
        <w:gridCol w:w="1470"/>
        <w:gridCol w:w="1550"/>
        <w:gridCol w:w="843"/>
      </w:tblGrid>
      <w:tr w:rsidR="00BA0582" w14:paraId="702CEE1A" w14:textId="77777777" w:rsidTr="00BA0582">
        <w:trPr>
          <w:jc w:val="center"/>
        </w:trPr>
        <w:tc>
          <w:tcPr>
            <w:tcW w:w="0" w:type="auto"/>
            <w:tcBorders>
              <w:top w:val="nil"/>
              <w:left w:val="nil"/>
              <w:bottom w:val="single" w:sz="12" w:space="0" w:color="auto"/>
              <w:right w:val="single" w:sz="12" w:space="0" w:color="auto"/>
            </w:tcBorders>
            <w:vAlign w:val="center"/>
          </w:tcPr>
          <w:p w14:paraId="500D8FB3" w14:textId="77777777" w:rsidR="00BA0582" w:rsidRDefault="00BA0582" w:rsidP="00BA0582">
            <w:pPr>
              <w:spacing w:line="360" w:lineRule="auto"/>
              <w:jc w:val="center"/>
            </w:pPr>
            <w:r>
              <w:t>m</w:t>
            </w:r>
            <w:r w:rsidRPr="003D2F6E">
              <w:t>mol/L</w:t>
            </w:r>
          </w:p>
        </w:tc>
        <w:tc>
          <w:tcPr>
            <w:tcW w:w="0" w:type="auto"/>
            <w:tcBorders>
              <w:top w:val="nil"/>
              <w:left w:val="single" w:sz="12" w:space="0" w:color="auto"/>
              <w:bottom w:val="single" w:sz="12" w:space="0" w:color="auto"/>
              <w:right w:val="dashed" w:sz="4" w:space="0" w:color="808080" w:themeColor="background1" w:themeShade="80"/>
            </w:tcBorders>
            <w:vAlign w:val="center"/>
          </w:tcPr>
          <w:p w14:paraId="334E97B4" w14:textId="77777777" w:rsidR="00BA0582" w:rsidRDefault="00BA0582" w:rsidP="00BA0582">
            <w:pPr>
              <w:spacing w:line="360" w:lineRule="auto"/>
              <w:jc w:val="center"/>
            </w:pPr>
            <w:r w:rsidRPr="003D2F6E">
              <w:t>[IReO</w:t>
            </w:r>
            <w:r w:rsidRPr="003D2F6E">
              <w:rPr>
                <w:vertAlign w:val="subscript"/>
              </w:rPr>
              <w:t>2</w:t>
            </w:r>
            <w:r w:rsidRPr="003D2F6E">
              <w:t>TPP</w:t>
            </w:r>
            <w:r w:rsidRPr="003D2F6E">
              <w:rPr>
                <w:vertAlign w:val="subscript"/>
              </w:rPr>
              <w:t>2</w:t>
            </w:r>
            <w:r w:rsidRPr="003D2F6E">
              <w:t>]</w:t>
            </w:r>
          </w:p>
        </w:tc>
        <w:tc>
          <w:tcPr>
            <w:tcW w:w="0" w:type="auto"/>
            <w:tcBorders>
              <w:top w:val="nil"/>
              <w:left w:val="dashed" w:sz="4" w:space="0" w:color="808080" w:themeColor="background1" w:themeShade="80"/>
              <w:bottom w:val="single" w:sz="12" w:space="0" w:color="auto"/>
              <w:right w:val="dashed" w:sz="4" w:space="0" w:color="808080" w:themeColor="background1" w:themeShade="80"/>
            </w:tcBorders>
            <w:vAlign w:val="center"/>
          </w:tcPr>
          <w:p w14:paraId="691E92E1" w14:textId="77777777" w:rsidR="00BA0582" w:rsidRDefault="00BA0582" w:rsidP="00BA0582">
            <w:pPr>
              <w:spacing w:line="360" w:lineRule="auto"/>
              <w:jc w:val="center"/>
            </w:pPr>
            <w:r w:rsidRPr="003D2F6E">
              <w:t>[Ph</w:t>
            </w:r>
            <w:r w:rsidRPr="003D2F6E">
              <w:rPr>
                <w:vertAlign w:val="subscript"/>
              </w:rPr>
              <w:t>2</w:t>
            </w:r>
            <w:r w:rsidRPr="003D2F6E">
              <w:t>CH(OH)]</w:t>
            </w:r>
          </w:p>
        </w:tc>
        <w:tc>
          <w:tcPr>
            <w:tcW w:w="0" w:type="auto"/>
            <w:tcBorders>
              <w:top w:val="nil"/>
              <w:left w:val="dashed" w:sz="4" w:space="0" w:color="808080" w:themeColor="background1" w:themeShade="80"/>
              <w:bottom w:val="single" w:sz="12" w:space="0" w:color="auto"/>
              <w:right w:val="nil"/>
            </w:tcBorders>
            <w:vAlign w:val="center"/>
          </w:tcPr>
          <w:p w14:paraId="54F5AE4F" w14:textId="77777777" w:rsidR="00BA0582" w:rsidRDefault="00BA0582" w:rsidP="00BA0582">
            <w:pPr>
              <w:spacing w:line="360" w:lineRule="auto"/>
              <w:jc w:val="center"/>
            </w:pPr>
            <w:r w:rsidRPr="003D2F6E">
              <w:t>[PPh</w:t>
            </w:r>
            <w:r w:rsidRPr="003D2F6E">
              <w:rPr>
                <w:vertAlign w:val="subscript"/>
              </w:rPr>
              <w:t>3</w:t>
            </w:r>
            <w:r w:rsidRPr="003D2F6E">
              <w:t>]</w:t>
            </w:r>
          </w:p>
        </w:tc>
      </w:tr>
      <w:tr w:rsidR="00BA0582" w14:paraId="7FAB7083" w14:textId="77777777" w:rsidTr="00BA0582">
        <w:trPr>
          <w:jc w:val="center"/>
        </w:trPr>
        <w:tc>
          <w:tcPr>
            <w:tcW w:w="0" w:type="auto"/>
            <w:tcBorders>
              <w:top w:val="single" w:sz="12" w:space="0" w:color="auto"/>
              <w:left w:val="nil"/>
              <w:bottom w:val="dashed" w:sz="4" w:space="0" w:color="808080" w:themeColor="background1" w:themeShade="80"/>
              <w:right w:val="single" w:sz="12" w:space="0" w:color="auto"/>
            </w:tcBorders>
            <w:vAlign w:val="center"/>
          </w:tcPr>
          <w:p w14:paraId="06B760BF" w14:textId="77777777" w:rsidR="00BA0582" w:rsidRDefault="00BA0582" w:rsidP="00BA0582">
            <w:pPr>
              <w:spacing w:line="360" w:lineRule="auto"/>
            </w:pPr>
            <w:r>
              <w:sym w:font="Wingdings" w:char="F06E"/>
            </w:r>
            <w:r>
              <w:t xml:space="preserve">  c</w:t>
            </w:r>
          </w:p>
        </w:tc>
        <w:tc>
          <w:tcPr>
            <w:tcW w:w="0" w:type="auto"/>
            <w:tcBorders>
              <w:top w:val="single" w:sz="12" w:space="0" w:color="auto"/>
              <w:left w:val="single" w:sz="12" w:space="0" w:color="auto"/>
              <w:bottom w:val="dashed" w:sz="4" w:space="0" w:color="808080" w:themeColor="background1" w:themeShade="80"/>
              <w:right w:val="dashed" w:sz="4" w:space="0" w:color="808080" w:themeColor="background1" w:themeShade="80"/>
            </w:tcBorders>
            <w:vAlign w:val="center"/>
          </w:tcPr>
          <w:p w14:paraId="44073842" w14:textId="44CB702A" w:rsidR="00BA0582" w:rsidRDefault="00BA0582" w:rsidP="00BA0582">
            <w:pPr>
              <w:spacing w:line="360" w:lineRule="auto"/>
              <w:jc w:val="center"/>
            </w:pPr>
            <w:r>
              <w:t>1</w:t>
            </w:r>
          </w:p>
        </w:tc>
        <w:tc>
          <w:tcPr>
            <w:tcW w:w="0" w:type="auto"/>
            <w:vMerge w:val="restart"/>
            <w:tcBorders>
              <w:top w:val="single" w:sz="12" w:space="0" w:color="auto"/>
              <w:left w:val="dashed" w:sz="4" w:space="0" w:color="808080" w:themeColor="background1" w:themeShade="80"/>
              <w:right w:val="dashed" w:sz="4" w:space="0" w:color="808080" w:themeColor="background1" w:themeShade="80"/>
            </w:tcBorders>
            <w:vAlign w:val="center"/>
          </w:tcPr>
          <w:p w14:paraId="640610A5" w14:textId="5BCC399F" w:rsidR="00BA0582" w:rsidRDefault="00CE4139" w:rsidP="00BA0582">
            <w:pPr>
              <w:spacing w:line="360" w:lineRule="auto"/>
              <w:jc w:val="center"/>
            </w:pPr>
            <w:r>
              <w:t>100</w:t>
            </w:r>
          </w:p>
        </w:tc>
        <w:tc>
          <w:tcPr>
            <w:tcW w:w="0" w:type="auto"/>
            <w:vMerge w:val="restart"/>
            <w:tcBorders>
              <w:top w:val="single" w:sz="12" w:space="0" w:color="auto"/>
              <w:left w:val="dashed" w:sz="4" w:space="0" w:color="808080" w:themeColor="background1" w:themeShade="80"/>
              <w:right w:val="nil"/>
            </w:tcBorders>
            <w:vAlign w:val="center"/>
          </w:tcPr>
          <w:p w14:paraId="57B96D85" w14:textId="5F040A36" w:rsidR="00BA0582" w:rsidRDefault="00CE4139" w:rsidP="00BA0582">
            <w:pPr>
              <w:spacing w:line="360" w:lineRule="auto"/>
              <w:jc w:val="center"/>
            </w:pPr>
            <w:r>
              <w:t>100</w:t>
            </w:r>
          </w:p>
        </w:tc>
      </w:tr>
      <w:tr w:rsidR="00BA0582" w14:paraId="070494F4" w14:textId="77777777" w:rsidTr="00BA0582">
        <w:trPr>
          <w:jc w:val="center"/>
        </w:trPr>
        <w:tc>
          <w:tcPr>
            <w:tcW w:w="0" w:type="auto"/>
            <w:tcBorders>
              <w:top w:val="dashed" w:sz="4" w:space="0" w:color="808080" w:themeColor="background1" w:themeShade="80"/>
              <w:left w:val="nil"/>
              <w:bottom w:val="dashed" w:sz="4" w:space="0" w:color="808080" w:themeColor="background1" w:themeShade="80"/>
              <w:right w:val="single" w:sz="12" w:space="0" w:color="auto"/>
            </w:tcBorders>
            <w:vAlign w:val="center"/>
          </w:tcPr>
          <w:p w14:paraId="6F0852B0" w14:textId="77777777" w:rsidR="00BA0582" w:rsidRDefault="00BA0582" w:rsidP="00BA0582">
            <w:pPr>
              <w:spacing w:line="360" w:lineRule="auto"/>
            </w:pPr>
            <w:r>
              <w:sym w:font="Wingdings" w:char="F06C"/>
            </w:r>
            <w:r>
              <w:t xml:space="preserve">  b’</w:t>
            </w:r>
          </w:p>
        </w:tc>
        <w:tc>
          <w:tcPr>
            <w:tcW w:w="0" w:type="auto"/>
            <w:tcBorders>
              <w:top w:val="dashed" w:sz="4" w:space="0" w:color="808080" w:themeColor="background1" w:themeShade="80"/>
              <w:left w:val="single" w:sz="12" w:space="0" w:color="auto"/>
              <w:bottom w:val="dashed" w:sz="4" w:space="0" w:color="808080" w:themeColor="background1" w:themeShade="80"/>
              <w:right w:val="dashed" w:sz="4" w:space="0" w:color="808080" w:themeColor="background1" w:themeShade="80"/>
            </w:tcBorders>
            <w:vAlign w:val="center"/>
          </w:tcPr>
          <w:p w14:paraId="2D5928F1" w14:textId="4B9AC835" w:rsidR="00BA0582" w:rsidRDefault="00BA0582" w:rsidP="00BA0582">
            <w:pPr>
              <w:spacing w:line="360" w:lineRule="auto"/>
              <w:jc w:val="center"/>
            </w:pPr>
            <w:r>
              <w:t>5</w:t>
            </w:r>
          </w:p>
        </w:tc>
        <w:tc>
          <w:tcPr>
            <w:tcW w:w="0" w:type="auto"/>
            <w:vMerge/>
            <w:tcBorders>
              <w:left w:val="dashed" w:sz="4" w:space="0" w:color="808080" w:themeColor="background1" w:themeShade="80"/>
              <w:right w:val="dashed" w:sz="4" w:space="0" w:color="808080" w:themeColor="background1" w:themeShade="80"/>
            </w:tcBorders>
            <w:vAlign w:val="center"/>
          </w:tcPr>
          <w:p w14:paraId="50847AE5" w14:textId="77777777" w:rsidR="00BA0582" w:rsidRDefault="00BA0582" w:rsidP="00BA0582">
            <w:pPr>
              <w:spacing w:line="360" w:lineRule="auto"/>
              <w:jc w:val="center"/>
            </w:pPr>
          </w:p>
        </w:tc>
        <w:tc>
          <w:tcPr>
            <w:tcW w:w="0" w:type="auto"/>
            <w:vMerge/>
            <w:tcBorders>
              <w:left w:val="dashed" w:sz="4" w:space="0" w:color="808080" w:themeColor="background1" w:themeShade="80"/>
              <w:right w:val="nil"/>
            </w:tcBorders>
            <w:vAlign w:val="center"/>
          </w:tcPr>
          <w:p w14:paraId="056B78C3" w14:textId="77777777" w:rsidR="00BA0582" w:rsidRDefault="00BA0582" w:rsidP="00BA0582">
            <w:pPr>
              <w:spacing w:line="360" w:lineRule="auto"/>
              <w:jc w:val="center"/>
            </w:pPr>
          </w:p>
        </w:tc>
      </w:tr>
      <w:tr w:rsidR="00BA0582" w14:paraId="7671F538" w14:textId="77777777" w:rsidTr="00BA0582">
        <w:trPr>
          <w:jc w:val="center"/>
        </w:trPr>
        <w:tc>
          <w:tcPr>
            <w:tcW w:w="0" w:type="auto"/>
            <w:tcBorders>
              <w:top w:val="dashed" w:sz="4" w:space="0" w:color="808080" w:themeColor="background1" w:themeShade="80"/>
              <w:left w:val="nil"/>
              <w:bottom w:val="nil"/>
              <w:right w:val="single" w:sz="12" w:space="0" w:color="auto"/>
            </w:tcBorders>
            <w:vAlign w:val="center"/>
          </w:tcPr>
          <w:p w14:paraId="55D30C63" w14:textId="77777777" w:rsidR="00BA0582" w:rsidRDefault="00BA0582" w:rsidP="00BA0582">
            <w:pPr>
              <w:spacing w:line="360" w:lineRule="auto"/>
            </w:pPr>
            <w:r>
              <w:t>Δ  a’’’</w:t>
            </w:r>
          </w:p>
        </w:tc>
        <w:tc>
          <w:tcPr>
            <w:tcW w:w="0" w:type="auto"/>
            <w:tcBorders>
              <w:top w:val="dashed" w:sz="4" w:space="0" w:color="808080" w:themeColor="background1" w:themeShade="80"/>
              <w:left w:val="single" w:sz="12" w:space="0" w:color="auto"/>
              <w:bottom w:val="nil"/>
              <w:right w:val="dashed" w:sz="4" w:space="0" w:color="808080" w:themeColor="background1" w:themeShade="80"/>
            </w:tcBorders>
            <w:vAlign w:val="center"/>
          </w:tcPr>
          <w:p w14:paraId="1C8F1134" w14:textId="0BFF8800" w:rsidR="00BA0582" w:rsidRDefault="00BA0582" w:rsidP="00BA0582">
            <w:pPr>
              <w:spacing w:line="360" w:lineRule="auto"/>
              <w:jc w:val="center"/>
            </w:pPr>
            <w:r>
              <w:t>10</w:t>
            </w:r>
          </w:p>
        </w:tc>
        <w:tc>
          <w:tcPr>
            <w:tcW w:w="0" w:type="auto"/>
            <w:vMerge/>
            <w:tcBorders>
              <w:left w:val="dashed" w:sz="4" w:space="0" w:color="808080" w:themeColor="background1" w:themeShade="80"/>
              <w:bottom w:val="nil"/>
              <w:right w:val="dashed" w:sz="4" w:space="0" w:color="808080" w:themeColor="background1" w:themeShade="80"/>
            </w:tcBorders>
            <w:vAlign w:val="center"/>
          </w:tcPr>
          <w:p w14:paraId="3793A632" w14:textId="77777777" w:rsidR="00BA0582" w:rsidRDefault="00BA0582" w:rsidP="00BA0582">
            <w:pPr>
              <w:spacing w:line="360" w:lineRule="auto"/>
              <w:jc w:val="center"/>
            </w:pPr>
          </w:p>
        </w:tc>
        <w:tc>
          <w:tcPr>
            <w:tcW w:w="0" w:type="auto"/>
            <w:vMerge/>
            <w:tcBorders>
              <w:left w:val="dashed" w:sz="4" w:space="0" w:color="808080" w:themeColor="background1" w:themeShade="80"/>
              <w:bottom w:val="nil"/>
              <w:right w:val="nil"/>
            </w:tcBorders>
            <w:vAlign w:val="center"/>
          </w:tcPr>
          <w:p w14:paraId="365BAFBF" w14:textId="77777777" w:rsidR="00BA0582" w:rsidRDefault="00BA0582" w:rsidP="00BA0582">
            <w:pPr>
              <w:spacing w:line="360" w:lineRule="auto"/>
              <w:jc w:val="center"/>
            </w:pPr>
          </w:p>
        </w:tc>
      </w:tr>
    </w:tbl>
    <w:p w14:paraId="0CD96673" w14:textId="77777777" w:rsidR="00BA0582" w:rsidRDefault="00BA0582" w:rsidP="00BA0582">
      <w:pPr>
        <w:spacing w:line="360" w:lineRule="auto"/>
        <w:jc w:val="center"/>
      </w:pPr>
    </w:p>
    <w:p w14:paraId="0B3BFC0F" w14:textId="77777777" w:rsidR="00BA0582" w:rsidRPr="00E62A66" w:rsidRDefault="00BA0582" w:rsidP="00BA0582">
      <w:pPr>
        <w:spacing w:line="360" w:lineRule="auto"/>
        <w:jc w:val="center"/>
      </w:pPr>
      <w:r>
        <w:rPr>
          <w:noProof/>
          <w:lang w:bidi="ar-SA"/>
        </w:rPr>
        <w:drawing>
          <wp:inline distT="0" distB="0" distL="0" distR="0" wp14:anchorId="0ACB0076" wp14:editId="59EA9231">
            <wp:extent cx="2560320" cy="1828800"/>
            <wp:effectExtent l="0" t="0" r="11430" b="0"/>
            <wp:docPr id="222" name="Chart 2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35"/>
              </a:graphicData>
            </a:graphic>
          </wp:inline>
        </w:drawing>
      </w:r>
      <w:r>
        <w:tab/>
      </w:r>
      <w:r>
        <w:rPr>
          <w:noProof/>
          <w:lang w:bidi="ar-SA"/>
        </w:rPr>
        <w:drawing>
          <wp:inline distT="0" distB="0" distL="0" distR="0" wp14:anchorId="4E74AE43" wp14:editId="4E60051C">
            <wp:extent cx="2560320" cy="1828800"/>
            <wp:effectExtent l="0" t="0" r="11430" b="0"/>
            <wp:docPr id="223" name="Chart 2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36"/>
              </a:graphicData>
            </a:graphic>
          </wp:inline>
        </w:drawing>
      </w:r>
    </w:p>
    <w:p w14:paraId="17417A5B" w14:textId="77777777" w:rsidR="00BA0582" w:rsidRDefault="00573BBE" w:rsidP="00573BBE">
      <w:pPr>
        <w:pStyle w:val="Caption"/>
      </w:pPr>
      <w:bookmarkStart w:id="450" w:name="_Ref457475867"/>
      <w:bookmarkStart w:id="451" w:name="_Ref457477074"/>
      <w:bookmarkStart w:id="452" w:name="_Toc457670803"/>
      <w:r>
        <w:t xml:space="preserve">Figure </w:t>
      </w:r>
      <w:r w:rsidR="00443010">
        <w:fldChar w:fldCharType="begin"/>
      </w:r>
      <w:r w:rsidR="00443010">
        <w:instrText xml:space="preserve"> STYLEREF 1 \s </w:instrText>
      </w:r>
      <w:r w:rsidR="00443010">
        <w:fldChar w:fldCharType="separate"/>
      </w:r>
      <w:r w:rsidR="000A0E3D">
        <w:rPr>
          <w:noProof/>
        </w:rPr>
        <w:t>IV</w:t>
      </w:r>
      <w:r w:rsidR="00443010">
        <w:rPr>
          <w:noProof/>
        </w:rPr>
        <w:fldChar w:fldCharType="end"/>
      </w:r>
      <w:r>
        <w:t>.</w:t>
      </w:r>
      <w:r w:rsidR="00443010">
        <w:fldChar w:fldCharType="begin"/>
      </w:r>
      <w:r w:rsidR="00443010">
        <w:instrText xml:space="preserve"> SEQ Figure \* ARABIC \s 1 </w:instrText>
      </w:r>
      <w:r w:rsidR="00443010">
        <w:fldChar w:fldCharType="separate"/>
      </w:r>
      <w:r w:rsidR="000A0E3D">
        <w:rPr>
          <w:noProof/>
        </w:rPr>
        <w:t>19</w:t>
      </w:r>
      <w:r w:rsidR="00443010">
        <w:rPr>
          <w:noProof/>
        </w:rPr>
        <w:fldChar w:fldCharType="end"/>
      </w:r>
      <w:bookmarkEnd w:id="450"/>
      <w:r>
        <w:t xml:space="preserve"> Kinetic plot 3</w:t>
      </w:r>
      <w:bookmarkEnd w:id="451"/>
      <w:bookmarkEnd w:id="452"/>
    </w:p>
    <w:p w14:paraId="45FFC3A9" w14:textId="77777777" w:rsidR="00573BBE" w:rsidRPr="00573BBE" w:rsidRDefault="00573BBE" w:rsidP="00573BBE"/>
    <w:p w14:paraId="0001F2A1" w14:textId="77777777" w:rsidR="00BA0582" w:rsidRDefault="00BA0582" w:rsidP="00D01B61">
      <w:pPr>
        <w:ind w:firstLine="360"/>
        <w:jc w:val="both"/>
      </w:pPr>
      <w:r>
        <w:t>The same procedure of sampling every minute with the reaction running at 125</w:t>
      </w:r>
      <w:r w:rsidRPr="00477F5A">
        <w:rPr>
          <w:vertAlign w:val="superscript"/>
        </w:rPr>
        <w:t>o</w:t>
      </w:r>
      <w:r>
        <w:t xml:space="preserve">C was applied to </w:t>
      </w:r>
      <w:r w:rsidRPr="000868C9">
        <w:t xml:space="preserve">various concentrations of benzhydrol with a catalyst </w:t>
      </w:r>
      <w:r w:rsidR="00E672F9">
        <w:t>concentration of 0.01 M</w:t>
      </w:r>
      <w:r w:rsidRPr="000868C9">
        <w:t xml:space="preserve"> and for three </w:t>
      </w:r>
      <w:r>
        <w:t xml:space="preserve">different of </w:t>
      </w:r>
      <w:r w:rsidRPr="000868C9">
        <w:t xml:space="preserve">triphenyl phosphine </w:t>
      </w:r>
      <w:r>
        <w:t>concentrations</w:t>
      </w:r>
      <w:r w:rsidRPr="000868C9">
        <w:t xml:space="preserve"> (</w:t>
      </w:r>
      <w:r w:rsidR="00573BBE">
        <w:fldChar w:fldCharType="begin"/>
      </w:r>
      <w:r w:rsidR="00573BBE">
        <w:instrText xml:space="preserve"> REF _Ref457476001 \h </w:instrText>
      </w:r>
      <w:r w:rsidR="00573BBE">
        <w:fldChar w:fldCharType="separate"/>
      </w:r>
      <w:r w:rsidR="000A0E3D">
        <w:t xml:space="preserve">Figure </w:t>
      </w:r>
      <w:r w:rsidR="000A0E3D">
        <w:rPr>
          <w:noProof/>
        </w:rPr>
        <w:t>IV</w:t>
      </w:r>
      <w:r w:rsidR="000A0E3D">
        <w:t>.</w:t>
      </w:r>
      <w:r w:rsidR="000A0E3D">
        <w:rPr>
          <w:noProof/>
        </w:rPr>
        <w:t>20</w:t>
      </w:r>
      <w:r w:rsidR="00573BBE">
        <w:fldChar w:fldCharType="end"/>
      </w:r>
      <w:r w:rsidRPr="000868C9">
        <w:t>). In these plots there wasn't a systematic trend such as the one found for the catalyst concentration variation. Only in the case of [PPh</w:t>
      </w:r>
      <w:r w:rsidRPr="000868C9">
        <w:rPr>
          <w:vertAlign w:val="subscript"/>
        </w:rPr>
        <w:t>3</w:t>
      </w:r>
      <w:r w:rsidRPr="000868C9">
        <w:t xml:space="preserve">] = 0.2 M the reaction looked to have a dependency </w:t>
      </w:r>
      <w:r>
        <w:t>i</w:t>
      </w:r>
      <w:r w:rsidRPr="000868C9">
        <w:t xml:space="preserve">n the alcohol, but this dependency is not linear </w:t>
      </w:r>
      <w:r>
        <w:t xml:space="preserve">as the rate is highest for the intermediate concentration of alcohol (0.1 M) and the lowest for the highest concentration of alcohol (0.2 M). </w:t>
      </w:r>
    </w:p>
    <w:tbl>
      <w:tblPr>
        <w:tblStyle w:val="TableGrid"/>
        <w:tblpPr w:leftFromText="180" w:rightFromText="180" w:vertAnchor="text" w:horzAnchor="margin" w:tblpXSpec="right" w:tblpY="1534"/>
        <w:tblW w:w="0" w:type="auto"/>
        <w:tblLook w:val="04A0" w:firstRow="1" w:lastRow="0" w:firstColumn="1" w:lastColumn="0" w:noHBand="0" w:noVBand="1"/>
      </w:tblPr>
      <w:tblGrid>
        <w:gridCol w:w="861"/>
        <w:gridCol w:w="1258"/>
        <w:gridCol w:w="1326"/>
        <w:gridCol w:w="737"/>
      </w:tblGrid>
      <w:tr w:rsidR="00FB6114" w:rsidRPr="00D01B61" w14:paraId="273FB03C" w14:textId="77777777" w:rsidTr="00FB6114">
        <w:tc>
          <w:tcPr>
            <w:tcW w:w="861" w:type="dxa"/>
            <w:tcBorders>
              <w:top w:val="nil"/>
              <w:left w:val="nil"/>
              <w:bottom w:val="single" w:sz="12" w:space="0" w:color="auto"/>
              <w:right w:val="single" w:sz="12" w:space="0" w:color="auto"/>
            </w:tcBorders>
            <w:vAlign w:val="center"/>
          </w:tcPr>
          <w:p w14:paraId="4D9028B6" w14:textId="77777777" w:rsidR="00FB6114" w:rsidRPr="00D01B61" w:rsidRDefault="00FB6114" w:rsidP="00FB6114">
            <w:pPr>
              <w:spacing w:line="360" w:lineRule="auto"/>
              <w:rPr>
                <w:sz w:val="20"/>
              </w:rPr>
            </w:pPr>
            <w:r w:rsidRPr="00D01B61">
              <w:rPr>
                <w:sz w:val="20"/>
              </w:rPr>
              <w:t>mmol/L</w:t>
            </w:r>
          </w:p>
        </w:tc>
        <w:tc>
          <w:tcPr>
            <w:tcW w:w="0" w:type="auto"/>
            <w:tcBorders>
              <w:top w:val="nil"/>
              <w:left w:val="single" w:sz="12" w:space="0" w:color="auto"/>
              <w:bottom w:val="single" w:sz="12" w:space="0" w:color="auto"/>
              <w:right w:val="dashed" w:sz="4" w:space="0" w:color="808080" w:themeColor="background1" w:themeShade="80"/>
            </w:tcBorders>
            <w:vAlign w:val="center"/>
          </w:tcPr>
          <w:p w14:paraId="2E76A3D6" w14:textId="77777777" w:rsidR="00FB6114" w:rsidRPr="00D01B61" w:rsidRDefault="00FB6114" w:rsidP="00FB6114">
            <w:pPr>
              <w:spacing w:line="360" w:lineRule="auto"/>
              <w:jc w:val="center"/>
              <w:rPr>
                <w:sz w:val="20"/>
              </w:rPr>
            </w:pPr>
            <w:r w:rsidRPr="00D01B61">
              <w:rPr>
                <w:sz w:val="20"/>
              </w:rPr>
              <w:t>[IReO</w:t>
            </w:r>
            <w:r w:rsidRPr="00D01B61">
              <w:rPr>
                <w:sz w:val="20"/>
                <w:vertAlign w:val="subscript"/>
              </w:rPr>
              <w:t>2</w:t>
            </w:r>
            <w:r w:rsidRPr="00D01B61">
              <w:rPr>
                <w:sz w:val="20"/>
              </w:rPr>
              <w:t>TPP</w:t>
            </w:r>
            <w:r w:rsidRPr="00D01B61">
              <w:rPr>
                <w:sz w:val="20"/>
                <w:vertAlign w:val="subscript"/>
              </w:rPr>
              <w:t>2</w:t>
            </w:r>
            <w:r w:rsidRPr="00D01B61">
              <w:rPr>
                <w:sz w:val="20"/>
              </w:rPr>
              <w:t>]</w:t>
            </w:r>
          </w:p>
        </w:tc>
        <w:tc>
          <w:tcPr>
            <w:tcW w:w="0" w:type="auto"/>
            <w:tcBorders>
              <w:top w:val="nil"/>
              <w:left w:val="dashed" w:sz="4" w:space="0" w:color="808080" w:themeColor="background1" w:themeShade="80"/>
              <w:bottom w:val="single" w:sz="12" w:space="0" w:color="auto"/>
              <w:right w:val="dashed" w:sz="4" w:space="0" w:color="808080" w:themeColor="background1" w:themeShade="80"/>
            </w:tcBorders>
            <w:vAlign w:val="center"/>
          </w:tcPr>
          <w:p w14:paraId="18781ACB" w14:textId="77777777" w:rsidR="00FB6114" w:rsidRPr="00D01B61" w:rsidRDefault="00FB6114" w:rsidP="00FB6114">
            <w:pPr>
              <w:spacing w:line="360" w:lineRule="auto"/>
              <w:jc w:val="center"/>
              <w:rPr>
                <w:sz w:val="20"/>
              </w:rPr>
            </w:pPr>
            <w:r w:rsidRPr="00D01B61">
              <w:rPr>
                <w:sz w:val="20"/>
              </w:rPr>
              <w:t>[Ph</w:t>
            </w:r>
            <w:r w:rsidRPr="00D01B61">
              <w:rPr>
                <w:sz w:val="20"/>
                <w:vertAlign w:val="subscript"/>
              </w:rPr>
              <w:t>2</w:t>
            </w:r>
            <w:r w:rsidRPr="00D01B61">
              <w:rPr>
                <w:sz w:val="20"/>
              </w:rPr>
              <w:t>CH(OH)]</w:t>
            </w:r>
          </w:p>
        </w:tc>
        <w:tc>
          <w:tcPr>
            <w:tcW w:w="0" w:type="auto"/>
            <w:tcBorders>
              <w:top w:val="nil"/>
              <w:left w:val="dashed" w:sz="4" w:space="0" w:color="808080" w:themeColor="background1" w:themeShade="80"/>
              <w:bottom w:val="single" w:sz="12" w:space="0" w:color="auto"/>
              <w:right w:val="nil"/>
            </w:tcBorders>
            <w:vAlign w:val="center"/>
          </w:tcPr>
          <w:p w14:paraId="52A88D40" w14:textId="77777777" w:rsidR="00FB6114" w:rsidRPr="00D01B61" w:rsidRDefault="00FB6114" w:rsidP="00FB6114">
            <w:pPr>
              <w:spacing w:line="360" w:lineRule="auto"/>
              <w:jc w:val="center"/>
              <w:rPr>
                <w:sz w:val="20"/>
              </w:rPr>
            </w:pPr>
            <w:r w:rsidRPr="00D01B61">
              <w:rPr>
                <w:sz w:val="20"/>
              </w:rPr>
              <w:t>[PPh</w:t>
            </w:r>
            <w:r w:rsidRPr="00D01B61">
              <w:rPr>
                <w:sz w:val="20"/>
                <w:vertAlign w:val="subscript"/>
              </w:rPr>
              <w:t>3</w:t>
            </w:r>
            <w:r w:rsidRPr="00D01B61">
              <w:rPr>
                <w:sz w:val="20"/>
              </w:rPr>
              <w:t>]</w:t>
            </w:r>
          </w:p>
        </w:tc>
      </w:tr>
      <w:tr w:rsidR="00FB6114" w:rsidRPr="00D01B61" w14:paraId="1798BEA1" w14:textId="77777777" w:rsidTr="00FB6114">
        <w:tc>
          <w:tcPr>
            <w:tcW w:w="861" w:type="dxa"/>
            <w:tcBorders>
              <w:top w:val="single" w:sz="12" w:space="0" w:color="auto"/>
              <w:left w:val="nil"/>
              <w:bottom w:val="dashed" w:sz="4" w:space="0" w:color="808080" w:themeColor="background1" w:themeShade="80"/>
              <w:right w:val="single" w:sz="12" w:space="0" w:color="auto"/>
            </w:tcBorders>
            <w:vAlign w:val="center"/>
          </w:tcPr>
          <w:p w14:paraId="5158BB6C" w14:textId="77777777" w:rsidR="00FB6114" w:rsidRPr="00D01B61" w:rsidRDefault="00FB6114" w:rsidP="00FB6114">
            <w:pPr>
              <w:spacing w:line="360" w:lineRule="auto"/>
              <w:rPr>
                <w:sz w:val="20"/>
              </w:rPr>
            </w:pPr>
            <w:r w:rsidRPr="00D01B61">
              <w:rPr>
                <w:sz w:val="20"/>
              </w:rPr>
              <w:sym w:font="Wingdings" w:char="F06E"/>
            </w:r>
            <w:r w:rsidRPr="00D01B61">
              <w:rPr>
                <w:sz w:val="20"/>
              </w:rPr>
              <w:t xml:space="preserve">  j</w:t>
            </w:r>
          </w:p>
        </w:tc>
        <w:tc>
          <w:tcPr>
            <w:tcW w:w="0" w:type="auto"/>
            <w:vMerge w:val="restart"/>
            <w:tcBorders>
              <w:top w:val="single" w:sz="12" w:space="0" w:color="auto"/>
              <w:left w:val="single" w:sz="12" w:space="0" w:color="auto"/>
              <w:bottom w:val="nil"/>
              <w:right w:val="dashed" w:sz="4" w:space="0" w:color="808080" w:themeColor="background1" w:themeShade="80"/>
            </w:tcBorders>
            <w:vAlign w:val="center"/>
          </w:tcPr>
          <w:p w14:paraId="541AFEF7" w14:textId="77777777" w:rsidR="00FB6114" w:rsidRPr="00D01B61" w:rsidRDefault="00FB6114" w:rsidP="00FB6114">
            <w:pPr>
              <w:spacing w:line="360" w:lineRule="auto"/>
              <w:jc w:val="center"/>
              <w:rPr>
                <w:sz w:val="20"/>
              </w:rPr>
            </w:pPr>
            <w:r w:rsidRPr="00D01B61">
              <w:rPr>
                <w:sz w:val="20"/>
              </w:rPr>
              <w:t>10</w:t>
            </w:r>
          </w:p>
        </w:tc>
        <w:tc>
          <w:tcPr>
            <w:tcW w:w="0" w:type="auto"/>
            <w:tcBorders>
              <w:top w:val="single" w:sz="12" w:space="0" w:color="auto"/>
              <w:left w:val="dashed" w:sz="4" w:space="0" w:color="808080" w:themeColor="background1" w:themeShade="80"/>
              <w:bottom w:val="dashed" w:sz="4" w:space="0" w:color="808080" w:themeColor="background1" w:themeShade="80"/>
              <w:right w:val="dashed" w:sz="4" w:space="0" w:color="808080" w:themeColor="background1" w:themeShade="80"/>
            </w:tcBorders>
            <w:vAlign w:val="center"/>
          </w:tcPr>
          <w:p w14:paraId="2AB436AE" w14:textId="77777777" w:rsidR="00FB6114" w:rsidRPr="00D01B61" w:rsidRDefault="00FB6114" w:rsidP="00FB6114">
            <w:pPr>
              <w:spacing w:line="360" w:lineRule="auto"/>
              <w:jc w:val="center"/>
              <w:rPr>
                <w:sz w:val="20"/>
              </w:rPr>
            </w:pPr>
            <w:r w:rsidRPr="00D01B61">
              <w:rPr>
                <w:sz w:val="20"/>
              </w:rPr>
              <w:t>50</w:t>
            </w:r>
          </w:p>
        </w:tc>
        <w:tc>
          <w:tcPr>
            <w:tcW w:w="0" w:type="auto"/>
            <w:vMerge w:val="restart"/>
            <w:tcBorders>
              <w:top w:val="single" w:sz="12" w:space="0" w:color="auto"/>
              <w:left w:val="dashed" w:sz="4" w:space="0" w:color="808080" w:themeColor="background1" w:themeShade="80"/>
              <w:bottom w:val="dashed" w:sz="4" w:space="0" w:color="808080" w:themeColor="background1" w:themeShade="80"/>
              <w:right w:val="nil"/>
            </w:tcBorders>
            <w:vAlign w:val="center"/>
          </w:tcPr>
          <w:p w14:paraId="5EA268BB" w14:textId="77777777" w:rsidR="00FB6114" w:rsidRPr="00D01B61" w:rsidRDefault="00FB6114" w:rsidP="00FB6114">
            <w:pPr>
              <w:spacing w:line="360" w:lineRule="auto"/>
              <w:jc w:val="center"/>
              <w:rPr>
                <w:sz w:val="20"/>
              </w:rPr>
            </w:pPr>
            <w:r w:rsidRPr="00D01B61">
              <w:rPr>
                <w:sz w:val="20"/>
              </w:rPr>
              <w:t>50</w:t>
            </w:r>
          </w:p>
        </w:tc>
      </w:tr>
      <w:tr w:rsidR="00FB6114" w:rsidRPr="00D01B61" w14:paraId="615145A5" w14:textId="77777777" w:rsidTr="00FB6114">
        <w:tc>
          <w:tcPr>
            <w:tcW w:w="861" w:type="dxa"/>
            <w:tcBorders>
              <w:top w:val="dashed" w:sz="4" w:space="0" w:color="808080" w:themeColor="background1" w:themeShade="80"/>
              <w:left w:val="nil"/>
              <w:bottom w:val="dashed" w:sz="4" w:space="0" w:color="808080" w:themeColor="background1" w:themeShade="80"/>
              <w:right w:val="single" w:sz="12" w:space="0" w:color="auto"/>
            </w:tcBorders>
            <w:vAlign w:val="center"/>
          </w:tcPr>
          <w:p w14:paraId="59D5E128" w14:textId="77777777" w:rsidR="00FB6114" w:rsidRPr="00D01B61" w:rsidRDefault="00FB6114" w:rsidP="00FB6114">
            <w:pPr>
              <w:spacing w:line="360" w:lineRule="auto"/>
              <w:rPr>
                <w:sz w:val="20"/>
              </w:rPr>
            </w:pPr>
            <w:r w:rsidRPr="00D01B61">
              <w:rPr>
                <w:sz w:val="20"/>
              </w:rPr>
              <w:sym w:font="Wingdings" w:char="F06C"/>
            </w:r>
            <w:r w:rsidRPr="00D01B61">
              <w:rPr>
                <w:sz w:val="20"/>
              </w:rPr>
              <w:t xml:space="preserve">  f</w:t>
            </w:r>
          </w:p>
        </w:tc>
        <w:tc>
          <w:tcPr>
            <w:tcW w:w="0" w:type="auto"/>
            <w:vMerge/>
            <w:tcBorders>
              <w:top w:val="dashed" w:sz="4" w:space="0" w:color="808080" w:themeColor="background1" w:themeShade="80"/>
              <w:left w:val="single" w:sz="12" w:space="0" w:color="auto"/>
              <w:bottom w:val="nil"/>
              <w:right w:val="dashed" w:sz="4" w:space="0" w:color="808080" w:themeColor="background1" w:themeShade="80"/>
            </w:tcBorders>
            <w:vAlign w:val="center"/>
          </w:tcPr>
          <w:p w14:paraId="7D2B9DFC" w14:textId="77777777" w:rsidR="00FB6114" w:rsidRPr="00D01B61" w:rsidRDefault="00FB6114" w:rsidP="00FB6114">
            <w:pPr>
              <w:spacing w:line="360" w:lineRule="auto"/>
              <w:jc w:val="center"/>
              <w:rPr>
                <w:sz w:val="20"/>
              </w:rPr>
            </w:pPr>
          </w:p>
        </w:tc>
        <w:tc>
          <w:tcPr>
            <w:tcW w:w="0" w:type="auto"/>
            <w:tcBorders>
              <w:top w:val="dashed" w:sz="4" w:space="0" w:color="808080" w:themeColor="background1" w:themeShade="80"/>
              <w:left w:val="dashed" w:sz="4" w:space="0" w:color="808080" w:themeColor="background1" w:themeShade="80"/>
              <w:bottom w:val="dashed" w:sz="4" w:space="0" w:color="808080" w:themeColor="background1" w:themeShade="80"/>
              <w:right w:val="dashed" w:sz="4" w:space="0" w:color="808080" w:themeColor="background1" w:themeShade="80"/>
            </w:tcBorders>
            <w:vAlign w:val="center"/>
          </w:tcPr>
          <w:p w14:paraId="0D58C051" w14:textId="77777777" w:rsidR="00FB6114" w:rsidRPr="00D01B61" w:rsidRDefault="00FB6114" w:rsidP="00FB6114">
            <w:pPr>
              <w:spacing w:line="360" w:lineRule="auto"/>
              <w:jc w:val="center"/>
              <w:rPr>
                <w:sz w:val="20"/>
              </w:rPr>
            </w:pPr>
            <w:r w:rsidRPr="00D01B61">
              <w:rPr>
                <w:sz w:val="20"/>
              </w:rPr>
              <w:t>100</w:t>
            </w:r>
          </w:p>
        </w:tc>
        <w:tc>
          <w:tcPr>
            <w:tcW w:w="0" w:type="auto"/>
            <w:vMerge/>
            <w:tcBorders>
              <w:top w:val="dashed" w:sz="4" w:space="0" w:color="808080" w:themeColor="background1" w:themeShade="80"/>
              <w:left w:val="dashed" w:sz="4" w:space="0" w:color="808080" w:themeColor="background1" w:themeShade="80"/>
              <w:right w:val="nil"/>
            </w:tcBorders>
            <w:vAlign w:val="center"/>
          </w:tcPr>
          <w:p w14:paraId="20D688F8" w14:textId="77777777" w:rsidR="00FB6114" w:rsidRPr="00D01B61" w:rsidRDefault="00FB6114" w:rsidP="00FB6114">
            <w:pPr>
              <w:spacing w:line="360" w:lineRule="auto"/>
              <w:jc w:val="center"/>
              <w:rPr>
                <w:sz w:val="20"/>
              </w:rPr>
            </w:pPr>
          </w:p>
        </w:tc>
      </w:tr>
      <w:tr w:rsidR="00FB6114" w:rsidRPr="00D01B61" w14:paraId="4855B805" w14:textId="77777777" w:rsidTr="00FB6114">
        <w:tc>
          <w:tcPr>
            <w:tcW w:w="861" w:type="dxa"/>
            <w:tcBorders>
              <w:top w:val="dashed" w:sz="4" w:space="0" w:color="808080" w:themeColor="background1" w:themeShade="80"/>
              <w:left w:val="nil"/>
              <w:bottom w:val="nil"/>
              <w:right w:val="single" w:sz="12" w:space="0" w:color="auto"/>
            </w:tcBorders>
            <w:vAlign w:val="center"/>
          </w:tcPr>
          <w:p w14:paraId="05E9A396" w14:textId="77777777" w:rsidR="00FB6114" w:rsidRPr="00D01B61" w:rsidRDefault="00FB6114" w:rsidP="00FB6114">
            <w:pPr>
              <w:spacing w:line="360" w:lineRule="auto"/>
              <w:rPr>
                <w:sz w:val="20"/>
              </w:rPr>
            </w:pPr>
            <w:r w:rsidRPr="00D01B61">
              <w:rPr>
                <w:sz w:val="20"/>
              </w:rPr>
              <w:t>Δ  l’</w:t>
            </w:r>
          </w:p>
        </w:tc>
        <w:tc>
          <w:tcPr>
            <w:tcW w:w="0" w:type="auto"/>
            <w:vMerge/>
            <w:tcBorders>
              <w:left w:val="single" w:sz="12" w:space="0" w:color="auto"/>
              <w:bottom w:val="nil"/>
              <w:right w:val="dashed" w:sz="4" w:space="0" w:color="808080" w:themeColor="background1" w:themeShade="80"/>
            </w:tcBorders>
            <w:vAlign w:val="center"/>
          </w:tcPr>
          <w:p w14:paraId="6F356065" w14:textId="77777777" w:rsidR="00FB6114" w:rsidRPr="00D01B61" w:rsidRDefault="00FB6114" w:rsidP="00FB6114">
            <w:pPr>
              <w:spacing w:line="360" w:lineRule="auto"/>
              <w:jc w:val="center"/>
              <w:rPr>
                <w:sz w:val="20"/>
              </w:rPr>
            </w:pPr>
          </w:p>
        </w:tc>
        <w:tc>
          <w:tcPr>
            <w:tcW w:w="0" w:type="auto"/>
            <w:tcBorders>
              <w:top w:val="dashed" w:sz="4" w:space="0" w:color="808080" w:themeColor="background1" w:themeShade="80"/>
              <w:left w:val="dashed" w:sz="4" w:space="0" w:color="808080" w:themeColor="background1" w:themeShade="80"/>
              <w:bottom w:val="nil"/>
              <w:right w:val="dashed" w:sz="4" w:space="0" w:color="808080" w:themeColor="background1" w:themeShade="80"/>
            </w:tcBorders>
            <w:vAlign w:val="center"/>
          </w:tcPr>
          <w:p w14:paraId="6DBFF7A7" w14:textId="77777777" w:rsidR="00FB6114" w:rsidRPr="00D01B61" w:rsidRDefault="00FB6114" w:rsidP="00FB6114">
            <w:pPr>
              <w:spacing w:line="360" w:lineRule="auto"/>
              <w:jc w:val="center"/>
              <w:rPr>
                <w:sz w:val="20"/>
              </w:rPr>
            </w:pPr>
            <w:r w:rsidRPr="00D01B61">
              <w:rPr>
                <w:sz w:val="20"/>
              </w:rPr>
              <w:t>200</w:t>
            </w:r>
          </w:p>
        </w:tc>
        <w:tc>
          <w:tcPr>
            <w:tcW w:w="0" w:type="auto"/>
            <w:vMerge/>
            <w:tcBorders>
              <w:left w:val="dashed" w:sz="4" w:space="0" w:color="808080" w:themeColor="background1" w:themeShade="80"/>
              <w:bottom w:val="nil"/>
              <w:right w:val="nil"/>
            </w:tcBorders>
            <w:vAlign w:val="center"/>
          </w:tcPr>
          <w:p w14:paraId="788CB055" w14:textId="77777777" w:rsidR="00FB6114" w:rsidRPr="00D01B61" w:rsidRDefault="00FB6114" w:rsidP="00FB6114">
            <w:pPr>
              <w:spacing w:line="360" w:lineRule="auto"/>
              <w:jc w:val="center"/>
              <w:rPr>
                <w:sz w:val="20"/>
              </w:rPr>
            </w:pPr>
          </w:p>
        </w:tc>
      </w:tr>
    </w:tbl>
    <w:p w14:paraId="3B700C1B" w14:textId="1B817D7F" w:rsidR="00BA0582" w:rsidRDefault="00E1460F" w:rsidP="00FB6114">
      <w:pPr>
        <w:jc w:val="both"/>
      </w:pPr>
      <w:r>
        <w:rPr>
          <w:noProof/>
          <w:lang w:bidi="ar-SA"/>
        </w:rPr>
        <w:drawing>
          <wp:inline distT="0" distB="0" distL="0" distR="0" wp14:anchorId="7D6DAAE2" wp14:editId="2B7A7A63">
            <wp:extent cx="2560320" cy="1715135"/>
            <wp:effectExtent l="0" t="0" r="11430" b="18415"/>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7"/>
              </a:graphicData>
            </a:graphic>
          </wp:inline>
        </w:drawing>
      </w:r>
    </w:p>
    <w:p w14:paraId="3A49E696" w14:textId="77777777" w:rsidR="00FB6114" w:rsidRDefault="00FB6114" w:rsidP="00FB6114">
      <w:pPr>
        <w:jc w:val="both"/>
      </w:pPr>
    </w:p>
    <w:tbl>
      <w:tblPr>
        <w:tblStyle w:val="TableGrid"/>
        <w:tblpPr w:leftFromText="180" w:rightFromText="180" w:vertAnchor="text" w:horzAnchor="margin" w:tblpXSpec="right" w:tblpY="581"/>
        <w:tblW w:w="0" w:type="auto"/>
        <w:tblLook w:val="04A0" w:firstRow="1" w:lastRow="0" w:firstColumn="1" w:lastColumn="0" w:noHBand="0" w:noVBand="1"/>
      </w:tblPr>
      <w:tblGrid>
        <w:gridCol w:w="861"/>
        <w:gridCol w:w="1258"/>
        <w:gridCol w:w="1326"/>
        <w:gridCol w:w="737"/>
      </w:tblGrid>
      <w:tr w:rsidR="00BA0582" w:rsidRPr="00FE04D9" w14:paraId="16E0B537" w14:textId="77777777" w:rsidTr="00BA0582">
        <w:tc>
          <w:tcPr>
            <w:tcW w:w="0" w:type="auto"/>
            <w:tcBorders>
              <w:top w:val="nil"/>
              <w:left w:val="nil"/>
              <w:bottom w:val="single" w:sz="12" w:space="0" w:color="auto"/>
              <w:right w:val="single" w:sz="12" w:space="0" w:color="auto"/>
            </w:tcBorders>
            <w:vAlign w:val="center"/>
          </w:tcPr>
          <w:p w14:paraId="548D4039" w14:textId="77777777" w:rsidR="00BA0582" w:rsidRPr="00FE04D9" w:rsidRDefault="00BA0582" w:rsidP="00BA0582">
            <w:pPr>
              <w:spacing w:line="360" w:lineRule="auto"/>
              <w:jc w:val="center"/>
              <w:rPr>
                <w:sz w:val="20"/>
              </w:rPr>
            </w:pPr>
            <w:r w:rsidRPr="00FE04D9">
              <w:rPr>
                <w:sz w:val="20"/>
              </w:rPr>
              <w:t>mmol/L</w:t>
            </w:r>
          </w:p>
        </w:tc>
        <w:tc>
          <w:tcPr>
            <w:tcW w:w="0" w:type="auto"/>
            <w:tcBorders>
              <w:top w:val="nil"/>
              <w:left w:val="single" w:sz="12" w:space="0" w:color="auto"/>
              <w:bottom w:val="single" w:sz="12" w:space="0" w:color="auto"/>
              <w:right w:val="dashed" w:sz="4" w:space="0" w:color="808080" w:themeColor="background1" w:themeShade="80"/>
            </w:tcBorders>
            <w:vAlign w:val="center"/>
          </w:tcPr>
          <w:p w14:paraId="49E5B16F" w14:textId="77777777" w:rsidR="00BA0582" w:rsidRPr="00FE04D9" w:rsidRDefault="00BA0582" w:rsidP="00BA0582">
            <w:pPr>
              <w:spacing w:line="360" w:lineRule="auto"/>
              <w:jc w:val="center"/>
              <w:rPr>
                <w:sz w:val="20"/>
              </w:rPr>
            </w:pPr>
            <w:r w:rsidRPr="00FE04D9">
              <w:rPr>
                <w:sz w:val="20"/>
              </w:rPr>
              <w:t>[IReO</w:t>
            </w:r>
            <w:r w:rsidRPr="00FE04D9">
              <w:rPr>
                <w:sz w:val="20"/>
                <w:vertAlign w:val="subscript"/>
              </w:rPr>
              <w:t>2</w:t>
            </w:r>
            <w:r w:rsidRPr="00FE04D9">
              <w:rPr>
                <w:sz w:val="20"/>
              </w:rPr>
              <w:t>TPP</w:t>
            </w:r>
            <w:r w:rsidRPr="00FE04D9">
              <w:rPr>
                <w:sz w:val="20"/>
                <w:vertAlign w:val="subscript"/>
              </w:rPr>
              <w:t>2</w:t>
            </w:r>
            <w:r w:rsidRPr="00FE04D9">
              <w:rPr>
                <w:sz w:val="20"/>
              </w:rPr>
              <w:t>]</w:t>
            </w:r>
          </w:p>
        </w:tc>
        <w:tc>
          <w:tcPr>
            <w:tcW w:w="0" w:type="auto"/>
            <w:tcBorders>
              <w:top w:val="nil"/>
              <w:left w:val="dashed" w:sz="4" w:space="0" w:color="808080" w:themeColor="background1" w:themeShade="80"/>
              <w:bottom w:val="single" w:sz="12" w:space="0" w:color="auto"/>
              <w:right w:val="dashed" w:sz="4" w:space="0" w:color="808080" w:themeColor="background1" w:themeShade="80"/>
            </w:tcBorders>
            <w:vAlign w:val="center"/>
          </w:tcPr>
          <w:p w14:paraId="0BD4CA4A" w14:textId="77777777" w:rsidR="00BA0582" w:rsidRPr="00FE04D9" w:rsidRDefault="00BA0582" w:rsidP="00BA0582">
            <w:pPr>
              <w:spacing w:line="360" w:lineRule="auto"/>
              <w:jc w:val="center"/>
              <w:rPr>
                <w:sz w:val="20"/>
              </w:rPr>
            </w:pPr>
            <w:r w:rsidRPr="00FE04D9">
              <w:rPr>
                <w:sz w:val="20"/>
              </w:rPr>
              <w:t>[Ph</w:t>
            </w:r>
            <w:r w:rsidRPr="00FE04D9">
              <w:rPr>
                <w:sz w:val="20"/>
                <w:vertAlign w:val="subscript"/>
              </w:rPr>
              <w:t>2</w:t>
            </w:r>
            <w:r w:rsidRPr="00FE04D9">
              <w:rPr>
                <w:sz w:val="20"/>
              </w:rPr>
              <w:t>CH(OH)]</w:t>
            </w:r>
          </w:p>
        </w:tc>
        <w:tc>
          <w:tcPr>
            <w:tcW w:w="0" w:type="auto"/>
            <w:tcBorders>
              <w:top w:val="nil"/>
              <w:left w:val="dashed" w:sz="4" w:space="0" w:color="808080" w:themeColor="background1" w:themeShade="80"/>
              <w:bottom w:val="single" w:sz="12" w:space="0" w:color="auto"/>
              <w:right w:val="nil"/>
            </w:tcBorders>
            <w:vAlign w:val="center"/>
          </w:tcPr>
          <w:p w14:paraId="7D613FFD" w14:textId="77777777" w:rsidR="00BA0582" w:rsidRPr="00FE04D9" w:rsidRDefault="00BA0582" w:rsidP="00BA0582">
            <w:pPr>
              <w:spacing w:line="360" w:lineRule="auto"/>
              <w:jc w:val="center"/>
              <w:rPr>
                <w:sz w:val="20"/>
              </w:rPr>
            </w:pPr>
            <w:r w:rsidRPr="00FE04D9">
              <w:rPr>
                <w:sz w:val="20"/>
              </w:rPr>
              <w:t>[PPh</w:t>
            </w:r>
            <w:r w:rsidRPr="00FE04D9">
              <w:rPr>
                <w:sz w:val="20"/>
                <w:vertAlign w:val="subscript"/>
              </w:rPr>
              <w:t>3</w:t>
            </w:r>
            <w:r w:rsidRPr="00FE04D9">
              <w:rPr>
                <w:sz w:val="20"/>
              </w:rPr>
              <w:t>]</w:t>
            </w:r>
          </w:p>
        </w:tc>
      </w:tr>
      <w:tr w:rsidR="00BA0582" w:rsidRPr="00FE04D9" w14:paraId="3166A592" w14:textId="77777777" w:rsidTr="00BA0582">
        <w:tc>
          <w:tcPr>
            <w:tcW w:w="0" w:type="auto"/>
            <w:tcBorders>
              <w:top w:val="single" w:sz="12" w:space="0" w:color="auto"/>
              <w:left w:val="nil"/>
              <w:bottom w:val="dashed" w:sz="4" w:space="0" w:color="808080" w:themeColor="background1" w:themeShade="80"/>
              <w:right w:val="single" w:sz="12" w:space="0" w:color="auto"/>
            </w:tcBorders>
            <w:vAlign w:val="center"/>
          </w:tcPr>
          <w:p w14:paraId="4594AC76" w14:textId="77777777" w:rsidR="00BA0582" w:rsidRPr="00FE04D9" w:rsidRDefault="00BA0582" w:rsidP="00BA0582">
            <w:pPr>
              <w:spacing w:line="360" w:lineRule="auto"/>
              <w:rPr>
                <w:sz w:val="20"/>
              </w:rPr>
            </w:pPr>
            <w:r w:rsidRPr="00FE04D9">
              <w:rPr>
                <w:sz w:val="20"/>
              </w:rPr>
              <w:t>Δ  e</w:t>
            </w:r>
          </w:p>
        </w:tc>
        <w:tc>
          <w:tcPr>
            <w:tcW w:w="0" w:type="auto"/>
            <w:vMerge w:val="restart"/>
            <w:tcBorders>
              <w:top w:val="single" w:sz="12" w:space="0" w:color="auto"/>
              <w:left w:val="single" w:sz="12" w:space="0" w:color="auto"/>
              <w:bottom w:val="dashed" w:sz="4" w:space="0" w:color="808080" w:themeColor="background1" w:themeShade="80"/>
              <w:right w:val="dashed" w:sz="4" w:space="0" w:color="808080" w:themeColor="background1" w:themeShade="80"/>
            </w:tcBorders>
            <w:vAlign w:val="center"/>
          </w:tcPr>
          <w:p w14:paraId="73A90E85" w14:textId="77777777" w:rsidR="00BA0582" w:rsidRPr="00FE04D9" w:rsidRDefault="00BA0582" w:rsidP="00BA0582">
            <w:pPr>
              <w:spacing w:line="360" w:lineRule="auto"/>
              <w:jc w:val="center"/>
              <w:rPr>
                <w:sz w:val="20"/>
              </w:rPr>
            </w:pPr>
            <w:r w:rsidRPr="00FE04D9">
              <w:rPr>
                <w:sz w:val="20"/>
              </w:rPr>
              <w:t>10</w:t>
            </w:r>
          </w:p>
        </w:tc>
        <w:tc>
          <w:tcPr>
            <w:tcW w:w="0" w:type="auto"/>
            <w:tcBorders>
              <w:top w:val="single" w:sz="12" w:space="0" w:color="auto"/>
              <w:left w:val="dashed" w:sz="4" w:space="0" w:color="808080" w:themeColor="background1" w:themeShade="80"/>
              <w:bottom w:val="dashed" w:sz="4" w:space="0" w:color="808080" w:themeColor="background1" w:themeShade="80"/>
              <w:right w:val="dashed" w:sz="4" w:space="0" w:color="808080" w:themeColor="background1" w:themeShade="80"/>
            </w:tcBorders>
            <w:vAlign w:val="center"/>
          </w:tcPr>
          <w:p w14:paraId="379EF47C" w14:textId="77777777" w:rsidR="00BA0582" w:rsidRPr="00FE04D9" w:rsidRDefault="00BA0582" w:rsidP="00BA0582">
            <w:pPr>
              <w:spacing w:line="360" w:lineRule="auto"/>
              <w:jc w:val="center"/>
              <w:rPr>
                <w:sz w:val="20"/>
              </w:rPr>
            </w:pPr>
            <w:r w:rsidRPr="00FE04D9">
              <w:rPr>
                <w:sz w:val="20"/>
              </w:rPr>
              <w:t>50</w:t>
            </w:r>
          </w:p>
        </w:tc>
        <w:tc>
          <w:tcPr>
            <w:tcW w:w="0" w:type="auto"/>
            <w:vMerge w:val="restart"/>
            <w:tcBorders>
              <w:top w:val="single" w:sz="12" w:space="0" w:color="auto"/>
              <w:left w:val="dashed" w:sz="4" w:space="0" w:color="808080" w:themeColor="background1" w:themeShade="80"/>
              <w:bottom w:val="dashed" w:sz="4" w:space="0" w:color="808080" w:themeColor="background1" w:themeShade="80"/>
              <w:right w:val="nil"/>
            </w:tcBorders>
            <w:vAlign w:val="center"/>
          </w:tcPr>
          <w:p w14:paraId="68160FBD" w14:textId="77777777" w:rsidR="00BA0582" w:rsidRPr="00FE04D9" w:rsidRDefault="00BA0582" w:rsidP="00BA0582">
            <w:pPr>
              <w:spacing w:line="360" w:lineRule="auto"/>
              <w:jc w:val="center"/>
              <w:rPr>
                <w:sz w:val="20"/>
              </w:rPr>
            </w:pPr>
            <w:r w:rsidRPr="00FE04D9">
              <w:rPr>
                <w:sz w:val="20"/>
              </w:rPr>
              <w:t>100</w:t>
            </w:r>
          </w:p>
        </w:tc>
      </w:tr>
      <w:tr w:rsidR="00BA0582" w:rsidRPr="00FE04D9" w14:paraId="47DAC9ED" w14:textId="77777777" w:rsidTr="00BA0582">
        <w:tc>
          <w:tcPr>
            <w:tcW w:w="0" w:type="auto"/>
            <w:tcBorders>
              <w:top w:val="dashed" w:sz="4" w:space="0" w:color="808080" w:themeColor="background1" w:themeShade="80"/>
              <w:left w:val="nil"/>
              <w:bottom w:val="dashed" w:sz="4" w:space="0" w:color="808080" w:themeColor="background1" w:themeShade="80"/>
              <w:right w:val="single" w:sz="12" w:space="0" w:color="auto"/>
            </w:tcBorders>
            <w:vAlign w:val="center"/>
          </w:tcPr>
          <w:p w14:paraId="49EA98B2" w14:textId="77777777" w:rsidR="00BA0582" w:rsidRPr="00FE04D9" w:rsidRDefault="00BA0582" w:rsidP="00BA0582">
            <w:pPr>
              <w:spacing w:line="360" w:lineRule="auto"/>
              <w:rPr>
                <w:sz w:val="20"/>
              </w:rPr>
            </w:pPr>
            <w:r w:rsidRPr="00FE04D9">
              <w:rPr>
                <w:sz w:val="20"/>
              </w:rPr>
              <w:sym w:font="Wingdings" w:char="F06E"/>
            </w:r>
            <w:r w:rsidRPr="00FE04D9">
              <w:rPr>
                <w:sz w:val="20"/>
              </w:rPr>
              <w:t xml:space="preserve">  a’’’</w:t>
            </w:r>
          </w:p>
        </w:tc>
        <w:tc>
          <w:tcPr>
            <w:tcW w:w="0" w:type="auto"/>
            <w:vMerge/>
            <w:tcBorders>
              <w:top w:val="dashed" w:sz="4" w:space="0" w:color="808080" w:themeColor="background1" w:themeShade="80"/>
              <w:left w:val="single" w:sz="12" w:space="0" w:color="auto"/>
              <w:right w:val="dashed" w:sz="4" w:space="0" w:color="808080" w:themeColor="background1" w:themeShade="80"/>
            </w:tcBorders>
            <w:vAlign w:val="center"/>
          </w:tcPr>
          <w:p w14:paraId="47F0C984" w14:textId="77777777" w:rsidR="00BA0582" w:rsidRPr="00FE04D9" w:rsidRDefault="00BA0582" w:rsidP="00BA0582">
            <w:pPr>
              <w:spacing w:line="360" w:lineRule="auto"/>
              <w:jc w:val="center"/>
              <w:rPr>
                <w:sz w:val="20"/>
              </w:rPr>
            </w:pPr>
          </w:p>
        </w:tc>
        <w:tc>
          <w:tcPr>
            <w:tcW w:w="0" w:type="auto"/>
            <w:tcBorders>
              <w:top w:val="dashed" w:sz="4" w:space="0" w:color="808080" w:themeColor="background1" w:themeShade="80"/>
              <w:left w:val="dashed" w:sz="4" w:space="0" w:color="808080" w:themeColor="background1" w:themeShade="80"/>
              <w:bottom w:val="dashed" w:sz="4" w:space="0" w:color="808080" w:themeColor="background1" w:themeShade="80"/>
              <w:right w:val="dashed" w:sz="4" w:space="0" w:color="808080" w:themeColor="background1" w:themeShade="80"/>
            </w:tcBorders>
            <w:vAlign w:val="center"/>
          </w:tcPr>
          <w:p w14:paraId="7B6FB985" w14:textId="77777777" w:rsidR="00BA0582" w:rsidRPr="00FE04D9" w:rsidRDefault="00BA0582" w:rsidP="00BA0582">
            <w:pPr>
              <w:spacing w:line="360" w:lineRule="auto"/>
              <w:jc w:val="center"/>
              <w:rPr>
                <w:sz w:val="20"/>
              </w:rPr>
            </w:pPr>
            <w:r w:rsidRPr="00FE04D9">
              <w:rPr>
                <w:sz w:val="20"/>
              </w:rPr>
              <w:t>100</w:t>
            </w:r>
          </w:p>
        </w:tc>
        <w:tc>
          <w:tcPr>
            <w:tcW w:w="0" w:type="auto"/>
            <w:vMerge/>
            <w:tcBorders>
              <w:top w:val="dashed" w:sz="4" w:space="0" w:color="808080" w:themeColor="background1" w:themeShade="80"/>
              <w:left w:val="dashed" w:sz="4" w:space="0" w:color="808080" w:themeColor="background1" w:themeShade="80"/>
              <w:right w:val="nil"/>
            </w:tcBorders>
            <w:vAlign w:val="center"/>
          </w:tcPr>
          <w:p w14:paraId="082D2B17" w14:textId="77777777" w:rsidR="00BA0582" w:rsidRPr="00FE04D9" w:rsidRDefault="00BA0582" w:rsidP="00BA0582">
            <w:pPr>
              <w:spacing w:line="360" w:lineRule="auto"/>
              <w:jc w:val="center"/>
              <w:rPr>
                <w:sz w:val="20"/>
              </w:rPr>
            </w:pPr>
          </w:p>
        </w:tc>
      </w:tr>
      <w:tr w:rsidR="00BA0582" w:rsidRPr="00FE04D9" w14:paraId="24605FD6" w14:textId="77777777" w:rsidTr="00BA0582">
        <w:tc>
          <w:tcPr>
            <w:tcW w:w="0" w:type="auto"/>
            <w:tcBorders>
              <w:top w:val="dashed" w:sz="4" w:space="0" w:color="808080" w:themeColor="background1" w:themeShade="80"/>
              <w:left w:val="nil"/>
              <w:bottom w:val="nil"/>
              <w:right w:val="single" w:sz="12" w:space="0" w:color="auto"/>
            </w:tcBorders>
            <w:vAlign w:val="center"/>
          </w:tcPr>
          <w:p w14:paraId="2F816842" w14:textId="77777777" w:rsidR="00BA0582" w:rsidRPr="00FE04D9" w:rsidRDefault="00BA0582" w:rsidP="00BA0582">
            <w:pPr>
              <w:spacing w:line="360" w:lineRule="auto"/>
              <w:rPr>
                <w:sz w:val="20"/>
              </w:rPr>
            </w:pPr>
            <w:r w:rsidRPr="00FE04D9">
              <w:rPr>
                <w:sz w:val="20"/>
              </w:rPr>
              <w:sym w:font="Wingdings" w:char="F077"/>
            </w:r>
            <w:r w:rsidRPr="00FE04D9">
              <w:rPr>
                <w:sz w:val="20"/>
              </w:rPr>
              <w:t xml:space="preserve">  d’’</w:t>
            </w:r>
          </w:p>
        </w:tc>
        <w:tc>
          <w:tcPr>
            <w:tcW w:w="0" w:type="auto"/>
            <w:vMerge/>
            <w:tcBorders>
              <w:left w:val="single" w:sz="12" w:space="0" w:color="auto"/>
              <w:right w:val="dashed" w:sz="4" w:space="0" w:color="808080" w:themeColor="background1" w:themeShade="80"/>
            </w:tcBorders>
            <w:vAlign w:val="center"/>
          </w:tcPr>
          <w:p w14:paraId="128979AE" w14:textId="77777777" w:rsidR="00BA0582" w:rsidRPr="00FE04D9" w:rsidRDefault="00BA0582" w:rsidP="00BA0582">
            <w:pPr>
              <w:spacing w:line="360" w:lineRule="auto"/>
              <w:jc w:val="center"/>
              <w:rPr>
                <w:sz w:val="20"/>
              </w:rPr>
            </w:pPr>
          </w:p>
        </w:tc>
        <w:tc>
          <w:tcPr>
            <w:tcW w:w="0" w:type="auto"/>
            <w:tcBorders>
              <w:top w:val="dashed" w:sz="4" w:space="0" w:color="808080" w:themeColor="background1" w:themeShade="80"/>
              <w:left w:val="dashed" w:sz="4" w:space="0" w:color="808080" w:themeColor="background1" w:themeShade="80"/>
              <w:bottom w:val="dashed" w:sz="4" w:space="0" w:color="808080" w:themeColor="background1" w:themeShade="80"/>
              <w:right w:val="dashed" w:sz="4" w:space="0" w:color="808080" w:themeColor="background1" w:themeShade="80"/>
            </w:tcBorders>
            <w:vAlign w:val="center"/>
          </w:tcPr>
          <w:p w14:paraId="3F0DC98C" w14:textId="77777777" w:rsidR="00BA0582" w:rsidRPr="00FE04D9" w:rsidRDefault="00BA0582" w:rsidP="00BA0582">
            <w:pPr>
              <w:spacing w:line="360" w:lineRule="auto"/>
              <w:jc w:val="center"/>
              <w:rPr>
                <w:sz w:val="20"/>
              </w:rPr>
            </w:pPr>
            <w:r w:rsidRPr="00FE04D9">
              <w:rPr>
                <w:sz w:val="20"/>
              </w:rPr>
              <w:t>200</w:t>
            </w:r>
          </w:p>
        </w:tc>
        <w:tc>
          <w:tcPr>
            <w:tcW w:w="0" w:type="auto"/>
            <w:vMerge/>
            <w:tcBorders>
              <w:left w:val="dashed" w:sz="4" w:space="0" w:color="808080" w:themeColor="background1" w:themeShade="80"/>
              <w:bottom w:val="nil"/>
              <w:right w:val="nil"/>
            </w:tcBorders>
            <w:vAlign w:val="center"/>
          </w:tcPr>
          <w:p w14:paraId="0EF9E8B0" w14:textId="77777777" w:rsidR="00BA0582" w:rsidRPr="00FE04D9" w:rsidRDefault="00BA0582" w:rsidP="00BA0582">
            <w:pPr>
              <w:spacing w:line="360" w:lineRule="auto"/>
              <w:jc w:val="center"/>
              <w:rPr>
                <w:sz w:val="20"/>
              </w:rPr>
            </w:pPr>
          </w:p>
        </w:tc>
      </w:tr>
      <w:tr w:rsidR="00BA0582" w:rsidRPr="00FE04D9" w14:paraId="094FD99F" w14:textId="77777777" w:rsidTr="00BA0582">
        <w:tc>
          <w:tcPr>
            <w:tcW w:w="0" w:type="auto"/>
            <w:tcBorders>
              <w:top w:val="dashed" w:sz="4" w:space="0" w:color="808080" w:themeColor="background1" w:themeShade="80"/>
              <w:left w:val="nil"/>
              <w:bottom w:val="nil"/>
              <w:right w:val="single" w:sz="12" w:space="0" w:color="auto"/>
            </w:tcBorders>
            <w:vAlign w:val="center"/>
          </w:tcPr>
          <w:p w14:paraId="20495B8D" w14:textId="77777777" w:rsidR="00BA0582" w:rsidRPr="00FE04D9" w:rsidRDefault="00BA0582" w:rsidP="00BA0582">
            <w:pPr>
              <w:spacing w:line="360" w:lineRule="auto"/>
              <w:rPr>
                <w:sz w:val="20"/>
              </w:rPr>
            </w:pPr>
            <w:r w:rsidRPr="00FE04D9">
              <w:rPr>
                <w:sz w:val="20"/>
              </w:rPr>
              <w:sym w:font="Wingdings" w:char="F06C"/>
            </w:r>
            <w:r w:rsidRPr="00FE04D9">
              <w:rPr>
                <w:sz w:val="20"/>
              </w:rPr>
              <w:t xml:space="preserve">  h</w:t>
            </w:r>
          </w:p>
        </w:tc>
        <w:tc>
          <w:tcPr>
            <w:tcW w:w="0" w:type="auto"/>
            <w:vMerge/>
            <w:tcBorders>
              <w:left w:val="single" w:sz="12" w:space="0" w:color="auto"/>
              <w:bottom w:val="nil"/>
              <w:right w:val="dashed" w:sz="4" w:space="0" w:color="808080" w:themeColor="background1" w:themeShade="80"/>
            </w:tcBorders>
            <w:vAlign w:val="center"/>
          </w:tcPr>
          <w:p w14:paraId="3949FCA6" w14:textId="77777777" w:rsidR="00BA0582" w:rsidRPr="00FE04D9" w:rsidRDefault="00BA0582" w:rsidP="00BA0582">
            <w:pPr>
              <w:spacing w:line="360" w:lineRule="auto"/>
              <w:jc w:val="center"/>
              <w:rPr>
                <w:sz w:val="20"/>
              </w:rPr>
            </w:pPr>
          </w:p>
        </w:tc>
        <w:tc>
          <w:tcPr>
            <w:tcW w:w="0" w:type="auto"/>
            <w:tcBorders>
              <w:top w:val="dashed" w:sz="4" w:space="0" w:color="808080" w:themeColor="background1" w:themeShade="80"/>
              <w:left w:val="dashed" w:sz="4" w:space="0" w:color="808080" w:themeColor="background1" w:themeShade="80"/>
              <w:bottom w:val="nil"/>
              <w:right w:val="dashed" w:sz="4" w:space="0" w:color="808080" w:themeColor="background1" w:themeShade="80"/>
            </w:tcBorders>
            <w:vAlign w:val="center"/>
          </w:tcPr>
          <w:p w14:paraId="666E50A2" w14:textId="77777777" w:rsidR="00BA0582" w:rsidRPr="00FE04D9" w:rsidRDefault="00BA0582" w:rsidP="00BA0582">
            <w:pPr>
              <w:spacing w:line="360" w:lineRule="auto"/>
              <w:jc w:val="center"/>
              <w:rPr>
                <w:sz w:val="20"/>
              </w:rPr>
            </w:pPr>
            <w:r w:rsidRPr="00FE04D9">
              <w:rPr>
                <w:sz w:val="20"/>
              </w:rPr>
              <w:t>500</w:t>
            </w:r>
          </w:p>
        </w:tc>
        <w:tc>
          <w:tcPr>
            <w:tcW w:w="0" w:type="auto"/>
            <w:vMerge/>
            <w:tcBorders>
              <w:left w:val="dashed" w:sz="4" w:space="0" w:color="808080" w:themeColor="background1" w:themeShade="80"/>
              <w:bottom w:val="nil"/>
              <w:right w:val="nil"/>
            </w:tcBorders>
            <w:vAlign w:val="center"/>
          </w:tcPr>
          <w:p w14:paraId="31183902" w14:textId="77777777" w:rsidR="00BA0582" w:rsidRPr="00FE04D9" w:rsidRDefault="00BA0582" w:rsidP="00BA0582">
            <w:pPr>
              <w:spacing w:line="360" w:lineRule="auto"/>
              <w:jc w:val="center"/>
              <w:rPr>
                <w:sz w:val="20"/>
              </w:rPr>
            </w:pPr>
          </w:p>
        </w:tc>
      </w:tr>
    </w:tbl>
    <w:p w14:paraId="575C5EB6" w14:textId="77777777" w:rsidR="00BA0582" w:rsidRDefault="00BA0582" w:rsidP="00BA0582">
      <w:pPr>
        <w:spacing w:line="360" w:lineRule="auto"/>
      </w:pPr>
      <w:r w:rsidRPr="00573BBE">
        <w:rPr>
          <w:noProof/>
          <w:shd w:val="clear" w:color="auto" w:fill="FFFFFF" w:themeFill="background1"/>
          <w:lang w:bidi="ar-SA"/>
        </w:rPr>
        <w:drawing>
          <wp:inline distT="0" distB="0" distL="0" distR="0" wp14:anchorId="3CD2FE05" wp14:editId="23032972">
            <wp:extent cx="2560320" cy="1715325"/>
            <wp:effectExtent l="0" t="0" r="11430" b="18415"/>
            <wp:docPr id="225" name="Chart 22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8"/>
              </a:graphicData>
            </a:graphic>
          </wp:inline>
        </w:drawing>
      </w:r>
    </w:p>
    <w:p w14:paraId="0DAA3D91" w14:textId="77777777" w:rsidR="00BA0582" w:rsidRDefault="00BA0582" w:rsidP="00BA0582"/>
    <w:tbl>
      <w:tblPr>
        <w:tblStyle w:val="TableGrid"/>
        <w:tblpPr w:leftFromText="180" w:rightFromText="180" w:vertAnchor="text" w:horzAnchor="margin" w:tblpXSpec="right" w:tblpY="1030"/>
        <w:tblW w:w="0" w:type="auto"/>
        <w:tblLook w:val="04A0" w:firstRow="1" w:lastRow="0" w:firstColumn="1" w:lastColumn="0" w:noHBand="0" w:noVBand="1"/>
      </w:tblPr>
      <w:tblGrid>
        <w:gridCol w:w="796"/>
        <w:gridCol w:w="1156"/>
        <w:gridCol w:w="1216"/>
        <w:gridCol w:w="687"/>
      </w:tblGrid>
      <w:tr w:rsidR="00BA0582" w:rsidRPr="00FE04D9" w14:paraId="2427764E" w14:textId="77777777" w:rsidTr="00BA0582">
        <w:tc>
          <w:tcPr>
            <w:tcW w:w="0" w:type="auto"/>
            <w:tcBorders>
              <w:top w:val="nil"/>
              <w:left w:val="nil"/>
              <w:bottom w:val="single" w:sz="12" w:space="0" w:color="auto"/>
              <w:right w:val="single" w:sz="12" w:space="0" w:color="auto"/>
            </w:tcBorders>
            <w:vAlign w:val="center"/>
          </w:tcPr>
          <w:p w14:paraId="5708A829" w14:textId="77777777" w:rsidR="00BA0582" w:rsidRPr="00FE04D9" w:rsidRDefault="00BA0582" w:rsidP="00BA0582">
            <w:pPr>
              <w:spacing w:line="360" w:lineRule="auto"/>
              <w:jc w:val="center"/>
              <w:rPr>
                <w:sz w:val="18"/>
              </w:rPr>
            </w:pPr>
            <w:r w:rsidRPr="00FE04D9">
              <w:rPr>
                <w:sz w:val="18"/>
              </w:rPr>
              <w:t>mmol/L</w:t>
            </w:r>
          </w:p>
        </w:tc>
        <w:tc>
          <w:tcPr>
            <w:tcW w:w="0" w:type="auto"/>
            <w:tcBorders>
              <w:top w:val="nil"/>
              <w:left w:val="single" w:sz="12" w:space="0" w:color="auto"/>
              <w:bottom w:val="single" w:sz="12" w:space="0" w:color="auto"/>
              <w:right w:val="dashed" w:sz="4" w:space="0" w:color="808080" w:themeColor="background1" w:themeShade="80"/>
            </w:tcBorders>
            <w:vAlign w:val="center"/>
          </w:tcPr>
          <w:p w14:paraId="0228077D" w14:textId="77777777" w:rsidR="00BA0582" w:rsidRPr="00FE04D9" w:rsidRDefault="00BA0582" w:rsidP="00BA0582">
            <w:pPr>
              <w:spacing w:line="360" w:lineRule="auto"/>
              <w:jc w:val="center"/>
              <w:rPr>
                <w:sz w:val="18"/>
              </w:rPr>
            </w:pPr>
            <w:r w:rsidRPr="00FE04D9">
              <w:rPr>
                <w:sz w:val="18"/>
              </w:rPr>
              <w:t>[IReO</w:t>
            </w:r>
            <w:r w:rsidRPr="00FE04D9">
              <w:rPr>
                <w:sz w:val="18"/>
                <w:vertAlign w:val="subscript"/>
              </w:rPr>
              <w:t>2</w:t>
            </w:r>
            <w:r w:rsidRPr="00FE04D9">
              <w:rPr>
                <w:sz w:val="18"/>
              </w:rPr>
              <w:t>TPP</w:t>
            </w:r>
            <w:r w:rsidRPr="00FE04D9">
              <w:rPr>
                <w:sz w:val="18"/>
                <w:vertAlign w:val="subscript"/>
              </w:rPr>
              <w:t>2</w:t>
            </w:r>
            <w:r w:rsidRPr="00FE04D9">
              <w:rPr>
                <w:sz w:val="18"/>
              </w:rPr>
              <w:t>]</w:t>
            </w:r>
          </w:p>
        </w:tc>
        <w:tc>
          <w:tcPr>
            <w:tcW w:w="0" w:type="auto"/>
            <w:tcBorders>
              <w:top w:val="nil"/>
              <w:left w:val="dashed" w:sz="4" w:space="0" w:color="808080" w:themeColor="background1" w:themeShade="80"/>
              <w:bottom w:val="single" w:sz="12" w:space="0" w:color="auto"/>
              <w:right w:val="dashed" w:sz="4" w:space="0" w:color="808080" w:themeColor="background1" w:themeShade="80"/>
            </w:tcBorders>
            <w:vAlign w:val="center"/>
          </w:tcPr>
          <w:p w14:paraId="54B3EAAD" w14:textId="77777777" w:rsidR="00BA0582" w:rsidRPr="00FE04D9" w:rsidRDefault="00BA0582" w:rsidP="00BA0582">
            <w:pPr>
              <w:spacing w:line="360" w:lineRule="auto"/>
              <w:jc w:val="center"/>
              <w:rPr>
                <w:sz w:val="18"/>
              </w:rPr>
            </w:pPr>
            <w:r w:rsidRPr="00FE04D9">
              <w:rPr>
                <w:sz w:val="18"/>
              </w:rPr>
              <w:t>[Ph</w:t>
            </w:r>
            <w:r w:rsidRPr="00FE04D9">
              <w:rPr>
                <w:sz w:val="18"/>
                <w:vertAlign w:val="subscript"/>
              </w:rPr>
              <w:t>2</w:t>
            </w:r>
            <w:r w:rsidRPr="00FE04D9">
              <w:rPr>
                <w:sz w:val="18"/>
              </w:rPr>
              <w:t>CH(OH)]</w:t>
            </w:r>
          </w:p>
        </w:tc>
        <w:tc>
          <w:tcPr>
            <w:tcW w:w="0" w:type="auto"/>
            <w:tcBorders>
              <w:top w:val="nil"/>
              <w:left w:val="dashed" w:sz="4" w:space="0" w:color="808080" w:themeColor="background1" w:themeShade="80"/>
              <w:bottom w:val="single" w:sz="12" w:space="0" w:color="auto"/>
              <w:right w:val="nil"/>
            </w:tcBorders>
            <w:vAlign w:val="center"/>
          </w:tcPr>
          <w:p w14:paraId="153EC565" w14:textId="77777777" w:rsidR="00BA0582" w:rsidRPr="00FE04D9" w:rsidRDefault="00BA0582" w:rsidP="00BA0582">
            <w:pPr>
              <w:spacing w:line="360" w:lineRule="auto"/>
              <w:jc w:val="center"/>
              <w:rPr>
                <w:sz w:val="18"/>
              </w:rPr>
            </w:pPr>
            <w:r w:rsidRPr="00FE04D9">
              <w:rPr>
                <w:sz w:val="18"/>
              </w:rPr>
              <w:t>[PPh</w:t>
            </w:r>
            <w:r w:rsidRPr="00FE04D9">
              <w:rPr>
                <w:sz w:val="18"/>
                <w:vertAlign w:val="subscript"/>
              </w:rPr>
              <w:t>3</w:t>
            </w:r>
            <w:r w:rsidRPr="00FE04D9">
              <w:rPr>
                <w:sz w:val="18"/>
              </w:rPr>
              <w:t>]</w:t>
            </w:r>
          </w:p>
        </w:tc>
      </w:tr>
      <w:tr w:rsidR="00BA0582" w:rsidRPr="00FE04D9" w14:paraId="7084D6FD" w14:textId="77777777" w:rsidTr="00BA0582">
        <w:trPr>
          <w:trHeight w:val="375"/>
        </w:trPr>
        <w:tc>
          <w:tcPr>
            <w:tcW w:w="0" w:type="auto"/>
            <w:tcBorders>
              <w:top w:val="single" w:sz="12" w:space="0" w:color="auto"/>
              <w:left w:val="nil"/>
              <w:bottom w:val="dashed" w:sz="4" w:space="0" w:color="808080" w:themeColor="background1" w:themeShade="80"/>
              <w:right w:val="single" w:sz="12" w:space="0" w:color="auto"/>
            </w:tcBorders>
            <w:vAlign w:val="center"/>
          </w:tcPr>
          <w:p w14:paraId="18F2542C" w14:textId="77777777" w:rsidR="00BA0582" w:rsidRPr="00FE04D9" w:rsidRDefault="00BA0582" w:rsidP="00BA0582">
            <w:pPr>
              <w:spacing w:line="360" w:lineRule="auto"/>
              <w:rPr>
                <w:sz w:val="18"/>
              </w:rPr>
            </w:pPr>
            <w:r w:rsidRPr="00FE04D9">
              <w:rPr>
                <w:sz w:val="18"/>
              </w:rPr>
              <w:t>Δ  k’</w:t>
            </w:r>
          </w:p>
        </w:tc>
        <w:tc>
          <w:tcPr>
            <w:tcW w:w="0" w:type="auto"/>
            <w:vMerge w:val="restart"/>
            <w:tcBorders>
              <w:top w:val="single" w:sz="12" w:space="0" w:color="auto"/>
              <w:left w:val="single" w:sz="12" w:space="0" w:color="auto"/>
              <w:bottom w:val="nil"/>
              <w:right w:val="dashed" w:sz="4" w:space="0" w:color="808080" w:themeColor="background1" w:themeShade="80"/>
            </w:tcBorders>
            <w:vAlign w:val="center"/>
          </w:tcPr>
          <w:p w14:paraId="2393DA8D" w14:textId="77777777" w:rsidR="00BA0582" w:rsidRPr="00FE04D9" w:rsidRDefault="00BA0582" w:rsidP="00BA0582">
            <w:pPr>
              <w:spacing w:line="360" w:lineRule="auto"/>
              <w:jc w:val="center"/>
              <w:rPr>
                <w:sz w:val="18"/>
              </w:rPr>
            </w:pPr>
            <w:r w:rsidRPr="00FE04D9">
              <w:rPr>
                <w:sz w:val="18"/>
              </w:rPr>
              <w:t>10</w:t>
            </w:r>
          </w:p>
        </w:tc>
        <w:tc>
          <w:tcPr>
            <w:tcW w:w="0" w:type="auto"/>
            <w:tcBorders>
              <w:top w:val="single" w:sz="12" w:space="0" w:color="auto"/>
              <w:left w:val="dashed" w:sz="4" w:space="0" w:color="808080" w:themeColor="background1" w:themeShade="80"/>
              <w:bottom w:val="dashed" w:sz="4" w:space="0" w:color="808080" w:themeColor="background1" w:themeShade="80"/>
              <w:right w:val="dashed" w:sz="4" w:space="0" w:color="808080" w:themeColor="background1" w:themeShade="80"/>
            </w:tcBorders>
            <w:vAlign w:val="center"/>
          </w:tcPr>
          <w:p w14:paraId="7A342065" w14:textId="77777777" w:rsidR="00BA0582" w:rsidRPr="00FE04D9" w:rsidRDefault="00BA0582" w:rsidP="00BA0582">
            <w:pPr>
              <w:spacing w:line="360" w:lineRule="auto"/>
              <w:jc w:val="center"/>
              <w:rPr>
                <w:sz w:val="18"/>
              </w:rPr>
            </w:pPr>
            <w:r w:rsidRPr="00FE04D9">
              <w:rPr>
                <w:sz w:val="18"/>
              </w:rPr>
              <w:t>50</w:t>
            </w:r>
          </w:p>
        </w:tc>
        <w:tc>
          <w:tcPr>
            <w:tcW w:w="0" w:type="auto"/>
            <w:vMerge w:val="restart"/>
            <w:tcBorders>
              <w:top w:val="single" w:sz="12" w:space="0" w:color="auto"/>
              <w:left w:val="dashed" w:sz="4" w:space="0" w:color="808080" w:themeColor="background1" w:themeShade="80"/>
              <w:bottom w:val="dashed" w:sz="4" w:space="0" w:color="808080" w:themeColor="background1" w:themeShade="80"/>
              <w:right w:val="nil"/>
            </w:tcBorders>
            <w:vAlign w:val="center"/>
          </w:tcPr>
          <w:p w14:paraId="3CCBC657" w14:textId="77777777" w:rsidR="00BA0582" w:rsidRPr="00FE04D9" w:rsidRDefault="00BA0582" w:rsidP="00BA0582">
            <w:pPr>
              <w:spacing w:line="360" w:lineRule="auto"/>
              <w:jc w:val="center"/>
              <w:rPr>
                <w:sz w:val="18"/>
              </w:rPr>
            </w:pPr>
            <w:r w:rsidRPr="00FE04D9">
              <w:rPr>
                <w:sz w:val="18"/>
              </w:rPr>
              <w:t>200</w:t>
            </w:r>
          </w:p>
        </w:tc>
      </w:tr>
      <w:tr w:rsidR="00BA0582" w:rsidRPr="00FE04D9" w14:paraId="4D2CEA9F" w14:textId="77777777" w:rsidTr="00BA0582">
        <w:tc>
          <w:tcPr>
            <w:tcW w:w="0" w:type="auto"/>
            <w:tcBorders>
              <w:top w:val="dashed" w:sz="4" w:space="0" w:color="808080" w:themeColor="background1" w:themeShade="80"/>
              <w:left w:val="nil"/>
              <w:bottom w:val="dashed" w:sz="4" w:space="0" w:color="808080" w:themeColor="background1" w:themeShade="80"/>
              <w:right w:val="single" w:sz="12" w:space="0" w:color="auto"/>
            </w:tcBorders>
            <w:vAlign w:val="center"/>
          </w:tcPr>
          <w:p w14:paraId="33388A84" w14:textId="77777777" w:rsidR="00BA0582" w:rsidRPr="00FE04D9" w:rsidRDefault="00BA0582" w:rsidP="00BA0582">
            <w:pPr>
              <w:spacing w:line="360" w:lineRule="auto"/>
              <w:rPr>
                <w:sz w:val="18"/>
              </w:rPr>
            </w:pPr>
            <w:r w:rsidRPr="00FE04D9">
              <w:rPr>
                <w:sz w:val="18"/>
              </w:rPr>
              <w:sym w:font="Wingdings" w:char="F06E"/>
            </w:r>
            <w:r w:rsidRPr="00FE04D9">
              <w:rPr>
                <w:sz w:val="18"/>
              </w:rPr>
              <w:t xml:space="preserve">  g</w:t>
            </w:r>
          </w:p>
        </w:tc>
        <w:tc>
          <w:tcPr>
            <w:tcW w:w="0" w:type="auto"/>
            <w:vMerge/>
            <w:tcBorders>
              <w:top w:val="dashed" w:sz="4" w:space="0" w:color="808080" w:themeColor="background1" w:themeShade="80"/>
              <w:left w:val="single" w:sz="12" w:space="0" w:color="auto"/>
              <w:bottom w:val="nil"/>
              <w:right w:val="dashed" w:sz="4" w:space="0" w:color="808080" w:themeColor="background1" w:themeShade="80"/>
            </w:tcBorders>
            <w:vAlign w:val="center"/>
          </w:tcPr>
          <w:p w14:paraId="1B26C54B" w14:textId="77777777" w:rsidR="00BA0582" w:rsidRPr="00FE04D9" w:rsidRDefault="00BA0582" w:rsidP="00BA0582">
            <w:pPr>
              <w:spacing w:line="360" w:lineRule="auto"/>
              <w:jc w:val="center"/>
              <w:rPr>
                <w:sz w:val="18"/>
              </w:rPr>
            </w:pPr>
          </w:p>
        </w:tc>
        <w:tc>
          <w:tcPr>
            <w:tcW w:w="0" w:type="auto"/>
            <w:tcBorders>
              <w:top w:val="dashed" w:sz="4" w:space="0" w:color="808080" w:themeColor="background1" w:themeShade="80"/>
              <w:left w:val="dashed" w:sz="4" w:space="0" w:color="808080" w:themeColor="background1" w:themeShade="80"/>
              <w:bottom w:val="dashed" w:sz="4" w:space="0" w:color="808080" w:themeColor="background1" w:themeShade="80"/>
              <w:right w:val="dashed" w:sz="4" w:space="0" w:color="808080" w:themeColor="background1" w:themeShade="80"/>
            </w:tcBorders>
            <w:vAlign w:val="center"/>
          </w:tcPr>
          <w:p w14:paraId="396B91D5" w14:textId="77777777" w:rsidR="00BA0582" w:rsidRPr="00FE04D9" w:rsidRDefault="00BA0582" w:rsidP="00BA0582">
            <w:pPr>
              <w:spacing w:line="360" w:lineRule="auto"/>
              <w:jc w:val="center"/>
              <w:rPr>
                <w:sz w:val="18"/>
              </w:rPr>
            </w:pPr>
            <w:r w:rsidRPr="00FE04D9">
              <w:rPr>
                <w:sz w:val="18"/>
              </w:rPr>
              <w:t>100</w:t>
            </w:r>
          </w:p>
        </w:tc>
        <w:tc>
          <w:tcPr>
            <w:tcW w:w="0" w:type="auto"/>
            <w:vMerge/>
            <w:tcBorders>
              <w:top w:val="dashed" w:sz="4" w:space="0" w:color="808080" w:themeColor="background1" w:themeShade="80"/>
              <w:left w:val="dashed" w:sz="4" w:space="0" w:color="808080" w:themeColor="background1" w:themeShade="80"/>
              <w:right w:val="nil"/>
            </w:tcBorders>
            <w:vAlign w:val="center"/>
          </w:tcPr>
          <w:p w14:paraId="6EC66C12" w14:textId="77777777" w:rsidR="00BA0582" w:rsidRPr="00FE04D9" w:rsidRDefault="00BA0582" w:rsidP="00BA0582">
            <w:pPr>
              <w:spacing w:line="360" w:lineRule="auto"/>
              <w:jc w:val="center"/>
              <w:rPr>
                <w:sz w:val="18"/>
              </w:rPr>
            </w:pPr>
          </w:p>
        </w:tc>
      </w:tr>
      <w:tr w:rsidR="00BA0582" w:rsidRPr="00FE04D9" w14:paraId="4474230D" w14:textId="77777777" w:rsidTr="00BA0582">
        <w:tc>
          <w:tcPr>
            <w:tcW w:w="0" w:type="auto"/>
            <w:tcBorders>
              <w:top w:val="dashed" w:sz="4" w:space="0" w:color="808080" w:themeColor="background1" w:themeShade="80"/>
              <w:left w:val="nil"/>
              <w:bottom w:val="nil"/>
              <w:right w:val="single" w:sz="12" w:space="0" w:color="auto"/>
            </w:tcBorders>
            <w:vAlign w:val="center"/>
          </w:tcPr>
          <w:p w14:paraId="4F31A7CF" w14:textId="77777777" w:rsidR="00BA0582" w:rsidRPr="00FE04D9" w:rsidRDefault="00BA0582" w:rsidP="00BA0582">
            <w:pPr>
              <w:spacing w:line="360" w:lineRule="auto"/>
              <w:rPr>
                <w:sz w:val="18"/>
              </w:rPr>
            </w:pPr>
            <w:r w:rsidRPr="00FE04D9">
              <w:rPr>
                <w:sz w:val="18"/>
              </w:rPr>
              <w:sym w:font="Wingdings" w:char="F06C"/>
            </w:r>
            <w:r w:rsidRPr="00FE04D9">
              <w:rPr>
                <w:sz w:val="18"/>
              </w:rPr>
              <w:t xml:space="preserve">  m</w:t>
            </w:r>
          </w:p>
        </w:tc>
        <w:tc>
          <w:tcPr>
            <w:tcW w:w="0" w:type="auto"/>
            <w:vMerge/>
            <w:tcBorders>
              <w:left w:val="single" w:sz="12" w:space="0" w:color="auto"/>
              <w:bottom w:val="nil"/>
              <w:right w:val="dashed" w:sz="4" w:space="0" w:color="808080" w:themeColor="background1" w:themeShade="80"/>
            </w:tcBorders>
            <w:vAlign w:val="center"/>
          </w:tcPr>
          <w:p w14:paraId="3EFF8611" w14:textId="77777777" w:rsidR="00BA0582" w:rsidRPr="00FE04D9" w:rsidRDefault="00BA0582" w:rsidP="00BA0582">
            <w:pPr>
              <w:spacing w:line="360" w:lineRule="auto"/>
              <w:jc w:val="center"/>
              <w:rPr>
                <w:sz w:val="18"/>
              </w:rPr>
            </w:pPr>
          </w:p>
        </w:tc>
        <w:tc>
          <w:tcPr>
            <w:tcW w:w="0" w:type="auto"/>
            <w:tcBorders>
              <w:top w:val="dashed" w:sz="4" w:space="0" w:color="808080" w:themeColor="background1" w:themeShade="80"/>
              <w:left w:val="dashed" w:sz="4" w:space="0" w:color="808080" w:themeColor="background1" w:themeShade="80"/>
              <w:bottom w:val="nil"/>
              <w:right w:val="dashed" w:sz="4" w:space="0" w:color="808080" w:themeColor="background1" w:themeShade="80"/>
            </w:tcBorders>
            <w:vAlign w:val="center"/>
          </w:tcPr>
          <w:p w14:paraId="6BC71A28" w14:textId="77777777" w:rsidR="00BA0582" w:rsidRPr="00FE04D9" w:rsidRDefault="00BA0582" w:rsidP="00BA0582">
            <w:pPr>
              <w:spacing w:line="360" w:lineRule="auto"/>
              <w:jc w:val="center"/>
              <w:rPr>
                <w:sz w:val="18"/>
              </w:rPr>
            </w:pPr>
            <w:r w:rsidRPr="00FE04D9">
              <w:rPr>
                <w:sz w:val="18"/>
              </w:rPr>
              <w:t>200</w:t>
            </w:r>
          </w:p>
        </w:tc>
        <w:tc>
          <w:tcPr>
            <w:tcW w:w="0" w:type="auto"/>
            <w:vMerge/>
            <w:tcBorders>
              <w:left w:val="dashed" w:sz="4" w:space="0" w:color="808080" w:themeColor="background1" w:themeShade="80"/>
              <w:bottom w:val="nil"/>
              <w:right w:val="nil"/>
            </w:tcBorders>
            <w:vAlign w:val="center"/>
          </w:tcPr>
          <w:p w14:paraId="50436485" w14:textId="77777777" w:rsidR="00BA0582" w:rsidRPr="00FE04D9" w:rsidRDefault="00BA0582" w:rsidP="00BA0582">
            <w:pPr>
              <w:spacing w:line="360" w:lineRule="auto"/>
              <w:jc w:val="center"/>
              <w:rPr>
                <w:sz w:val="18"/>
              </w:rPr>
            </w:pPr>
          </w:p>
        </w:tc>
      </w:tr>
    </w:tbl>
    <w:p w14:paraId="3671704E" w14:textId="77777777" w:rsidR="00BA0582" w:rsidRDefault="00BA0582" w:rsidP="00BA0582">
      <w:pPr>
        <w:spacing w:line="360" w:lineRule="auto"/>
      </w:pPr>
      <w:r w:rsidRPr="00573BBE">
        <w:rPr>
          <w:noProof/>
          <w:shd w:val="clear" w:color="auto" w:fill="FFFFFF" w:themeFill="background1"/>
          <w:lang w:bidi="ar-SA"/>
        </w:rPr>
        <w:drawing>
          <wp:inline distT="0" distB="0" distL="0" distR="0" wp14:anchorId="7EE78B96" wp14:editId="24EA74ED">
            <wp:extent cx="2560320" cy="1696926"/>
            <wp:effectExtent l="0" t="0" r="11430" b="17780"/>
            <wp:docPr id="226" name="Chart 22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9"/>
              </a:graphicData>
            </a:graphic>
          </wp:inline>
        </w:drawing>
      </w:r>
    </w:p>
    <w:p w14:paraId="38EE3E39" w14:textId="77777777" w:rsidR="00573BBE" w:rsidRDefault="00573BBE" w:rsidP="00573BBE">
      <w:pPr>
        <w:pStyle w:val="Caption"/>
      </w:pPr>
      <w:bookmarkStart w:id="453" w:name="_Ref457476001"/>
      <w:bookmarkStart w:id="454" w:name="_Toc457670804"/>
      <w:r>
        <w:t xml:space="preserve">Figure </w:t>
      </w:r>
      <w:r w:rsidR="00443010">
        <w:fldChar w:fldCharType="begin"/>
      </w:r>
      <w:r w:rsidR="00443010">
        <w:instrText xml:space="preserve"> STYLEREF 1 \s </w:instrText>
      </w:r>
      <w:r w:rsidR="00443010">
        <w:fldChar w:fldCharType="separate"/>
      </w:r>
      <w:r w:rsidR="000A0E3D">
        <w:rPr>
          <w:noProof/>
        </w:rPr>
        <w:t>IV</w:t>
      </w:r>
      <w:r w:rsidR="00443010">
        <w:rPr>
          <w:noProof/>
        </w:rPr>
        <w:fldChar w:fldCharType="end"/>
      </w:r>
      <w:r>
        <w:t>.</w:t>
      </w:r>
      <w:r w:rsidR="00443010">
        <w:fldChar w:fldCharType="begin"/>
      </w:r>
      <w:r w:rsidR="00443010">
        <w:instrText xml:space="preserve"> SEQ Figure \* ARABIC \s 1 </w:instrText>
      </w:r>
      <w:r w:rsidR="00443010">
        <w:fldChar w:fldCharType="separate"/>
      </w:r>
      <w:r w:rsidR="000A0E3D">
        <w:rPr>
          <w:noProof/>
        </w:rPr>
        <w:t>20</w:t>
      </w:r>
      <w:r w:rsidR="00443010">
        <w:rPr>
          <w:noProof/>
        </w:rPr>
        <w:fldChar w:fldCharType="end"/>
      </w:r>
      <w:bookmarkEnd w:id="453"/>
      <w:r>
        <w:t xml:space="preserve"> Kinetic plot 4</w:t>
      </w:r>
      <w:bookmarkEnd w:id="454"/>
    </w:p>
    <w:p w14:paraId="26D5DB0A" w14:textId="77777777" w:rsidR="00573BBE" w:rsidRPr="00573BBE" w:rsidRDefault="00573BBE" w:rsidP="00573BBE"/>
    <w:p w14:paraId="7540C94C" w14:textId="24E106F8" w:rsidR="00BA0582" w:rsidRDefault="00BA0582" w:rsidP="00E672F9">
      <w:pPr>
        <w:pStyle w:val="ListParagraph"/>
        <w:ind w:left="0" w:firstLine="360"/>
        <w:jc w:val="both"/>
        <w:rPr>
          <w:bCs/>
        </w:rPr>
      </w:pPr>
      <w:r>
        <w:t xml:space="preserve">In the variations of triphenylphosphine molarity for </w:t>
      </w:r>
      <w:r w:rsidR="00E672F9">
        <w:t>a fix</w:t>
      </w:r>
      <w:r>
        <w:t xml:space="preserve"> concentration of catalyst and alcohol we did n</w:t>
      </w:r>
      <w:r w:rsidR="00E672F9">
        <w:t>ot observe</w:t>
      </w:r>
      <w:r>
        <w:t xml:space="preserve"> too much a general</w:t>
      </w:r>
      <w:r w:rsidR="00E672F9">
        <w:t xml:space="preserve"> trend like in the plots with</w:t>
      </w:r>
      <w:r>
        <w:t xml:space="preserve"> the alcohol variations. Only the highest molarity of the triphenylphosphine (0.5 mol/L) decreased the rate drastically (Plot : </w:t>
      </w:r>
      <w:r w:rsidRPr="002B0181">
        <w:rPr>
          <w:b/>
          <w:bCs/>
        </w:rPr>
        <w:t>PPh</w:t>
      </w:r>
      <w:r w:rsidRPr="002B0181">
        <w:rPr>
          <w:b/>
          <w:bCs/>
          <w:vertAlign w:val="subscript"/>
        </w:rPr>
        <w:t>3</w:t>
      </w:r>
      <w:r w:rsidRPr="002B0181">
        <w:rPr>
          <w:b/>
          <w:bCs/>
        </w:rPr>
        <w:t xml:space="preserve"> (with Ph</w:t>
      </w:r>
      <w:r w:rsidRPr="002B0181">
        <w:rPr>
          <w:b/>
          <w:bCs/>
          <w:vertAlign w:val="subscript"/>
        </w:rPr>
        <w:t>2</w:t>
      </w:r>
      <w:r w:rsidRPr="002B0181">
        <w:rPr>
          <w:b/>
          <w:bCs/>
        </w:rPr>
        <w:t>CHOH 100 mmol/L)</w:t>
      </w:r>
      <w:r>
        <w:rPr>
          <w:b/>
          <w:bCs/>
        </w:rPr>
        <w:t xml:space="preserve"> </w:t>
      </w:r>
      <w:r>
        <w:rPr>
          <w:bCs/>
        </w:rPr>
        <w:t>)</w:t>
      </w:r>
      <w:r w:rsidR="00E672F9">
        <w:rPr>
          <w:bCs/>
        </w:rPr>
        <w:t>.</w:t>
      </w:r>
      <w:r>
        <w:rPr>
          <w:bCs/>
        </w:rPr>
        <w:t xml:space="preserve"> Also wh</w:t>
      </w:r>
      <w:r w:rsidR="001539C6">
        <w:rPr>
          <w:bCs/>
        </w:rPr>
        <w:t>en the molarity of alcohol was</w:t>
      </w:r>
      <w:r>
        <w:rPr>
          <w:bCs/>
        </w:rPr>
        <w:t xml:space="preserve"> the low</w:t>
      </w:r>
      <w:r w:rsidR="00E672F9">
        <w:rPr>
          <w:bCs/>
        </w:rPr>
        <w:t>est</w:t>
      </w:r>
      <w:r>
        <w:rPr>
          <w:bCs/>
        </w:rPr>
        <w:t xml:space="preserve"> (0.05 mol/L) with the molarity of 0.2 mol/L of triphenylphosphine we saw a decrease of rate of the product formation (Plot: </w:t>
      </w:r>
      <w:r w:rsidRPr="002B0181">
        <w:rPr>
          <w:b/>
          <w:bCs/>
        </w:rPr>
        <w:t>PPh</w:t>
      </w:r>
      <w:r w:rsidRPr="002B0181">
        <w:rPr>
          <w:b/>
          <w:bCs/>
          <w:vertAlign w:val="subscript"/>
        </w:rPr>
        <w:t>3</w:t>
      </w:r>
      <w:r w:rsidRPr="002B0181">
        <w:rPr>
          <w:b/>
          <w:bCs/>
        </w:rPr>
        <w:t xml:space="preserve"> (with Ph</w:t>
      </w:r>
      <w:r w:rsidRPr="002B0181">
        <w:rPr>
          <w:b/>
          <w:bCs/>
          <w:vertAlign w:val="subscript"/>
        </w:rPr>
        <w:t>2</w:t>
      </w:r>
      <w:r w:rsidRPr="002B0181">
        <w:rPr>
          <w:b/>
          <w:bCs/>
        </w:rPr>
        <w:t>CHOH 100 mmol/L)</w:t>
      </w:r>
      <w:r>
        <w:rPr>
          <w:b/>
          <w:bCs/>
        </w:rPr>
        <w:t xml:space="preserve"> </w:t>
      </w:r>
      <w:r>
        <w:rPr>
          <w:bCs/>
        </w:rPr>
        <w:t>).</w:t>
      </w:r>
    </w:p>
    <w:p w14:paraId="5177716D" w14:textId="77777777" w:rsidR="00BA0582" w:rsidRPr="00FE04D9" w:rsidRDefault="00BA0582" w:rsidP="00FE04D9">
      <w:pPr>
        <w:spacing w:line="360" w:lineRule="auto"/>
        <w:jc w:val="both"/>
        <w:rPr>
          <w:bCs/>
        </w:rPr>
      </w:pPr>
    </w:p>
    <w:tbl>
      <w:tblPr>
        <w:tblStyle w:val="TableGrid"/>
        <w:tblpPr w:leftFromText="180" w:rightFromText="180" w:vertAnchor="text" w:horzAnchor="margin" w:tblpXSpec="right" w:tblpY="468"/>
        <w:tblW w:w="0" w:type="auto"/>
        <w:tblLook w:val="04A0" w:firstRow="1" w:lastRow="0" w:firstColumn="1" w:lastColumn="0" w:noHBand="0" w:noVBand="1"/>
      </w:tblPr>
      <w:tblGrid>
        <w:gridCol w:w="861"/>
        <w:gridCol w:w="1258"/>
        <w:gridCol w:w="1326"/>
        <w:gridCol w:w="737"/>
      </w:tblGrid>
      <w:tr w:rsidR="00BA0582" w:rsidRPr="00FE04D9" w14:paraId="76FF4E53" w14:textId="77777777" w:rsidTr="00BA0582">
        <w:tc>
          <w:tcPr>
            <w:tcW w:w="0" w:type="auto"/>
            <w:tcBorders>
              <w:top w:val="nil"/>
              <w:left w:val="nil"/>
              <w:bottom w:val="single" w:sz="12" w:space="0" w:color="auto"/>
              <w:right w:val="single" w:sz="12" w:space="0" w:color="auto"/>
            </w:tcBorders>
            <w:vAlign w:val="center"/>
          </w:tcPr>
          <w:p w14:paraId="6E475682" w14:textId="77777777" w:rsidR="00BA0582" w:rsidRPr="00FE04D9" w:rsidRDefault="00BA0582" w:rsidP="00BA0582">
            <w:pPr>
              <w:spacing w:line="360" w:lineRule="auto"/>
              <w:jc w:val="center"/>
              <w:rPr>
                <w:sz w:val="20"/>
              </w:rPr>
            </w:pPr>
            <w:r w:rsidRPr="00FE04D9">
              <w:rPr>
                <w:sz w:val="20"/>
              </w:rPr>
              <w:t>mmol/L</w:t>
            </w:r>
          </w:p>
        </w:tc>
        <w:tc>
          <w:tcPr>
            <w:tcW w:w="0" w:type="auto"/>
            <w:tcBorders>
              <w:top w:val="nil"/>
              <w:left w:val="single" w:sz="12" w:space="0" w:color="auto"/>
              <w:bottom w:val="single" w:sz="12" w:space="0" w:color="auto"/>
              <w:right w:val="dashed" w:sz="4" w:space="0" w:color="808080" w:themeColor="background1" w:themeShade="80"/>
            </w:tcBorders>
            <w:vAlign w:val="center"/>
          </w:tcPr>
          <w:p w14:paraId="41CEB95B" w14:textId="77777777" w:rsidR="00BA0582" w:rsidRPr="00FE04D9" w:rsidRDefault="00BA0582" w:rsidP="00BA0582">
            <w:pPr>
              <w:spacing w:line="360" w:lineRule="auto"/>
              <w:jc w:val="center"/>
              <w:rPr>
                <w:sz w:val="20"/>
              </w:rPr>
            </w:pPr>
            <w:r w:rsidRPr="00FE04D9">
              <w:rPr>
                <w:sz w:val="20"/>
              </w:rPr>
              <w:t>[IReO</w:t>
            </w:r>
            <w:r w:rsidRPr="00FE04D9">
              <w:rPr>
                <w:sz w:val="20"/>
                <w:vertAlign w:val="subscript"/>
              </w:rPr>
              <w:t>2</w:t>
            </w:r>
            <w:r w:rsidRPr="00FE04D9">
              <w:rPr>
                <w:sz w:val="20"/>
              </w:rPr>
              <w:t>TPP</w:t>
            </w:r>
            <w:r w:rsidRPr="00FE04D9">
              <w:rPr>
                <w:sz w:val="20"/>
                <w:vertAlign w:val="subscript"/>
              </w:rPr>
              <w:t>2</w:t>
            </w:r>
            <w:r w:rsidRPr="00FE04D9">
              <w:rPr>
                <w:sz w:val="20"/>
              </w:rPr>
              <w:t>]</w:t>
            </w:r>
          </w:p>
        </w:tc>
        <w:tc>
          <w:tcPr>
            <w:tcW w:w="0" w:type="auto"/>
            <w:tcBorders>
              <w:top w:val="nil"/>
              <w:left w:val="dashed" w:sz="4" w:space="0" w:color="808080" w:themeColor="background1" w:themeShade="80"/>
              <w:bottom w:val="single" w:sz="12" w:space="0" w:color="auto"/>
              <w:right w:val="dashed" w:sz="4" w:space="0" w:color="808080" w:themeColor="background1" w:themeShade="80"/>
            </w:tcBorders>
            <w:vAlign w:val="center"/>
          </w:tcPr>
          <w:p w14:paraId="32A9A2EA" w14:textId="77777777" w:rsidR="00BA0582" w:rsidRPr="00FE04D9" w:rsidRDefault="00BA0582" w:rsidP="00BA0582">
            <w:pPr>
              <w:spacing w:line="360" w:lineRule="auto"/>
              <w:jc w:val="center"/>
              <w:rPr>
                <w:sz w:val="20"/>
              </w:rPr>
            </w:pPr>
            <w:r w:rsidRPr="00FE04D9">
              <w:rPr>
                <w:sz w:val="20"/>
              </w:rPr>
              <w:t>[Ph</w:t>
            </w:r>
            <w:r w:rsidRPr="00FE04D9">
              <w:rPr>
                <w:sz w:val="20"/>
                <w:vertAlign w:val="subscript"/>
              </w:rPr>
              <w:t>2</w:t>
            </w:r>
            <w:r w:rsidRPr="00FE04D9">
              <w:rPr>
                <w:sz w:val="20"/>
              </w:rPr>
              <w:t>CH(OH)]</w:t>
            </w:r>
          </w:p>
        </w:tc>
        <w:tc>
          <w:tcPr>
            <w:tcW w:w="0" w:type="auto"/>
            <w:tcBorders>
              <w:top w:val="nil"/>
              <w:left w:val="dashed" w:sz="4" w:space="0" w:color="808080" w:themeColor="background1" w:themeShade="80"/>
              <w:bottom w:val="single" w:sz="12" w:space="0" w:color="auto"/>
              <w:right w:val="nil"/>
            </w:tcBorders>
            <w:vAlign w:val="center"/>
          </w:tcPr>
          <w:p w14:paraId="30DBB018" w14:textId="77777777" w:rsidR="00BA0582" w:rsidRPr="00FE04D9" w:rsidRDefault="00BA0582" w:rsidP="00BA0582">
            <w:pPr>
              <w:spacing w:line="360" w:lineRule="auto"/>
              <w:jc w:val="center"/>
              <w:rPr>
                <w:sz w:val="20"/>
              </w:rPr>
            </w:pPr>
            <w:r w:rsidRPr="00FE04D9">
              <w:rPr>
                <w:sz w:val="20"/>
              </w:rPr>
              <w:t>[PPh</w:t>
            </w:r>
            <w:r w:rsidRPr="00FE04D9">
              <w:rPr>
                <w:sz w:val="20"/>
                <w:vertAlign w:val="subscript"/>
              </w:rPr>
              <w:t>3</w:t>
            </w:r>
            <w:r w:rsidRPr="00FE04D9">
              <w:rPr>
                <w:sz w:val="20"/>
              </w:rPr>
              <w:t>]</w:t>
            </w:r>
          </w:p>
        </w:tc>
      </w:tr>
      <w:tr w:rsidR="00BA0582" w:rsidRPr="00FE04D9" w14:paraId="0482A6A8" w14:textId="77777777" w:rsidTr="00BA0582">
        <w:tc>
          <w:tcPr>
            <w:tcW w:w="0" w:type="auto"/>
            <w:tcBorders>
              <w:top w:val="single" w:sz="12" w:space="0" w:color="auto"/>
              <w:left w:val="nil"/>
              <w:bottom w:val="dashed" w:sz="4" w:space="0" w:color="808080" w:themeColor="background1" w:themeShade="80"/>
              <w:right w:val="single" w:sz="12" w:space="0" w:color="auto"/>
            </w:tcBorders>
            <w:vAlign w:val="center"/>
          </w:tcPr>
          <w:p w14:paraId="3B6CBC8A" w14:textId="77777777" w:rsidR="00BA0582" w:rsidRPr="00FE04D9" w:rsidRDefault="00BA0582" w:rsidP="00BA0582">
            <w:pPr>
              <w:spacing w:line="360" w:lineRule="auto"/>
              <w:rPr>
                <w:sz w:val="20"/>
              </w:rPr>
            </w:pPr>
            <w:r w:rsidRPr="00FE04D9">
              <w:rPr>
                <w:sz w:val="20"/>
              </w:rPr>
              <w:sym w:font="Wingdings" w:char="F06E"/>
            </w:r>
            <w:r w:rsidRPr="00FE04D9">
              <w:rPr>
                <w:sz w:val="20"/>
              </w:rPr>
              <w:t xml:space="preserve">  j</w:t>
            </w:r>
          </w:p>
        </w:tc>
        <w:tc>
          <w:tcPr>
            <w:tcW w:w="0" w:type="auto"/>
            <w:vMerge w:val="restart"/>
            <w:tcBorders>
              <w:top w:val="single" w:sz="12" w:space="0" w:color="auto"/>
              <w:left w:val="single" w:sz="12" w:space="0" w:color="auto"/>
              <w:bottom w:val="dashed" w:sz="4" w:space="0" w:color="808080" w:themeColor="background1" w:themeShade="80"/>
              <w:right w:val="dashed" w:sz="4" w:space="0" w:color="808080" w:themeColor="background1" w:themeShade="80"/>
            </w:tcBorders>
            <w:vAlign w:val="center"/>
          </w:tcPr>
          <w:p w14:paraId="5589D3AC" w14:textId="77777777" w:rsidR="00BA0582" w:rsidRPr="00FE04D9" w:rsidRDefault="00BA0582" w:rsidP="00BA0582">
            <w:pPr>
              <w:spacing w:line="360" w:lineRule="auto"/>
              <w:jc w:val="center"/>
              <w:rPr>
                <w:sz w:val="20"/>
              </w:rPr>
            </w:pPr>
            <w:r w:rsidRPr="00FE04D9">
              <w:rPr>
                <w:sz w:val="20"/>
              </w:rPr>
              <w:t>10</w:t>
            </w:r>
          </w:p>
        </w:tc>
        <w:tc>
          <w:tcPr>
            <w:tcW w:w="0" w:type="auto"/>
            <w:vMerge w:val="restart"/>
            <w:tcBorders>
              <w:top w:val="single" w:sz="12" w:space="0" w:color="auto"/>
              <w:left w:val="dashed" w:sz="4" w:space="0" w:color="808080" w:themeColor="background1" w:themeShade="80"/>
              <w:right w:val="dashed" w:sz="4" w:space="0" w:color="808080" w:themeColor="background1" w:themeShade="80"/>
            </w:tcBorders>
            <w:vAlign w:val="center"/>
          </w:tcPr>
          <w:p w14:paraId="238A49A6" w14:textId="77777777" w:rsidR="00BA0582" w:rsidRPr="00FE04D9" w:rsidRDefault="00BA0582" w:rsidP="00BA0582">
            <w:pPr>
              <w:spacing w:line="360" w:lineRule="auto"/>
              <w:jc w:val="center"/>
              <w:rPr>
                <w:sz w:val="20"/>
              </w:rPr>
            </w:pPr>
            <w:r w:rsidRPr="00FE04D9">
              <w:rPr>
                <w:sz w:val="20"/>
              </w:rPr>
              <w:t>50</w:t>
            </w:r>
          </w:p>
        </w:tc>
        <w:tc>
          <w:tcPr>
            <w:tcW w:w="0" w:type="auto"/>
            <w:tcBorders>
              <w:top w:val="single" w:sz="12" w:space="0" w:color="auto"/>
              <w:left w:val="dashed" w:sz="4" w:space="0" w:color="808080" w:themeColor="background1" w:themeShade="80"/>
              <w:bottom w:val="dashed" w:sz="4" w:space="0" w:color="808080" w:themeColor="background1" w:themeShade="80"/>
              <w:right w:val="nil"/>
            </w:tcBorders>
            <w:vAlign w:val="center"/>
          </w:tcPr>
          <w:p w14:paraId="0B3828D2" w14:textId="77777777" w:rsidR="00BA0582" w:rsidRPr="00FE04D9" w:rsidRDefault="00BA0582" w:rsidP="00BA0582">
            <w:pPr>
              <w:spacing w:line="360" w:lineRule="auto"/>
              <w:jc w:val="center"/>
              <w:rPr>
                <w:sz w:val="20"/>
              </w:rPr>
            </w:pPr>
            <w:r w:rsidRPr="00FE04D9">
              <w:rPr>
                <w:sz w:val="20"/>
              </w:rPr>
              <w:t>50</w:t>
            </w:r>
          </w:p>
        </w:tc>
      </w:tr>
      <w:tr w:rsidR="00BA0582" w:rsidRPr="00FE04D9" w14:paraId="7BB374B3" w14:textId="77777777" w:rsidTr="00BA0582">
        <w:tc>
          <w:tcPr>
            <w:tcW w:w="0" w:type="auto"/>
            <w:tcBorders>
              <w:top w:val="dashed" w:sz="4" w:space="0" w:color="808080" w:themeColor="background1" w:themeShade="80"/>
              <w:left w:val="nil"/>
              <w:bottom w:val="dashed" w:sz="4" w:space="0" w:color="808080" w:themeColor="background1" w:themeShade="80"/>
              <w:right w:val="single" w:sz="12" w:space="0" w:color="auto"/>
            </w:tcBorders>
            <w:vAlign w:val="center"/>
          </w:tcPr>
          <w:p w14:paraId="23402E82" w14:textId="77777777" w:rsidR="00BA0582" w:rsidRPr="00FE04D9" w:rsidRDefault="00BA0582" w:rsidP="00BA0582">
            <w:pPr>
              <w:spacing w:line="360" w:lineRule="auto"/>
              <w:rPr>
                <w:sz w:val="20"/>
              </w:rPr>
            </w:pPr>
            <w:r w:rsidRPr="00FE04D9">
              <w:rPr>
                <w:sz w:val="20"/>
              </w:rPr>
              <w:t>Δ  e</w:t>
            </w:r>
          </w:p>
        </w:tc>
        <w:tc>
          <w:tcPr>
            <w:tcW w:w="0" w:type="auto"/>
            <w:vMerge/>
            <w:tcBorders>
              <w:top w:val="dashed" w:sz="4" w:space="0" w:color="808080" w:themeColor="background1" w:themeShade="80"/>
              <w:left w:val="single" w:sz="12" w:space="0" w:color="auto"/>
              <w:right w:val="dashed" w:sz="4" w:space="0" w:color="808080" w:themeColor="background1" w:themeShade="80"/>
            </w:tcBorders>
            <w:vAlign w:val="center"/>
          </w:tcPr>
          <w:p w14:paraId="704502E5" w14:textId="77777777" w:rsidR="00BA0582" w:rsidRPr="00FE04D9" w:rsidRDefault="00BA0582" w:rsidP="00BA0582">
            <w:pPr>
              <w:spacing w:line="360" w:lineRule="auto"/>
              <w:jc w:val="center"/>
              <w:rPr>
                <w:sz w:val="20"/>
              </w:rPr>
            </w:pPr>
          </w:p>
        </w:tc>
        <w:tc>
          <w:tcPr>
            <w:tcW w:w="0" w:type="auto"/>
            <w:vMerge/>
            <w:tcBorders>
              <w:left w:val="dashed" w:sz="4" w:space="0" w:color="808080" w:themeColor="background1" w:themeShade="80"/>
              <w:right w:val="dashed" w:sz="4" w:space="0" w:color="808080" w:themeColor="background1" w:themeShade="80"/>
            </w:tcBorders>
            <w:vAlign w:val="center"/>
          </w:tcPr>
          <w:p w14:paraId="228D0AF2" w14:textId="77777777" w:rsidR="00BA0582" w:rsidRPr="00FE04D9" w:rsidRDefault="00BA0582" w:rsidP="00BA0582">
            <w:pPr>
              <w:spacing w:line="360" w:lineRule="auto"/>
              <w:jc w:val="center"/>
              <w:rPr>
                <w:sz w:val="20"/>
              </w:rPr>
            </w:pPr>
          </w:p>
        </w:tc>
        <w:tc>
          <w:tcPr>
            <w:tcW w:w="0" w:type="auto"/>
            <w:tcBorders>
              <w:top w:val="dashed" w:sz="4" w:space="0" w:color="808080" w:themeColor="background1" w:themeShade="80"/>
              <w:left w:val="dashed" w:sz="4" w:space="0" w:color="808080" w:themeColor="background1" w:themeShade="80"/>
              <w:bottom w:val="dashed" w:sz="4" w:space="0" w:color="808080" w:themeColor="background1" w:themeShade="80"/>
              <w:right w:val="nil"/>
            </w:tcBorders>
            <w:vAlign w:val="center"/>
          </w:tcPr>
          <w:p w14:paraId="17E9B438" w14:textId="77777777" w:rsidR="00BA0582" w:rsidRPr="00FE04D9" w:rsidRDefault="00BA0582" w:rsidP="00BA0582">
            <w:pPr>
              <w:spacing w:line="360" w:lineRule="auto"/>
              <w:jc w:val="center"/>
              <w:rPr>
                <w:sz w:val="20"/>
              </w:rPr>
            </w:pPr>
            <w:r w:rsidRPr="00FE04D9">
              <w:rPr>
                <w:sz w:val="20"/>
              </w:rPr>
              <w:t>100</w:t>
            </w:r>
          </w:p>
        </w:tc>
      </w:tr>
      <w:tr w:rsidR="00BA0582" w:rsidRPr="00FE04D9" w14:paraId="51894A82" w14:textId="77777777" w:rsidTr="00BA0582">
        <w:tc>
          <w:tcPr>
            <w:tcW w:w="0" w:type="auto"/>
            <w:tcBorders>
              <w:top w:val="dashed" w:sz="4" w:space="0" w:color="808080" w:themeColor="background1" w:themeShade="80"/>
              <w:left w:val="nil"/>
              <w:bottom w:val="nil"/>
              <w:right w:val="single" w:sz="12" w:space="0" w:color="auto"/>
            </w:tcBorders>
            <w:vAlign w:val="center"/>
          </w:tcPr>
          <w:p w14:paraId="2E90E540" w14:textId="77777777" w:rsidR="00BA0582" w:rsidRPr="00FE04D9" w:rsidRDefault="00BA0582" w:rsidP="00BA0582">
            <w:pPr>
              <w:spacing w:line="360" w:lineRule="auto"/>
              <w:rPr>
                <w:sz w:val="20"/>
              </w:rPr>
            </w:pPr>
            <w:r w:rsidRPr="00FE04D9">
              <w:rPr>
                <w:sz w:val="20"/>
              </w:rPr>
              <w:sym w:font="Wingdings" w:char="F06C"/>
            </w:r>
            <w:r w:rsidRPr="00FE04D9">
              <w:rPr>
                <w:sz w:val="20"/>
              </w:rPr>
              <w:t xml:space="preserve">  k’</w:t>
            </w:r>
          </w:p>
        </w:tc>
        <w:tc>
          <w:tcPr>
            <w:tcW w:w="0" w:type="auto"/>
            <w:vMerge/>
            <w:tcBorders>
              <w:left w:val="single" w:sz="12" w:space="0" w:color="auto"/>
              <w:bottom w:val="nil"/>
              <w:right w:val="dashed" w:sz="4" w:space="0" w:color="808080" w:themeColor="background1" w:themeShade="80"/>
            </w:tcBorders>
            <w:vAlign w:val="center"/>
          </w:tcPr>
          <w:p w14:paraId="07B78339" w14:textId="77777777" w:rsidR="00BA0582" w:rsidRPr="00FE04D9" w:rsidRDefault="00BA0582" w:rsidP="00BA0582">
            <w:pPr>
              <w:spacing w:line="360" w:lineRule="auto"/>
              <w:jc w:val="center"/>
              <w:rPr>
                <w:sz w:val="20"/>
              </w:rPr>
            </w:pPr>
          </w:p>
        </w:tc>
        <w:tc>
          <w:tcPr>
            <w:tcW w:w="0" w:type="auto"/>
            <w:vMerge/>
            <w:tcBorders>
              <w:left w:val="dashed" w:sz="4" w:space="0" w:color="808080" w:themeColor="background1" w:themeShade="80"/>
              <w:bottom w:val="nil"/>
              <w:right w:val="dashed" w:sz="4" w:space="0" w:color="808080" w:themeColor="background1" w:themeShade="80"/>
            </w:tcBorders>
            <w:vAlign w:val="center"/>
          </w:tcPr>
          <w:p w14:paraId="2631D350" w14:textId="77777777" w:rsidR="00BA0582" w:rsidRPr="00FE04D9" w:rsidRDefault="00BA0582" w:rsidP="00BA0582">
            <w:pPr>
              <w:spacing w:line="360" w:lineRule="auto"/>
              <w:jc w:val="center"/>
              <w:rPr>
                <w:sz w:val="20"/>
              </w:rPr>
            </w:pPr>
          </w:p>
        </w:tc>
        <w:tc>
          <w:tcPr>
            <w:tcW w:w="0" w:type="auto"/>
            <w:tcBorders>
              <w:top w:val="dashed" w:sz="4" w:space="0" w:color="808080" w:themeColor="background1" w:themeShade="80"/>
              <w:left w:val="dashed" w:sz="4" w:space="0" w:color="808080" w:themeColor="background1" w:themeShade="80"/>
              <w:bottom w:val="nil"/>
              <w:right w:val="nil"/>
            </w:tcBorders>
            <w:vAlign w:val="center"/>
          </w:tcPr>
          <w:p w14:paraId="608460FA" w14:textId="77777777" w:rsidR="00BA0582" w:rsidRPr="00FE04D9" w:rsidRDefault="00BA0582" w:rsidP="00BA0582">
            <w:pPr>
              <w:spacing w:line="360" w:lineRule="auto"/>
              <w:jc w:val="center"/>
              <w:rPr>
                <w:sz w:val="20"/>
              </w:rPr>
            </w:pPr>
            <w:r w:rsidRPr="00FE04D9">
              <w:rPr>
                <w:sz w:val="20"/>
              </w:rPr>
              <w:t>200</w:t>
            </w:r>
          </w:p>
        </w:tc>
      </w:tr>
    </w:tbl>
    <w:p w14:paraId="1AFC4874" w14:textId="77777777" w:rsidR="00BA0582" w:rsidRDefault="00BA0582" w:rsidP="00FE04D9">
      <w:pPr>
        <w:spacing w:line="360" w:lineRule="auto"/>
      </w:pPr>
      <w:r w:rsidRPr="00301D87">
        <w:rPr>
          <w:noProof/>
        </w:rPr>
        <w:t xml:space="preserve"> </w:t>
      </w:r>
      <w:r w:rsidRPr="00301D87">
        <w:rPr>
          <w:noProof/>
          <w:lang w:bidi="ar-SA"/>
        </w:rPr>
        <w:drawing>
          <wp:inline distT="0" distB="0" distL="0" distR="0" wp14:anchorId="03616C8F" wp14:editId="0E8A0362">
            <wp:extent cx="2560320" cy="1715324"/>
            <wp:effectExtent l="0" t="0" r="11430" b="18415"/>
            <wp:docPr id="227" name="Chart 22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0"/>
              </a:graphicData>
            </a:graphic>
          </wp:inline>
        </w:drawing>
      </w:r>
    </w:p>
    <w:tbl>
      <w:tblPr>
        <w:tblStyle w:val="TableGrid"/>
        <w:tblpPr w:leftFromText="180" w:rightFromText="180" w:vertAnchor="text" w:horzAnchor="margin" w:tblpXSpec="right" w:tblpY="501"/>
        <w:tblW w:w="0" w:type="auto"/>
        <w:tblLook w:val="04A0" w:firstRow="1" w:lastRow="0" w:firstColumn="1" w:lastColumn="0" w:noHBand="0" w:noVBand="1"/>
      </w:tblPr>
      <w:tblGrid>
        <w:gridCol w:w="734"/>
        <w:gridCol w:w="1258"/>
        <w:gridCol w:w="1326"/>
        <w:gridCol w:w="737"/>
      </w:tblGrid>
      <w:tr w:rsidR="00BA0582" w:rsidRPr="00FE04D9" w14:paraId="6C860E09" w14:textId="77777777" w:rsidTr="00BA0582">
        <w:tc>
          <w:tcPr>
            <w:tcW w:w="0" w:type="auto"/>
            <w:tcBorders>
              <w:top w:val="nil"/>
              <w:left w:val="nil"/>
              <w:bottom w:val="single" w:sz="12" w:space="0" w:color="auto"/>
              <w:right w:val="single" w:sz="12" w:space="0" w:color="auto"/>
            </w:tcBorders>
            <w:vAlign w:val="center"/>
          </w:tcPr>
          <w:p w14:paraId="5B743AD8" w14:textId="77777777" w:rsidR="00BA0582" w:rsidRPr="00FE04D9" w:rsidRDefault="00BA0582" w:rsidP="00BA0582">
            <w:pPr>
              <w:spacing w:line="360" w:lineRule="auto"/>
              <w:jc w:val="center"/>
              <w:rPr>
                <w:sz w:val="20"/>
              </w:rPr>
            </w:pPr>
            <w:r w:rsidRPr="00FE04D9">
              <w:rPr>
                <w:sz w:val="20"/>
              </w:rPr>
              <w:t>mol/L</w:t>
            </w:r>
          </w:p>
        </w:tc>
        <w:tc>
          <w:tcPr>
            <w:tcW w:w="0" w:type="auto"/>
            <w:tcBorders>
              <w:top w:val="nil"/>
              <w:left w:val="single" w:sz="12" w:space="0" w:color="auto"/>
              <w:bottom w:val="single" w:sz="12" w:space="0" w:color="auto"/>
              <w:right w:val="dashed" w:sz="4" w:space="0" w:color="808080" w:themeColor="background1" w:themeShade="80"/>
            </w:tcBorders>
            <w:vAlign w:val="center"/>
          </w:tcPr>
          <w:p w14:paraId="15024CDC" w14:textId="77777777" w:rsidR="00BA0582" w:rsidRPr="00FE04D9" w:rsidRDefault="00BA0582" w:rsidP="00BA0582">
            <w:pPr>
              <w:spacing w:line="360" w:lineRule="auto"/>
              <w:jc w:val="center"/>
              <w:rPr>
                <w:sz w:val="20"/>
              </w:rPr>
            </w:pPr>
            <w:r w:rsidRPr="00FE04D9">
              <w:rPr>
                <w:sz w:val="20"/>
              </w:rPr>
              <w:t>[IReO</w:t>
            </w:r>
            <w:r w:rsidRPr="00FE04D9">
              <w:rPr>
                <w:sz w:val="20"/>
                <w:vertAlign w:val="subscript"/>
              </w:rPr>
              <w:t>2</w:t>
            </w:r>
            <w:r w:rsidRPr="00FE04D9">
              <w:rPr>
                <w:sz w:val="20"/>
              </w:rPr>
              <w:t>TPP</w:t>
            </w:r>
            <w:r w:rsidRPr="00FE04D9">
              <w:rPr>
                <w:sz w:val="20"/>
                <w:vertAlign w:val="subscript"/>
              </w:rPr>
              <w:t>2</w:t>
            </w:r>
            <w:r w:rsidRPr="00FE04D9">
              <w:rPr>
                <w:sz w:val="20"/>
              </w:rPr>
              <w:t>]</w:t>
            </w:r>
          </w:p>
        </w:tc>
        <w:tc>
          <w:tcPr>
            <w:tcW w:w="0" w:type="auto"/>
            <w:tcBorders>
              <w:top w:val="nil"/>
              <w:left w:val="dashed" w:sz="4" w:space="0" w:color="808080" w:themeColor="background1" w:themeShade="80"/>
              <w:bottom w:val="single" w:sz="12" w:space="0" w:color="auto"/>
              <w:right w:val="dashed" w:sz="4" w:space="0" w:color="808080" w:themeColor="background1" w:themeShade="80"/>
            </w:tcBorders>
            <w:vAlign w:val="center"/>
          </w:tcPr>
          <w:p w14:paraId="144B45FA" w14:textId="77777777" w:rsidR="00BA0582" w:rsidRPr="00FE04D9" w:rsidRDefault="00BA0582" w:rsidP="00BA0582">
            <w:pPr>
              <w:spacing w:line="360" w:lineRule="auto"/>
              <w:jc w:val="center"/>
              <w:rPr>
                <w:sz w:val="20"/>
              </w:rPr>
            </w:pPr>
            <w:r w:rsidRPr="00FE04D9">
              <w:rPr>
                <w:sz w:val="20"/>
              </w:rPr>
              <w:t>[Ph</w:t>
            </w:r>
            <w:r w:rsidRPr="00FE04D9">
              <w:rPr>
                <w:sz w:val="20"/>
                <w:vertAlign w:val="subscript"/>
              </w:rPr>
              <w:t>2</w:t>
            </w:r>
            <w:r w:rsidRPr="00FE04D9">
              <w:rPr>
                <w:sz w:val="20"/>
              </w:rPr>
              <w:t>CH(OH)]</w:t>
            </w:r>
          </w:p>
        </w:tc>
        <w:tc>
          <w:tcPr>
            <w:tcW w:w="0" w:type="auto"/>
            <w:tcBorders>
              <w:top w:val="nil"/>
              <w:left w:val="dashed" w:sz="4" w:space="0" w:color="808080" w:themeColor="background1" w:themeShade="80"/>
              <w:bottom w:val="single" w:sz="12" w:space="0" w:color="auto"/>
              <w:right w:val="nil"/>
            </w:tcBorders>
            <w:vAlign w:val="center"/>
          </w:tcPr>
          <w:p w14:paraId="26C84830" w14:textId="77777777" w:rsidR="00BA0582" w:rsidRPr="00FE04D9" w:rsidRDefault="00BA0582" w:rsidP="00BA0582">
            <w:pPr>
              <w:spacing w:line="360" w:lineRule="auto"/>
              <w:jc w:val="center"/>
              <w:rPr>
                <w:sz w:val="20"/>
              </w:rPr>
            </w:pPr>
            <w:r w:rsidRPr="00FE04D9">
              <w:rPr>
                <w:sz w:val="20"/>
              </w:rPr>
              <w:t>[PPh</w:t>
            </w:r>
            <w:r w:rsidRPr="00FE04D9">
              <w:rPr>
                <w:sz w:val="20"/>
                <w:vertAlign w:val="subscript"/>
              </w:rPr>
              <w:t>3</w:t>
            </w:r>
            <w:r w:rsidRPr="00FE04D9">
              <w:rPr>
                <w:sz w:val="20"/>
              </w:rPr>
              <w:t>]</w:t>
            </w:r>
          </w:p>
        </w:tc>
      </w:tr>
      <w:tr w:rsidR="00BA0582" w:rsidRPr="00FE04D9" w14:paraId="278E6754" w14:textId="77777777" w:rsidTr="00BA0582">
        <w:tc>
          <w:tcPr>
            <w:tcW w:w="0" w:type="auto"/>
            <w:tcBorders>
              <w:top w:val="single" w:sz="12" w:space="0" w:color="auto"/>
              <w:left w:val="nil"/>
              <w:bottom w:val="dashed" w:sz="4" w:space="0" w:color="808080" w:themeColor="background1" w:themeShade="80"/>
              <w:right w:val="single" w:sz="12" w:space="0" w:color="auto"/>
            </w:tcBorders>
            <w:vAlign w:val="center"/>
          </w:tcPr>
          <w:p w14:paraId="6DD55CBD" w14:textId="77777777" w:rsidR="00BA0582" w:rsidRPr="00FE04D9" w:rsidRDefault="00BA0582" w:rsidP="00BA0582">
            <w:pPr>
              <w:spacing w:line="360" w:lineRule="auto"/>
              <w:rPr>
                <w:sz w:val="20"/>
              </w:rPr>
            </w:pPr>
            <w:r w:rsidRPr="00FE04D9">
              <w:rPr>
                <w:sz w:val="20"/>
              </w:rPr>
              <w:sym w:font="Wingdings" w:char="F06E"/>
            </w:r>
            <w:r w:rsidRPr="00FE04D9">
              <w:rPr>
                <w:sz w:val="20"/>
              </w:rPr>
              <w:t xml:space="preserve">  f</w:t>
            </w:r>
          </w:p>
        </w:tc>
        <w:tc>
          <w:tcPr>
            <w:tcW w:w="0" w:type="auto"/>
            <w:vMerge w:val="restart"/>
            <w:tcBorders>
              <w:top w:val="single" w:sz="12" w:space="0" w:color="auto"/>
              <w:left w:val="single" w:sz="12" w:space="0" w:color="auto"/>
              <w:bottom w:val="dashed" w:sz="4" w:space="0" w:color="808080" w:themeColor="background1" w:themeShade="80"/>
              <w:right w:val="dashed" w:sz="4" w:space="0" w:color="808080" w:themeColor="background1" w:themeShade="80"/>
            </w:tcBorders>
            <w:vAlign w:val="center"/>
          </w:tcPr>
          <w:p w14:paraId="2D53A709" w14:textId="77777777" w:rsidR="00BA0582" w:rsidRPr="00FE04D9" w:rsidRDefault="00BA0582" w:rsidP="00BA0582">
            <w:pPr>
              <w:spacing w:line="360" w:lineRule="auto"/>
              <w:jc w:val="center"/>
              <w:rPr>
                <w:sz w:val="20"/>
              </w:rPr>
            </w:pPr>
            <w:r w:rsidRPr="00FE04D9">
              <w:rPr>
                <w:sz w:val="20"/>
              </w:rPr>
              <w:t>10</w:t>
            </w:r>
          </w:p>
        </w:tc>
        <w:tc>
          <w:tcPr>
            <w:tcW w:w="0" w:type="auto"/>
            <w:vMerge w:val="restart"/>
            <w:tcBorders>
              <w:top w:val="single" w:sz="12" w:space="0" w:color="auto"/>
              <w:left w:val="dashed" w:sz="4" w:space="0" w:color="808080" w:themeColor="background1" w:themeShade="80"/>
              <w:right w:val="dashed" w:sz="4" w:space="0" w:color="808080" w:themeColor="background1" w:themeShade="80"/>
            </w:tcBorders>
            <w:vAlign w:val="center"/>
          </w:tcPr>
          <w:p w14:paraId="7D3BDF27" w14:textId="77777777" w:rsidR="00BA0582" w:rsidRPr="00FE04D9" w:rsidRDefault="00BA0582" w:rsidP="00BA0582">
            <w:pPr>
              <w:spacing w:line="360" w:lineRule="auto"/>
              <w:jc w:val="center"/>
              <w:rPr>
                <w:sz w:val="20"/>
              </w:rPr>
            </w:pPr>
            <w:r w:rsidRPr="00FE04D9">
              <w:rPr>
                <w:sz w:val="20"/>
              </w:rPr>
              <w:t>100</w:t>
            </w:r>
          </w:p>
        </w:tc>
        <w:tc>
          <w:tcPr>
            <w:tcW w:w="0" w:type="auto"/>
            <w:tcBorders>
              <w:top w:val="single" w:sz="12" w:space="0" w:color="auto"/>
              <w:left w:val="dashed" w:sz="4" w:space="0" w:color="808080" w:themeColor="background1" w:themeShade="80"/>
              <w:bottom w:val="dashed" w:sz="4" w:space="0" w:color="808080" w:themeColor="background1" w:themeShade="80"/>
              <w:right w:val="nil"/>
            </w:tcBorders>
            <w:vAlign w:val="center"/>
          </w:tcPr>
          <w:p w14:paraId="7CECE808" w14:textId="77777777" w:rsidR="00BA0582" w:rsidRPr="00FE04D9" w:rsidRDefault="00BA0582" w:rsidP="00BA0582">
            <w:pPr>
              <w:spacing w:line="360" w:lineRule="auto"/>
              <w:jc w:val="center"/>
              <w:rPr>
                <w:sz w:val="20"/>
              </w:rPr>
            </w:pPr>
            <w:r w:rsidRPr="00FE04D9">
              <w:rPr>
                <w:sz w:val="20"/>
              </w:rPr>
              <w:t>50</w:t>
            </w:r>
          </w:p>
        </w:tc>
      </w:tr>
      <w:tr w:rsidR="00BA0582" w:rsidRPr="00FE04D9" w14:paraId="44E055FF" w14:textId="77777777" w:rsidTr="00BA0582">
        <w:tc>
          <w:tcPr>
            <w:tcW w:w="0" w:type="auto"/>
            <w:tcBorders>
              <w:top w:val="dashed" w:sz="4" w:space="0" w:color="808080" w:themeColor="background1" w:themeShade="80"/>
              <w:left w:val="nil"/>
              <w:bottom w:val="dashed" w:sz="4" w:space="0" w:color="808080" w:themeColor="background1" w:themeShade="80"/>
              <w:right w:val="single" w:sz="12" w:space="0" w:color="auto"/>
            </w:tcBorders>
            <w:vAlign w:val="center"/>
          </w:tcPr>
          <w:p w14:paraId="1D1ED510" w14:textId="77777777" w:rsidR="00BA0582" w:rsidRPr="00FE04D9" w:rsidRDefault="00BA0582" w:rsidP="00BA0582">
            <w:pPr>
              <w:spacing w:line="360" w:lineRule="auto"/>
              <w:rPr>
                <w:sz w:val="20"/>
              </w:rPr>
            </w:pPr>
            <w:r w:rsidRPr="00FE04D9">
              <w:rPr>
                <w:sz w:val="20"/>
              </w:rPr>
              <w:t>Δ  a’’’</w:t>
            </w:r>
          </w:p>
        </w:tc>
        <w:tc>
          <w:tcPr>
            <w:tcW w:w="0" w:type="auto"/>
            <w:vMerge/>
            <w:tcBorders>
              <w:top w:val="dashed" w:sz="4" w:space="0" w:color="808080" w:themeColor="background1" w:themeShade="80"/>
              <w:left w:val="single" w:sz="12" w:space="0" w:color="auto"/>
              <w:right w:val="dashed" w:sz="4" w:space="0" w:color="808080" w:themeColor="background1" w:themeShade="80"/>
            </w:tcBorders>
            <w:vAlign w:val="center"/>
          </w:tcPr>
          <w:p w14:paraId="42E08E98" w14:textId="77777777" w:rsidR="00BA0582" w:rsidRPr="00FE04D9" w:rsidRDefault="00BA0582" w:rsidP="00BA0582">
            <w:pPr>
              <w:spacing w:line="360" w:lineRule="auto"/>
              <w:jc w:val="center"/>
              <w:rPr>
                <w:sz w:val="20"/>
              </w:rPr>
            </w:pPr>
          </w:p>
        </w:tc>
        <w:tc>
          <w:tcPr>
            <w:tcW w:w="0" w:type="auto"/>
            <w:vMerge/>
            <w:tcBorders>
              <w:left w:val="dashed" w:sz="4" w:space="0" w:color="808080" w:themeColor="background1" w:themeShade="80"/>
              <w:right w:val="dashed" w:sz="4" w:space="0" w:color="808080" w:themeColor="background1" w:themeShade="80"/>
            </w:tcBorders>
            <w:vAlign w:val="center"/>
          </w:tcPr>
          <w:p w14:paraId="3BCB3782" w14:textId="77777777" w:rsidR="00BA0582" w:rsidRPr="00FE04D9" w:rsidRDefault="00BA0582" w:rsidP="00BA0582">
            <w:pPr>
              <w:spacing w:line="360" w:lineRule="auto"/>
              <w:jc w:val="center"/>
              <w:rPr>
                <w:sz w:val="20"/>
              </w:rPr>
            </w:pPr>
          </w:p>
        </w:tc>
        <w:tc>
          <w:tcPr>
            <w:tcW w:w="0" w:type="auto"/>
            <w:tcBorders>
              <w:top w:val="dashed" w:sz="4" w:space="0" w:color="808080" w:themeColor="background1" w:themeShade="80"/>
              <w:left w:val="dashed" w:sz="4" w:space="0" w:color="808080" w:themeColor="background1" w:themeShade="80"/>
              <w:bottom w:val="dashed" w:sz="4" w:space="0" w:color="808080" w:themeColor="background1" w:themeShade="80"/>
              <w:right w:val="nil"/>
            </w:tcBorders>
            <w:vAlign w:val="center"/>
          </w:tcPr>
          <w:p w14:paraId="7E1D4B57" w14:textId="77777777" w:rsidR="00BA0582" w:rsidRPr="00FE04D9" w:rsidRDefault="00BA0582" w:rsidP="00BA0582">
            <w:pPr>
              <w:spacing w:line="360" w:lineRule="auto"/>
              <w:jc w:val="center"/>
              <w:rPr>
                <w:sz w:val="20"/>
              </w:rPr>
            </w:pPr>
            <w:r w:rsidRPr="00FE04D9">
              <w:rPr>
                <w:sz w:val="20"/>
              </w:rPr>
              <w:t>100</w:t>
            </w:r>
          </w:p>
        </w:tc>
      </w:tr>
      <w:tr w:rsidR="00BA0582" w:rsidRPr="00FE04D9" w14:paraId="0BA50B54" w14:textId="77777777" w:rsidTr="00BA0582">
        <w:tc>
          <w:tcPr>
            <w:tcW w:w="0" w:type="auto"/>
            <w:tcBorders>
              <w:top w:val="dashed" w:sz="4" w:space="0" w:color="808080" w:themeColor="background1" w:themeShade="80"/>
              <w:left w:val="nil"/>
              <w:bottom w:val="nil"/>
              <w:right w:val="single" w:sz="12" w:space="0" w:color="auto"/>
            </w:tcBorders>
            <w:vAlign w:val="center"/>
          </w:tcPr>
          <w:p w14:paraId="6D4FE82F" w14:textId="77777777" w:rsidR="00BA0582" w:rsidRPr="00FE04D9" w:rsidRDefault="00BA0582" w:rsidP="00BA0582">
            <w:pPr>
              <w:spacing w:line="360" w:lineRule="auto"/>
              <w:rPr>
                <w:sz w:val="20"/>
              </w:rPr>
            </w:pPr>
            <w:r w:rsidRPr="00FE04D9">
              <w:rPr>
                <w:sz w:val="20"/>
              </w:rPr>
              <w:sym w:font="Wingdings" w:char="F06C"/>
            </w:r>
            <w:r w:rsidRPr="00FE04D9">
              <w:rPr>
                <w:sz w:val="20"/>
              </w:rPr>
              <w:t xml:space="preserve">  g</w:t>
            </w:r>
          </w:p>
        </w:tc>
        <w:tc>
          <w:tcPr>
            <w:tcW w:w="0" w:type="auto"/>
            <w:vMerge/>
            <w:tcBorders>
              <w:left w:val="single" w:sz="12" w:space="0" w:color="auto"/>
              <w:right w:val="dashed" w:sz="4" w:space="0" w:color="808080" w:themeColor="background1" w:themeShade="80"/>
            </w:tcBorders>
            <w:vAlign w:val="center"/>
          </w:tcPr>
          <w:p w14:paraId="2D8B3708" w14:textId="77777777" w:rsidR="00BA0582" w:rsidRPr="00FE04D9" w:rsidRDefault="00BA0582" w:rsidP="00BA0582">
            <w:pPr>
              <w:spacing w:line="360" w:lineRule="auto"/>
              <w:jc w:val="center"/>
              <w:rPr>
                <w:sz w:val="20"/>
              </w:rPr>
            </w:pPr>
          </w:p>
        </w:tc>
        <w:tc>
          <w:tcPr>
            <w:tcW w:w="0" w:type="auto"/>
            <w:vMerge/>
            <w:tcBorders>
              <w:left w:val="dashed" w:sz="4" w:space="0" w:color="808080" w:themeColor="background1" w:themeShade="80"/>
              <w:right w:val="dashed" w:sz="4" w:space="0" w:color="808080" w:themeColor="background1" w:themeShade="80"/>
            </w:tcBorders>
            <w:vAlign w:val="center"/>
          </w:tcPr>
          <w:p w14:paraId="50CAED5F" w14:textId="77777777" w:rsidR="00BA0582" w:rsidRPr="00FE04D9" w:rsidRDefault="00BA0582" w:rsidP="00BA0582">
            <w:pPr>
              <w:spacing w:line="360" w:lineRule="auto"/>
              <w:jc w:val="center"/>
              <w:rPr>
                <w:sz w:val="20"/>
              </w:rPr>
            </w:pPr>
          </w:p>
        </w:tc>
        <w:tc>
          <w:tcPr>
            <w:tcW w:w="0" w:type="auto"/>
            <w:tcBorders>
              <w:top w:val="dashed" w:sz="4" w:space="0" w:color="808080" w:themeColor="background1" w:themeShade="80"/>
              <w:left w:val="dashed" w:sz="4" w:space="0" w:color="808080" w:themeColor="background1" w:themeShade="80"/>
              <w:bottom w:val="dashed" w:sz="4" w:space="0" w:color="808080" w:themeColor="background1" w:themeShade="80"/>
              <w:right w:val="nil"/>
            </w:tcBorders>
            <w:vAlign w:val="center"/>
          </w:tcPr>
          <w:p w14:paraId="14012996" w14:textId="77777777" w:rsidR="00BA0582" w:rsidRPr="00FE04D9" w:rsidRDefault="00BA0582" w:rsidP="00BA0582">
            <w:pPr>
              <w:spacing w:line="360" w:lineRule="auto"/>
              <w:jc w:val="center"/>
              <w:rPr>
                <w:sz w:val="20"/>
              </w:rPr>
            </w:pPr>
            <w:r w:rsidRPr="00FE04D9">
              <w:rPr>
                <w:sz w:val="20"/>
              </w:rPr>
              <w:t>200</w:t>
            </w:r>
          </w:p>
        </w:tc>
      </w:tr>
      <w:tr w:rsidR="00BA0582" w:rsidRPr="00FE04D9" w14:paraId="62EDFC37" w14:textId="77777777" w:rsidTr="00BA0582">
        <w:tc>
          <w:tcPr>
            <w:tcW w:w="0" w:type="auto"/>
            <w:tcBorders>
              <w:top w:val="dashed" w:sz="4" w:space="0" w:color="808080" w:themeColor="background1" w:themeShade="80"/>
              <w:left w:val="nil"/>
              <w:bottom w:val="nil"/>
              <w:right w:val="single" w:sz="12" w:space="0" w:color="auto"/>
            </w:tcBorders>
            <w:vAlign w:val="center"/>
          </w:tcPr>
          <w:p w14:paraId="55B052F5" w14:textId="77777777" w:rsidR="00BA0582" w:rsidRPr="00FE04D9" w:rsidRDefault="00BA0582" w:rsidP="00BA0582">
            <w:pPr>
              <w:spacing w:line="360" w:lineRule="auto"/>
              <w:rPr>
                <w:sz w:val="20"/>
              </w:rPr>
            </w:pPr>
            <w:r w:rsidRPr="00FE04D9">
              <w:rPr>
                <w:sz w:val="20"/>
              </w:rPr>
              <w:sym w:font="Wingdings" w:char="F077"/>
            </w:r>
            <w:r w:rsidRPr="00FE04D9">
              <w:rPr>
                <w:sz w:val="20"/>
              </w:rPr>
              <w:t xml:space="preserve">  i</w:t>
            </w:r>
          </w:p>
        </w:tc>
        <w:tc>
          <w:tcPr>
            <w:tcW w:w="0" w:type="auto"/>
            <w:vMerge/>
            <w:tcBorders>
              <w:left w:val="single" w:sz="12" w:space="0" w:color="auto"/>
              <w:bottom w:val="nil"/>
              <w:right w:val="dashed" w:sz="4" w:space="0" w:color="808080" w:themeColor="background1" w:themeShade="80"/>
            </w:tcBorders>
            <w:vAlign w:val="center"/>
          </w:tcPr>
          <w:p w14:paraId="686B58BE" w14:textId="77777777" w:rsidR="00BA0582" w:rsidRPr="00FE04D9" w:rsidRDefault="00BA0582" w:rsidP="00BA0582">
            <w:pPr>
              <w:spacing w:line="360" w:lineRule="auto"/>
              <w:jc w:val="center"/>
              <w:rPr>
                <w:sz w:val="20"/>
              </w:rPr>
            </w:pPr>
          </w:p>
        </w:tc>
        <w:tc>
          <w:tcPr>
            <w:tcW w:w="0" w:type="auto"/>
            <w:vMerge/>
            <w:tcBorders>
              <w:left w:val="dashed" w:sz="4" w:space="0" w:color="808080" w:themeColor="background1" w:themeShade="80"/>
              <w:bottom w:val="nil"/>
              <w:right w:val="dashed" w:sz="4" w:space="0" w:color="808080" w:themeColor="background1" w:themeShade="80"/>
            </w:tcBorders>
            <w:vAlign w:val="center"/>
          </w:tcPr>
          <w:p w14:paraId="793865C2" w14:textId="77777777" w:rsidR="00BA0582" w:rsidRPr="00FE04D9" w:rsidRDefault="00BA0582" w:rsidP="00BA0582">
            <w:pPr>
              <w:spacing w:line="360" w:lineRule="auto"/>
              <w:jc w:val="center"/>
              <w:rPr>
                <w:sz w:val="20"/>
              </w:rPr>
            </w:pPr>
          </w:p>
        </w:tc>
        <w:tc>
          <w:tcPr>
            <w:tcW w:w="0" w:type="auto"/>
            <w:tcBorders>
              <w:top w:val="dashed" w:sz="4" w:space="0" w:color="808080" w:themeColor="background1" w:themeShade="80"/>
              <w:left w:val="dashed" w:sz="4" w:space="0" w:color="808080" w:themeColor="background1" w:themeShade="80"/>
              <w:bottom w:val="nil"/>
              <w:right w:val="nil"/>
            </w:tcBorders>
            <w:vAlign w:val="center"/>
          </w:tcPr>
          <w:p w14:paraId="03A4C388" w14:textId="77777777" w:rsidR="00BA0582" w:rsidRPr="00FE04D9" w:rsidRDefault="00BA0582" w:rsidP="00BA0582">
            <w:pPr>
              <w:spacing w:line="360" w:lineRule="auto"/>
              <w:jc w:val="center"/>
              <w:rPr>
                <w:sz w:val="20"/>
              </w:rPr>
            </w:pPr>
            <w:r w:rsidRPr="00FE04D9">
              <w:rPr>
                <w:sz w:val="20"/>
              </w:rPr>
              <w:t>500</w:t>
            </w:r>
          </w:p>
        </w:tc>
      </w:tr>
    </w:tbl>
    <w:p w14:paraId="5EF1B294" w14:textId="77777777" w:rsidR="00BA0582" w:rsidRDefault="00BA0582" w:rsidP="00BA0582">
      <w:pPr>
        <w:spacing w:line="360" w:lineRule="auto"/>
        <w:rPr>
          <w:noProof/>
        </w:rPr>
      </w:pPr>
      <w:r w:rsidRPr="00CF7E50">
        <w:rPr>
          <w:noProof/>
        </w:rPr>
        <w:t xml:space="preserve"> </w:t>
      </w:r>
      <w:r w:rsidRPr="00CF7E50">
        <w:rPr>
          <w:noProof/>
          <w:lang w:bidi="ar-SA"/>
        </w:rPr>
        <w:drawing>
          <wp:inline distT="0" distB="0" distL="0" distR="0" wp14:anchorId="2F44148A" wp14:editId="3FA74AC3">
            <wp:extent cx="2560320" cy="1715324"/>
            <wp:effectExtent l="0" t="0" r="11430" b="18415"/>
            <wp:docPr id="228" name="Chart 22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1"/>
              </a:graphicData>
            </a:graphic>
          </wp:inline>
        </w:drawing>
      </w:r>
    </w:p>
    <w:p w14:paraId="795CC77B" w14:textId="77777777" w:rsidR="00BA0582" w:rsidRDefault="00BA0582" w:rsidP="00BA0582">
      <w:pPr>
        <w:spacing w:line="360" w:lineRule="auto"/>
      </w:pPr>
    </w:p>
    <w:p w14:paraId="0FEBF80E" w14:textId="77777777" w:rsidR="0035435E" w:rsidRDefault="0035435E" w:rsidP="00BA0582">
      <w:pPr>
        <w:spacing w:line="360" w:lineRule="auto"/>
      </w:pPr>
    </w:p>
    <w:p w14:paraId="775DB337" w14:textId="77777777" w:rsidR="00E672F9" w:rsidRDefault="00E672F9" w:rsidP="00BA0582">
      <w:pPr>
        <w:spacing w:line="360" w:lineRule="auto"/>
      </w:pPr>
    </w:p>
    <w:p w14:paraId="60B136CB" w14:textId="77777777" w:rsidR="00E672F9" w:rsidRDefault="00E672F9" w:rsidP="00BA0582">
      <w:pPr>
        <w:spacing w:line="360" w:lineRule="auto"/>
      </w:pPr>
    </w:p>
    <w:tbl>
      <w:tblPr>
        <w:tblStyle w:val="TableGrid"/>
        <w:tblpPr w:leftFromText="180" w:rightFromText="180" w:vertAnchor="text" w:horzAnchor="margin" w:tblpXSpec="right" w:tblpY="986"/>
        <w:tblW w:w="0" w:type="auto"/>
        <w:tblLook w:val="04A0" w:firstRow="1" w:lastRow="0" w:firstColumn="1" w:lastColumn="0" w:noHBand="0" w:noVBand="1"/>
      </w:tblPr>
      <w:tblGrid>
        <w:gridCol w:w="705"/>
        <w:gridCol w:w="1258"/>
        <w:gridCol w:w="1326"/>
        <w:gridCol w:w="737"/>
      </w:tblGrid>
      <w:tr w:rsidR="00BA0582" w:rsidRPr="00FE04D9" w14:paraId="3F2B0EB8" w14:textId="77777777" w:rsidTr="00BA0582">
        <w:tc>
          <w:tcPr>
            <w:tcW w:w="0" w:type="auto"/>
            <w:tcBorders>
              <w:top w:val="nil"/>
              <w:left w:val="nil"/>
              <w:bottom w:val="single" w:sz="12" w:space="0" w:color="auto"/>
              <w:right w:val="single" w:sz="12" w:space="0" w:color="auto"/>
            </w:tcBorders>
            <w:vAlign w:val="center"/>
          </w:tcPr>
          <w:p w14:paraId="099006A8" w14:textId="77777777" w:rsidR="00BA0582" w:rsidRPr="00FE04D9" w:rsidRDefault="00BA0582" w:rsidP="00BA0582">
            <w:pPr>
              <w:spacing w:line="360" w:lineRule="auto"/>
              <w:jc w:val="center"/>
              <w:rPr>
                <w:sz w:val="20"/>
              </w:rPr>
            </w:pPr>
            <w:r w:rsidRPr="00FE04D9">
              <w:rPr>
                <w:sz w:val="20"/>
              </w:rPr>
              <w:t>mol/L</w:t>
            </w:r>
          </w:p>
        </w:tc>
        <w:tc>
          <w:tcPr>
            <w:tcW w:w="0" w:type="auto"/>
            <w:tcBorders>
              <w:top w:val="nil"/>
              <w:left w:val="single" w:sz="12" w:space="0" w:color="auto"/>
              <w:bottom w:val="single" w:sz="12" w:space="0" w:color="auto"/>
              <w:right w:val="dashed" w:sz="4" w:space="0" w:color="808080" w:themeColor="background1" w:themeShade="80"/>
            </w:tcBorders>
            <w:vAlign w:val="center"/>
          </w:tcPr>
          <w:p w14:paraId="755C06A3" w14:textId="77777777" w:rsidR="00BA0582" w:rsidRPr="00FE04D9" w:rsidRDefault="00BA0582" w:rsidP="00BA0582">
            <w:pPr>
              <w:spacing w:line="360" w:lineRule="auto"/>
              <w:jc w:val="center"/>
              <w:rPr>
                <w:sz w:val="20"/>
              </w:rPr>
            </w:pPr>
            <w:r w:rsidRPr="00FE04D9">
              <w:rPr>
                <w:sz w:val="20"/>
              </w:rPr>
              <w:t>[IReO</w:t>
            </w:r>
            <w:r w:rsidRPr="00FE04D9">
              <w:rPr>
                <w:sz w:val="20"/>
                <w:vertAlign w:val="subscript"/>
              </w:rPr>
              <w:t>2</w:t>
            </w:r>
            <w:r w:rsidRPr="00FE04D9">
              <w:rPr>
                <w:sz w:val="20"/>
              </w:rPr>
              <w:t>TPP</w:t>
            </w:r>
            <w:r w:rsidRPr="00FE04D9">
              <w:rPr>
                <w:sz w:val="20"/>
                <w:vertAlign w:val="subscript"/>
              </w:rPr>
              <w:t>2</w:t>
            </w:r>
            <w:r w:rsidRPr="00FE04D9">
              <w:rPr>
                <w:sz w:val="20"/>
              </w:rPr>
              <w:t>]</w:t>
            </w:r>
          </w:p>
        </w:tc>
        <w:tc>
          <w:tcPr>
            <w:tcW w:w="0" w:type="auto"/>
            <w:tcBorders>
              <w:top w:val="nil"/>
              <w:left w:val="dashed" w:sz="4" w:space="0" w:color="808080" w:themeColor="background1" w:themeShade="80"/>
              <w:bottom w:val="single" w:sz="12" w:space="0" w:color="auto"/>
              <w:right w:val="dashed" w:sz="4" w:space="0" w:color="808080" w:themeColor="background1" w:themeShade="80"/>
            </w:tcBorders>
            <w:vAlign w:val="center"/>
          </w:tcPr>
          <w:p w14:paraId="6677907A" w14:textId="77777777" w:rsidR="00BA0582" w:rsidRPr="00FE04D9" w:rsidRDefault="00BA0582" w:rsidP="00BA0582">
            <w:pPr>
              <w:spacing w:line="360" w:lineRule="auto"/>
              <w:jc w:val="center"/>
              <w:rPr>
                <w:sz w:val="20"/>
              </w:rPr>
            </w:pPr>
            <w:r w:rsidRPr="00FE04D9">
              <w:rPr>
                <w:sz w:val="20"/>
              </w:rPr>
              <w:t>[Ph</w:t>
            </w:r>
            <w:r w:rsidRPr="00FE04D9">
              <w:rPr>
                <w:sz w:val="20"/>
                <w:vertAlign w:val="subscript"/>
              </w:rPr>
              <w:t>2</w:t>
            </w:r>
            <w:r w:rsidRPr="00FE04D9">
              <w:rPr>
                <w:sz w:val="20"/>
              </w:rPr>
              <w:t>CH(OH)]</w:t>
            </w:r>
          </w:p>
        </w:tc>
        <w:tc>
          <w:tcPr>
            <w:tcW w:w="0" w:type="auto"/>
            <w:tcBorders>
              <w:top w:val="nil"/>
              <w:left w:val="dashed" w:sz="4" w:space="0" w:color="808080" w:themeColor="background1" w:themeShade="80"/>
              <w:bottom w:val="single" w:sz="12" w:space="0" w:color="auto"/>
              <w:right w:val="nil"/>
            </w:tcBorders>
            <w:vAlign w:val="center"/>
          </w:tcPr>
          <w:p w14:paraId="13EE7C81" w14:textId="77777777" w:rsidR="00BA0582" w:rsidRPr="00FE04D9" w:rsidRDefault="00BA0582" w:rsidP="00BA0582">
            <w:pPr>
              <w:spacing w:line="360" w:lineRule="auto"/>
              <w:jc w:val="center"/>
              <w:rPr>
                <w:sz w:val="20"/>
              </w:rPr>
            </w:pPr>
            <w:r w:rsidRPr="00FE04D9">
              <w:rPr>
                <w:sz w:val="20"/>
              </w:rPr>
              <w:t>[PPh</w:t>
            </w:r>
            <w:r w:rsidRPr="00FE04D9">
              <w:rPr>
                <w:sz w:val="20"/>
                <w:vertAlign w:val="subscript"/>
              </w:rPr>
              <w:t>3</w:t>
            </w:r>
            <w:r w:rsidRPr="00FE04D9">
              <w:rPr>
                <w:sz w:val="20"/>
              </w:rPr>
              <w:t>]</w:t>
            </w:r>
          </w:p>
        </w:tc>
      </w:tr>
      <w:tr w:rsidR="00BA0582" w:rsidRPr="00FE04D9" w14:paraId="0BE6E759" w14:textId="77777777" w:rsidTr="00BA0582">
        <w:tc>
          <w:tcPr>
            <w:tcW w:w="0" w:type="auto"/>
            <w:tcBorders>
              <w:top w:val="single" w:sz="12" w:space="0" w:color="auto"/>
              <w:left w:val="nil"/>
              <w:bottom w:val="dashed" w:sz="4" w:space="0" w:color="808080" w:themeColor="background1" w:themeShade="80"/>
              <w:right w:val="single" w:sz="12" w:space="0" w:color="auto"/>
            </w:tcBorders>
            <w:vAlign w:val="center"/>
          </w:tcPr>
          <w:p w14:paraId="71E088F9" w14:textId="77777777" w:rsidR="00BA0582" w:rsidRPr="00FE04D9" w:rsidRDefault="00BA0582" w:rsidP="00BA0582">
            <w:pPr>
              <w:spacing w:line="360" w:lineRule="auto"/>
              <w:rPr>
                <w:sz w:val="20"/>
              </w:rPr>
            </w:pPr>
            <w:r w:rsidRPr="00FE04D9">
              <w:rPr>
                <w:sz w:val="20"/>
              </w:rPr>
              <w:sym w:font="Wingdings" w:char="F06E"/>
            </w:r>
            <w:r w:rsidRPr="00FE04D9">
              <w:rPr>
                <w:sz w:val="20"/>
              </w:rPr>
              <w:t xml:space="preserve">  l’</w:t>
            </w:r>
          </w:p>
        </w:tc>
        <w:tc>
          <w:tcPr>
            <w:tcW w:w="0" w:type="auto"/>
            <w:vMerge w:val="restart"/>
            <w:tcBorders>
              <w:top w:val="single" w:sz="12" w:space="0" w:color="auto"/>
              <w:left w:val="single" w:sz="12" w:space="0" w:color="auto"/>
              <w:bottom w:val="dashed" w:sz="4" w:space="0" w:color="808080" w:themeColor="background1" w:themeShade="80"/>
              <w:right w:val="dashed" w:sz="4" w:space="0" w:color="808080" w:themeColor="background1" w:themeShade="80"/>
            </w:tcBorders>
            <w:vAlign w:val="center"/>
          </w:tcPr>
          <w:p w14:paraId="4DF3BA62" w14:textId="77777777" w:rsidR="00BA0582" w:rsidRPr="00FE04D9" w:rsidRDefault="00BA0582" w:rsidP="00BA0582">
            <w:pPr>
              <w:spacing w:line="360" w:lineRule="auto"/>
              <w:jc w:val="center"/>
              <w:rPr>
                <w:sz w:val="20"/>
              </w:rPr>
            </w:pPr>
            <w:r w:rsidRPr="00FE04D9">
              <w:rPr>
                <w:sz w:val="20"/>
              </w:rPr>
              <w:t>10</w:t>
            </w:r>
          </w:p>
        </w:tc>
        <w:tc>
          <w:tcPr>
            <w:tcW w:w="0" w:type="auto"/>
            <w:vMerge w:val="restart"/>
            <w:tcBorders>
              <w:top w:val="single" w:sz="12" w:space="0" w:color="auto"/>
              <w:left w:val="dashed" w:sz="4" w:space="0" w:color="808080" w:themeColor="background1" w:themeShade="80"/>
              <w:right w:val="dashed" w:sz="4" w:space="0" w:color="808080" w:themeColor="background1" w:themeShade="80"/>
            </w:tcBorders>
            <w:vAlign w:val="center"/>
          </w:tcPr>
          <w:p w14:paraId="1A421A3F" w14:textId="77777777" w:rsidR="00BA0582" w:rsidRPr="00FE04D9" w:rsidRDefault="00BA0582" w:rsidP="00BA0582">
            <w:pPr>
              <w:spacing w:line="360" w:lineRule="auto"/>
              <w:jc w:val="center"/>
              <w:rPr>
                <w:sz w:val="20"/>
              </w:rPr>
            </w:pPr>
            <w:r w:rsidRPr="00FE04D9">
              <w:rPr>
                <w:sz w:val="20"/>
              </w:rPr>
              <w:t>200</w:t>
            </w:r>
          </w:p>
        </w:tc>
        <w:tc>
          <w:tcPr>
            <w:tcW w:w="0" w:type="auto"/>
            <w:tcBorders>
              <w:top w:val="single" w:sz="12" w:space="0" w:color="auto"/>
              <w:left w:val="dashed" w:sz="4" w:space="0" w:color="808080" w:themeColor="background1" w:themeShade="80"/>
              <w:bottom w:val="dashed" w:sz="4" w:space="0" w:color="808080" w:themeColor="background1" w:themeShade="80"/>
              <w:right w:val="nil"/>
            </w:tcBorders>
            <w:vAlign w:val="center"/>
          </w:tcPr>
          <w:p w14:paraId="74F591CA" w14:textId="77777777" w:rsidR="00BA0582" w:rsidRPr="00FE04D9" w:rsidRDefault="00BA0582" w:rsidP="00BA0582">
            <w:pPr>
              <w:spacing w:line="360" w:lineRule="auto"/>
              <w:jc w:val="center"/>
              <w:rPr>
                <w:sz w:val="20"/>
              </w:rPr>
            </w:pPr>
            <w:r w:rsidRPr="00FE04D9">
              <w:rPr>
                <w:sz w:val="20"/>
              </w:rPr>
              <w:t>50</w:t>
            </w:r>
          </w:p>
        </w:tc>
      </w:tr>
      <w:tr w:rsidR="00BA0582" w:rsidRPr="00FE04D9" w14:paraId="0EFD3539" w14:textId="77777777" w:rsidTr="00BA0582">
        <w:tc>
          <w:tcPr>
            <w:tcW w:w="0" w:type="auto"/>
            <w:tcBorders>
              <w:top w:val="dashed" w:sz="4" w:space="0" w:color="808080" w:themeColor="background1" w:themeShade="80"/>
              <w:left w:val="nil"/>
              <w:bottom w:val="dashed" w:sz="4" w:space="0" w:color="808080" w:themeColor="background1" w:themeShade="80"/>
              <w:right w:val="single" w:sz="12" w:space="0" w:color="auto"/>
            </w:tcBorders>
            <w:vAlign w:val="center"/>
          </w:tcPr>
          <w:p w14:paraId="344609A4" w14:textId="77777777" w:rsidR="00BA0582" w:rsidRPr="00FE04D9" w:rsidRDefault="00BA0582" w:rsidP="00BA0582">
            <w:pPr>
              <w:spacing w:line="360" w:lineRule="auto"/>
              <w:rPr>
                <w:sz w:val="20"/>
              </w:rPr>
            </w:pPr>
            <w:r w:rsidRPr="00FE04D9">
              <w:rPr>
                <w:sz w:val="20"/>
              </w:rPr>
              <w:t>Δ  d’’</w:t>
            </w:r>
          </w:p>
        </w:tc>
        <w:tc>
          <w:tcPr>
            <w:tcW w:w="0" w:type="auto"/>
            <w:vMerge/>
            <w:tcBorders>
              <w:top w:val="dashed" w:sz="4" w:space="0" w:color="808080" w:themeColor="background1" w:themeShade="80"/>
              <w:left w:val="single" w:sz="12" w:space="0" w:color="auto"/>
              <w:right w:val="dashed" w:sz="4" w:space="0" w:color="808080" w:themeColor="background1" w:themeShade="80"/>
            </w:tcBorders>
            <w:vAlign w:val="center"/>
          </w:tcPr>
          <w:p w14:paraId="7DEC96EA" w14:textId="77777777" w:rsidR="00BA0582" w:rsidRPr="00FE04D9" w:rsidRDefault="00BA0582" w:rsidP="00BA0582">
            <w:pPr>
              <w:spacing w:line="360" w:lineRule="auto"/>
              <w:jc w:val="center"/>
              <w:rPr>
                <w:sz w:val="20"/>
              </w:rPr>
            </w:pPr>
          </w:p>
        </w:tc>
        <w:tc>
          <w:tcPr>
            <w:tcW w:w="0" w:type="auto"/>
            <w:vMerge/>
            <w:tcBorders>
              <w:left w:val="dashed" w:sz="4" w:space="0" w:color="808080" w:themeColor="background1" w:themeShade="80"/>
              <w:right w:val="dashed" w:sz="4" w:space="0" w:color="808080" w:themeColor="background1" w:themeShade="80"/>
            </w:tcBorders>
            <w:vAlign w:val="center"/>
          </w:tcPr>
          <w:p w14:paraId="78669401" w14:textId="77777777" w:rsidR="00BA0582" w:rsidRPr="00FE04D9" w:rsidRDefault="00BA0582" w:rsidP="00BA0582">
            <w:pPr>
              <w:spacing w:line="360" w:lineRule="auto"/>
              <w:jc w:val="center"/>
              <w:rPr>
                <w:sz w:val="20"/>
              </w:rPr>
            </w:pPr>
          </w:p>
        </w:tc>
        <w:tc>
          <w:tcPr>
            <w:tcW w:w="0" w:type="auto"/>
            <w:tcBorders>
              <w:top w:val="dashed" w:sz="4" w:space="0" w:color="808080" w:themeColor="background1" w:themeShade="80"/>
              <w:left w:val="dashed" w:sz="4" w:space="0" w:color="808080" w:themeColor="background1" w:themeShade="80"/>
              <w:right w:val="nil"/>
            </w:tcBorders>
            <w:vAlign w:val="center"/>
          </w:tcPr>
          <w:p w14:paraId="1248D417" w14:textId="77777777" w:rsidR="00BA0582" w:rsidRPr="00FE04D9" w:rsidRDefault="00BA0582" w:rsidP="00BA0582">
            <w:pPr>
              <w:spacing w:line="360" w:lineRule="auto"/>
              <w:jc w:val="center"/>
              <w:rPr>
                <w:sz w:val="20"/>
              </w:rPr>
            </w:pPr>
            <w:r w:rsidRPr="00FE04D9">
              <w:rPr>
                <w:sz w:val="20"/>
              </w:rPr>
              <w:t>100</w:t>
            </w:r>
          </w:p>
        </w:tc>
      </w:tr>
      <w:tr w:rsidR="00BA0582" w:rsidRPr="00FE04D9" w14:paraId="28F1D4FA" w14:textId="77777777" w:rsidTr="00BA0582">
        <w:tc>
          <w:tcPr>
            <w:tcW w:w="0" w:type="auto"/>
            <w:tcBorders>
              <w:top w:val="dashed" w:sz="4" w:space="0" w:color="808080" w:themeColor="background1" w:themeShade="80"/>
              <w:left w:val="nil"/>
              <w:bottom w:val="nil"/>
              <w:right w:val="single" w:sz="12" w:space="0" w:color="auto"/>
            </w:tcBorders>
            <w:vAlign w:val="center"/>
          </w:tcPr>
          <w:p w14:paraId="22EF8E65" w14:textId="77777777" w:rsidR="00BA0582" w:rsidRPr="00FE04D9" w:rsidRDefault="00BA0582" w:rsidP="00BA0582">
            <w:pPr>
              <w:spacing w:line="360" w:lineRule="auto"/>
              <w:rPr>
                <w:sz w:val="20"/>
              </w:rPr>
            </w:pPr>
            <w:r w:rsidRPr="00FE04D9">
              <w:rPr>
                <w:sz w:val="20"/>
              </w:rPr>
              <w:sym w:font="Wingdings" w:char="F06C"/>
            </w:r>
            <w:r w:rsidRPr="00FE04D9">
              <w:rPr>
                <w:sz w:val="20"/>
              </w:rPr>
              <w:t xml:space="preserve">  m</w:t>
            </w:r>
          </w:p>
        </w:tc>
        <w:tc>
          <w:tcPr>
            <w:tcW w:w="0" w:type="auto"/>
            <w:vMerge/>
            <w:tcBorders>
              <w:left w:val="single" w:sz="12" w:space="0" w:color="auto"/>
              <w:bottom w:val="nil"/>
              <w:right w:val="dashed" w:sz="4" w:space="0" w:color="808080" w:themeColor="background1" w:themeShade="80"/>
            </w:tcBorders>
            <w:vAlign w:val="center"/>
          </w:tcPr>
          <w:p w14:paraId="5B36857E" w14:textId="77777777" w:rsidR="00BA0582" w:rsidRPr="00FE04D9" w:rsidRDefault="00BA0582" w:rsidP="00BA0582">
            <w:pPr>
              <w:spacing w:line="360" w:lineRule="auto"/>
              <w:jc w:val="center"/>
              <w:rPr>
                <w:sz w:val="20"/>
              </w:rPr>
            </w:pPr>
          </w:p>
        </w:tc>
        <w:tc>
          <w:tcPr>
            <w:tcW w:w="0" w:type="auto"/>
            <w:vMerge/>
            <w:tcBorders>
              <w:left w:val="dashed" w:sz="4" w:space="0" w:color="808080" w:themeColor="background1" w:themeShade="80"/>
              <w:bottom w:val="nil"/>
              <w:right w:val="dashed" w:sz="4" w:space="0" w:color="808080" w:themeColor="background1" w:themeShade="80"/>
            </w:tcBorders>
            <w:vAlign w:val="center"/>
          </w:tcPr>
          <w:p w14:paraId="55AC1394" w14:textId="77777777" w:rsidR="00BA0582" w:rsidRPr="00FE04D9" w:rsidRDefault="00BA0582" w:rsidP="00BA0582">
            <w:pPr>
              <w:spacing w:line="360" w:lineRule="auto"/>
              <w:jc w:val="center"/>
              <w:rPr>
                <w:sz w:val="20"/>
              </w:rPr>
            </w:pPr>
          </w:p>
        </w:tc>
        <w:tc>
          <w:tcPr>
            <w:tcW w:w="0" w:type="auto"/>
            <w:tcBorders>
              <w:left w:val="dashed" w:sz="4" w:space="0" w:color="808080" w:themeColor="background1" w:themeShade="80"/>
              <w:bottom w:val="nil"/>
              <w:right w:val="nil"/>
            </w:tcBorders>
            <w:vAlign w:val="center"/>
          </w:tcPr>
          <w:p w14:paraId="457808AE" w14:textId="77777777" w:rsidR="00BA0582" w:rsidRPr="00FE04D9" w:rsidRDefault="00BA0582" w:rsidP="00BA0582">
            <w:pPr>
              <w:spacing w:line="360" w:lineRule="auto"/>
              <w:jc w:val="center"/>
              <w:rPr>
                <w:sz w:val="20"/>
              </w:rPr>
            </w:pPr>
            <w:r w:rsidRPr="00FE04D9">
              <w:rPr>
                <w:sz w:val="20"/>
              </w:rPr>
              <w:t>200</w:t>
            </w:r>
          </w:p>
        </w:tc>
      </w:tr>
    </w:tbl>
    <w:p w14:paraId="60844586" w14:textId="77777777" w:rsidR="00BA0582" w:rsidRDefault="00BA0582" w:rsidP="00BA0582">
      <w:pPr>
        <w:spacing w:line="360" w:lineRule="auto"/>
      </w:pPr>
      <w:r w:rsidRPr="00CF7E50">
        <w:rPr>
          <w:noProof/>
        </w:rPr>
        <w:t xml:space="preserve"> </w:t>
      </w:r>
      <w:r w:rsidRPr="00CF7E50">
        <w:rPr>
          <w:noProof/>
          <w:lang w:bidi="ar-SA"/>
        </w:rPr>
        <w:drawing>
          <wp:inline distT="0" distB="0" distL="0" distR="0" wp14:anchorId="38F2E00A" wp14:editId="49438FDA">
            <wp:extent cx="2651760" cy="1775802"/>
            <wp:effectExtent l="0" t="0" r="15240" b="15240"/>
            <wp:docPr id="229" name="Chart 22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2"/>
              </a:graphicData>
            </a:graphic>
          </wp:inline>
        </w:drawing>
      </w:r>
    </w:p>
    <w:p w14:paraId="4D6C0331" w14:textId="77777777" w:rsidR="00573BBE" w:rsidRDefault="00573BBE" w:rsidP="00573BBE">
      <w:pPr>
        <w:pStyle w:val="Caption"/>
      </w:pPr>
      <w:bookmarkStart w:id="455" w:name="_Toc457670805"/>
      <w:r>
        <w:t xml:space="preserve">Figure </w:t>
      </w:r>
      <w:r w:rsidR="00443010">
        <w:fldChar w:fldCharType="begin"/>
      </w:r>
      <w:r w:rsidR="00443010">
        <w:instrText xml:space="preserve"> STYLEREF 1 \s </w:instrText>
      </w:r>
      <w:r w:rsidR="00443010">
        <w:fldChar w:fldCharType="separate"/>
      </w:r>
      <w:r w:rsidR="000A0E3D">
        <w:rPr>
          <w:noProof/>
        </w:rPr>
        <w:t>IV</w:t>
      </w:r>
      <w:r w:rsidR="00443010">
        <w:rPr>
          <w:noProof/>
        </w:rPr>
        <w:fldChar w:fldCharType="end"/>
      </w:r>
      <w:r>
        <w:t>.</w:t>
      </w:r>
      <w:r w:rsidR="00443010">
        <w:fldChar w:fldCharType="begin"/>
      </w:r>
      <w:r w:rsidR="00443010">
        <w:instrText xml:space="preserve"> SEQ Figure \* ARABIC \s 1 </w:instrText>
      </w:r>
      <w:r w:rsidR="00443010">
        <w:fldChar w:fldCharType="separate"/>
      </w:r>
      <w:r w:rsidR="000A0E3D">
        <w:rPr>
          <w:noProof/>
        </w:rPr>
        <w:t>21</w:t>
      </w:r>
      <w:r w:rsidR="00443010">
        <w:rPr>
          <w:noProof/>
        </w:rPr>
        <w:fldChar w:fldCharType="end"/>
      </w:r>
      <w:r>
        <w:t xml:space="preserve"> Kinetic plot 5</w:t>
      </w:r>
      <w:bookmarkEnd w:id="455"/>
    </w:p>
    <w:p w14:paraId="43C33CA7" w14:textId="77777777" w:rsidR="00573BBE" w:rsidRPr="00573BBE" w:rsidRDefault="00573BBE" w:rsidP="00573BBE"/>
    <w:p w14:paraId="33FAA1F1" w14:textId="77777777" w:rsidR="00BA0582" w:rsidRPr="00F057C7" w:rsidRDefault="00BA0582" w:rsidP="00FE04D9">
      <w:pPr>
        <w:ind w:firstLine="360"/>
        <w:jc w:val="both"/>
      </w:pPr>
      <w:r>
        <w:t xml:space="preserve">In both the triphenylphosphine and alcohol </w:t>
      </w:r>
      <w:r w:rsidRPr="000868C9">
        <w:t xml:space="preserve">concentration dependency plots we could not see </w:t>
      </w:r>
      <w:r>
        <w:t xml:space="preserve">any clear and linear trend of the rate of product formation. </w:t>
      </w:r>
      <w:r w:rsidRPr="00792916">
        <w:t>The concentration in reagents employed in these reaction</w:t>
      </w:r>
      <w:r>
        <w:t>s</w:t>
      </w:r>
      <w:r w:rsidRPr="00792916">
        <w:t xml:space="preserve"> were similar to the actual RC reaction conditions.</w:t>
      </w:r>
      <w:r>
        <w:t xml:space="preserve"> </w:t>
      </w:r>
      <w:r w:rsidRPr="0006484A">
        <w:t>At these concentrations of cataly</w:t>
      </w:r>
      <w:r>
        <w:t xml:space="preserve">st the </w:t>
      </w:r>
      <w:r w:rsidRPr="0006484A">
        <w:t xml:space="preserve">independence of rate on phosphine and alcohol concentrations may indicate that the catalyst is "saturated". </w:t>
      </w:r>
      <w:r>
        <w:t>It could be of importance as usually kinetic studies are run with bigger differences of concentrations of the reactants. We can see that when the alcohol concentrations is low compare to the concentration of triphenylphosphine</w:t>
      </w:r>
      <w:r w:rsidRPr="00792916">
        <w:t xml:space="preserve"> we </w:t>
      </w:r>
      <w:r>
        <w:t>could</w:t>
      </w:r>
      <w:r w:rsidRPr="00792916">
        <w:t xml:space="preserve"> detect </w:t>
      </w:r>
      <w:r>
        <w:t>a</w:t>
      </w:r>
      <w:r w:rsidRPr="00792916">
        <w:t xml:space="preserve"> drop in the rate of reaction</w:t>
      </w:r>
      <w:r>
        <w:t xml:space="preserve">. </w:t>
      </w:r>
      <w:r w:rsidRPr="000868C9">
        <w:t xml:space="preserve">A high concentration of triphenylphosphine in the reaction significantly decreased the rate. </w:t>
      </w:r>
      <w:r>
        <w:t>With 0.1 and 0.05 mol/L concentrations of alcohol the rates found were similar but for 0.2mol/L concentration the rate decreased. W</w:t>
      </w:r>
      <w:r w:rsidRPr="000868C9">
        <w:t xml:space="preserve">e </w:t>
      </w:r>
      <w:r w:rsidRPr="00792916">
        <w:t>determined in the NMR stoichiometric experiments</w:t>
      </w:r>
      <w:r>
        <w:t xml:space="preserve"> (</w:t>
      </w:r>
      <w:r w:rsidR="00573BBE">
        <w:fldChar w:fldCharType="begin"/>
      </w:r>
      <w:r w:rsidR="00573BBE">
        <w:instrText xml:space="preserve"> REF _Ref457476979 \n \h </w:instrText>
      </w:r>
      <w:r w:rsidR="00573BBE">
        <w:fldChar w:fldCharType="separate"/>
      </w:r>
      <w:r w:rsidR="000A0E3D">
        <w:t>Chapter IV</w:t>
      </w:r>
      <w:r w:rsidR="00573BBE">
        <w:fldChar w:fldCharType="end"/>
      </w:r>
      <w:r w:rsidR="00573BBE">
        <w:t>.</w:t>
      </w:r>
      <w:r w:rsidR="00573BBE">
        <w:fldChar w:fldCharType="begin"/>
      </w:r>
      <w:r w:rsidR="00573BBE">
        <w:instrText xml:space="preserve"> REF _Ref457476976 \n \h </w:instrText>
      </w:r>
      <w:r w:rsidR="00573BBE">
        <w:fldChar w:fldCharType="separate"/>
      </w:r>
      <w:r w:rsidR="000A0E3D">
        <w:t>2</w:t>
      </w:r>
      <w:r w:rsidR="00573BBE">
        <w:fldChar w:fldCharType="end"/>
      </w:r>
      <w:r w:rsidR="00573BBE">
        <w:t>.</w:t>
      </w:r>
      <w:r w:rsidR="00573BBE">
        <w:fldChar w:fldCharType="begin"/>
      </w:r>
      <w:r w:rsidR="00573BBE">
        <w:instrText xml:space="preserve"> REF _Ref457477036 \n \h </w:instrText>
      </w:r>
      <w:r w:rsidR="00573BBE">
        <w:fldChar w:fldCharType="separate"/>
      </w:r>
      <w:r w:rsidR="000A0E3D">
        <w:t>b</w:t>
      </w:r>
      <w:r w:rsidR="00573BBE">
        <w:fldChar w:fldCharType="end"/>
      </w:r>
      <w:r>
        <w:t xml:space="preserve">) that the release of one of the </w:t>
      </w:r>
      <w:r w:rsidRPr="002A2013">
        <w:t>PPh</w:t>
      </w:r>
      <w:r w:rsidRPr="002A2013">
        <w:rPr>
          <w:vertAlign w:val="subscript"/>
        </w:rPr>
        <w:t>3</w:t>
      </w:r>
      <w:r w:rsidRPr="002A2013">
        <w:t xml:space="preserve"> ligands on the rhenium complex is first step for the reaction to proceed</w:t>
      </w:r>
      <w:r>
        <w:t>.</w:t>
      </w:r>
      <w:r w:rsidRPr="002A2013">
        <w:t xml:space="preserve"> </w:t>
      </w:r>
      <w:r>
        <w:t>W</w:t>
      </w:r>
      <w:r w:rsidRPr="002A2013">
        <w:t>e also determined that this dis</w:t>
      </w:r>
      <w:r>
        <w:t>sociation</w:t>
      </w:r>
      <w:r w:rsidRPr="002A2013">
        <w:t xml:space="preserve"> was reversible (</w:t>
      </w:r>
      <w:r w:rsidR="00573BBE">
        <w:fldChar w:fldCharType="begin"/>
      </w:r>
      <w:r w:rsidR="00573BBE">
        <w:instrText xml:space="preserve"> REF _Ref457476979 \n \h </w:instrText>
      </w:r>
      <w:r w:rsidR="00573BBE">
        <w:fldChar w:fldCharType="separate"/>
      </w:r>
      <w:r w:rsidR="000A0E3D">
        <w:t>Chapter IV</w:t>
      </w:r>
      <w:r w:rsidR="00573BBE">
        <w:fldChar w:fldCharType="end"/>
      </w:r>
      <w:r w:rsidR="00573BBE">
        <w:t>.</w:t>
      </w:r>
      <w:r w:rsidR="00573BBE">
        <w:fldChar w:fldCharType="begin"/>
      </w:r>
      <w:r w:rsidR="00573BBE">
        <w:instrText xml:space="preserve"> REF _Ref457476976 \n \h </w:instrText>
      </w:r>
      <w:r w:rsidR="00573BBE">
        <w:fldChar w:fldCharType="separate"/>
      </w:r>
      <w:r w:rsidR="000A0E3D">
        <w:t>2</w:t>
      </w:r>
      <w:r w:rsidR="00573BBE">
        <w:fldChar w:fldCharType="end"/>
      </w:r>
      <w:r w:rsidR="00573BBE">
        <w:t>.</w:t>
      </w:r>
      <w:r w:rsidR="00573BBE">
        <w:rPr>
          <w:highlight w:val="yellow"/>
        </w:rPr>
        <w:fldChar w:fldCharType="begin"/>
      </w:r>
      <w:r w:rsidR="00573BBE">
        <w:instrText xml:space="preserve"> REF _Ref457476946 \w \h </w:instrText>
      </w:r>
      <w:r w:rsidR="00573BBE">
        <w:rPr>
          <w:highlight w:val="yellow"/>
        </w:rPr>
      </w:r>
      <w:r w:rsidR="00573BBE">
        <w:rPr>
          <w:highlight w:val="yellow"/>
        </w:rPr>
        <w:fldChar w:fldCharType="separate"/>
      </w:r>
      <w:r w:rsidR="000A0E3D">
        <w:t>a</w:t>
      </w:r>
      <w:r w:rsidR="00573BBE">
        <w:rPr>
          <w:highlight w:val="yellow"/>
        </w:rPr>
        <w:fldChar w:fldCharType="end"/>
      </w:r>
      <w:r w:rsidRPr="002A2013">
        <w:t xml:space="preserve">) and that an excess of </w:t>
      </w:r>
      <w:r w:rsidRPr="000868C9">
        <w:t xml:space="preserve">triphenylphosphine disfavored </w:t>
      </w:r>
      <w:r>
        <w:t>this dissociation. The inhibition of the reaction by large quantity of PPh</w:t>
      </w:r>
      <w:r w:rsidRPr="00792916">
        <w:rPr>
          <w:vertAlign w:val="subscript"/>
        </w:rPr>
        <w:t>3</w:t>
      </w:r>
      <w:r w:rsidRPr="00792916">
        <w:t xml:space="preserve"> </w:t>
      </w:r>
      <w:r>
        <w:t xml:space="preserve">in the kinetic study could then reflect the disfavored equilibrium of the ligand dissociation. </w:t>
      </w:r>
      <w:r w:rsidRPr="005B1771">
        <w:t>Triphenyl phosphine could also have a role in other catalytic cycle’s intermediates since it is the reducing agent of the reaction.</w:t>
      </w:r>
      <w:r w:rsidRPr="0006484A">
        <w:t xml:space="preserve"> </w:t>
      </w:r>
      <w:r w:rsidRPr="005B1771">
        <w:t>All these data show that the mechanism of this reaction is complex and might involve both the triphenylphosphine and the alcohol in one or more interconversions of intermediates before or in the turnover-limiting step.</w:t>
      </w:r>
    </w:p>
    <w:p w14:paraId="31237B22" w14:textId="41C39B5D" w:rsidR="00BA0582" w:rsidRDefault="00BA0582" w:rsidP="00FE04D9">
      <w:pPr>
        <w:ind w:firstLine="360"/>
        <w:jc w:val="both"/>
      </w:pPr>
      <w:r w:rsidRPr="00F057C7">
        <w:t>Triphenyl</w:t>
      </w:r>
      <w:r>
        <w:t xml:space="preserve"> </w:t>
      </w:r>
      <w:r w:rsidRPr="00F057C7">
        <w:t xml:space="preserve">phosphine is used in </w:t>
      </w:r>
      <w:r>
        <w:t xml:space="preserve">the reaction as reducing agent. Over the catalytic cycle it would form triphenylphosphine oxide and this co-product of the reaction would accumulate after each catalyst turn over. The oxide is known to be a potential ligand for the rhenium complex and we have found evidence of the phosphine oxide-rhenium-phosphine complex in the stoichiometric </w:t>
      </w:r>
      <w:r w:rsidRPr="00391E7C">
        <w:t>study (</w:t>
      </w:r>
      <w:r w:rsidR="00573BBE">
        <w:fldChar w:fldCharType="begin"/>
      </w:r>
      <w:r w:rsidR="00573BBE">
        <w:instrText xml:space="preserve"> REF _Ref457466169 \h </w:instrText>
      </w:r>
      <w:r w:rsidR="00573BBE">
        <w:fldChar w:fldCharType="separate"/>
      </w:r>
      <w:r w:rsidR="000A0E3D">
        <w:t xml:space="preserve">Figure </w:t>
      </w:r>
      <w:r w:rsidR="000A0E3D">
        <w:rPr>
          <w:noProof/>
        </w:rPr>
        <w:t>IV</w:t>
      </w:r>
      <w:r w:rsidR="000A0E3D">
        <w:t>.</w:t>
      </w:r>
      <w:r w:rsidR="000A0E3D">
        <w:rPr>
          <w:noProof/>
        </w:rPr>
        <w:t>12</w:t>
      </w:r>
      <w:r w:rsidR="00573BBE">
        <w:fldChar w:fldCharType="end"/>
      </w:r>
      <w:r w:rsidRPr="00391E7C">
        <w:t>).</w:t>
      </w:r>
      <w:r>
        <w:t xml:space="preserve"> With both of these observations </w:t>
      </w:r>
      <w:r w:rsidR="005061F6">
        <w:t>o</w:t>
      </w:r>
      <w:r>
        <w:t xml:space="preserve">ne more reaction </w:t>
      </w:r>
      <w:r w:rsidR="00E672F9">
        <w:t xml:space="preserve">was run </w:t>
      </w:r>
      <w:r>
        <w:t xml:space="preserve">in </w:t>
      </w:r>
      <w:r w:rsidRPr="0006484A">
        <w:t xml:space="preserve">which </w:t>
      </w:r>
      <w:r w:rsidR="00E672F9">
        <w:t xml:space="preserve">was </w:t>
      </w:r>
      <w:r w:rsidRPr="0006484A">
        <w:t>added</w:t>
      </w:r>
      <w:r>
        <w:t xml:space="preserve"> triphenylphosphine oxide (0.5 mol/L) (</w:t>
      </w:r>
      <w:r w:rsidR="00573BBE">
        <w:fldChar w:fldCharType="begin"/>
      </w:r>
      <w:r w:rsidR="00573BBE">
        <w:instrText xml:space="preserve"> REF _Ref457476903 \h </w:instrText>
      </w:r>
      <w:r w:rsidR="00573BBE">
        <w:fldChar w:fldCharType="separate"/>
      </w:r>
      <w:r w:rsidR="000A0E3D">
        <w:t xml:space="preserve">Figure </w:t>
      </w:r>
      <w:r w:rsidR="000A0E3D">
        <w:rPr>
          <w:noProof/>
        </w:rPr>
        <w:t>IV</w:t>
      </w:r>
      <w:r w:rsidR="000A0E3D">
        <w:t>.</w:t>
      </w:r>
      <w:r w:rsidR="000A0E3D">
        <w:rPr>
          <w:noProof/>
        </w:rPr>
        <w:t>22</w:t>
      </w:r>
      <w:r w:rsidR="00573BBE">
        <w:fldChar w:fldCharType="end"/>
      </w:r>
      <w:r w:rsidRPr="000868C9">
        <w:t xml:space="preserve">) and monitored </w:t>
      </w:r>
      <w:r>
        <w:t xml:space="preserve">dimer formation </w:t>
      </w:r>
      <w:r w:rsidRPr="000868C9">
        <w:t>overtime (at 125</w:t>
      </w:r>
      <w:r w:rsidRPr="000868C9">
        <w:rPr>
          <w:vertAlign w:val="superscript"/>
        </w:rPr>
        <w:t>o</w:t>
      </w:r>
      <w:r w:rsidRPr="000868C9">
        <w:t xml:space="preserve">C taking a sample every minute). In this reaction we observed a decrease of the reaction rate. This behavior demonstrates an inhibition effect of triphenylphosphine oxide in the reaction </w:t>
      </w:r>
      <w:r>
        <w:t>therefore</w:t>
      </w:r>
      <w:r w:rsidRPr="000868C9">
        <w:t xml:space="preserve"> either the presence of large quantity the oxide disfavors the equilibrium step in which it is released or it interacts with the </w:t>
      </w:r>
      <w:r>
        <w:t xml:space="preserve">catalyst in an equilibrium forming an inactive rhenium complex. </w:t>
      </w:r>
    </w:p>
    <w:p w14:paraId="3937A65D" w14:textId="77777777" w:rsidR="00E672F9" w:rsidRDefault="00E672F9" w:rsidP="00FE04D9">
      <w:pPr>
        <w:ind w:firstLine="360"/>
        <w:jc w:val="both"/>
      </w:pPr>
    </w:p>
    <w:p w14:paraId="26F5FD8D" w14:textId="77777777" w:rsidR="00E672F9" w:rsidRDefault="00E672F9" w:rsidP="00FE04D9">
      <w:pPr>
        <w:ind w:firstLine="360"/>
        <w:jc w:val="both"/>
      </w:pPr>
    </w:p>
    <w:p w14:paraId="460CD3CD" w14:textId="77777777" w:rsidR="00E672F9" w:rsidRPr="00F057C7" w:rsidRDefault="00E672F9" w:rsidP="00FE04D9">
      <w:pPr>
        <w:ind w:firstLine="360"/>
        <w:jc w:val="both"/>
      </w:pPr>
    </w:p>
    <w:p w14:paraId="7526478C" w14:textId="77777777" w:rsidR="00BA0582" w:rsidRDefault="00BA0582" w:rsidP="00BA0582">
      <w:pPr>
        <w:spacing w:line="360" w:lineRule="auto"/>
        <w:jc w:val="center"/>
      </w:pPr>
      <w:r w:rsidRPr="00F95878">
        <w:rPr>
          <w:noProof/>
          <w:lang w:bidi="ar-SA"/>
        </w:rPr>
        <w:drawing>
          <wp:inline distT="0" distB="0" distL="0" distR="0" wp14:anchorId="34ABDF01" wp14:editId="4078C5F9">
            <wp:extent cx="3657600" cy="2450465"/>
            <wp:effectExtent l="0" t="0" r="0" b="6985"/>
            <wp:docPr id="230" name="Chart 230"/>
            <wp:cNvGraphicFramePr/>
            <a:graphic xmlns:a="http://schemas.openxmlformats.org/drawingml/2006/main">
              <a:graphicData uri="http://schemas.openxmlformats.org/drawingml/2006/chart">
                <c:chart xmlns:c="http://schemas.openxmlformats.org/drawingml/2006/chart" xmlns:r="http://schemas.openxmlformats.org/officeDocument/2006/relationships" r:id="rId543"/>
              </a:graphicData>
            </a:graphic>
          </wp:inline>
        </w:drawing>
      </w:r>
    </w:p>
    <w:tbl>
      <w:tblPr>
        <w:tblStyle w:val="TableGrid"/>
        <w:tblW w:w="0" w:type="auto"/>
        <w:jc w:val="center"/>
        <w:tblLook w:val="04A0" w:firstRow="1" w:lastRow="0" w:firstColumn="1" w:lastColumn="0" w:noHBand="0" w:noVBand="1"/>
      </w:tblPr>
      <w:tblGrid>
        <w:gridCol w:w="990"/>
        <w:gridCol w:w="1470"/>
        <w:gridCol w:w="1550"/>
        <w:gridCol w:w="843"/>
        <w:gridCol w:w="1152"/>
      </w:tblGrid>
      <w:tr w:rsidR="00BA0582" w14:paraId="0B191E47" w14:textId="77777777" w:rsidTr="00BA0582">
        <w:trPr>
          <w:jc w:val="center"/>
        </w:trPr>
        <w:tc>
          <w:tcPr>
            <w:tcW w:w="0" w:type="auto"/>
            <w:tcBorders>
              <w:top w:val="nil"/>
              <w:left w:val="nil"/>
              <w:bottom w:val="single" w:sz="12" w:space="0" w:color="auto"/>
              <w:right w:val="single" w:sz="12" w:space="0" w:color="auto"/>
            </w:tcBorders>
            <w:vAlign w:val="center"/>
          </w:tcPr>
          <w:p w14:paraId="5893AB29" w14:textId="77777777" w:rsidR="00BA0582" w:rsidRDefault="00BA0582" w:rsidP="00BA0582">
            <w:pPr>
              <w:spacing w:line="360" w:lineRule="auto"/>
              <w:jc w:val="center"/>
            </w:pPr>
            <w:r>
              <w:t>m</w:t>
            </w:r>
            <w:r w:rsidRPr="003D2F6E">
              <w:t>mol/L</w:t>
            </w:r>
          </w:p>
        </w:tc>
        <w:tc>
          <w:tcPr>
            <w:tcW w:w="0" w:type="auto"/>
            <w:tcBorders>
              <w:top w:val="nil"/>
              <w:left w:val="single" w:sz="12" w:space="0" w:color="auto"/>
              <w:bottom w:val="single" w:sz="12" w:space="0" w:color="auto"/>
              <w:right w:val="dashed" w:sz="4" w:space="0" w:color="808080" w:themeColor="background1" w:themeShade="80"/>
            </w:tcBorders>
            <w:vAlign w:val="center"/>
          </w:tcPr>
          <w:p w14:paraId="341A33EA" w14:textId="77777777" w:rsidR="00BA0582" w:rsidRDefault="00BA0582" w:rsidP="00BA0582">
            <w:pPr>
              <w:spacing w:line="360" w:lineRule="auto"/>
              <w:jc w:val="center"/>
            </w:pPr>
            <w:r w:rsidRPr="003D2F6E">
              <w:t>[IReO</w:t>
            </w:r>
            <w:r w:rsidRPr="003D2F6E">
              <w:rPr>
                <w:vertAlign w:val="subscript"/>
              </w:rPr>
              <w:t>2</w:t>
            </w:r>
            <w:r w:rsidRPr="003D2F6E">
              <w:t>TPP</w:t>
            </w:r>
            <w:r w:rsidRPr="003D2F6E">
              <w:rPr>
                <w:vertAlign w:val="subscript"/>
              </w:rPr>
              <w:t>2</w:t>
            </w:r>
            <w:r w:rsidRPr="003D2F6E">
              <w:t>]</w:t>
            </w:r>
          </w:p>
        </w:tc>
        <w:tc>
          <w:tcPr>
            <w:tcW w:w="0" w:type="auto"/>
            <w:tcBorders>
              <w:top w:val="nil"/>
              <w:left w:val="dashed" w:sz="4" w:space="0" w:color="808080" w:themeColor="background1" w:themeShade="80"/>
              <w:bottom w:val="single" w:sz="12" w:space="0" w:color="auto"/>
              <w:right w:val="dashed" w:sz="4" w:space="0" w:color="808080" w:themeColor="background1" w:themeShade="80"/>
            </w:tcBorders>
            <w:vAlign w:val="center"/>
          </w:tcPr>
          <w:p w14:paraId="6C4660B0" w14:textId="77777777" w:rsidR="00BA0582" w:rsidRDefault="00BA0582" w:rsidP="00BA0582">
            <w:pPr>
              <w:spacing w:line="360" w:lineRule="auto"/>
              <w:jc w:val="center"/>
            </w:pPr>
            <w:r w:rsidRPr="003D2F6E">
              <w:t>[Ph</w:t>
            </w:r>
            <w:r w:rsidRPr="003D2F6E">
              <w:rPr>
                <w:vertAlign w:val="subscript"/>
              </w:rPr>
              <w:t>2</w:t>
            </w:r>
            <w:r w:rsidRPr="003D2F6E">
              <w:t>CH(OH)]</w:t>
            </w:r>
          </w:p>
        </w:tc>
        <w:tc>
          <w:tcPr>
            <w:tcW w:w="0" w:type="auto"/>
            <w:tcBorders>
              <w:top w:val="nil"/>
              <w:left w:val="dashed" w:sz="4" w:space="0" w:color="808080" w:themeColor="background1" w:themeShade="80"/>
              <w:bottom w:val="single" w:sz="12" w:space="0" w:color="auto"/>
              <w:right w:val="nil"/>
            </w:tcBorders>
            <w:vAlign w:val="center"/>
          </w:tcPr>
          <w:p w14:paraId="62F8211E" w14:textId="77777777" w:rsidR="00BA0582" w:rsidRDefault="00BA0582" w:rsidP="00BA0582">
            <w:pPr>
              <w:spacing w:line="360" w:lineRule="auto"/>
              <w:jc w:val="center"/>
            </w:pPr>
            <w:r w:rsidRPr="003D2F6E">
              <w:t>[PPh</w:t>
            </w:r>
            <w:r w:rsidRPr="003D2F6E">
              <w:rPr>
                <w:vertAlign w:val="subscript"/>
              </w:rPr>
              <w:t>3</w:t>
            </w:r>
            <w:r w:rsidRPr="003D2F6E">
              <w:t>]</w:t>
            </w:r>
          </w:p>
        </w:tc>
        <w:tc>
          <w:tcPr>
            <w:tcW w:w="0" w:type="auto"/>
            <w:tcBorders>
              <w:top w:val="nil"/>
              <w:left w:val="dashed" w:sz="4" w:space="0" w:color="808080" w:themeColor="background1" w:themeShade="80"/>
              <w:bottom w:val="single" w:sz="12" w:space="0" w:color="auto"/>
              <w:right w:val="nil"/>
            </w:tcBorders>
          </w:tcPr>
          <w:p w14:paraId="641B6C5D" w14:textId="77777777" w:rsidR="00BA0582" w:rsidRPr="003D2F6E" w:rsidRDefault="00BA0582" w:rsidP="00BA0582">
            <w:pPr>
              <w:spacing w:line="360" w:lineRule="auto"/>
              <w:jc w:val="center"/>
            </w:pPr>
            <w:r w:rsidRPr="003D2F6E">
              <w:t>[</w:t>
            </w:r>
            <w:r>
              <w:t>O=</w:t>
            </w:r>
            <w:r w:rsidRPr="003D2F6E">
              <w:t>PPh</w:t>
            </w:r>
            <w:r w:rsidRPr="003D2F6E">
              <w:rPr>
                <w:vertAlign w:val="subscript"/>
              </w:rPr>
              <w:t>3</w:t>
            </w:r>
            <w:r w:rsidRPr="003D2F6E">
              <w:t>]</w:t>
            </w:r>
          </w:p>
        </w:tc>
      </w:tr>
      <w:tr w:rsidR="00BA0582" w14:paraId="2FA187B0" w14:textId="77777777" w:rsidTr="001539C6">
        <w:trPr>
          <w:jc w:val="center"/>
        </w:trPr>
        <w:tc>
          <w:tcPr>
            <w:tcW w:w="0" w:type="auto"/>
            <w:tcBorders>
              <w:top w:val="single" w:sz="12" w:space="0" w:color="auto"/>
              <w:left w:val="nil"/>
              <w:bottom w:val="dashed" w:sz="4" w:space="0" w:color="808080" w:themeColor="background1" w:themeShade="80"/>
              <w:right w:val="single" w:sz="12" w:space="0" w:color="auto"/>
            </w:tcBorders>
            <w:vAlign w:val="center"/>
          </w:tcPr>
          <w:p w14:paraId="5DAB523F" w14:textId="77777777" w:rsidR="00BA0582" w:rsidRDefault="00BA0582" w:rsidP="001539C6">
            <w:pPr>
              <w:spacing w:line="360" w:lineRule="auto"/>
              <w:jc w:val="center"/>
            </w:pPr>
            <w:r>
              <w:t>Δ  a’’’</w:t>
            </w:r>
          </w:p>
        </w:tc>
        <w:tc>
          <w:tcPr>
            <w:tcW w:w="0" w:type="auto"/>
            <w:vMerge w:val="restart"/>
            <w:tcBorders>
              <w:top w:val="single" w:sz="12" w:space="0" w:color="auto"/>
              <w:left w:val="single" w:sz="12" w:space="0" w:color="auto"/>
              <w:right w:val="dashed" w:sz="4" w:space="0" w:color="808080" w:themeColor="background1" w:themeShade="80"/>
            </w:tcBorders>
            <w:vAlign w:val="center"/>
          </w:tcPr>
          <w:p w14:paraId="107F2D88" w14:textId="77777777" w:rsidR="00BA0582" w:rsidRDefault="00BA0582" w:rsidP="00BA0582">
            <w:pPr>
              <w:spacing w:line="360" w:lineRule="auto"/>
              <w:jc w:val="center"/>
            </w:pPr>
            <w:r>
              <w:t>10</w:t>
            </w:r>
          </w:p>
        </w:tc>
        <w:tc>
          <w:tcPr>
            <w:tcW w:w="0" w:type="auto"/>
            <w:vMerge w:val="restart"/>
            <w:tcBorders>
              <w:top w:val="single" w:sz="12" w:space="0" w:color="auto"/>
              <w:left w:val="dashed" w:sz="4" w:space="0" w:color="808080" w:themeColor="background1" w:themeShade="80"/>
              <w:right w:val="dashed" w:sz="4" w:space="0" w:color="808080" w:themeColor="background1" w:themeShade="80"/>
            </w:tcBorders>
            <w:vAlign w:val="center"/>
          </w:tcPr>
          <w:p w14:paraId="7A026A6F" w14:textId="77777777" w:rsidR="00BA0582" w:rsidRDefault="00BA0582" w:rsidP="00BA0582">
            <w:pPr>
              <w:spacing w:line="360" w:lineRule="auto"/>
              <w:jc w:val="center"/>
            </w:pPr>
            <w:r>
              <w:t>100</w:t>
            </w:r>
          </w:p>
        </w:tc>
        <w:tc>
          <w:tcPr>
            <w:tcW w:w="0" w:type="auto"/>
            <w:vMerge w:val="restart"/>
            <w:tcBorders>
              <w:top w:val="single" w:sz="12" w:space="0" w:color="auto"/>
              <w:left w:val="dashed" w:sz="4" w:space="0" w:color="808080" w:themeColor="background1" w:themeShade="80"/>
              <w:right w:val="nil"/>
            </w:tcBorders>
            <w:vAlign w:val="center"/>
          </w:tcPr>
          <w:p w14:paraId="49BA0EB9" w14:textId="77777777" w:rsidR="00BA0582" w:rsidRDefault="00BA0582" w:rsidP="00BA0582">
            <w:pPr>
              <w:spacing w:line="360" w:lineRule="auto"/>
              <w:jc w:val="center"/>
            </w:pPr>
            <w:r>
              <w:t>100</w:t>
            </w:r>
          </w:p>
        </w:tc>
        <w:tc>
          <w:tcPr>
            <w:tcW w:w="0" w:type="auto"/>
            <w:tcBorders>
              <w:top w:val="single" w:sz="12" w:space="0" w:color="auto"/>
              <w:left w:val="dashed" w:sz="4" w:space="0" w:color="808080" w:themeColor="background1" w:themeShade="80"/>
              <w:bottom w:val="dashed" w:sz="4" w:space="0" w:color="808080" w:themeColor="background1" w:themeShade="80"/>
              <w:right w:val="nil"/>
            </w:tcBorders>
          </w:tcPr>
          <w:p w14:paraId="01D3A65A" w14:textId="77777777" w:rsidR="00BA0582" w:rsidRDefault="00BA0582" w:rsidP="00BA0582">
            <w:pPr>
              <w:spacing w:line="360" w:lineRule="auto"/>
              <w:jc w:val="center"/>
            </w:pPr>
            <w:r>
              <w:t>0</w:t>
            </w:r>
          </w:p>
        </w:tc>
      </w:tr>
      <w:tr w:rsidR="00BA0582" w14:paraId="2825B471" w14:textId="77777777" w:rsidTr="001539C6">
        <w:trPr>
          <w:jc w:val="center"/>
        </w:trPr>
        <w:tc>
          <w:tcPr>
            <w:tcW w:w="0" w:type="auto"/>
            <w:tcBorders>
              <w:top w:val="dashed" w:sz="4" w:space="0" w:color="808080" w:themeColor="background1" w:themeShade="80"/>
              <w:left w:val="nil"/>
              <w:bottom w:val="nil"/>
              <w:right w:val="single" w:sz="12" w:space="0" w:color="auto"/>
            </w:tcBorders>
            <w:vAlign w:val="center"/>
          </w:tcPr>
          <w:p w14:paraId="62DF3F3B" w14:textId="77777777" w:rsidR="00BA0582" w:rsidRDefault="00BA0582" w:rsidP="001539C6">
            <w:pPr>
              <w:spacing w:line="360" w:lineRule="auto"/>
              <w:ind w:left="-288"/>
              <w:jc w:val="center"/>
            </w:pPr>
            <w:r>
              <w:sym w:font="Wingdings" w:char="F06C"/>
            </w:r>
            <w:r>
              <w:t xml:space="preserve">  n</w:t>
            </w:r>
          </w:p>
        </w:tc>
        <w:tc>
          <w:tcPr>
            <w:tcW w:w="0" w:type="auto"/>
            <w:vMerge/>
            <w:tcBorders>
              <w:left w:val="single" w:sz="12" w:space="0" w:color="auto"/>
              <w:bottom w:val="nil"/>
              <w:right w:val="dashed" w:sz="4" w:space="0" w:color="808080" w:themeColor="background1" w:themeShade="80"/>
            </w:tcBorders>
            <w:vAlign w:val="center"/>
          </w:tcPr>
          <w:p w14:paraId="2989B88A" w14:textId="77777777" w:rsidR="00BA0582" w:rsidRDefault="00BA0582" w:rsidP="00BA0582">
            <w:pPr>
              <w:spacing w:line="360" w:lineRule="auto"/>
              <w:jc w:val="center"/>
            </w:pPr>
          </w:p>
        </w:tc>
        <w:tc>
          <w:tcPr>
            <w:tcW w:w="0" w:type="auto"/>
            <w:vMerge/>
            <w:tcBorders>
              <w:left w:val="dashed" w:sz="4" w:space="0" w:color="808080" w:themeColor="background1" w:themeShade="80"/>
              <w:bottom w:val="nil"/>
              <w:right w:val="dashed" w:sz="4" w:space="0" w:color="808080" w:themeColor="background1" w:themeShade="80"/>
            </w:tcBorders>
            <w:vAlign w:val="center"/>
          </w:tcPr>
          <w:p w14:paraId="23795483" w14:textId="77777777" w:rsidR="00BA0582" w:rsidRDefault="00BA0582" w:rsidP="00BA0582">
            <w:pPr>
              <w:spacing w:line="360" w:lineRule="auto"/>
              <w:jc w:val="center"/>
            </w:pPr>
          </w:p>
        </w:tc>
        <w:tc>
          <w:tcPr>
            <w:tcW w:w="0" w:type="auto"/>
            <w:vMerge/>
            <w:tcBorders>
              <w:left w:val="dashed" w:sz="4" w:space="0" w:color="808080" w:themeColor="background1" w:themeShade="80"/>
              <w:bottom w:val="nil"/>
              <w:right w:val="nil"/>
            </w:tcBorders>
            <w:vAlign w:val="center"/>
          </w:tcPr>
          <w:p w14:paraId="00ABD8EB" w14:textId="77777777" w:rsidR="00BA0582" w:rsidRDefault="00BA0582" w:rsidP="00BA0582">
            <w:pPr>
              <w:spacing w:line="360" w:lineRule="auto"/>
              <w:jc w:val="center"/>
            </w:pPr>
          </w:p>
        </w:tc>
        <w:tc>
          <w:tcPr>
            <w:tcW w:w="0" w:type="auto"/>
            <w:tcBorders>
              <w:top w:val="dashed" w:sz="4" w:space="0" w:color="808080" w:themeColor="background1" w:themeShade="80"/>
              <w:left w:val="dashed" w:sz="4" w:space="0" w:color="808080" w:themeColor="background1" w:themeShade="80"/>
              <w:bottom w:val="nil"/>
              <w:right w:val="nil"/>
            </w:tcBorders>
          </w:tcPr>
          <w:p w14:paraId="5BAD731B" w14:textId="77777777" w:rsidR="00BA0582" w:rsidRDefault="00BA0582" w:rsidP="00BA0582">
            <w:pPr>
              <w:spacing w:line="360" w:lineRule="auto"/>
              <w:jc w:val="center"/>
            </w:pPr>
            <w:r>
              <w:t>500</w:t>
            </w:r>
          </w:p>
        </w:tc>
      </w:tr>
    </w:tbl>
    <w:p w14:paraId="49882BFE" w14:textId="77777777" w:rsidR="00BA0582" w:rsidRDefault="00573BBE" w:rsidP="00E672F9">
      <w:pPr>
        <w:pStyle w:val="Caption"/>
      </w:pPr>
      <w:bookmarkStart w:id="456" w:name="_Ref457476903"/>
      <w:bookmarkStart w:id="457" w:name="_Toc457670806"/>
      <w:r>
        <w:t xml:space="preserve">Figure </w:t>
      </w:r>
      <w:r w:rsidR="00443010">
        <w:fldChar w:fldCharType="begin"/>
      </w:r>
      <w:r w:rsidR="00443010">
        <w:instrText xml:space="preserve"> STYLEREF 1 \s </w:instrText>
      </w:r>
      <w:r w:rsidR="00443010">
        <w:fldChar w:fldCharType="separate"/>
      </w:r>
      <w:r w:rsidR="000A0E3D">
        <w:rPr>
          <w:noProof/>
        </w:rPr>
        <w:t>IV</w:t>
      </w:r>
      <w:r w:rsidR="00443010">
        <w:rPr>
          <w:noProof/>
        </w:rPr>
        <w:fldChar w:fldCharType="end"/>
      </w:r>
      <w:r>
        <w:t>.</w:t>
      </w:r>
      <w:r w:rsidR="00443010">
        <w:fldChar w:fldCharType="begin"/>
      </w:r>
      <w:r w:rsidR="00443010">
        <w:instrText xml:space="preserve"> SEQ Figure \* ARABIC \s 1 </w:instrText>
      </w:r>
      <w:r w:rsidR="00443010">
        <w:fldChar w:fldCharType="separate"/>
      </w:r>
      <w:r w:rsidR="000A0E3D">
        <w:rPr>
          <w:noProof/>
        </w:rPr>
        <w:t>22</w:t>
      </w:r>
      <w:r w:rsidR="00443010">
        <w:rPr>
          <w:noProof/>
        </w:rPr>
        <w:fldChar w:fldCharType="end"/>
      </w:r>
      <w:bookmarkEnd w:id="456"/>
      <w:r>
        <w:t xml:space="preserve"> Kinetic plot 6</w:t>
      </w:r>
      <w:bookmarkEnd w:id="457"/>
    </w:p>
    <w:p w14:paraId="080C7A0E" w14:textId="77777777" w:rsidR="00E672F9" w:rsidRPr="00E672F9" w:rsidRDefault="00E672F9" w:rsidP="00E672F9"/>
    <w:p w14:paraId="61B32933" w14:textId="1A6ECB87" w:rsidR="00BA0582" w:rsidRPr="00FE04D9" w:rsidRDefault="00BA0582" w:rsidP="000351A7">
      <w:pPr>
        <w:pStyle w:val="Heading3"/>
      </w:pPr>
      <w:bookmarkStart w:id="458" w:name="_Toc458938345"/>
      <w:r w:rsidRPr="00FE04D9">
        <w:t xml:space="preserve">Computational </w:t>
      </w:r>
      <w:r w:rsidR="00C76FF1">
        <w:t>r</w:t>
      </w:r>
      <w:r w:rsidRPr="00FE04D9">
        <w:t>esults summary of (PPh</w:t>
      </w:r>
      <w:r w:rsidRPr="00FE04D9">
        <w:rPr>
          <w:vertAlign w:val="subscript"/>
        </w:rPr>
        <w:t>3</w:t>
      </w:r>
      <w:r w:rsidRPr="00FE04D9">
        <w:t>)</w:t>
      </w:r>
      <w:r w:rsidRPr="00FE04D9">
        <w:rPr>
          <w:vertAlign w:val="subscript"/>
        </w:rPr>
        <w:t>2</w:t>
      </w:r>
      <w:r w:rsidRPr="00FE04D9">
        <w:t>ReO</w:t>
      </w:r>
      <w:r w:rsidRPr="00FE04D9">
        <w:rPr>
          <w:vertAlign w:val="subscript"/>
        </w:rPr>
        <w:t>2</w:t>
      </w:r>
      <w:r w:rsidRPr="00FE04D9">
        <w:t>I + MeOH (by K.</w:t>
      </w:r>
      <w:r w:rsidR="001539C6">
        <w:t xml:space="preserve"> </w:t>
      </w:r>
      <w:r w:rsidRPr="00FE04D9">
        <w:t>Nicholas)</w:t>
      </w:r>
      <w:bookmarkEnd w:id="458"/>
    </w:p>
    <w:p w14:paraId="3140799F" w14:textId="36C003F7" w:rsidR="00BA0582" w:rsidRPr="00FE04D9" w:rsidRDefault="00BA0582" w:rsidP="00FE04D9">
      <w:pPr>
        <w:ind w:firstLine="360"/>
        <w:jc w:val="both"/>
        <w:rPr>
          <w:rFonts w:cstheme="minorHAnsi"/>
        </w:rPr>
      </w:pPr>
      <w:r w:rsidRPr="00FE04D9">
        <w:rPr>
          <w:rFonts w:cstheme="minorHAnsi"/>
        </w:rPr>
        <w:t>In light of the observations in the stoichiometric and kinetic study Dr. Nicholas started a DFT study of the IReO</w:t>
      </w:r>
      <w:r w:rsidRPr="00FE04D9">
        <w:rPr>
          <w:rFonts w:cstheme="minorHAnsi"/>
          <w:vertAlign w:val="subscript"/>
        </w:rPr>
        <w:t>2</w:t>
      </w:r>
      <w:r w:rsidRPr="00FE04D9">
        <w:rPr>
          <w:rFonts w:cstheme="minorHAnsi"/>
        </w:rPr>
        <w:t>(PPh</w:t>
      </w:r>
      <w:r w:rsidRPr="00FE04D9">
        <w:rPr>
          <w:rFonts w:cstheme="minorHAnsi"/>
          <w:vertAlign w:val="subscript"/>
        </w:rPr>
        <w:t>3</w:t>
      </w:r>
      <w:r w:rsidRPr="00FE04D9">
        <w:rPr>
          <w:rFonts w:cstheme="minorHAnsi"/>
        </w:rPr>
        <w:t>)</w:t>
      </w:r>
      <w:r w:rsidRPr="00FE04D9">
        <w:rPr>
          <w:rFonts w:cstheme="minorHAnsi"/>
          <w:vertAlign w:val="subscript"/>
        </w:rPr>
        <w:t>2</w:t>
      </w:r>
      <w:r w:rsidRPr="00FE04D9">
        <w:rPr>
          <w:rFonts w:cstheme="minorHAnsi"/>
        </w:rPr>
        <w:t xml:space="preserve"> catalyzed reductive coupling reaction (</w:t>
      </w:r>
      <w:r w:rsidR="00573BBE">
        <w:rPr>
          <w:rFonts w:cstheme="minorHAnsi"/>
        </w:rPr>
        <w:fldChar w:fldCharType="begin"/>
      </w:r>
      <w:r w:rsidR="00573BBE">
        <w:rPr>
          <w:rFonts w:cstheme="minorHAnsi"/>
        </w:rPr>
        <w:instrText xml:space="preserve"> REF _Ref457477226 \h </w:instrText>
      </w:r>
      <w:r w:rsidR="00573BBE">
        <w:rPr>
          <w:rFonts w:cstheme="minorHAnsi"/>
        </w:rPr>
      </w:r>
      <w:r w:rsidR="00573BBE">
        <w:rPr>
          <w:rFonts w:cstheme="minorHAnsi"/>
        </w:rPr>
        <w:fldChar w:fldCharType="separate"/>
      </w:r>
      <w:r w:rsidR="000A0E3D">
        <w:t xml:space="preserve">Figure </w:t>
      </w:r>
      <w:r w:rsidR="000A0E3D">
        <w:rPr>
          <w:noProof/>
        </w:rPr>
        <w:t>IV</w:t>
      </w:r>
      <w:r w:rsidR="000A0E3D">
        <w:t>.</w:t>
      </w:r>
      <w:r w:rsidR="000A0E3D">
        <w:rPr>
          <w:noProof/>
        </w:rPr>
        <w:t>23</w:t>
      </w:r>
      <w:r w:rsidR="00573BBE">
        <w:rPr>
          <w:rFonts w:cstheme="minorHAnsi"/>
        </w:rPr>
        <w:fldChar w:fldCharType="end"/>
      </w:r>
      <w:r w:rsidRPr="00FE04D9">
        <w:rPr>
          <w:rFonts w:cstheme="minorHAnsi"/>
        </w:rPr>
        <w:t>). Benzhydrol was replaced by methanol in order to decrease the calculation time. All the calculated energies are electronic energies, not corrected for zero point energy, temperature, solvation or entropy. The first step; the ligand dissociation (</w:t>
      </w:r>
      <w:r w:rsidRPr="00FE04D9">
        <w:rPr>
          <w:rFonts w:cstheme="minorHAnsi"/>
          <w:b/>
        </w:rPr>
        <w:t>1</w:t>
      </w:r>
      <w:r w:rsidRPr="00FE04D9">
        <w:rPr>
          <w:rFonts w:cstheme="minorHAnsi"/>
        </w:rPr>
        <w:t>-&gt;</w:t>
      </w:r>
      <w:r w:rsidRPr="00FE04D9">
        <w:rPr>
          <w:rFonts w:cstheme="minorHAnsi"/>
          <w:b/>
        </w:rPr>
        <w:t>1’</w:t>
      </w:r>
      <w:r w:rsidRPr="00FE04D9">
        <w:rPr>
          <w:rFonts w:cstheme="minorHAnsi"/>
        </w:rPr>
        <w:t>) as we observed in the stoichiometric experiments; has an energy penalty of 16.9 kcal/mol (</w:t>
      </w:r>
      <w:r w:rsidR="00EF4D3A">
        <w:rPr>
          <w:rFonts w:cstheme="minorHAnsi"/>
        </w:rPr>
        <w:t>Δ</w:t>
      </w:r>
      <w:r w:rsidRPr="00FE04D9">
        <w:rPr>
          <w:rFonts w:cstheme="minorHAnsi"/>
        </w:rPr>
        <w:t>G would be substantially lower because of positive entropy change). The coordination of the alcohol to the rhenium center (</w:t>
      </w:r>
      <w:r w:rsidRPr="00FE04D9">
        <w:rPr>
          <w:rFonts w:cstheme="minorHAnsi"/>
          <w:b/>
        </w:rPr>
        <w:t>1’</w:t>
      </w:r>
      <w:r w:rsidRPr="00FE04D9">
        <w:rPr>
          <w:rFonts w:cstheme="minorHAnsi"/>
        </w:rPr>
        <w:t xml:space="preserve"> -&gt; </w:t>
      </w:r>
      <w:r w:rsidRPr="00FE04D9">
        <w:rPr>
          <w:rFonts w:cstheme="minorHAnsi"/>
          <w:b/>
        </w:rPr>
        <w:t>2</w:t>
      </w:r>
      <w:r w:rsidRPr="00FE04D9">
        <w:rPr>
          <w:rFonts w:cstheme="minorHAnsi"/>
        </w:rPr>
        <w:t xml:space="preserve">) is a favorable step with an energy change of -8.4 kcal/mol. On this intermediate </w:t>
      </w:r>
      <w:r w:rsidRPr="00FE04D9">
        <w:rPr>
          <w:rFonts w:cstheme="minorHAnsi"/>
          <w:b/>
        </w:rPr>
        <w:t>2</w:t>
      </w:r>
      <w:r w:rsidRPr="00FE04D9">
        <w:rPr>
          <w:rFonts w:cstheme="minorHAnsi"/>
        </w:rPr>
        <w:t xml:space="preserve"> a second alcohol can coordinate to provide dialkoxy species </w:t>
      </w:r>
      <w:r w:rsidRPr="00FE04D9">
        <w:rPr>
          <w:rFonts w:cstheme="minorHAnsi"/>
          <w:b/>
        </w:rPr>
        <w:t>3</w:t>
      </w:r>
      <w:r w:rsidRPr="00FE04D9">
        <w:rPr>
          <w:rFonts w:cstheme="minorHAnsi"/>
        </w:rPr>
        <w:t xml:space="preserve"> with the release of H</w:t>
      </w:r>
      <w:r w:rsidRPr="00FE04D9">
        <w:rPr>
          <w:rFonts w:cstheme="minorHAnsi"/>
          <w:vertAlign w:val="subscript"/>
        </w:rPr>
        <w:t>2</w:t>
      </w:r>
      <w:r w:rsidRPr="00FE04D9">
        <w:rPr>
          <w:rFonts w:cstheme="minorHAnsi"/>
        </w:rPr>
        <w:t xml:space="preserve">O. From this dialkoxide complex </w:t>
      </w:r>
      <w:r w:rsidRPr="00FE04D9">
        <w:rPr>
          <w:rFonts w:cstheme="minorHAnsi"/>
          <w:b/>
        </w:rPr>
        <w:t>3</w:t>
      </w:r>
      <w:r w:rsidRPr="00FE04D9">
        <w:rPr>
          <w:rFonts w:cstheme="minorHAnsi"/>
        </w:rPr>
        <w:t xml:space="preserve"> many pathways are possible. However the concerted transition states for C-O/C-C bond-breaking/making could not be located. The other transition states between intermediates are not shown either. The direct formation of the methyl radical by breaking the C-O bond in </w:t>
      </w:r>
      <w:r w:rsidRPr="00FE04D9">
        <w:rPr>
          <w:rFonts w:cstheme="minorHAnsi"/>
          <w:b/>
        </w:rPr>
        <w:t>3</w:t>
      </w:r>
      <w:r w:rsidRPr="00FE04D9">
        <w:rPr>
          <w:rFonts w:cstheme="minorHAnsi"/>
        </w:rPr>
        <w:t xml:space="preserve"> is up hill </w:t>
      </w:r>
      <w:r w:rsidR="00E672F9">
        <w:rPr>
          <w:rFonts w:cstheme="minorHAnsi"/>
        </w:rPr>
        <w:t>with</w:t>
      </w:r>
      <w:r w:rsidRPr="00FE04D9">
        <w:rPr>
          <w:rFonts w:cstheme="minorHAnsi"/>
        </w:rPr>
        <w:t xml:space="preserve"> 41.6 kcal/mol. </w:t>
      </w:r>
      <w:r w:rsidRPr="00FE04D9">
        <w:rPr>
          <w:rFonts w:cstheme="minorHAnsi"/>
          <w:b/>
          <w:vertAlign w:val="superscript"/>
        </w:rPr>
        <w:t>.</w:t>
      </w:r>
      <w:r w:rsidRPr="00FE04D9">
        <w:rPr>
          <w:rFonts w:cstheme="minorHAnsi"/>
        </w:rPr>
        <w:t>CH</w:t>
      </w:r>
      <w:r w:rsidRPr="00FE04D9">
        <w:rPr>
          <w:rFonts w:cstheme="minorHAnsi"/>
          <w:vertAlign w:val="subscript"/>
        </w:rPr>
        <w:t>3</w:t>
      </w:r>
      <w:r w:rsidRPr="00FE04D9">
        <w:rPr>
          <w:rFonts w:cstheme="minorHAnsi"/>
        </w:rPr>
        <w:t xml:space="preserve"> and Re</w:t>
      </w:r>
      <w:r w:rsidRPr="00FE04D9">
        <w:rPr>
          <w:rFonts w:cstheme="minorHAnsi"/>
          <w:vertAlign w:val="superscript"/>
        </w:rPr>
        <w:t>v</w:t>
      </w:r>
      <w:r w:rsidRPr="00FE04D9">
        <w:rPr>
          <w:rFonts w:cstheme="minorHAnsi"/>
        </w:rPr>
        <w:t xml:space="preserve"> </w:t>
      </w:r>
      <w:r w:rsidRPr="00FE04D9">
        <w:rPr>
          <w:rFonts w:cstheme="minorHAnsi"/>
          <w:b/>
        </w:rPr>
        <w:t>4a</w:t>
      </w:r>
      <w:r w:rsidRPr="00FE04D9">
        <w:rPr>
          <w:rFonts w:cstheme="minorHAnsi"/>
        </w:rPr>
        <w:t xml:space="preserve"> could then form the dimer (C-C bond formation) product and a rhenium (vii) trioxo </w:t>
      </w:r>
      <w:r w:rsidRPr="00FE04D9">
        <w:rPr>
          <w:rFonts w:cstheme="minorHAnsi"/>
          <w:b/>
        </w:rPr>
        <w:t>5a</w:t>
      </w:r>
      <w:r w:rsidRPr="00FE04D9">
        <w:rPr>
          <w:rFonts w:cstheme="minorHAnsi"/>
        </w:rPr>
        <w:t xml:space="preserve"> which would be reduced back the starting rhenium (v) complex (</w:t>
      </w:r>
      <w:r w:rsidRPr="00FE04D9">
        <w:rPr>
          <w:rFonts w:cstheme="minorHAnsi"/>
          <w:b/>
        </w:rPr>
        <w:t>1’</w:t>
      </w:r>
      <w:r w:rsidRPr="00FE04D9">
        <w:rPr>
          <w:rFonts w:cstheme="minorHAnsi"/>
        </w:rPr>
        <w:t>).</w:t>
      </w:r>
    </w:p>
    <w:p w14:paraId="1186986A" w14:textId="77777777" w:rsidR="00BA0582" w:rsidRPr="00FE04D9" w:rsidRDefault="00BA0582" w:rsidP="00FE04D9">
      <w:pPr>
        <w:ind w:firstLine="360"/>
        <w:jc w:val="both"/>
        <w:rPr>
          <w:rFonts w:cstheme="minorHAnsi"/>
        </w:rPr>
      </w:pPr>
      <w:r w:rsidRPr="00FE04D9">
        <w:rPr>
          <w:rFonts w:cstheme="minorHAnsi"/>
        </w:rPr>
        <w:t xml:space="preserve">The reduction of the metal center of </w:t>
      </w:r>
      <w:r w:rsidRPr="00FE04D9">
        <w:rPr>
          <w:rFonts w:cstheme="minorHAnsi"/>
          <w:b/>
        </w:rPr>
        <w:t>3</w:t>
      </w:r>
      <w:r w:rsidRPr="00FE04D9">
        <w:rPr>
          <w:rFonts w:cstheme="minorHAnsi"/>
        </w:rPr>
        <w:t xml:space="preserve"> by triphenylphosphine could occur to form a Re</w:t>
      </w:r>
      <w:r w:rsidRPr="00FE04D9">
        <w:rPr>
          <w:rFonts w:cstheme="minorHAnsi"/>
          <w:vertAlign w:val="superscript"/>
        </w:rPr>
        <w:t>iii</w:t>
      </w:r>
      <w:r w:rsidRPr="00FE04D9">
        <w:rPr>
          <w:rFonts w:cstheme="minorHAnsi"/>
        </w:rPr>
        <w:t xml:space="preserve"> dialkoxide intermediate </w:t>
      </w:r>
      <w:r w:rsidRPr="00FE04D9">
        <w:rPr>
          <w:rFonts w:cstheme="minorHAnsi"/>
          <w:b/>
        </w:rPr>
        <w:t xml:space="preserve">4b </w:t>
      </w:r>
      <w:r w:rsidRPr="00FE04D9">
        <w:rPr>
          <w:rFonts w:cstheme="minorHAnsi"/>
        </w:rPr>
        <w:t>with a penalty of only 7.3 kcal/mol. This Re</w:t>
      </w:r>
      <w:r w:rsidRPr="00FE04D9">
        <w:rPr>
          <w:rFonts w:cstheme="minorHAnsi"/>
          <w:vertAlign w:val="superscript"/>
        </w:rPr>
        <w:t>iii</w:t>
      </w:r>
      <w:r w:rsidRPr="00FE04D9">
        <w:rPr>
          <w:rFonts w:cstheme="minorHAnsi"/>
        </w:rPr>
        <w:t xml:space="preserve"> complex could form the radical </w:t>
      </w:r>
      <w:r w:rsidRPr="00FE04D9">
        <w:rPr>
          <w:rFonts w:cstheme="minorHAnsi"/>
          <w:b/>
          <w:vertAlign w:val="superscript"/>
        </w:rPr>
        <w:t>.</w:t>
      </w:r>
      <w:r w:rsidRPr="00FE04D9">
        <w:rPr>
          <w:rFonts w:cstheme="minorHAnsi"/>
        </w:rPr>
        <w:t>CH</w:t>
      </w:r>
      <w:r w:rsidRPr="00FE04D9">
        <w:rPr>
          <w:rFonts w:cstheme="minorHAnsi"/>
          <w:vertAlign w:val="subscript"/>
        </w:rPr>
        <w:t>3</w:t>
      </w:r>
      <w:r w:rsidRPr="00FE04D9">
        <w:rPr>
          <w:rFonts w:cstheme="minorHAnsi"/>
        </w:rPr>
        <w:t xml:space="preserve"> the same way as (</w:t>
      </w:r>
      <w:r w:rsidRPr="00FE04D9">
        <w:rPr>
          <w:rFonts w:cstheme="minorHAnsi"/>
          <w:b/>
        </w:rPr>
        <w:t>3</w:t>
      </w:r>
      <w:r w:rsidRPr="00FE04D9">
        <w:rPr>
          <w:rFonts w:cstheme="minorHAnsi"/>
        </w:rPr>
        <w:t xml:space="preserve"> -&gt; </w:t>
      </w:r>
      <w:r w:rsidRPr="00FE04D9">
        <w:rPr>
          <w:rFonts w:cstheme="minorHAnsi"/>
          <w:b/>
        </w:rPr>
        <w:t>4a</w:t>
      </w:r>
      <w:r w:rsidRPr="00FE04D9">
        <w:rPr>
          <w:rFonts w:cstheme="minorHAnsi"/>
        </w:rPr>
        <w:t xml:space="preserve">) to form </w:t>
      </w:r>
      <w:r w:rsidRPr="00FE04D9">
        <w:rPr>
          <w:rFonts w:cstheme="minorHAnsi"/>
          <w:b/>
        </w:rPr>
        <w:t>5b</w:t>
      </w:r>
      <w:r w:rsidRPr="00FE04D9">
        <w:rPr>
          <w:rFonts w:cstheme="minorHAnsi"/>
        </w:rPr>
        <w:t xml:space="preserve">. This C-O bond breaking step is again up hill and </w:t>
      </w:r>
      <w:r w:rsidRPr="00FE04D9">
        <w:rPr>
          <w:rFonts w:cstheme="minorHAnsi"/>
          <w:b/>
        </w:rPr>
        <w:t>5b</w:t>
      </w:r>
      <w:r w:rsidRPr="00FE04D9">
        <w:rPr>
          <w:rFonts w:cstheme="minorHAnsi"/>
        </w:rPr>
        <w:t xml:space="preserve"> was found to have similar C-O bond dissociation energy </w:t>
      </w:r>
      <w:r w:rsidR="005A0358">
        <w:rPr>
          <w:rFonts w:cstheme="minorHAnsi"/>
        </w:rPr>
        <w:t>compared to</w:t>
      </w:r>
      <w:r w:rsidRPr="00FE04D9">
        <w:rPr>
          <w:rFonts w:cstheme="minorHAnsi"/>
        </w:rPr>
        <w:t xml:space="preserve"> </w:t>
      </w:r>
      <w:r w:rsidRPr="00FE04D9">
        <w:rPr>
          <w:rFonts w:cstheme="minorHAnsi"/>
          <w:b/>
        </w:rPr>
        <w:t>4a</w:t>
      </w:r>
      <w:r w:rsidRPr="00FE04D9">
        <w:rPr>
          <w:rFonts w:cstheme="minorHAnsi"/>
        </w:rPr>
        <w:t xml:space="preserve">. Combining the </w:t>
      </w:r>
      <w:r w:rsidRPr="00FE04D9">
        <w:rPr>
          <w:rFonts w:cstheme="minorHAnsi"/>
          <w:b/>
          <w:vertAlign w:val="superscript"/>
        </w:rPr>
        <w:t>.</w:t>
      </w:r>
      <w:r w:rsidRPr="00FE04D9">
        <w:rPr>
          <w:rFonts w:cstheme="minorHAnsi"/>
        </w:rPr>
        <w:t>CH</w:t>
      </w:r>
      <w:r w:rsidRPr="00FE04D9">
        <w:rPr>
          <w:rFonts w:cstheme="minorHAnsi"/>
          <w:vertAlign w:val="subscript"/>
        </w:rPr>
        <w:t>3</w:t>
      </w:r>
      <w:r w:rsidRPr="00FE04D9">
        <w:rPr>
          <w:rFonts w:cstheme="minorHAnsi"/>
        </w:rPr>
        <w:t xml:space="preserve"> radical and Re</w:t>
      </w:r>
      <w:r w:rsidRPr="00FE04D9">
        <w:rPr>
          <w:rFonts w:cstheme="minorHAnsi"/>
          <w:vertAlign w:val="superscript"/>
        </w:rPr>
        <w:t>iii</w:t>
      </w:r>
      <w:r w:rsidRPr="00FE04D9">
        <w:rPr>
          <w:rFonts w:cstheme="minorHAnsi"/>
        </w:rPr>
        <w:t xml:space="preserve"> alkoxide </w:t>
      </w:r>
      <w:r w:rsidRPr="00FE04D9">
        <w:rPr>
          <w:rFonts w:cstheme="minorHAnsi"/>
          <w:b/>
        </w:rPr>
        <w:t>5b</w:t>
      </w:r>
      <w:r w:rsidRPr="00FE04D9">
        <w:rPr>
          <w:rFonts w:cstheme="minorHAnsi"/>
        </w:rPr>
        <w:t xml:space="preserve"> could then allow the formation of the C-C bond to make dimer and provide </w:t>
      </w:r>
      <w:r w:rsidRPr="00FE04D9">
        <w:rPr>
          <w:rFonts w:cstheme="minorHAnsi"/>
          <w:b/>
        </w:rPr>
        <w:t>1’</w:t>
      </w:r>
      <w:r w:rsidRPr="00FE04D9">
        <w:rPr>
          <w:rFonts w:cstheme="minorHAnsi"/>
        </w:rPr>
        <w:t xml:space="preserve"> back.</w:t>
      </w:r>
    </w:p>
    <w:p w14:paraId="7391D134" w14:textId="77777777" w:rsidR="00BA0582" w:rsidRPr="00FE04D9" w:rsidRDefault="00BA0582" w:rsidP="00FE04D9">
      <w:pPr>
        <w:ind w:firstLine="360"/>
        <w:jc w:val="both"/>
        <w:rPr>
          <w:rFonts w:cstheme="minorHAnsi"/>
        </w:rPr>
      </w:pPr>
      <w:r w:rsidRPr="00FE04D9">
        <w:rPr>
          <w:rFonts w:cstheme="minorHAnsi"/>
        </w:rPr>
        <w:t xml:space="preserve">The two pathways described above involve rhenium dialkoxide intermediates, but alkyl-alkoxide-rhenium complexes arising from alkyl group migration to Re could also be intermediates. This would form by breaking one of the C-O bond and </w:t>
      </w:r>
      <w:r w:rsidR="005A0358">
        <w:rPr>
          <w:rFonts w:cstheme="minorHAnsi"/>
        </w:rPr>
        <w:t>making</w:t>
      </w:r>
      <w:r w:rsidRPr="00FE04D9">
        <w:rPr>
          <w:rFonts w:cstheme="minorHAnsi"/>
        </w:rPr>
        <w:t xml:space="preserve"> a Re-C bond (</w:t>
      </w:r>
      <w:r w:rsidRPr="00FE04D9">
        <w:rPr>
          <w:rFonts w:cstheme="minorHAnsi"/>
          <w:b/>
        </w:rPr>
        <w:t>4b</w:t>
      </w:r>
      <w:r w:rsidRPr="00FE04D9">
        <w:rPr>
          <w:rFonts w:cstheme="minorHAnsi"/>
        </w:rPr>
        <w:t xml:space="preserve"> -&gt; </w:t>
      </w:r>
      <w:r w:rsidRPr="00FE04D9">
        <w:rPr>
          <w:rFonts w:cstheme="minorHAnsi"/>
          <w:b/>
        </w:rPr>
        <w:t>4b’</w:t>
      </w:r>
      <w:r w:rsidRPr="00FE04D9">
        <w:rPr>
          <w:rFonts w:cstheme="minorHAnsi"/>
        </w:rPr>
        <w:t xml:space="preserve">) with an overall -14.6 kcal/mol. The </w:t>
      </w:r>
      <w:r w:rsidRPr="00FE04D9">
        <w:rPr>
          <w:rFonts w:cstheme="minorHAnsi"/>
          <w:b/>
          <w:vertAlign w:val="superscript"/>
        </w:rPr>
        <w:t>.</w:t>
      </w:r>
      <w:r w:rsidRPr="00FE04D9">
        <w:rPr>
          <w:rFonts w:cstheme="minorHAnsi"/>
        </w:rPr>
        <w:t>CH</w:t>
      </w:r>
      <w:r w:rsidRPr="00FE04D9">
        <w:rPr>
          <w:rFonts w:cstheme="minorHAnsi"/>
          <w:vertAlign w:val="subscript"/>
        </w:rPr>
        <w:t>3</w:t>
      </w:r>
      <w:r w:rsidRPr="00FE04D9">
        <w:rPr>
          <w:rFonts w:cstheme="minorHAnsi"/>
        </w:rPr>
        <w:t xml:space="preserve"> radical and Re alkyl </w:t>
      </w:r>
      <w:r w:rsidRPr="00FE04D9">
        <w:rPr>
          <w:rFonts w:cstheme="minorHAnsi"/>
          <w:b/>
        </w:rPr>
        <w:t>5b’</w:t>
      </w:r>
      <w:r w:rsidRPr="00FE04D9">
        <w:rPr>
          <w:rFonts w:cstheme="minorHAnsi"/>
        </w:rPr>
        <w:t xml:space="preserve"> can form from </w:t>
      </w:r>
      <w:r w:rsidRPr="00FE04D9">
        <w:rPr>
          <w:rFonts w:cstheme="minorHAnsi"/>
          <w:b/>
        </w:rPr>
        <w:t>4b’</w:t>
      </w:r>
      <w:r w:rsidRPr="00FE04D9">
        <w:rPr>
          <w:rFonts w:cstheme="minorHAnsi"/>
        </w:rPr>
        <w:t xml:space="preserve"> with a penalty of 35.6 kcal/mol. Similar path with the formation of alkyl-alkoxide-rhenium complex can be obtained from </w:t>
      </w:r>
      <w:r w:rsidRPr="00FE04D9">
        <w:rPr>
          <w:rFonts w:cstheme="minorHAnsi"/>
          <w:b/>
        </w:rPr>
        <w:t>3</w:t>
      </w:r>
      <w:r w:rsidRPr="00FE04D9">
        <w:rPr>
          <w:rFonts w:cstheme="minorHAnsi"/>
        </w:rPr>
        <w:t xml:space="preserve"> (</w:t>
      </w:r>
      <w:r w:rsidRPr="00FE04D9">
        <w:rPr>
          <w:rFonts w:cstheme="minorHAnsi"/>
          <w:b/>
        </w:rPr>
        <w:t>3 -&gt; 4c</w:t>
      </w:r>
      <w:r w:rsidRPr="00FE04D9">
        <w:rPr>
          <w:rFonts w:cstheme="minorHAnsi"/>
        </w:rPr>
        <w:t>) with only a 27 kcal/mol penalty. The complex 4c releases the dimer and Re</w:t>
      </w:r>
      <w:r w:rsidRPr="00FE04D9">
        <w:rPr>
          <w:rFonts w:cstheme="minorHAnsi"/>
          <w:vertAlign w:val="superscript"/>
        </w:rPr>
        <w:t>vii</w:t>
      </w:r>
      <w:r w:rsidRPr="00FE04D9">
        <w:rPr>
          <w:rFonts w:cstheme="minorHAnsi"/>
        </w:rPr>
        <w:t xml:space="preserve"> </w:t>
      </w:r>
      <w:r w:rsidRPr="00FE04D9">
        <w:rPr>
          <w:rFonts w:cstheme="minorHAnsi"/>
          <w:b/>
        </w:rPr>
        <w:t>5a</w:t>
      </w:r>
      <w:r w:rsidRPr="00FE04D9">
        <w:rPr>
          <w:rFonts w:cstheme="minorHAnsi"/>
        </w:rPr>
        <w:t xml:space="preserve"> in a stepwise </w:t>
      </w:r>
      <w:r w:rsidR="005A0358">
        <w:rPr>
          <w:rFonts w:cstheme="minorHAnsi"/>
        </w:rPr>
        <w:t>or</w:t>
      </w:r>
      <w:r w:rsidRPr="00FE04D9">
        <w:rPr>
          <w:rFonts w:cstheme="minorHAnsi"/>
        </w:rPr>
        <w:t xml:space="preserve"> concerted transition state that is not yet located.</w:t>
      </w:r>
    </w:p>
    <w:p w14:paraId="3C13A8A9" w14:textId="77777777" w:rsidR="00BA0582" w:rsidRPr="00FE04D9" w:rsidRDefault="00BA0582" w:rsidP="00FE04D9">
      <w:pPr>
        <w:ind w:firstLine="360"/>
        <w:jc w:val="both"/>
        <w:rPr>
          <w:rFonts w:cstheme="minorHAnsi"/>
        </w:rPr>
      </w:pPr>
      <w:r w:rsidRPr="00FE04D9">
        <w:rPr>
          <w:rFonts w:cstheme="minorHAnsi"/>
        </w:rPr>
        <w:t>In all these proposed pathway</w:t>
      </w:r>
      <w:r w:rsidR="005A0358">
        <w:rPr>
          <w:rFonts w:cstheme="minorHAnsi"/>
        </w:rPr>
        <w:t>s</w:t>
      </w:r>
      <w:r w:rsidRPr="00FE04D9">
        <w:rPr>
          <w:rFonts w:cstheme="minorHAnsi"/>
        </w:rPr>
        <w:t xml:space="preserve"> the calculated energies between the catalyst intermediates are fairly reasonable. In fact with Dr. Nicholas computational results in our publication</w:t>
      </w:r>
      <w:r w:rsidRPr="00FE04D9">
        <w:rPr>
          <w:rFonts w:cstheme="minorHAnsi"/>
        </w:rPr>
        <w:fldChar w:fldCharType="begin"/>
      </w:r>
      <w:r w:rsidR="0091451B">
        <w:rPr>
          <w:rFonts w:cstheme="minorHAnsi"/>
        </w:rPr>
        <w:instrText xml:space="preserve"> ADDIN ZOTERO_ITEM CSL_CITATION {"citationID":"2bbc01auk8","properties":{"formattedCitation":"{\\rtf \\super 169\\nosupersub{}}","plainCitation":"169"},"citationItems":[{"id":1769,"uris":["http://zotero.org/users/1624234/items/KH5HTWTM"],"uri":["http://zotero.org/users/1624234/items/KH5HTWTM"],"itemData":{"id":1769,"type":"article-journal","title":"Oxo-rhenium catalyzed reductive coupling and deoxygenation of alcohols","container-title":"Chemical Communications","page":"7257-7260","volume":"52","issue":"45","source":"pubs.rsc.org","abstract":"Representative benzylic, allylic and α-keto alcohols are deoxygenated to alkanes and/or reductively coupled to alkane dimers by reaction with PPh3 catalyzed by (PPh3)2ReIO2 (1). The newly discovered catalytic reductive coupling reaction is a rare C–C bond-forming transformation of alcohols.","DOI":"10.1039/C6CC00537C","ISSN":"1364-548X","journalAbbreviation":"Chem. Commun.","language":"en","author":[{"family":"Kasner","given":"Gabrielle R."},{"family":"Boucher-Jacobs","given":"Camille"},{"family":"McClain","given":"J. Michael"},{"family":"Nicholas","given":"Kenneth M."}],"issued":{"date-parts":[["2016",5,26]]}}}],"schema":"https://github.com/citation-style-language/schema/raw/master/csl-citation.json"} </w:instrText>
      </w:r>
      <w:r w:rsidRPr="00FE04D9">
        <w:rPr>
          <w:rFonts w:cstheme="minorHAnsi"/>
        </w:rPr>
        <w:fldChar w:fldCharType="separate"/>
      </w:r>
      <w:r w:rsidR="0091451B" w:rsidRPr="0091451B">
        <w:rPr>
          <w:rFonts w:ascii="Times New Roman" w:hAnsi="Times New Roman"/>
          <w:vertAlign w:val="superscript"/>
        </w:rPr>
        <w:t>169</w:t>
      </w:r>
      <w:r w:rsidRPr="00FE04D9">
        <w:rPr>
          <w:rFonts w:cstheme="minorHAnsi"/>
        </w:rPr>
        <w:fldChar w:fldCharType="end"/>
      </w:r>
      <w:r w:rsidRPr="00FE04D9">
        <w:rPr>
          <w:rFonts w:cstheme="minorHAnsi"/>
        </w:rPr>
        <w:t xml:space="preserve"> we can anticipate that an activated alcohol would lower energies of C-O bond breaking steps. The C-O bond breaking steps are the most uphill in energy (therefore rate-limiting) and the C-C bond forming steps were the most downhill in energy. The steps involving alcohol coordination, phosphine dissociation and oxo-Re reduction by PR</w:t>
      </w:r>
      <w:r w:rsidRPr="00FE04D9">
        <w:rPr>
          <w:rFonts w:cstheme="minorHAnsi"/>
          <w:vertAlign w:val="subscript"/>
        </w:rPr>
        <w:t>3</w:t>
      </w:r>
      <w:r w:rsidRPr="00FE04D9">
        <w:rPr>
          <w:rFonts w:cstheme="minorHAnsi"/>
        </w:rPr>
        <w:t xml:space="preserve"> are generally moderately endo/exothermic. </w:t>
      </w:r>
    </w:p>
    <w:p w14:paraId="593A1D1B" w14:textId="77777777" w:rsidR="00BA0582" w:rsidRPr="00FE04D9" w:rsidRDefault="00BA0582" w:rsidP="00FE04D9">
      <w:pPr>
        <w:ind w:firstLine="360"/>
        <w:jc w:val="both"/>
        <w:rPr>
          <w:rFonts w:cstheme="minorHAnsi"/>
        </w:rPr>
      </w:pPr>
      <w:r w:rsidRPr="00FE04D9">
        <w:rPr>
          <w:rFonts w:cstheme="minorHAnsi"/>
        </w:rPr>
        <w:t xml:space="preserve">These computational results provide a nice overall picture of the energies for each potential catalyst intermediates although it does not provide the energy of the transition state. </w:t>
      </w:r>
    </w:p>
    <w:p w14:paraId="257B7A1D" w14:textId="77777777" w:rsidR="00573BBE" w:rsidRDefault="000351A7" w:rsidP="00573BBE">
      <w:pPr>
        <w:keepNext/>
      </w:pPr>
      <w:r w:rsidRPr="00FE04D9">
        <w:rPr>
          <w:rFonts w:cstheme="minorHAnsi"/>
        </w:rPr>
        <w:object w:dxaOrig="13512" w:dyaOrig="8299" w14:anchorId="79ED2FE2">
          <v:shape id="_x0000_i1221" type="#_x0000_t75" style="width:411.45pt;height:251.6pt" o:ole="">
            <v:imagedata r:id="rId544" o:title=""/>
          </v:shape>
          <o:OLEObject Type="Embed" ProgID="ChemDraw.Document.6.0" ShapeID="_x0000_i1221" DrawAspect="Content" ObjectID="_1532785042" r:id="rId545"/>
        </w:object>
      </w:r>
    </w:p>
    <w:p w14:paraId="0D087431" w14:textId="77777777" w:rsidR="00BA0582" w:rsidRPr="00FE04D9" w:rsidRDefault="00573BBE" w:rsidP="00573BBE">
      <w:pPr>
        <w:pStyle w:val="Caption"/>
        <w:rPr>
          <w:rFonts w:cstheme="minorHAnsi"/>
        </w:rPr>
      </w:pPr>
      <w:bookmarkStart w:id="459" w:name="_Ref457477226"/>
      <w:bookmarkStart w:id="460" w:name="_Toc457670807"/>
      <w:r>
        <w:t xml:space="preserve">Figure </w:t>
      </w:r>
      <w:r w:rsidR="00443010">
        <w:fldChar w:fldCharType="begin"/>
      </w:r>
      <w:r w:rsidR="00443010">
        <w:instrText xml:space="preserve"> STYLEREF 1 \s </w:instrText>
      </w:r>
      <w:r w:rsidR="00443010">
        <w:fldChar w:fldCharType="separate"/>
      </w:r>
      <w:r w:rsidR="000A0E3D">
        <w:rPr>
          <w:noProof/>
        </w:rPr>
        <w:t>IV</w:t>
      </w:r>
      <w:r w:rsidR="00443010">
        <w:rPr>
          <w:noProof/>
        </w:rPr>
        <w:fldChar w:fldCharType="end"/>
      </w:r>
      <w:r>
        <w:t>.</w:t>
      </w:r>
      <w:r w:rsidR="00443010">
        <w:fldChar w:fldCharType="begin"/>
      </w:r>
      <w:r w:rsidR="00443010">
        <w:instrText xml:space="preserve"> SEQ Figure \* ARABIC \s 1 </w:instrText>
      </w:r>
      <w:r w:rsidR="00443010">
        <w:fldChar w:fldCharType="separate"/>
      </w:r>
      <w:r w:rsidR="000A0E3D">
        <w:rPr>
          <w:noProof/>
        </w:rPr>
        <w:t>23</w:t>
      </w:r>
      <w:r w:rsidR="00443010">
        <w:rPr>
          <w:noProof/>
        </w:rPr>
        <w:fldChar w:fldCharType="end"/>
      </w:r>
      <w:bookmarkEnd w:id="459"/>
      <w:r>
        <w:t xml:space="preserve"> </w:t>
      </w:r>
      <w:r w:rsidR="00BA0582" w:rsidRPr="00FE04D9">
        <w:rPr>
          <w:rFonts w:cstheme="minorHAnsi"/>
        </w:rPr>
        <w:t>DFT study of the IReO</w:t>
      </w:r>
      <w:r w:rsidR="00BA0582" w:rsidRPr="00FE04D9">
        <w:rPr>
          <w:rFonts w:cstheme="minorHAnsi"/>
          <w:vertAlign w:val="subscript"/>
        </w:rPr>
        <w:t>2</w:t>
      </w:r>
      <w:r w:rsidR="00BA0582" w:rsidRPr="00FE04D9">
        <w:rPr>
          <w:rFonts w:cstheme="minorHAnsi"/>
        </w:rPr>
        <w:t>(PPh</w:t>
      </w:r>
      <w:r w:rsidR="00BA0582" w:rsidRPr="00FE04D9">
        <w:rPr>
          <w:rFonts w:cstheme="minorHAnsi"/>
          <w:vertAlign w:val="subscript"/>
        </w:rPr>
        <w:t>3</w:t>
      </w:r>
      <w:r w:rsidR="00BA0582" w:rsidRPr="00FE04D9">
        <w:rPr>
          <w:rFonts w:cstheme="minorHAnsi"/>
        </w:rPr>
        <w:t>)</w:t>
      </w:r>
      <w:r w:rsidR="00BA0582" w:rsidRPr="00FE04D9">
        <w:rPr>
          <w:rFonts w:cstheme="minorHAnsi"/>
          <w:vertAlign w:val="subscript"/>
        </w:rPr>
        <w:t>2</w:t>
      </w:r>
      <w:r w:rsidR="00BA0582" w:rsidRPr="00FE04D9">
        <w:rPr>
          <w:rFonts w:cstheme="minorHAnsi"/>
        </w:rPr>
        <w:t xml:space="preserve"> catalyzed reductive coupling </w:t>
      </w:r>
      <w:r w:rsidR="00BA0582" w:rsidRPr="00FE04D9">
        <w:rPr>
          <w:rFonts w:cstheme="minorHAnsi"/>
          <w:i/>
        </w:rPr>
        <w:t>(by Dr. Nicholas)</w:t>
      </w:r>
      <w:bookmarkEnd w:id="460"/>
    </w:p>
    <w:p w14:paraId="185E447C" w14:textId="77777777" w:rsidR="00BA0582" w:rsidRPr="00FE04D9" w:rsidRDefault="00BA0582" w:rsidP="00FE04D9">
      <w:pPr>
        <w:rPr>
          <w:rFonts w:cstheme="minorHAnsi"/>
        </w:rPr>
      </w:pPr>
    </w:p>
    <w:p w14:paraId="737603DD" w14:textId="77777777" w:rsidR="00BA0582" w:rsidRPr="00FE04D9" w:rsidRDefault="000351A7" w:rsidP="000351A7">
      <w:pPr>
        <w:pStyle w:val="Heading2"/>
      </w:pPr>
      <w:bookmarkStart w:id="461" w:name="_Toc458938346"/>
      <w:r>
        <w:t>Discussion and Conclusions</w:t>
      </w:r>
      <w:bookmarkEnd w:id="461"/>
    </w:p>
    <w:p w14:paraId="117F25AE" w14:textId="77777777" w:rsidR="00BA0582" w:rsidRDefault="00BA0582" w:rsidP="00FE04D9">
      <w:pPr>
        <w:ind w:firstLine="360"/>
        <w:jc w:val="both"/>
        <w:rPr>
          <w:rFonts w:cstheme="minorHAnsi"/>
        </w:rPr>
      </w:pPr>
      <w:r w:rsidRPr="00FE04D9">
        <w:rPr>
          <w:rFonts w:cstheme="minorHAnsi"/>
        </w:rPr>
        <w:t>In the publication we described the reductive coupling of a survey of alcohols (</w:t>
      </w:r>
      <w:r w:rsidR="00573BBE">
        <w:rPr>
          <w:rFonts w:cstheme="minorHAnsi"/>
        </w:rPr>
        <w:fldChar w:fldCharType="begin"/>
      </w:r>
      <w:r w:rsidR="00573BBE">
        <w:rPr>
          <w:rFonts w:cstheme="minorHAnsi"/>
        </w:rPr>
        <w:instrText xml:space="preserve"> REF _Ref457477283 \h </w:instrText>
      </w:r>
      <w:r w:rsidR="00573BBE">
        <w:rPr>
          <w:rFonts w:cstheme="minorHAnsi"/>
        </w:rPr>
      </w:r>
      <w:r w:rsidR="00573BBE">
        <w:rPr>
          <w:rFonts w:cstheme="minorHAnsi"/>
        </w:rPr>
        <w:fldChar w:fldCharType="separate"/>
      </w:r>
      <w:r w:rsidR="000A0E3D">
        <w:t xml:space="preserve">Figure </w:t>
      </w:r>
      <w:r w:rsidR="000A0E3D">
        <w:rPr>
          <w:noProof/>
        </w:rPr>
        <w:t>IV</w:t>
      </w:r>
      <w:r w:rsidR="000A0E3D">
        <w:t>.</w:t>
      </w:r>
      <w:r w:rsidR="000A0E3D">
        <w:rPr>
          <w:noProof/>
        </w:rPr>
        <w:t>24</w:t>
      </w:r>
      <w:r w:rsidR="00573BBE">
        <w:rPr>
          <w:rFonts w:cstheme="minorHAnsi"/>
        </w:rPr>
        <w:fldChar w:fldCharType="end"/>
      </w:r>
      <w:r w:rsidRPr="00FE04D9">
        <w:rPr>
          <w:rFonts w:cstheme="minorHAnsi"/>
        </w:rPr>
        <w:t>). We saw how the most activated alcohol</w:t>
      </w:r>
      <w:r w:rsidR="005A0358">
        <w:rPr>
          <w:rFonts w:cstheme="minorHAnsi"/>
        </w:rPr>
        <w:t>s</w:t>
      </w:r>
      <w:r w:rsidRPr="00FE04D9">
        <w:rPr>
          <w:rFonts w:cstheme="minorHAnsi"/>
        </w:rPr>
        <w:t xml:space="preserve"> were the most reactive; benzhydrol, fluorenol. Less activated alcohol</w:t>
      </w:r>
      <w:r w:rsidR="005A0358">
        <w:rPr>
          <w:rFonts w:cstheme="minorHAnsi"/>
        </w:rPr>
        <w:t>s</w:t>
      </w:r>
      <w:r w:rsidRPr="00FE04D9">
        <w:rPr>
          <w:rFonts w:cstheme="minorHAnsi"/>
        </w:rPr>
        <w:t xml:space="preserve"> took more time to provide reductive coupling, sorbic alcohol, 1-phenylethanol, benzyl alcohol. Cinnamyl alcohol and 1-phenylpropenol provide a similar isomer product distribution. In the case of 1-phenylethanol we detected a 1:1 mixture of meso and chiral dimer product. Triphenylmethanol and benzoin underwent deoxygenation instead of reductive coupling. Cyclopropyl-phenylmethanol reacted a little after a very long period of time at 150</w:t>
      </w:r>
      <w:r w:rsidRPr="00FE04D9">
        <w:rPr>
          <w:rFonts w:cstheme="minorHAnsi"/>
          <w:vertAlign w:val="superscript"/>
        </w:rPr>
        <w:t>o</w:t>
      </w:r>
      <w:r w:rsidRPr="00FE04D9">
        <w:rPr>
          <w:rFonts w:cstheme="minorHAnsi"/>
        </w:rPr>
        <w:t>C. This result added to the radical trap experiments, which had shown no effect of hydrogen donors in the reductive coupling of benzhydrol, are not providing evidence for radical involvement in the mechanism.</w:t>
      </w:r>
    </w:p>
    <w:p w14:paraId="55D5495E" w14:textId="77777777" w:rsidR="00573BBE" w:rsidRPr="00FE04D9" w:rsidRDefault="00573BBE" w:rsidP="00FE04D9">
      <w:pPr>
        <w:ind w:firstLine="360"/>
        <w:jc w:val="both"/>
        <w:rPr>
          <w:rFonts w:cstheme="minorHAnsi"/>
        </w:rPr>
      </w:pPr>
    </w:p>
    <w:p w14:paraId="726C8E16" w14:textId="77777777" w:rsidR="00573BBE" w:rsidRDefault="00BA0582" w:rsidP="00573BBE">
      <w:pPr>
        <w:keepNext/>
        <w:jc w:val="center"/>
      </w:pPr>
      <w:r w:rsidRPr="00FE04D9">
        <w:rPr>
          <w:rFonts w:cstheme="minorHAnsi"/>
        </w:rPr>
        <w:object w:dxaOrig="6917" w:dyaOrig="2194" w14:anchorId="1B52DEA6">
          <v:shape id="_x0000_i1222" type="#_x0000_t75" style="width:298.3pt;height:92.55pt" o:ole="">
            <v:imagedata r:id="rId546" o:title=""/>
          </v:shape>
          <o:OLEObject Type="Embed" ProgID="ChemDraw.Document.6.0" ShapeID="_x0000_i1222" DrawAspect="Content" ObjectID="_1532785043" r:id="rId547"/>
        </w:object>
      </w:r>
    </w:p>
    <w:p w14:paraId="4993D442" w14:textId="2782C99E" w:rsidR="00BA0582" w:rsidRDefault="00573BBE" w:rsidP="00573BBE">
      <w:pPr>
        <w:pStyle w:val="Caption"/>
        <w:rPr>
          <w:rFonts w:cstheme="minorHAnsi"/>
        </w:rPr>
      </w:pPr>
      <w:bookmarkStart w:id="462" w:name="_Ref457477283"/>
      <w:bookmarkStart w:id="463" w:name="_Toc457670808"/>
      <w:r>
        <w:t xml:space="preserve">Figure </w:t>
      </w:r>
      <w:r w:rsidR="00443010">
        <w:fldChar w:fldCharType="begin"/>
      </w:r>
      <w:r w:rsidR="00443010">
        <w:instrText xml:space="preserve"> STYLEREF 1 \s </w:instrText>
      </w:r>
      <w:r w:rsidR="00443010">
        <w:fldChar w:fldCharType="separate"/>
      </w:r>
      <w:r w:rsidR="000A0E3D">
        <w:rPr>
          <w:noProof/>
        </w:rPr>
        <w:t>IV</w:t>
      </w:r>
      <w:r w:rsidR="00443010">
        <w:rPr>
          <w:noProof/>
        </w:rPr>
        <w:fldChar w:fldCharType="end"/>
      </w:r>
      <w:r>
        <w:t>.</w:t>
      </w:r>
      <w:r w:rsidR="00443010">
        <w:fldChar w:fldCharType="begin"/>
      </w:r>
      <w:r w:rsidR="00443010">
        <w:instrText xml:space="preserve"> SEQ Figure \* ARABIC \s 1 </w:instrText>
      </w:r>
      <w:r w:rsidR="00443010">
        <w:fldChar w:fldCharType="separate"/>
      </w:r>
      <w:r w:rsidR="000A0E3D">
        <w:rPr>
          <w:noProof/>
        </w:rPr>
        <w:t>24</w:t>
      </w:r>
      <w:r w:rsidR="00443010">
        <w:rPr>
          <w:noProof/>
        </w:rPr>
        <w:fldChar w:fldCharType="end"/>
      </w:r>
      <w:bookmarkEnd w:id="462"/>
      <w:r>
        <w:t xml:space="preserve"> </w:t>
      </w:r>
      <w:r w:rsidR="00BA0582" w:rsidRPr="00FE04D9">
        <w:rPr>
          <w:rFonts w:cstheme="minorHAnsi"/>
        </w:rPr>
        <w:t>List of reactive alcohol</w:t>
      </w:r>
      <w:r w:rsidR="001539C6">
        <w:rPr>
          <w:rFonts w:cstheme="minorHAnsi"/>
        </w:rPr>
        <w:t>s</w:t>
      </w:r>
      <w:r w:rsidR="00BA0582" w:rsidRPr="00FE04D9">
        <w:rPr>
          <w:rFonts w:cstheme="minorHAnsi"/>
        </w:rPr>
        <w:t xml:space="preserve"> in reductive coupling reaction</w:t>
      </w:r>
      <w:bookmarkEnd w:id="463"/>
    </w:p>
    <w:p w14:paraId="4742C1F7" w14:textId="77777777" w:rsidR="00573BBE" w:rsidRPr="00573BBE" w:rsidRDefault="00573BBE" w:rsidP="00573BBE"/>
    <w:p w14:paraId="67180056" w14:textId="3BA3F1D8" w:rsidR="00BA0582" w:rsidRPr="00FE04D9" w:rsidRDefault="00BA0582" w:rsidP="00FE04D9">
      <w:pPr>
        <w:ind w:firstLine="360"/>
        <w:jc w:val="both"/>
        <w:rPr>
          <w:rFonts w:cstheme="minorHAnsi"/>
        </w:rPr>
      </w:pPr>
      <w:r w:rsidRPr="00FE04D9">
        <w:rPr>
          <w:rFonts w:cstheme="minorHAnsi"/>
        </w:rPr>
        <w:t xml:space="preserve">With all the data we have collected we can try to draw a better picture of the possible reductive coupling reaction mechanism. The reaction begins with an equilibrium between </w:t>
      </w:r>
      <w:r w:rsidRPr="00FE04D9">
        <w:rPr>
          <w:rFonts w:cstheme="minorHAnsi"/>
          <w:b/>
        </w:rPr>
        <w:t>A</w:t>
      </w:r>
      <w:r w:rsidRPr="00FE04D9">
        <w:rPr>
          <w:rFonts w:cstheme="minorHAnsi"/>
        </w:rPr>
        <w:t xml:space="preserve"> and </w:t>
      </w:r>
      <w:r w:rsidRPr="00FE04D9">
        <w:rPr>
          <w:rFonts w:cstheme="minorHAnsi"/>
          <w:b/>
        </w:rPr>
        <w:t>A’</w:t>
      </w:r>
      <w:r w:rsidRPr="00FE04D9">
        <w:rPr>
          <w:rFonts w:cstheme="minorHAnsi"/>
        </w:rPr>
        <w:t xml:space="preserve"> by the dissociation of a triphenylphosphine ligand of the pre-catalyst </w:t>
      </w:r>
      <w:r w:rsidRPr="00FE04D9">
        <w:rPr>
          <w:rFonts w:cstheme="minorHAnsi"/>
          <w:b/>
        </w:rPr>
        <w:t xml:space="preserve">A </w:t>
      </w:r>
      <w:r w:rsidRPr="00FE04D9">
        <w:rPr>
          <w:rFonts w:cstheme="minorHAnsi"/>
        </w:rPr>
        <w:t>(</w:t>
      </w:r>
      <w:r w:rsidR="009A3F44">
        <w:rPr>
          <w:rFonts w:cstheme="minorHAnsi"/>
        </w:rPr>
        <w:fldChar w:fldCharType="begin"/>
      </w:r>
      <w:r w:rsidR="009A3F44">
        <w:rPr>
          <w:rFonts w:cstheme="minorHAnsi"/>
        </w:rPr>
        <w:instrText xml:space="preserve"> REF _Ref457478776 \h </w:instrText>
      </w:r>
      <w:r w:rsidR="009A3F44">
        <w:rPr>
          <w:rFonts w:cstheme="minorHAnsi"/>
        </w:rPr>
      </w:r>
      <w:r w:rsidR="009A3F44">
        <w:rPr>
          <w:rFonts w:cstheme="minorHAnsi"/>
        </w:rPr>
        <w:fldChar w:fldCharType="separate"/>
      </w:r>
      <w:r w:rsidR="000A0E3D">
        <w:t xml:space="preserve">Figure </w:t>
      </w:r>
      <w:r w:rsidR="000A0E3D">
        <w:rPr>
          <w:noProof/>
        </w:rPr>
        <w:t>IV</w:t>
      </w:r>
      <w:r w:rsidR="000A0E3D">
        <w:t>.</w:t>
      </w:r>
      <w:r w:rsidR="000A0E3D">
        <w:rPr>
          <w:noProof/>
        </w:rPr>
        <w:t>25</w:t>
      </w:r>
      <w:r w:rsidR="009A3F44">
        <w:rPr>
          <w:rFonts w:cstheme="minorHAnsi"/>
        </w:rPr>
        <w:fldChar w:fldCharType="end"/>
      </w:r>
      <w:r w:rsidRPr="00FE04D9">
        <w:rPr>
          <w:rFonts w:cstheme="minorHAnsi"/>
        </w:rPr>
        <w:t>). We observed this dissociation when the catalyst was in solution in an equilibrium. We saw in the stoichiometric experiment how one of the ligand</w:t>
      </w:r>
      <w:r w:rsidR="00E819D2">
        <w:rPr>
          <w:rFonts w:cstheme="minorHAnsi"/>
        </w:rPr>
        <w:t>s</w:t>
      </w:r>
      <w:r w:rsidRPr="00FE04D9">
        <w:rPr>
          <w:rFonts w:cstheme="minorHAnsi"/>
        </w:rPr>
        <w:t xml:space="preserve"> had to be dissociated before new metal complexes could be detected. We know from the kinetic study that triphenylphosphine can have an inhibitory effect on reaction rate and we can see in this equilibrium how </w:t>
      </w:r>
      <w:r w:rsidRPr="00FE04D9">
        <w:rPr>
          <w:rFonts w:cstheme="minorHAnsi"/>
          <w:b/>
        </w:rPr>
        <w:t>A</w:t>
      </w:r>
      <w:r w:rsidRPr="00FE04D9">
        <w:rPr>
          <w:rFonts w:cstheme="minorHAnsi"/>
        </w:rPr>
        <w:t xml:space="preserve"> is favored over </w:t>
      </w:r>
      <w:r w:rsidRPr="00FE04D9">
        <w:rPr>
          <w:rFonts w:cstheme="minorHAnsi"/>
          <w:b/>
        </w:rPr>
        <w:t>A’</w:t>
      </w:r>
      <w:r w:rsidRPr="00FE04D9">
        <w:rPr>
          <w:rFonts w:cstheme="minorHAnsi"/>
        </w:rPr>
        <w:t xml:space="preserve"> in the presence of excess phosphine. Subsequently we believe that </w:t>
      </w:r>
      <w:r w:rsidRPr="00FE04D9">
        <w:rPr>
          <w:rFonts w:cstheme="minorHAnsi"/>
          <w:b/>
        </w:rPr>
        <w:t>A’</w:t>
      </w:r>
      <w:r w:rsidRPr="00FE04D9">
        <w:rPr>
          <w:rFonts w:cstheme="minorHAnsi"/>
        </w:rPr>
        <w:t xml:space="preserve"> is the active catalyst. </w:t>
      </w:r>
    </w:p>
    <w:p w14:paraId="1ED1DAC1" w14:textId="77777777" w:rsidR="00573BBE" w:rsidRDefault="00BA0582" w:rsidP="00573BBE">
      <w:pPr>
        <w:keepNext/>
        <w:jc w:val="center"/>
      </w:pPr>
      <w:r w:rsidRPr="00FE04D9">
        <w:rPr>
          <w:rFonts w:cstheme="minorHAnsi"/>
        </w:rPr>
        <w:object w:dxaOrig="2797" w:dyaOrig="1318" w14:anchorId="55344F5C">
          <v:shape id="_x0000_i1223" type="#_x0000_t75" style="width:139.25pt;height:66.45pt" o:ole="">
            <v:imagedata r:id="rId548" o:title=""/>
          </v:shape>
          <o:OLEObject Type="Embed" ProgID="ChemDraw.Document.6.0" ShapeID="_x0000_i1223" DrawAspect="Content" ObjectID="_1532785044" r:id="rId549"/>
        </w:object>
      </w:r>
    </w:p>
    <w:p w14:paraId="73C1ED16" w14:textId="77777777" w:rsidR="00BA0582" w:rsidRDefault="00573BBE" w:rsidP="00573BBE">
      <w:pPr>
        <w:pStyle w:val="Caption"/>
        <w:jc w:val="center"/>
        <w:rPr>
          <w:rFonts w:cstheme="minorHAnsi"/>
        </w:rPr>
      </w:pPr>
      <w:bookmarkStart w:id="464" w:name="_Ref457478776"/>
      <w:bookmarkStart w:id="465" w:name="_Toc457670809"/>
      <w:r>
        <w:t xml:space="preserve">Figure </w:t>
      </w:r>
      <w:r w:rsidR="00443010">
        <w:fldChar w:fldCharType="begin"/>
      </w:r>
      <w:r w:rsidR="00443010">
        <w:instrText xml:space="preserve"> STYLEREF 1 \s </w:instrText>
      </w:r>
      <w:r w:rsidR="00443010">
        <w:fldChar w:fldCharType="separate"/>
      </w:r>
      <w:r w:rsidR="000A0E3D">
        <w:rPr>
          <w:noProof/>
        </w:rPr>
        <w:t>IV</w:t>
      </w:r>
      <w:r w:rsidR="00443010">
        <w:rPr>
          <w:noProof/>
        </w:rPr>
        <w:fldChar w:fldCharType="end"/>
      </w:r>
      <w:r>
        <w:t>.</w:t>
      </w:r>
      <w:r w:rsidR="00443010">
        <w:fldChar w:fldCharType="begin"/>
      </w:r>
      <w:r w:rsidR="00443010">
        <w:instrText xml:space="preserve"> SEQ Figure \* ARABIC \s 1 </w:instrText>
      </w:r>
      <w:r w:rsidR="00443010">
        <w:fldChar w:fldCharType="separate"/>
      </w:r>
      <w:r w:rsidR="000A0E3D">
        <w:rPr>
          <w:noProof/>
        </w:rPr>
        <w:t>25</w:t>
      </w:r>
      <w:r w:rsidR="00443010">
        <w:rPr>
          <w:noProof/>
        </w:rPr>
        <w:fldChar w:fldCharType="end"/>
      </w:r>
      <w:bookmarkEnd w:id="464"/>
      <w:r>
        <w:t xml:space="preserve"> </w:t>
      </w:r>
      <w:r w:rsidR="00BA0582" w:rsidRPr="00FE04D9">
        <w:rPr>
          <w:rFonts w:cstheme="minorHAnsi"/>
        </w:rPr>
        <w:t xml:space="preserve">Pre-catalyst </w:t>
      </w:r>
      <w:r w:rsidR="00BA0582" w:rsidRPr="00573BBE">
        <w:rPr>
          <w:rFonts w:cstheme="minorHAnsi"/>
          <w:u w:val="single"/>
        </w:rPr>
        <w:t>A</w:t>
      </w:r>
      <w:r w:rsidR="00BA0582" w:rsidRPr="00FE04D9">
        <w:rPr>
          <w:rFonts w:cstheme="minorHAnsi"/>
        </w:rPr>
        <w:t xml:space="preserve"> to active catalyst </w:t>
      </w:r>
      <w:r w:rsidR="00BA0582" w:rsidRPr="00573BBE">
        <w:rPr>
          <w:rFonts w:cstheme="minorHAnsi"/>
          <w:u w:val="single"/>
        </w:rPr>
        <w:t>A’</w:t>
      </w:r>
      <w:r w:rsidR="00BA0582" w:rsidRPr="00FE04D9">
        <w:rPr>
          <w:rFonts w:cstheme="minorHAnsi"/>
        </w:rPr>
        <w:t xml:space="preserve"> equilibrium</w:t>
      </w:r>
      <w:bookmarkEnd w:id="465"/>
    </w:p>
    <w:p w14:paraId="71B15010" w14:textId="77777777" w:rsidR="00573BBE" w:rsidRPr="00573BBE" w:rsidRDefault="00573BBE" w:rsidP="00573BBE"/>
    <w:p w14:paraId="3A596562" w14:textId="77777777" w:rsidR="00BA0582" w:rsidRPr="00FE04D9" w:rsidRDefault="00BA0582" w:rsidP="00FE04D9">
      <w:pPr>
        <w:ind w:firstLine="360"/>
        <w:jc w:val="both"/>
        <w:rPr>
          <w:rFonts w:cstheme="minorHAnsi"/>
        </w:rPr>
      </w:pPr>
      <w:r w:rsidRPr="00FE04D9">
        <w:rPr>
          <w:rFonts w:cstheme="minorHAnsi"/>
        </w:rPr>
        <w:t xml:space="preserve">From the stoichiometric experiments involving the pre-catalyst, alcohols and phosphine we could see with the different alcohols that the alcohol coordinates to the rhenium center. We detected two sets of alcohol-derived protons and new phosphine complexes having a different ratio. We think they represent two different rhenium complexes. Each set could come from </w:t>
      </w:r>
      <w:r w:rsidRPr="00FE04D9">
        <w:rPr>
          <w:rFonts w:cstheme="minorHAnsi"/>
          <w:b/>
        </w:rPr>
        <w:t>B</w:t>
      </w:r>
      <w:r w:rsidRPr="00FE04D9">
        <w:rPr>
          <w:rFonts w:cstheme="minorHAnsi"/>
          <w:b/>
          <w:vertAlign w:val="subscript"/>
        </w:rPr>
        <w:t>1</w:t>
      </w:r>
      <w:r w:rsidRPr="00FE04D9">
        <w:rPr>
          <w:rFonts w:cstheme="minorHAnsi"/>
        </w:rPr>
        <w:t xml:space="preserve"> and </w:t>
      </w:r>
      <w:r w:rsidRPr="00FE04D9">
        <w:rPr>
          <w:rFonts w:cstheme="minorHAnsi"/>
          <w:b/>
        </w:rPr>
        <w:t>B</w:t>
      </w:r>
      <w:r w:rsidRPr="00FE04D9">
        <w:rPr>
          <w:rFonts w:cstheme="minorHAnsi"/>
          <w:b/>
          <w:vertAlign w:val="subscript"/>
        </w:rPr>
        <w:t>2</w:t>
      </w:r>
      <w:r w:rsidRPr="00FE04D9">
        <w:rPr>
          <w:rFonts w:cstheme="minorHAnsi"/>
        </w:rPr>
        <w:t xml:space="preserve"> depending on if the coordinated alcohol transfers its proton to one of the rhenium oxo groups or not (</w:t>
      </w:r>
      <w:r w:rsidR="00573BBE">
        <w:rPr>
          <w:rFonts w:cstheme="minorHAnsi"/>
        </w:rPr>
        <w:fldChar w:fldCharType="begin"/>
      </w:r>
      <w:r w:rsidR="00573BBE">
        <w:rPr>
          <w:rFonts w:cstheme="minorHAnsi"/>
        </w:rPr>
        <w:instrText xml:space="preserve"> REF _Ref457477364 \h </w:instrText>
      </w:r>
      <w:r w:rsidR="00573BBE">
        <w:rPr>
          <w:rFonts w:cstheme="minorHAnsi"/>
        </w:rPr>
      </w:r>
      <w:r w:rsidR="00573BBE">
        <w:rPr>
          <w:rFonts w:cstheme="minorHAnsi"/>
        </w:rPr>
        <w:fldChar w:fldCharType="separate"/>
      </w:r>
      <w:r w:rsidR="000A0E3D">
        <w:t xml:space="preserve">Figure </w:t>
      </w:r>
      <w:r w:rsidR="000A0E3D">
        <w:rPr>
          <w:noProof/>
        </w:rPr>
        <w:t>IV</w:t>
      </w:r>
      <w:r w:rsidR="000A0E3D">
        <w:t>.</w:t>
      </w:r>
      <w:r w:rsidR="000A0E3D">
        <w:rPr>
          <w:noProof/>
        </w:rPr>
        <w:t>26</w:t>
      </w:r>
      <w:r w:rsidR="00573BBE">
        <w:rPr>
          <w:rFonts w:cstheme="minorHAnsi"/>
        </w:rPr>
        <w:fldChar w:fldCharType="end"/>
      </w:r>
      <w:r w:rsidRPr="00FE04D9">
        <w:rPr>
          <w:rFonts w:cstheme="minorHAnsi"/>
        </w:rPr>
        <w:t xml:space="preserve">). The ratio we observe is then the equilibrium reached between </w:t>
      </w:r>
      <w:r w:rsidRPr="00FE04D9">
        <w:rPr>
          <w:rFonts w:cstheme="minorHAnsi"/>
          <w:b/>
        </w:rPr>
        <w:t>B</w:t>
      </w:r>
      <w:r w:rsidRPr="00FE04D9">
        <w:rPr>
          <w:rFonts w:cstheme="minorHAnsi"/>
          <w:b/>
          <w:vertAlign w:val="subscript"/>
        </w:rPr>
        <w:t>1</w:t>
      </w:r>
      <w:r w:rsidRPr="00FE04D9">
        <w:rPr>
          <w:rFonts w:cstheme="minorHAnsi"/>
        </w:rPr>
        <w:t xml:space="preserve"> and </w:t>
      </w:r>
      <w:r w:rsidRPr="00FE04D9">
        <w:rPr>
          <w:rFonts w:cstheme="minorHAnsi"/>
          <w:b/>
        </w:rPr>
        <w:t>B</w:t>
      </w:r>
      <w:r w:rsidRPr="00FE04D9">
        <w:rPr>
          <w:rFonts w:cstheme="minorHAnsi"/>
          <w:b/>
          <w:vertAlign w:val="subscript"/>
        </w:rPr>
        <w:t>2</w:t>
      </w:r>
      <w:r w:rsidRPr="00FE04D9">
        <w:rPr>
          <w:rFonts w:cstheme="minorHAnsi"/>
        </w:rPr>
        <w:t xml:space="preserve"> with the highest ratio being the more abundant of the two species.</w:t>
      </w:r>
    </w:p>
    <w:p w14:paraId="129325EA" w14:textId="77777777" w:rsidR="00573BBE" w:rsidRDefault="00BA0582" w:rsidP="00573BBE">
      <w:pPr>
        <w:keepNext/>
        <w:jc w:val="center"/>
      </w:pPr>
      <w:r w:rsidRPr="00FE04D9">
        <w:rPr>
          <w:rFonts w:cstheme="minorHAnsi"/>
        </w:rPr>
        <w:object w:dxaOrig="5549" w:dyaOrig="1318" w14:anchorId="52D55A15">
          <v:shape id="_x0000_i1224" type="#_x0000_t75" style="width:277.7pt;height:66.45pt" o:ole="">
            <v:imagedata r:id="rId550" o:title=""/>
          </v:shape>
          <o:OLEObject Type="Embed" ProgID="ChemDraw.Document.6.0" ShapeID="_x0000_i1224" DrawAspect="Content" ObjectID="_1532785045" r:id="rId551"/>
        </w:object>
      </w:r>
    </w:p>
    <w:p w14:paraId="32223629" w14:textId="77777777" w:rsidR="00BA0582" w:rsidRDefault="00573BBE" w:rsidP="00573BBE">
      <w:pPr>
        <w:pStyle w:val="Caption"/>
        <w:rPr>
          <w:rFonts w:cstheme="minorHAnsi"/>
          <w:u w:val="single"/>
          <w:vertAlign w:val="subscript"/>
        </w:rPr>
      </w:pPr>
      <w:bookmarkStart w:id="466" w:name="_Ref457477364"/>
      <w:bookmarkStart w:id="467" w:name="_Toc457670810"/>
      <w:r>
        <w:t xml:space="preserve">Figure </w:t>
      </w:r>
      <w:r w:rsidR="00443010">
        <w:fldChar w:fldCharType="begin"/>
      </w:r>
      <w:r w:rsidR="00443010">
        <w:instrText xml:space="preserve"> STYLEREF 1 \s </w:instrText>
      </w:r>
      <w:r w:rsidR="00443010">
        <w:fldChar w:fldCharType="separate"/>
      </w:r>
      <w:r w:rsidR="000A0E3D">
        <w:rPr>
          <w:noProof/>
        </w:rPr>
        <w:t>IV</w:t>
      </w:r>
      <w:r w:rsidR="00443010">
        <w:rPr>
          <w:noProof/>
        </w:rPr>
        <w:fldChar w:fldCharType="end"/>
      </w:r>
      <w:r>
        <w:t>.</w:t>
      </w:r>
      <w:r w:rsidR="00443010">
        <w:fldChar w:fldCharType="begin"/>
      </w:r>
      <w:r w:rsidR="00443010">
        <w:instrText xml:space="preserve"> SEQ Figure \* ARABIC \s 1 </w:instrText>
      </w:r>
      <w:r w:rsidR="00443010">
        <w:fldChar w:fldCharType="separate"/>
      </w:r>
      <w:r w:rsidR="000A0E3D">
        <w:rPr>
          <w:noProof/>
        </w:rPr>
        <w:t>26</w:t>
      </w:r>
      <w:r w:rsidR="00443010">
        <w:rPr>
          <w:noProof/>
        </w:rPr>
        <w:fldChar w:fldCharType="end"/>
      </w:r>
      <w:bookmarkEnd w:id="466"/>
      <w:r>
        <w:t xml:space="preserve"> </w:t>
      </w:r>
      <w:r w:rsidR="00BA0582" w:rsidRPr="00FE04D9">
        <w:rPr>
          <w:rFonts w:cstheme="minorHAnsi"/>
        </w:rPr>
        <w:t xml:space="preserve">Alcohol coordination forming to species </w:t>
      </w:r>
      <w:r w:rsidR="00BA0582" w:rsidRPr="00573BBE">
        <w:rPr>
          <w:rFonts w:cstheme="minorHAnsi"/>
          <w:u w:val="single"/>
        </w:rPr>
        <w:t>B</w:t>
      </w:r>
      <w:r w:rsidR="00BA0582" w:rsidRPr="00573BBE">
        <w:rPr>
          <w:rFonts w:cstheme="minorHAnsi"/>
          <w:u w:val="single"/>
          <w:vertAlign w:val="subscript"/>
        </w:rPr>
        <w:t>1</w:t>
      </w:r>
      <w:r w:rsidR="00BA0582" w:rsidRPr="00FE04D9">
        <w:rPr>
          <w:rFonts w:cstheme="minorHAnsi"/>
        </w:rPr>
        <w:t xml:space="preserve"> and </w:t>
      </w:r>
      <w:r w:rsidR="00BA0582" w:rsidRPr="00573BBE">
        <w:rPr>
          <w:rFonts w:cstheme="minorHAnsi"/>
          <w:u w:val="single"/>
        </w:rPr>
        <w:t>B</w:t>
      </w:r>
      <w:r w:rsidR="00BA0582" w:rsidRPr="00573BBE">
        <w:rPr>
          <w:rFonts w:cstheme="minorHAnsi"/>
          <w:u w:val="single"/>
          <w:vertAlign w:val="subscript"/>
        </w:rPr>
        <w:t>2</w:t>
      </w:r>
      <w:bookmarkEnd w:id="467"/>
    </w:p>
    <w:p w14:paraId="6584868E" w14:textId="77777777" w:rsidR="00573BBE" w:rsidRPr="00573BBE" w:rsidRDefault="00573BBE" w:rsidP="00573BBE"/>
    <w:p w14:paraId="282AD040" w14:textId="77777777" w:rsidR="00BA0582" w:rsidRPr="00FE04D9" w:rsidRDefault="00BA0582" w:rsidP="00FE04D9">
      <w:pPr>
        <w:ind w:firstLine="360"/>
        <w:jc w:val="both"/>
        <w:rPr>
          <w:rFonts w:cstheme="minorHAnsi"/>
        </w:rPr>
      </w:pPr>
      <w:r w:rsidRPr="00FE04D9">
        <w:rPr>
          <w:rFonts w:cstheme="minorHAnsi"/>
        </w:rPr>
        <w:t xml:space="preserve">Another possibility seen for the two sets of alcohol derived protons could be an equilibrium between a monoalkoxy </w:t>
      </w:r>
      <w:r w:rsidRPr="00FE04D9">
        <w:rPr>
          <w:rFonts w:cstheme="minorHAnsi"/>
          <w:b/>
        </w:rPr>
        <w:t>B</w:t>
      </w:r>
      <w:r w:rsidRPr="00FE04D9">
        <w:rPr>
          <w:rFonts w:cstheme="minorHAnsi"/>
          <w:b/>
          <w:vertAlign w:val="subscript"/>
        </w:rPr>
        <w:t>2</w:t>
      </w:r>
      <w:r w:rsidRPr="00FE04D9">
        <w:rPr>
          <w:rFonts w:cstheme="minorHAnsi"/>
        </w:rPr>
        <w:t xml:space="preserve"> or dialkoxy </w:t>
      </w:r>
      <w:r w:rsidRPr="00FE04D9">
        <w:rPr>
          <w:rFonts w:cstheme="minorHAnsi"/>
          <w:b/>
        </w:rPr>
        <w:t>C</w:t>
      </w:r>
      <w:r w:rsidRPr="00FE04D9">
        <w:rPr>
          <w:rFonts w:cstheme="minorHAnsi"/>
        </w:rPr>
        <w:t xml:space="preserve"> rhenium complex. In the complex </w:t>
      </w:r>
      <w:r w:rsidRPr="00FE04D9">
        <w:rPr>
          <w:rFonts w:cstheme="minorHAnsi"/>
          <w:b/>
        </w:rPr>
        <w:t>C</w:t>
      </w:r>
      <w:r w:rsidRPr="00FE04D9">
        <w:rPr>
          <w:rFonts w:cstheme="minorHAnsi"/>
        </w:rPr>
        <w:t xml:space="preserve"> each alcohol group would be equivalent by the structure’s symmetry to have the same </w:t>
      </w:r>
      <w:r w:rsidRPr="00FE04D9">
        <w:rPr>
          <w:rFonts w:cstheme="minorHAnsi"/>
          <w:vertAlign w:val="superscript"/>
        </w:rPr>
        <w:t>1</w:t>
      </w:r>
      <w:r w:rsidRPr="00FE04D9">
        <w:rPr>
          <w:rFonts w:cstheme="minorHAnsi"/>
        </w:rPr>
        <w:t>H NMR shift and splitting pattern.</w:t>
      </w:r>
    </w:p>
    <w:p w14:paraId="0D83F8DA" w14:textId="77777777" w:rsidR="00573BBE" w:rsidRDefault="00BA0582" w:rsidP="00573BBE">
      <w:pPr>
        <w:keepNext/>
        <w:jc w:val="center"/>
      </w:pPr>
      <w:r w:rsidRPr="00FE04D9">
        <w:rPr>
          <w:rFonts w:cstheme="minorHAnsi"/>
        </w:rPr>
        <w:object w:dxaOrig="3631" w:dyaOrig="1310" w14:anchorId="5DEDB36A">
          <v:shape id="_x0000_i1225" type="#_x0000_t75" style="width:179.6pt;height:67.25pt" o:ole="">
            <v:imagedata r:id="rId552" o:title=""/>
          </v:shape>
          <o:OLEObject Type="Embed" ProgID="ChemDraw.Document.6.0" ShapeID="_x0000_i1225" DrawAspect="Content" ObjectID="_1532785046" r:id="rId553"/>
        </w:object>
      </w:r>
    </w:p>
    <w:p w14:paraId="1AEE6F41" w14:textId="77777777" w:rsidR="00BA0582" w:rsidRDefault="00573BBE" w:rsidP="00573BBE">
      <w:pPr>
        <w:pStyle w:val="Caption"/>
        <w:rPr>
          <w:rFonts w:cstheme="minorHAnsi"/>
        </w:rPr>
      </w:pPr>
      <w:bookmarkStart w:id="468" w:name="_Toc457670811"/>
      <w:r>
        <w:t xml:space="preserve">Figure </w:t>
      </w:r>
      <w:r w:rsidR="00443010">
        <w:fldChar w:fldCharType="begin"/>
      </w:r>
      <w:r w:rsidR="00443010">
        <w:instrText xml:space="preserve"> STYLEREF 1 \s </w:instrText>
      </w:r>
      <w:r w:rsidR="00443010">
        <w:fldChar w:fldCharType="separate"/>
      </w:r>
      <w:r w:rsidR="000A0E3D">
        <w:rPr>
          <w:noProof/>
        </w:rPr>
        <w:t>IV</w:t>
      </w:r>
      <w:r w:rsidR="00443010">
        <w:rPr>
          <w:noProof/>
        </w:rPr>
        <w:fldChar w:fldCharType="end"/>
      </w:r>
      <w:r>
        <w:t>.</w:t>
      </w:r>
      <w:r w:rsidR="00443010">
        <w:fldChar w:fldCharType="begin"/>
      </w:r>
      <w:r w:rsidR="00443010">
        <w:instrText xml:space="preserve"> SEQ Figure \* ARABIC \s 1 </w:instrText>
      </w:r>
      <w:r w:rsidR="00443010">
        <w:fldChar w:fldCharType="separate"/>
      </w:r>
      <w:r w:rsidR="000A0E3D">
        <w:rPr>
          <w:noProof/>
        </w:rPr>
        <w:t>27</w:t>
      </w:r>
      <w:r w:rsidR="00443010">
        <w:rPr>
          <w:noProof/>
        </w:rPr>
        <w:fldChar w:fldCharType="end"/>
      </w:r>
      <w:r>
        <w:t xml:space="preserve"> </w:t>
      </w:r>
      <w:r w:rsidR="00BA0582" w:rsidRPr="00FE04D9">
        <w:rPr>
          <w:rFonts w:cstheme="minorHAnsi"/>
        </w:rPr>
        <w:t xml:space="preserve">Possible equilibrium between a mono </w:t>
      </w:r>
      <w:r w:rsidR="0016299B">
        <w:rPr>
          <w:rFonts w:cstheme="minorHAnsi"/>
        </w:rPr>
        <w:t>(</w:t>
      </w:r>
      <w:r w:rsidR="00BA0582" w:rsidRPr="0016299B">
        <w:rPr>
          <w:rFonts w:cstheme="minorHAnsi"/>
          <w:u w:val="single"/>
        </w:rPr>
        <w:t>B</w:t>
      </w:r>
      <w:r w:rsidR="00BA0582" w:rsidRPr="0016299B">
        <w:rPr>
          <w:rFonts w:cstheme="minorHAnsi"/>
          <w:u w:val="single"/>
          <w:vertAlign w:val="subscript"/>
        </w:rPr>
        <w:t>2</w:t>
      </w:r>
      <w:r w:rsidR="0016299B">
        <w:rPr>
          <w:rFonts w:cstheme="minorHAnsi"/>
        </w:rPr>
        <w:t>)</w:t>
      </w:r>
      <w:r w:rsidR="00BA0582" w:rsidRPr="00FE04D9">
        <w:rPr>
          <w:rFonts w:cstheme="minorHAnsi"/>
        </w:rPr>
        <w:t xml:space="preserve"> and bis </w:t>
      </w:r>
      <w:r w:rsidR="0016299B">
        <w:rPr>
          <w:rFonts w:cstheme="minorHAnsi"/>
        </w:rPr>
        <w:t>(</w:t>
      </w:r>
      <w:r w:rsidR="00BA0582" w:rsidRPr="0016299B">
        <w:rPr>
          <w:rFonts w:cstheme="minorHAnsi"/>
          <w:u w:val="single"/>
        </w:rPr>
        <w:t>C</w:t>
      </w:r>
      <w:r w:rsidR="0016299B">
        <w:rPr>
          <w:rFonts w:cstheme="minorHAnsi"/>
          <w:u w:val="single"/>
        </w:rPr>
        <w:t>)</w:t>
      </w:r>
      <w:r w:rsidR="00BA0582" w:rsidRPr="00FE04D9">
        <w:rPr>
          <w:rFonts w:cstheme="minorHAnsi"/>
        </w:rPr>
        <w:t xml:space="preserve"> alkoxy rhenium complex.</w:t>
      </w:r>
      <w:bookmarkEnd w:id="468"/>
      <w:r w:rsidR="00BA0582" w:rsidRPr="00FE04D9">
        <w:rPr>
          <w:rFonts w:cstheme="minorHAnsi"/>
        </w:rPr>
        <w:t xml:space="preserve"> </w:t>
      </w:r>
    </w:p>
    <w:p w14:paraId="482EE2F6" w14:textId="77777777" w:rsidR="00573BBE" w:rsidRPr="00573BBE" w:rsidRDefault="00573BBE" w:rsidP="00573BBE"/>
    <w:p w14:paraId="49C5C2BF" w14:textId="77777777" w:rsidR="00BA0582" w:rsidRPr="00FE04D9" w:rsidRDefault="00BA0582" w:rsidP="00FE04D9">
      <w:pPr>
        <w:ind w:firstLine="360"/>
        <w:jc w:val="both"/>
        <w:rPr>
          <w:rFonts w:cstheme="minorHAnsi"/>
        </w:rPr>
      </w:pPr>
      <w:r w:rsidRPr="00FE04D9">
        <w:rPr>
          <w:rFonts w:cstheme="minorHAnsi"/>
        </w:rPr>
        <w:t>The</w:t>
      </w:r>
      <w:r w:rsidR="005A0358">
        <w:rPr>
          <w:rFonts w:cstheme="minorHAnsi"/>
        </w:rPr>
        <w:t xml:space="preserve"> limited effect found in changing the ratio of alcohol to rhenium complex</w:t>
      </w:r>
      <w:r w:rsidRPr="00FE04D9">
        <w:rPr>
          <w:rFonts w:cstheme="minorHAnsi"/>
        </w:rPr>
        <w:t xml:space="preserve"> disfavored the potential involvement of equilibrium between a mono alkoxyde and dialkoxyde intermediate (</w:t>
      </w:r>
      <w:r w:rsidRPr="00FE04D9">
        <w:rPr>
          <w:rFonts w:cstheme="minorHAnsi"/>
          <w:b/>
        </w:rPr>
        <w:t>B</w:t>
      </w:r>
      <w:r w:rsidRPr="00FE04D9">
        <w:rPr>
          <w:rFonts w:cstheme="minorHAnsi"/>
          <w:b/>
          <w:vertAlign w:val="subscript"/>
        </w:rPr>
        <w:t>2</w:t>
      </w:r>
      <w:r w:rsidRPr="00FE04D9">
        <w:rPr>
          <w:rFonts w:cstheme="minorHAnsi"/>
        </w:rPr>
        <w:t xml:space="preserve"> </w:t>
      </w:r>
      <w:r w:rsidRPr="00FE04D9">
        <w:rPr>
          <w:rFonts w:cstheme="minorHAnsi"/>
        </w:rPr>
        <w:sym w:font="Wingdings" w:char="F0F3"/>
      </w:r>
      <w:r w:rsidRPr="00FE04D9">
        <w:rPr>
          <w:rFonts w:cstheme="minorHAnsi"/>
        </w:rPr>
        <w:t xml:space="preserve"> </w:t>
      </w:r>
      <w:r w:rsidRPr="00FE04D9">
        <w:rPr>
          <w:rFonts w:cstheme="minorHAnsi"/>
          <w:b/>
        </w:rPr>
        <w:t>C</w:t>
      </w:r>
      <w:r w:rsidRPr="00FE04D9">
        <w:rPr>
          <w:rFonts w:cstheme="minorHAnsi"/>
        </w:rPr>
        <w:t xml:space="preserve">). The alkoxy-Re complex detected are both carrying the same number of coordinated alcohol. </w:t>
      </w:r>
    </w:p>
    <w:p w14:paraId="42CCE8E3" w14:textId="77777777" w:rsidR="00573BBE" w:rsidRDefault="00BA0582" w:rsidP="00573BBE">
      <w:pPr>
        <w:keepNext/>
        <w:jc w:val="center"/>
      </w:pPr>
      <w:r w:rsidRPr="00FE04D9">
        <w:rPr>
          <w:rFonts w:cstheme="minorHAnsi"/>
          <w:noProof/>
          <w:lang w:bidi="ar-SA"/>
        </w:rPr>
        <w:drawing>
          <wp:inline distT="0" distB="0" distL="0" distR="0" wp14:anchorId="0308D6E8" wp14:editId="05293D41">
            <wp:extent cx="4190365" cy="2568575"/>
            <wp:effectExtent l="0" t="0" r="0" b="317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9"/>
                    <pic:cNvPicPr>
                      <a:picLocks noChangeAspect="1" noChangeArrowheads="1"/>
                    </pic:cNvPicPr>
                  </pic:nvPicPr>
                  <pic:blipFill>
                    <a:blip r:embed="rId554" cstate="print">
                      <a:extLst>
                        <a:ext uri="{28A0092B-C50C-407E-A947-70E740481C1C}">
                          <a14:useLocalDpi xmlns:a14="http://schemas.microsoft.com/office/drawing/2010/main" val="0"/>
                        </a:ext>
                      </a:extLst>
                    </a:blip>
                    <a:srcRect/>
                    <a:stretch>
                      <a:fillRect/>
                    </a:stretch>
                  </pic:blipFill>
                  <pic:spPr bwMode="auto">
                    <a:xfrm>
                      <a:off x="0" y="0"/>
                      <a:ext cx="4190365" cy="2568575"/>
                    </a:xfrm>
                    <a:prstGeom prst="rect">
                      <a:avLst/>
                    </a:prstGeom>
                    <a:noFill/>
                    <a:ln>
                      <a:noFill/>
                    </a:ln>
                  </pic:spPr>
                </pic:pic>
              </a:graphicData>
            </a:graphic>
          </wp:inline>
        </w:drawing>
      </w:r>
    </w:p>
    <w:p w14:paraId="4A0F1B97" w14:textId="77777777" w:rsidR="00BA0582" w:rsidRPr="00FE04D9" w:rsidRDefault="0016299B" w:rsidP="00573BBE">
      <w:pPr>
        <w:pStyle w:val="Caption"/>
        <w:rPr>
          <w:rFonts w:cstheme="minorHAnsi"/>
        </w:rPr>
      </w:pPr>
      <w:r>
        <w:fldChar w:fldCharType="begin"/>
      </w:r>
      <w:r>
        <w:rPr>
          <w:rFonts w:cstheme="minorHAnsi"/>
        </w:rPr>
        <w:instrText xml:space="preserve"> REF _Ref457477226 \h </w:instrText>
      </w:r>
      <w:r>
        <w:fldChar w:fldCharType="separate"/>
      </w:r>
      <w:r w:rsidR="000A0E3D">
        <w:t xml:space="preserve">Figure </w:t>
      </w:r>
      <w:r w:rsidR="000A0E3D">
        <w:rPr>
          <w:noProof/>
        </w:rPr>
        <w:t>IV</w:t>
      </w:r>
      <w:r w:rsidR="000A0E3D">
        <w:t>.</w:t>
      </w:r>
      <w:r w:rsidR="000A0E3D">
        <w:rPr>
          <w:noProof/>
        </w:rPr>
        <w:t>23</w:t>
      </w:r>
      <w:r>
        <w:fldChar w:fldCharType="end"/>
      </w:r>
      <w:r>
        <w:t xml:space="preserve"> </w:t>
      </w:r>
      <w:r w:rsidR="00BA0582" w:rsidRPr="00FE04D9">
        <w:rPr>
          <w:rFonts w:cstheme="minorHAnsi"/>
        </w:rPr>
        <w:t>DFT study of the IReO</w:t>
      </w:r>
      <w:r w:rsidR="00BA0582" w:rsidRPr="00FE04D9">
        <w:rPr>
          <w:rFonts w:cstheme="minorHAnsi"/>
          <w:vertAlign w:val="subscript"/>
        </w:rPr>
        <w:t>2</w:t>
      </w:r>
      <w:r w:rsidR="00BA0582" w:rsidRPr="00FE04D9">
        <w:rPr>
          <w:rFonts w:cstheme="minorHAnsi"/>
        </w:rPr>
        <w:t>(PPh</w:t>
      </w:r>
      <w:r w:rsidR="00BA0582" w:rsidRPr="00FE04D9">
        <w:rPr>
          <w:rFonts w:cstheme="minorHAnsi"/>
          <w:vertAlign w:val="subscript"/>
        </w:rPr>
        <w:t>3</w:t>
      </w:r>
      <w:r w:rsidR="00BA0582" w:rsidRPr="00FE04D9">
        <w:rPr>
          <w:rFonts w:cstheme="minorHAnsi"/>
        </w:rPr>
        <w:t>)</w:t>
      </w:r>
      <w:r w:rsidR="00BA0582" w:rsidRPr="00FE04D9">
        <w:rPr>
          <w:rFonts w:cstheme="minorHAnsi"/>
          <w:vertAlign w:val="subscript"/>
        </w:rPr>
        <w:t>2</w:t>
      </w:r>
      <w:r w:rsidR="00BA0582" w:rsidRPr="00FE04D9">
        <w:rPr>
          <w:rFonts w:cstheme="minorHAnsi"/>
        </w:rPr>
        <w:t xml:space="preserve"> catalyzed reductive coupling </w:t>
      </w:r>
      <w:r w:rsidR="00BA0582" w:rsidRPr="00FE04D9">
        <w:rPr>
          <w:rFonts w:cstheme="minorHAnsi"/>
          <w:i/>
        </w:rPr>
        <w:t>(by Dr. Nicholas)</w:t>
      </w:r>
    </w:p>
    <w:p w14:paraId="40A24280" w14:textId="77777777" w:rsidR="00BA0582" w:rsidRPr="00FE04D9" w:rsidRDefault="00BA0582" w:rsidP="00FE04D9">
      <w:pPr>
        <w:jc w:val="center"/>
        <w:rPr>
          <w:rFonts w:cstheme="minorHAnsi"/>
        </w:rPr>
      </w:pPr>
    </w:p>
    <w:p w14:paraId="2BDE0FC1" w14:textId="48B3033C" w:rsidR="00BA0582" w:rsidRPr="00FE04D9" w:rsidRDefault="00BA0582" w:rsidP="00FE04D9">
      <w:pPr>
        <w:ind w:firstLine="360"/>
        <w:jc w:val="both"/>
        <w:rPr>
          <w:rFonts w:cstheme="minorHAnsi"/>
        </w:rPr>
      </w:pPr>
      <w:r w:rsidRPr="00FE04D9">
        <w:rPr>
          <w:rFonts w:cstheme="minorHAnsi"/>
        </w:rPr>
        <w:t>From the alkoxy-rhenium complexes (B</w:t>
      </w:r>
      <w:r w:rsidRPr="00FE04D9">
        <w:rPr>
          <w:rFonts w:cstheme="minorHAnsi"/>
          <w:vertAlign w:val="subscript"/>
        </w:rPr>
        <w:t>1</w:t>
      </w:r>
      <w:r w:rsidRPr="00FE04D9">
        <w:rPr>
          <w:rFonts w:cstheme="minorHAnsi"/>
        </w:rPr>
        <w:t>, B</w:t>
      </w:r>
      <w:r w:rsidRPr="00FE04D9">
        <w:rPr>
          <w:rFonts w:cstheme="minorHAnsi"/>
          <w:vertAlign w:val="subscript"/>
        </w:rPr>
        <w:t>2</w:t>
      </w:r>
      <w:r w:rsidRPr="00FE04D9">
        <w:rPr>
          <w:rFonts w:cstheme="minorHAnsi"/>
        </w:rPr>
        <w:t xml:space="preserve"> or C) we can suggest that the reductive coupling could take place directly to form dimer. In his DFT calculation Dr. Nicholas has not found yet a transition state for concerted oxidative elimination to form dimer from dialkoxy-Re. The experimental low regio- and stereoselectivity argues against a concerted process. Therefor</w:t>
      </w:r>
      <w:r w:rsidR="001539C6">
        <w:rPr>
          <w:rFonts w:cstheme="minorHAnsi"/>
        </w:rPr>
        <w:t>e</w:t>
      </w:r>
      <w:r w:rsidRPr="00FE04D9">
        <w:rPr>
          <w:rFonts w:cstheme="minorHAnsi"/>
        </w:rPr>
        <w:t xml:space="preserve"> we might be looking at a stepwise C-O cleavage and C-C </w:t>
      </w:r>
      <w:r w:rsidR="00FB6114">
        <w:rPr>
          <w:rFonts w:cstheme="minorHAnsi"/>
        </w:rPr>
        <w:t>bond formation. ReO-R homol</w:t>
      </w:r>
      <w:r w:rsidRPr="00FE04D9">
        <w:rPr>
          <w:rFonts w:cstheme="minorHAnsi"/>
        </w:rPr>
        <w:t>ysis was ca</w:t>
      </w:r>
      <w:r w:rsidR="001539C6">
        <w:rPr>
          <w:rFonts w:cstheme="minorHAnsi"/>
        </w:rPr>
        <w:t>lculated to have low bond energies</w:t>
      </w:r>
      <w:r w:rsidRPr="00FE04D9">
        <w:rPr>
          <w:rFonts w:cstheme="minorHAnsi"/>
        </w:rPr>
        <w:t xml:space="preserve"> in addition Peters and co-worker reported experimental evide</w:t>
      </w:r>
      <w:r w:rsidR="00E04778">
        <w:rPr>
          <w:rFonts w:cstheme="minorHAnsi"/>
        </w:rPr>
        <w:t xml:space="preserve">nces </w:t>
      </w:r>
      <w:r w:rsidRPr="00FE04D9">
        <w:rPr>
          <w:rFonts w:cstheme="minorHAnsi"/>
        </w:rPr>
        <w:t>of molybdenum alkoxide homolysis to radicals for the formation Mo/Ti µ-oxo complexes.</w:t>
      </w:r>
      <w:r w:rsidR="00E04778">
        <w:rPr>
          <w:rFonts w:cstheme="minorHAnsi"/>
        </w:rPr>
        <w:fldChar w:fldCharType="begin"/>
      </w:r>
      <w:r w:rsidR="00E04778">
        <w:rPr>
          <w:rFonts w:cstheme="minorHAnsi"/>
        </w:rPr>
        <w:instrText xml:space="preserve"> ADDIN ZOTERO_ITEM CSL_CITATION {"citationID":"h2m9cjunp","properties":{"formattedCitation":"{\\rtf \\super 214\\nosupersub{}}","plainCitation":"214"},"citationItems":[{"id":1927,"uris":["http://zotero.org/users/1624234/items/XUR9W6PP"],"uri":["http://zotero.org/users/1624234/items/XUR9W6PP"],"itemData":{"id":1927,"type":"article-journal","title":"Assembly of Molybdenum/Titanium μ-Oxo Complexes via Radical Alkoxide C−O Cleavage","container-title":"Journal of the American Chemical Society","page":"10175-10188","volume":"118","issue":"42","source":"ACS Publications","abstract":"Three-coordinate Ti(NRAr)3 [R = C(CD3)2(CH3), Ar = C6H3Me2] was prepared in 73% yield by sodium amalgam reduction of ClTi(NRAr)3 and in 83% yield upon treatment of TiCl3(THF)3 with 3 equiv of Li(NRAr)(OEt2) in the presence of TMEDA. Ti(tBuNPh)3 was prepared similarly in 75% yield by treatment of TiCl3(THF)3 with 3 equiv of Li(tBuNPh)(OEt2) in the presence of TMEDA. Reaction of Ti(NRAr)3 with NMo(OtBu)3 in hydrocarbon solvents at −35 °C generates a thermally unstable intermediate formulated as (tBuO)3Mo[μ-N]Ti(NRAr)3, which readily loses a tert-butyl radical and isomerizes at 25 °C. Kinetics of the latter process were obtained over the temperature range 20−60 °C; the process exhibits clean first-order behavior. The following activation parameters were obtained:  ΔH</w:instrText>
      </w:r>
      <w:r w:rsidR="00E04778">
        <w:rPr>
          <w:rFonts w:ascii="Cambria Math" w:hAnsi="Cambria Math" w:cs="Cambria Math"/>
        </w:rPr>
        <w:instrText>⧧</w:instrText>
      </w:r>
      <w:r w:rsidR="00E04778">
        <w:rPr>
          <w:rFonts w:cstheme="minorHAnsi"/>
        </w:rPr>
        <w:instrText xml:space="preserve"> = 21.4 </w:instrText>
      </w:r>
      <w:r w:rsidR="00E04778">
        <w:rPr>
          <w:rFonts w:ascii="Times New Roman" w:hAnsi="Times New Roman"/>
        </w:rPr>
        <w:instrText>±</w:instrText>
      </w:r>
      <w:r w:rsidR="00E04778">
        <w:rPr>
          <w:rFonts w:cstheme="minorHAnsi"/>
        </w:rPr>
        <w:instrText xml:space="preserve"> 0.2 kcal mol-1 and </w:instrText>
      </w:r>
      <w:r w:rsidR="00E04778">
        <w:rPr>
          <w:rFonts w:ascii="Times New Roman" w:hAnsi="Times New Roman"/>
        </w:rPr>
        <w:instrText>Δ</w:instrText>
      </w:r>
      <w:r w:rsidR="00E04778">
        <w:rPr>
          <w:rFonts w:cstheme="minorHAnsi"/>
        </w:rPr>
        <w:instrText>S</w:instrText>
      </w:r>
      <w:r w:rsidR="00E04778">
        <w:rPr>
          <w:rFonts w:ascii="Cambria Math" w:hAnsi="Cambria Math" w:cs="Cambria Math"/>
        </w:rPr>
        <w:instrText>⧧</w:instrText>
      </w:r>
      <w:r w:rsidR="00E04778">
        <w:rPr>
          <w:rFonts w:cstheme="minorHAnsi"/>
        </w:rPr>
        <w:instrText xml:space="preserve"> = </w:instrText>
      </w:r>
      <w:r w:rsidR="00E04778">
        <w:rPr>
          <w:rFonts w:ascii="Times New Roman" w:hAnsi="Times New Roman"/>
        </w:rPr>
        <w:instrText>−</w:instrText>
      </w:r>
      <w:r w:rsidR="00E04778">
        <w:rPr>
          <w:rFonts w:cstheme="minorHAnsi"/>
        </w:rPr>
        <w:instrText xml:space="preserve">3.7 </w:instrText>
      </w:r>
      <w:r w:rsidR="00E04778">
        <w:rPr>
          <w:rFonts w:ascii="Times New Roman" w:hAnsi="Times New Roman"/>
        </w:rPr>
        <w:instrText>±</w:instrText>
      </w:r>
      <w:r w:rsidR="00E04778">
        <w:rPr>
          <w:rFonts w:cstheme="minorHAnsi"/>
        </w:rPr>
        <w:instrText xml:space="preserve"> 0.6 cal mol-1 K-1. The oxo-bridged product (tBuO)2(N)Mo[</w:instrText>
      </w:r>
      <w:r w:rsidR="00E04778">
        <w:rPr>
          <w:rFonts w:ascii="Times New Roman" w:hAnsi="Times New Roman"/>
        </w:rPr>
        <w:instrText>μ</w:instrText>
      </w:r>
      <w:r w:rsidR="00E04778">
        <w:rPr>
          <w:rFonts w:cstheme="minorHAnsi"/>
        </w:rPr>
        <w:instrText xml:space="preserve">-O]Ti(NRAr)3 was isolated in 83% yield from this reaction. Full characterization of the latter diamagnetic complex included an X-ray crystal structure and an 15N NMR study. Ti(NRAr)3 (1 equiv) reacts further with (tBuO)2(N)Mo[μ-O]Ti(NRAr)3 to generate a species formulated as a second paramagnetic nitrido-bridged intermediate, (tBuO)2Mo{[μ-O]Ti(NRAr)3}{[μ-N]Ti(NRAr)3}, which at 25 °C loses a tert-butyl radical and isomerizes to give the final product, (tBuO)(N)Mo{[μ-O]Ti(NRAr)3}2, isolated as an orange powder in 91% yield. Characterization of the latter diamagnetic complex included an 15N NMR study. Attempts to displace a third tert-butyl radical by treatment of (tBuO)(N)Mo{[μ-O]Ti(NRAr)3}2 with Ti(NRAr)3 led to no reaction. Treatment of (tBuO)(N)Mo{[μ-O]Ti(NRAr)3}2 with neat methyl iodide led to the isolation of (MeO)(N)Mo{[μ-O]Ti(NRAr)3}2 in 51% yield; 13C and nitrido-15N derivatives of this species were prepared for spectroscopic characterization. O2Mo{[μ-O]Ti(tBuNPh)3}2 was prepared in 59% yield upon treatment of MoO2(OtBu)2 with 2 equiv of Ti(tBuNPh)3 in benzene at 65 °C. Full characterization of O2Mo{[μ-O]Ti(tBuNPh)3}2 included a single-crystal X-ray diffraction study. Previously reported (iPrO)3V[μ-O]Ti(NRAr)3 was oxidized with ferrocenium triflate to give TfOTi(NRAr)3 and OV(OiPr)3. TfOTi(NRAr)3 was prepared independently in 80% yield by treatment of Ti(NRAr)3 with ferrocenium triflate. (iPrO)3V[μ-O]Ti(NRAr)3 is stable in the presence of methyl iodide. ITi(NRAr)3 was prepared independently by treatment of Ti(NRAr)3 with the stoichiometric amount of iodine. Paramagnetic (tBuO)3V[μ-O]Ti(NRAr)3 was prepared as orange-brown needles in 94% yield and was found to be thermally stable. The relatively robust μ-nitrido compound (Me2N)3Mo[μ-N]Ti(tBuNPh)3, which was prepared in 77% isolated yield, showed no decomposition when heated in benzene at 70 °C for 13 h.","DOI":"10.1021/ja960564w","ISSN":"0002-7863","journalAbbreviation":"J. Am. Chem. Soc.","author":[{"family":"Peters","given":"Jonas C."},{"family":"Johnson","given":"Adam R."},{"family":"Odom","given":"Aaron L."},{"family":"Wanandi","given":"Paulus W."},{"family":"Davis","given":"William M."},{"family":"Cummins","given":"Christopher C."}],"issued":{"date-parts":[["1996",1,1]]}}}],"schema":"https://github.com/citation-style-language/schema/raw/master/csl-citation.json"} </w:instrText>
      </w:r>
      <w:r w:rsidR="00E04778">
        <w:rPr>
          <w:rFonts w:cstheme="minorHAnsi"/>
        </w:rPr>
        <w:fldChar w:fldCharType="separate"/>
      </w:r>
      <w:r w:rsidR="00E04778" w:rsidRPr="00E04778">
        <w:rPr>
          <w:rFonts w:ascii="Times New Roman" w:hAnsi="Times New Roman"/>
          <w:vertAlign w:val="superscript"/>
        </w:rPr>
        <w:t>214</w:t>
      </w:r>
      <w:r w:rsidR="00E04778">
        <w:rPr>
          <w:rFonts w:cstheme="minorHAnsi"/>
        </w:rPr>
        <w:fldChar w:fldCharType="end"/>
      </w:r>
      <w:r w:rsidR="00E04778">
        <w:rPr>
          <w:rFonts w:cstheme="minorHAnsi"/>
        </w:rPr>
        <w:t xml:space="preserve"> If this does occur</w:t>
      </w:r>
      <w:r w:rsidRPr="00FE04D9">
        <w:rPr>
          <w:rFonts w:cstheme="minorHAnsi"/>
        </w:rPr>
        <w:t>, the dimer could form by rapid rebound:</w:t>
      </w:r>
    </w:p>
    <w:p w14:paraId="010F1E22" w14:textId="77777777" w:rsidR="00BA0582" w:rsidRPr="00FE04D9" w:rsidRDefault="00BA0582" w:rsidP="00FE04D9">
      <w:pPr>
        <w:jc w:val="center"/>
        <w:rPr>
          <w:rFonts w:cstheme="minorHAnsi"/>
        </w:rPr>
      </w:pPr>
      <w:r w:rsidRPr="00FE04D9">
        <w:rPr>
          <w:rFonts w:cstheme="minorHAnsi"/>
        </w:rPr>
        <w:t>R</w:t>
      </w:r>
      <w:r w:rsidRPr="00FE04D9">
        <w:rPr>
          <w:rFonts w:cstheme="minorHAnsi"/>
          <w:b/>
          <w:vertAlign w:val="superscript"/>
        </w:rPr>
        <w:t>.</w:t>
      </w:r>
      <w:r w:rsidRPr="00FE04D9">
        <w:rPr>
          <w:rFonts w:cstheme="minorHAnsi"/>
        </w:rPr>
        <w:t xml:space="preserve"> + R-O-Re </w:t>
      </w:r>
      <w:r w:rsidRPr="00FE04D9">
        <w:rPr>
          <w:rFonts w:cstheme="minorHAnsi"/>
        </w:rPr>
        <w:sym w:font="Wingdings" w:char="F0E0"/>
      </w:r>
      <w:r w:rsidRPr="00FE04D9">
        <w:rPr>
          <w:rFonts w:cstheme="minorHAnsi"/>
        </w:rPr>
        <w:t xml:space="preserve"> R-R  +  O=Re</w:t>
      </w:r>
    </w:p>
    <w:p w14:paraId="3C03A89D" w14:textId="168FF6BB" w:rsidR="00BA0582" w:rsidRPr="00FE04D9" w:rsidRDefault="00BA0582" w:rsidP="00FE04D9">
      <w:pPr>
        <w:ind w:firstLine="360"/>
        <w:jc w:val="both"/>
        <w:rPr>
          <w:rFonts w:cstheme="minorHAnsi"/>
        </w:rPr>
      </w:pPr>
      <w:r w:rsidRPr="00FE04D9">
        <w:rPr>
          <w:rFonts w:cstheme="minorHAnsi"/>
        </w:rPr>
        <w:t>However we could not see any effect of hydrogen donor</w:t>
      </w:r>
      <w:r w:rsidR="001539C6">
        <w:rPr>
          <w:rFonts w:cstheme="minorHAnsi"/>
        </w:rPr>
        <w:t>s</w:t>
      </w:r>
      <w:r w:rsidRPr="00FE04D9">
        <w:rPr>
          <w:rFonts w:cstheme="minorHAnsi"/>
        </w:rPr>
        <w:t xml:space="preserve"> in the reaction demonstrating that no radical was trapped which argue against a 'free' radical. The only potential explanation to support the dissociation and rebound of a radical without being trapped would be a solvent cage effect.</w:t>
      </w:r>
    </w:p>
    <w:p w14:paraId="73685398" w14:textId="77777777" w:rsidR="00BA0582" w:rsidRPr="00FE04D9" w:rsidRDefault="00BA0582" w:rsidP="00FE04D9">
      <w:pPr>
        <w:ind w:firstLine="360"/>
        <w:jc w:val="both"/>
        <w:rPr>
          <w:rFonts w:cstheme="minorHAnsi"/>
        </w:rPr>
      </w:pPr>
      <w:r w:rsidRPr="00FE04D9">
        <w:rPr>
          <w:rFonts w:cstheme="minorHAnsi"/>
        </w:rPr>
        <w:t xml:space="preserve">The formation of alkyl rhenium complex could be possible as well (30 to 35 kcal/mol) </w:t>
      </w:r>
      <w:r w:rsidRPr="00FE04D9">
        <w:rPr>
          <w:rFonts w:cstheme="minorHAnsi"/>
          <w:b/>
        </w:rPr>
        <w:t>C</w:t>
      </w:r>
      <w:r w:rsidRPr="00FE04D9">
        <w:rPr>
          <w:rFonts w:cstheme="minorHAnsi"/>
        </w:rPr>
        <w:t xml:space="preserve"> to </w:t>
      </w:r>
      <w:r w:rsidRPr="00FE04D9">
        <w:rPr>
          <w:rFonts w:cstheme="minorHAnsi"/>
          <w:b/>
        </w:rPr>
        <w:t>F</w:t>
      </w:r>
      <w:r w:rsidRPr="00FE04D9">
        <w:rPr>
          <w:rFonts w:cstheme="minorHAnsi"/>
        </w:rPr>
        <w:t xml:space="preserve"> or </w:t>
      </w:r>
      <w:r w:rsidRPr="00FE04D9">
        <w:rPr>
          <w:rFonts w:cstheme="minorHAnsi"/>
          <w:b/>
        </w:rPr>
        <w:t>C’</w:t>
      </w:r>
      <w:r w:rsidRPr="00FE04D9">
        <w:rPr>
          <w:rFonts w:cstheme="minorHAnsi"/>
        </w:rPr>
        <w:t xml:space="preserve"> to </w:t>
      </w:r>
      <w:r w:rsidRPr="00FE04D9">
        <w:rPr>
          <w:rFonts w:cstheme="minorHAnsi"/>
          <w:b/>
        </w:rPr>
        <w:t>F’</w:t>
      </w:r>
      <w:r w:rsidRPr="00FE04D9">
        <w:rPr>
          <w:rFonts w:cstheme="minorHAnsi"/>
        </w:rPr>
        <w:t xml:space="preserve"> (depending on when the reduction happens). With the formation of such </w:t>
      </w:r>
      <w:r w:rsidR="00E04778">
        <w:rPr>
          <w:rFonts w:cstheme="minorHAnsi"/>
        </w:rPr>
        <w:t xml:space="preserve">an </w:t>
      </w:r>
      <w:r w:rsidRPr="00FE04D9">
        <w:rPr>
          <w:rFonts w:cstheme="minorHAnsi"/>
        </w:rPr>
        <w:t xml:space="preserve">alkyl complex the number of bonds between the phosphine and the proton is lower than three. In the literature such </w:t>
      </w:r>
      <w:r w:rsidR="00E04778">
        <w:rPr>
          <w:rFonts w:cstheme="minorHAnsi"/>
        </w:rPr>
        <w:t xml:space="preserve">an </w:t>
      </w:r>
      <w:r w:rsidRPr="00FE04D9">
        <w:rPr>
          <w:rFonts w:cstheme="minorHAnsi"/>
        </w:rPr>
        <w:t xml:space="preserve">alkyl-phosphine metal complex would show a large </w:t>
      </w:r>
      <w:r w:rsidRPr="00FE04D9">
        <w:rPr>
          <w:rFonts w:cstheme="minorHAnsi"/>
          <w:vertAlign w:val="superscript"/>
        </w:rPr>
        <w:t>1</w:t>
      </w:r>
      <w:r w:rsidRPr="00FE04D9">
        <w:rPr>
          <w:rFonts w:cstheme="minorHAnsi"/>
        </w:rPr>
        <w:t>H NMR J</w:t>
      </w:r>
      <w:r w:rsidRPr="00FE04D9">
        <w:rPr>
          <w:rFonts w:cstheme="minorHAnsi"/>
          <w:vertAlign w:val="subscript"/>
        </w:rPr>
        <w:t>PH</w:t>
      </w:r>
      <w:r w:rsidRPr="00FE04D9">
        <w:rPr>
          <w:rFonts w:cstheme="minorHAnsi"/>
        </w:rPr>
        <w:t xml:space="preserve"> coupling (6 to 12 Hz).</w:t>
      </w:r>
      <w:r w:rsidRPr="00FE04D9">
        <w:rPr>
          <w:rFonts w:cstheme="minorHAnsi"/>
        </w:rPr>
        <w:fldChar w:fldCharType="begin"/>
      </w:r>
      <w:r w:rsidR="0091451B">
        <w:rPr>
          <w:rFonts w:cstheme="minorHAnsi"/>
        </w:rPr>
        <w:instrText xml:space="preserve"> ADDIN ZOTERO_ITEM CSL_CITATION {"citationID":"21cpk7qe9p","properties":{"formattedCitation":"{\\rtf \\super 230\\nosupersub{}}","plainCitation":"230"},"citationItems":[{"id":2042,"uris":["http://zotero.org/users/1624234/items/FQ5VT5W2"],"uri":["http://zotero.org/users/1624234/items/FQ5VT5W2"],"itemData":{"id":2042,"type":"article-journal","title":"Synthesis and structure of ReO(PMe3)(CH2SiMe3)3 and reaction with carbon monoxide","container-title":"Organometallics","page":"2273-2278","volume":"6","issue":"11","source":"ACS Publications","DOI":"10.1021/om00154a001","ISSN":"0276-7333","journalAbbreviation":"Organometallics","author":[{"family":"Cai","given":"Shiang."},{"family":"Hoffman","given":"David M."},{"family":"Lappas","given":"Dimitrios."},{"family":"Woo","given":"Hee Gweon."},{"family":"Huffman","given":"John C."}],"issued":{"date-parts":[["1987",11,1]]}}}],"schema":"https://github.com/citation-style-language/schema/raw/master/csl-citation.json"} </w:instrText>
      </w:r>
      <w:r w:rsidRPr="00FE04D9">
        <w:rPr>
          <w:rFonts w:cstheme="minorHAnsi"/>
        </w:rPr>
        <w:fldChar w:fldCharType="separate"/>
      </w:r>
      <w:r w:rsidR="0091451B" w:rsidRPr="0091451B">
        <w:rPr>
          <w:rFonts w:ascii="Times New Roman" w:hAnsi="Times New Roman"/>
          <w:vertAlign w:val="superscript"/>
        </w:rPr>
        <w:t>230</w:t>
      </w:r>
      <w:r w:rsidRPr="00FE04D9">
        <w:rPr>
          <w:rFonts w:cstheme="minorHAnsi"/>
        </w:rPr>
        <w:fldChar w:fldCharType="end"/>
      </w:r>
      <w:r w:rsidR="00E04778">
        <w:rPr>
          <w:rFonts w:cstheme="minorHAnsi"/>
        </w:rPr>
        <w:t xml:space="preserve"> We did not detect such large</w:t>
      </w:r>
      <w:r w:rsidRPr="00FE04D9">
        <w:rPr>
          <w:rFonts w:cstheme="minorHAnsi"/>
        </w:rPr>
        <w:t xml:space="preserve"> coupling in the proton spectra of the multiple reactions in this study. From this observation it is then unlikely that such </w:t>
      </w:r>
      <w:r w:rsidR="00E04778">
        <w:rPr>
          <w:rFonts w:cstheme="minorHAnsi"/>
        </w:rPr>
        <w:t xml:space="preserve">an </w:t>
      </w:r>
      <w:r w:rsidRPr="00FE04D9">
        <w:rPr>
          <w:rFonts w:cstheme="minorHAnsi"/>
        </w:rPr>
        <w:t>alkyl-rhenium complex is formed under these conditions (room temperature and concentration).</w:t>
      </w:r>
    </w:p>
    <w:p w14:paraId="045BDB3E" w14:textId="77777777" w:rsidR="00573BBE" w:rsidRDefault="00BA0582" w:rsidP="00573BBE">
      <w:pPr>
        <w:keepNext/>
        <w:jc w:val="center"/>
      </w:pPr>
      <w:r w:rsidRPr="00FE04D9">
        <w:rPr>
          <w:rFonts w:cstheme="minorHAnsi"/>
        </w:rPr>
        <w:object w:dxaOrig="3537" w:dyaOrig="3019" w14:anchorId="1A1F9839">
          <v:shape id="_x0000_i1226" type="#_x0000_t75" style="width:174.85pt;height:148.75pt" o:ole="">
            <v:imagedata r:id="rId555" o:title=""/>
          </v:shape>
          <o:OLEObject Type="Embed" ProgID="ChemDraw.Document.6.0" ShapeID="_x0000_i1226" DrawAspect="Content" ObjectID="_1532785047" r:id="rId556"/>
        </w:object>
      </w:r>
    </w:p>
    <w:p w14:paraId="59357788" w14:textId="2BF926EC" w:rsidR="00573BBE" w:rsidRPr="00573BBE" w:rsidRDefault="00573BBE" w:rsidP="001539C6">
      <w:pPr>
        <w:pStyle w:val="Caption"/>
      </w:pPr>
      <w:bookmarkStart w:id="469" w:name="_Toc457670812"/>
      <w:r>
        <w:t xml:space="preserve">Figure </w:t>
      </w:r>
      <w:r w:rsidR="00443010">
        <w:fldChar w:fldCharType="begin"/>
      </w:r>
      <w:r w:rsidR="00443010">
        <w:instrText xml:space="preserve"> STYLEREF 1 \s </w:instrText>
      </w:r>
      <w:r w:rsidR="00443010">
        <w:fldChar w:fldCharType="separate"/>
      </w:r>
      <w:r w:rsidR="000A0E3D">
        <w:rPr>
          <w:noProof/>
        </w:rPr>
        <w:t>IV</w:t>
      </w:r>
      <w:r w:rsidR="00443010">
        <w:rPr>
          <w:noProof/>
        </w:rPr>
        <w:fldChar w:fldCharType="end"/>
      </w:r>
      <w:r>
        <w:t>.</w:t>
      </w:r>
      <w:r w:rsidR="00443010">
        <w:fldChar w:fldCharType="begin"/>
      </w:r>
      <w:r w:rsidR="00443010">
        <w:instrText xml:space="preserve"> SEQ Figure \* ARABIC \s 1 </w:instrText>
      </w:r>
      <w:r w:rsidR="00443010">
        <w:fldChar w:fldCharType="separate"/>
      </w:r>
      <w:r w:rsidR="000A0E3D">
        <w:rPr>
          <w:noProof/>
        </w:rPr>
        <w:t>28</w:t>
      </w:r>
      <w:r w:rsidR="00443010">
        <w:rPr>
          <w:noProof/>
        </w:rPr>
        <w:fldChar w:fldCharType="end"/>
      </w:r>
      <w:r>
        <w:t xml:space="preserve"> Possible formation of Re-alkyl complexes </w:t>
      </w:r>
      <w:r w:rsidRPr="00573BBE">
        <w:rPr>
          <w:u w:val="single"/>
        </w:rPr>
        <w:t>F</w:t>
      </w:r>
      <w:r>
        <w:t xml:space="preserve"> and </w:t>
      </w:r>
      <w:r w:rsidRPr="00573BBE">
        <w:rPr>
          <w:u w:val="single"/>
        </w:rPr>
        <w:t>F’</w:t>
      </w:r>
      <w:bookmarkEnd w:id="469"/>
    </w:p>
    <w:p w14:paraId="733779B0" w14:textId="44FB9E20" w:rsidR="00BA0582" w:rsidRPr="00FE04D9" w:rsidRDefault="00BA0582" w:rsidP="00FE04D9">
      <w:pPr>
        <w:ind w:firstLine="360"/>
        <w:jc w:val="both"/>
        <w:rPr>
          <w:rFonts w:cstheme="minorHAnsi"/>
        </w:rPr>
      </w:pPr>
      <w:r w:rsidRPr="00FE04D9">
        <w:rPr>
          <w:rFonts w:cstheme="minorHAnsi"/>
        </w:rPr>
        <w:t>We also ruled out the possibility to form a stable alkoxy-hydride rhenium complex intermediate (</w:t>
      </w:r>
      <w:r w:rsidR="00573BBE">
        <w:rPr>
          <w:rFonts w:cstheme="minorHAnsi"/>
        </w:rPr>
        <w:fldChar w:fldCharType="begin"/>
      </w:r>
      <w:r w:rsidR="00573BBE">
        <w:rPr>
          <w:rFonts w:cstheme="minorHAnsi"/>
        </w:rPr>
        <w:instrText xml:space="preserve"> REF _Ref457477537 \h </w:instrText>
      </w:r>
      <w:r w:rsidR="00573BBE">
        <w:rPr>
          <w:rFonts w:cstheme="minorHAnsi"/>
        </w:rPr>
      </w:r>
      <w:r w:rsidR="00573BBE">
        <w:rPr>
          <w:rFonts w:cstheme="minorHAnsi"/>
        </w:rPr>
        <w:fldChar w:fldCharType="separate"/>
      </w:r>
      <w:r w:rsidR="000A0E3D">
        <w:t xml:space="preserve">Figure </w:t>
      </w:r>
      <w:r w:rsidR="000A0E3D">
        <w:rPr>
          <w:noProof/>
        </w:rPr>
        <w:t>IV</w:t>
      </w:r>
      <w:r w:rsidR="000A0E3D">
        <w:t>.</w:t>
      </w:r>
      <w:r w:rsidR="000A0E3D">
        <w:rPr>
          <w:noProof/>
        </w:rPr>
        <w:t>29</w:t>
      </w:r>
      <w:r w:rsidR="00573BBE">
        <w:rPr>
          <w:rFonts w:cstheme="minorHAnsi"/>
        </w:rPr>
        <w:fldChar w:fldCharType="end"/>
      </w:r>
      <w:r w:rsidRPr="00FE04D9">
        <w:rPr>
          <w:rFonts w:cstheme="minorHAnsi"/>
        </w:rPr>
        <w:t>) because hydride protons would have a ver</w:t>
      </w:r>
      <w:r w:rsidR="001539C6">
        <w:rPr>
          <w:rFonts w:cstheme="minorHAnsi"/>
        </w:rPr>
        <w:t>y specific shift (3-4 ppm) and</w:t>
      </w:r>
      <w:r w:rsidRPr="00FE04D9">
        <w:rPr>
          <w:rFonts w:cstheme="minorHAnsi"/>
        </w:rPr>
        <w:t xml:space="preserve"> would also be close enough to the phosphorous ligand to show a J</w:t>
      </w:r>
      <w:r w:rsidRPr="00FE04D9">
        <w:rPr>
          <w:rFonts w:cstheme="minorHAnsi"/>
          <w:vertAlign w:val="subscript"/>
        </w:rPr>
        <w:t>PH</w:t>
      </w:r>
      <w:r w:rsidRPr="00FE04D9">
        <w:rPr>
          <w:rFonts w:cstheme="minorHAnsi"/>
        </w:rPr>
        <w:t xml:space="preserve"> coupling (~30 </w:t>
      </w:r>
      <w:r w:rsidR="00E04778">
        <w:rPr>
          <w:rFonts w:cstheme="minorHAnsi"/>
        </w:rPr>
        <w:t>Hz</w:t>
      </w:r>
      <w:r w:rsidRPr="00FE04D9">
        <w:rPr>
          <w:rFonts w:cstheme="minorHAnsi"/>
        </w:rPr>
        <w:t>)</w:t>
      </w:r>
      <w:r w:rsidRPr="00FE04D9">
        <w:rPr>
          <w:rFonts w:cstheme="minorHAnsi"/>
        </w:rPr>
        <w:fldChar w:fldCharType="begin"/>
      </w:r>
      <w:r w:rsidR="0091451B">
        <w:rPr>
          <w:rFonts w:cstheme="minorHAnsi"/>
        </w:rPr>
        <w:instrText xml:space="preserve"> ADDIN ZOTERO_ITEM CSL_CITATION {"citationID":"1nvbbhgg78","properties":{"formattedCitation":"{\\rtf \\super 231\\nosupersub{}}","plainCitation":"231"},"citationItems":[{"id":2045,"uris":["http://zotero.org/users/1624234/items/Q9DUB9JE"],"uri":["http://zotero.org/users/1624234/items/Q9DUB9JE"],"itemData":{"id":2045,"type":"article-journal","title":"NMR evidence for formation of new alcohol rhenium complexes as intermediates in ionic hydrogenations of carbonyl groups with systems composed of ReH2(NO)(CO)(PR3)2 (R = Pri, CH3, OPri) and CF3COOH","container-title":"Inorganica Chimica Acta","page":"122-126","volume":"278","issue":"1","source":"ScienceDirect","abstract":"Low-temperature hydrogenations of benzaldehyde and acetone by systems ReH2(CO)(NO)(PR3)2/CF3COOH in CD2Cl2 with R = Pri (1a), CHa (1b) and OPr1 (1c) result in formation of the new unstable alcohol complexes [ReH(CO)(NO)(PR3)2(R</w:instrText>
      </w:r>
      <w:r w:rsidR="0091451B">
        <w:rPr>
          <w:rFonts w:ascii="Cambria Math" w:hAnsi="Cambria Math" w:cs="Cambria Math"/>
        </w:rPr>
        <w:instrText>∗</w:instrText>
      </w:r>
      <w:r w:rsidR="0091451B">
        <w:rPr>
          <w:rFonts w:cstheme="minorHAnsi"/>
        </w:rPr>
        <w:instrText>OH)] [CF3COO] (R</w:instrText>
      </w:r>
      <w:r w:rsidR="0091451B">
        <w:rPr>
          <w:rFonts w:ascii="Cambria Math" w:hAnsi="Cambria Math" w:cs="Cambria Math"/>
        </w:rPr>
        <w:instrText>∗</w:instrText>
      </w:r>
      <w:r w:rsidR="0091451B">
        <w:rPr>
          <w:rFonts w:cstheme="minorHAnsi" w:hint="eastAsia"/>
        </w:rPr>
        <w:instrText></w:instrText>
      </w:r>
      <w:r w:rsidR="0091451B">
        <w:rPr>
          <w:rFonts w:cstheme="minorHAnsi"/>
        </w:rPr>
        <w:instrText>C6H3CH2, (CH3)2CH) characterized by the low-temperature NMR spectra. Heating the reaction solutions above 210–240 K leads to alcohol elimination to form monohydrides ReH(CO)(NO)(PR3)2(CF3COO). Hydrogenation rates decrease in the order 1b &gt; 1c &gt; 1a and C6H5CH</w:instrText>
      </w:r>
      <w:r w:rsidR="0091451B">
        <w:rPr>
          <w:rFonts w:cstheme="minorHAnsi" w:hint="eastAsia"/>
        </w:rPr>
        <w:instrText></w:instrText>
      </w:r>
      <w:r w:rsidR="0091451B">
        <w:rPr>
          <w:rFonts w:cstheme="minorHAnsi"/>
        </w:rPr>
        <w:instrText>O &gt; (CH3)2C</w:instrText>
      </w:r>
      <w:r w:rsidR="0091451B">
        <w:rPr>
          <w:rFonts w:cstheme="minorHAnsi" w:hint="eastAsia"/>
        </w:rPr>
        <w:instrText></w:instrText>
      </w:r>
      <w:r w:rsidR="0091451B">
        <w:rPr>
          <w:rFonts w:cstheme="minorHAnsi"/>
        </w:rPr>
        <w:instrText xml:space="preserve">O. Hydrogenation processes remain effective under H2 (or D2) atmosphere and in the presence of an excess of CF3COOH when the dihydrides exist as dihydrogen compounds [ReH(H2)(CO)(NO)(PR3)2]1 [CF4COO], Relative acidity of the dihydrogen complexes decreases in the order OPr1 &gt; Pr1 &gt; CH3. The hydrogenation with dihydrogen complexes is discussed in terms of an ionic mechanism.","DOI":"10.1016/S0020-1693(98)00013-9","ISSN":"0020-1693","journalAbbreviation":"Inorganica Chimica Acta","author":[{"family":"Bakhmutov","given":"Vladimir I."},{"family":"Vorontsov","given":"Evgenii V."},{"family":"Antonov","given":"Dmitry Yu."}],"issued":{"date-parts":[["1998",8,15]]}}}],"schema":"https://github.com/citation-style-language/schema/raw/master/csl-citation.json"} </w:instrText>
      </w:r>
      <w:r w:rsidRPr="00FE04D9">
        <w:rPr>
          <w:rFonts w:cstheme="minorHAnsi"/>
        </w:rPr>
        <w:fldChar w:fldCharType="separate"/>
      </w:r>
      <w:r w:rsidR="0091451B" w:rsidRPr="0091451B">
        <w:rPr>
          <w:rFonts w:ascii="Times New Roman" w:hAnsi="Times New Roman"/>
          <w:vertAlign w:val="superscript"/>
        </w:rPr>
        <w:t>231</w:t>
      </w:r>
      <w:r w:rsidRPr="00FE04D9">
        <w:rPr>
          <w:rFonts w:cstheme="minorHAnsi"/>
        </w:rPr>
        <w:fldChar w:fldCharType="end"/>
      </w:r>
      <w:r w:rsidR="001539C6">
        <w:rPr>
          <w:rFonts w:cstheme="minorHAnsi"/>
        </w:rPr>
        <w:t>. W</w:t>
      </w:r>
      <w:r w:rsidRPr="00FE04D9">
        <w:rPr>
          <w:rFonts w:cstheme="minorHAnsi"/>
        </w:rPr>
        <w:t xml:space="preserve">e did not observe such </w:t>
      </w:r>
      <w:r w:rsidR="00E04778">
        <w:rPr>
          <w:rFonts w:cstheme="minorHAnsi"/>
        </w:rPr>
        <w:t xml:space="preserve">a </w:t>
      </w:r>
      <w:r w:rsidRPr="00FE04D9">
        <w:rPr>
          <w:rFonts w:cstheme="minorHAnsi"/>
        </w:rPr>
        <w:t xml:space="preserve">proton signal in the several NMR monitoring experiments that we ran. </w:t>
      </w:r>
    </w:p>
    <w:p w14:paraId="32445A9C" w14:textId="77777777" w:rsidR="00573BBE" w:rsidRDefault="00BA0582" w:rsidP="00573BBE">
      <w:pPr>
        <w:keepNext/>
        <w:jc w:val="center"/>
      </w:pPr>
      <w:r w:rsidRPr="00FE04D9">
        <w:rPr>
          <w:rFonts w:cstheme="minorHAnsi"/>
        </w:rPr>
        <w:object w:dxaOrig="3725" w:dyaOrig="1287" w14:anchorId="491F7041">
          <v:shape id="_x0000_i1227" type="#_x0000_t75" style="width:185.15pt;height:67.25pt" o:ole="">
            <v:imagedata r:id="rId557" o:title=""/>
          </v:shape>
          <o:OLEObject Type="Embed" ProgID="ChemDraw.Document.6.0" ShapeID="_x0000_i1227" DrawAspect="Content" ObjectID="_1532785048" r:id="rId558"/>
        </w:object>
      </w:r>
    </w:p>
    <w:p w14:paraId="0354EE50" w14:textId="77777777" w:rsidR="00BA0582" w:rsidRDefault="00573BBE" w:rsidP="00573BBE">
      <w:pPr>
        <w:pStyle w:val="Caption"/>
        <w:rPr>
          <w:rFonts w:cstheme="minorHAnsi"/>
          <w:b w:val="0"/>
          <w:u w:val="single"/>
        </w:rPr>
      </w:pPr>
      <w:bookmarkStart w:id="470" w:name="_Ref457477537"/>
      <w:bookmarkStart w:id="471" w:name="_Toc457670813"/>
      <w:r>
        <w:t xml:space="preserve">Figure </w:t>
      </w:r>
      <w:r w:rsidR="00443010">
        <w:fldChar w:fldCharType="begin"/>
      </w:r>
      <w:r w:rsidR="00443010">
        <w:instrText xml:space="preserve"> STYLEREF 1 \s </w:instrText>
      </w:r>
      <w:r w:rsidR="00443010">
        <w:fldChar w:fldCharType="separate"/>
      </w:r>
      <w:r w:rsidR="000A0E3D">
        <w:rPr>
          <w:noProof/>
        </w:rPr>
        <w:t>IV</w:t>
      </w:r>
      <w:r w:rsidR="00443010">
        <w:rPr>
          <w:noProof/>
        </w:rPr>
        <w:fldChar w:fldCharType="end"/>
      </w:r>
      <w:r>
        <w:t>.</w:t>
      </w:r>
      <w:r w:rsidR="00443010">
        <w:fldChar w:fldCharType="begin"/>
      </w:r>
      <w:r w:rsidR="00443010">
        <w:instrText xml:space="preserve"> SEQ Figure \* ARABIC \s 1 </w:instrText>
      </w:r>
      <w:r w:rsidR="00443010">
        <w:fldChar w:fldCharType="separate"/>
      </w:r>
      <w:r w:rsidR="000A0E3D">
        <w:rPr>
          <w:noProof/>
        </w:rPr>
        <w:t>29</w:t>
      </w:r>
      <w:r w:rsidR="00443010">
        <w:rPr>
          <w:noProof/>
        </w:rPr>
        <w:fldChar w:fldCharType="end"/>
      </w:r>
      <w:bookmarkEnd w:id="470"/>
      <w:r>
        <w:t xml:space="preserve"> </w:t>
      </w:r>
      <w:r w:rsidR="00BA0582" w:rsidRPr="00FE04D9">
        <w:rPr>
          <w:rFonts w:cstheme="minorHAnsi"/>
        </w:rPr>
        <w:t xml:space="preserve">Possible formation of rhenium hydride intermediate </w:t>
      </w:r>
      <w:r w:rsidR="00BA0582" w:rsidRPr="00573BBE">
        <w:rPr>
          <w:rFonts w:cstheme="minorHAnsi"/>
          <w:u w:val="single"/>
        </w:rPr>
        <w:t>E</w:t>
      </w:r>
      <w:bookmarkEnd w:id="471"/>
    </w:p>
    <w:p w14:paraId="6C472C28" w14:textId="77777777" w:rsidR="00573BBE" w:rsidRPr="00573BBE" w:rsidRDefault="00573BBE" w:rsidP="00573BBE"/>
    <w:p w14:paraId="0175E41D" w14:textId="77777777" w:rsidR="00BA0582" w:rsidRPr="00FE04D9" w:rsidRDefault="00BA0582" w:rsidP="00FE04D9">
      <w:pPr>
        <w:ind w:firstLine="360"/>
        <w:jc w:val="both"/>
        <w:rPr>
          <w:rFonts w:cstheme="minorHAnsi"/>
        </w:rPr>
      </w:pPr>
      <w:r w:rsidRPr="00FE04D9">
        <w:rPr>
          <w:rFonts w:cstheme="minorHAnsi"/>
        </w:rPr>
        <w:t xml:space="preserve">From the stoichiometric NMR experiments we know that triphenylphosphine oxide does not form until the alcohol interacts with the catalyst. Therefore there is no reduction of the metal center before the alcohol coordinates with the catalyst. Also we could see some triphenylphosphine oxide before any dimer was formed. </w:t>
      </w:r>
    </w:p>
    <w:p w14:paraId="22BCCE08" w14:textId="77777777" w:rsidR="00BA0582" w:rsidRPr="00FE04D9" w:rsidRDefault="00BA0582" w:rsidP="00FE04D9">
      <w:pPr>
        <w:ind w:firstLine="360"/>
        <w:jc w:val="both"/>
        <w:rPr>
          <w:rFonts w:cstheme="minorHAnsi"/>
        </w:rPr>
      </w:pPr>
      <w:r w:rsidRPr="00FE04D9">
        <w:rPr>
          <w:rFonts w:cstheme="minorHAnsi"/>
        </w:rPr>
        <w:t xml:space="preserve">We also observed the formation of rhenium species which had two chemically different phosphine coordinated and coupling to each other. From the chemical shifts of these signals and the same signals in the sample of pre-catalyst </w:t>
      </w:r>
      <w:r w:rsidRPr="00FE04D9">
        <w:rPr>
          <w:rFonts w:cstheme="minorHAnsi"/>
          <w:b/>
        </w:rPr>
        <w:t>A</w:t>
      </w:r>
      <w:r w:rsidRPr="00FE04D9">
        <w:rPr>
          <w:rFonts w:cstheme="minorHAnsi"/>
        </w:rPr>
        <w:t xml:space="preserve"> mixed with excess triphenylphosphine oxide we think this rhenium intermediate does not involve the alcohol. The coordination of phosphine oxide to the catalyst was further confirmed by the inhibition effect of the added phosphine oxide in a kinetic reaction set. In addition we found that adding triphenylphosphine in sample </w:t>
      </w:r>
      <w:r w:rsidRPr="00FE04D9">
        <w:rPr>
          <w:rFonts w:cstheme="minorHAnsi"/>
          <w:b/>
        </w:rPr>
        <w:t>D</w:t>
      </w:r>
      <w:r w:rsidRPr="00FE04D9">
        <w:rPr>
          <w:rFonts w:cstheme="minorHAnsi"/>
        </w:rPr>
        <w:t xml:space="preserve"> would regenerate </w:t>
      </w:r>
      <w:r w:rsidRPr="00FE04D9">
        <w:rPr>
          <w:rFonts w:cstheme="minorHAnsi"/>
          <w:b/>
        </w:rPr>
        <w:t>A</w:t>
      </w:r>
      <w:r w:rsidRPr="00FE04D9">
        <w:rPr>
          <w:rFonts w:cstheme="minorHAnsi"/>
        </w:rPr>
        <w:t xml:space="preserve">. </w:t>
      </w:r>
    </w:p>
    <w:p w14:paraId="4038C3CD" w14:textId="77777777" w:rsidR="00573BBE" w:rsidRDefault="00BA0582" w:rsidP="00573BBE">
      <w:pPr>
        <w:keepNext/>
        <w:jc w:val="center"/>
      </w:pPr>
      <w:r w:rsidRPr="00FE04D9">
        <w:rPr>
          <w:rFonts w:cstheme="minorHAnsi"/>
        </w:rPr>
        <w:object w:dxaOrig="3261" w:dyaOrig="2807" w14:anchorId="562248FD">
          <v:shape id="_x0000_i1228" type="#_x0000_t75" style="width:164.55pt;height:138.45pt" o:ole="">
            <v:imagedata r:id="rId559" o:title=""/>
          </v:shape>
          <o:OLEObject Type="Embed" ProgID="ChemDraw.Document.6.0" ShapeID="_x0000_i1228" DrawAspect="Content" ObjectID="_1532785049" r:id="rId560"/>
        </w:object>
      </w:r>
    </w:p>
    <w:p w14:paraId="5CBC6BF8" w14:textId="77777777" w:rsidR="00BA0582" w:rsidRDefault="00573BBE" w:rsidP="00573BBE">
      <w:pPr>
        <w:pStyle w:val="Caption"/>
        <w:rPr>
          <w:rFonts w:cstheme="minorHAnsi"/>
        </w:rPr>
      </w:pPr>
      <w:bookmarkStart w:id="472" w:name="_Toc457670814"/>
      <w:r>
        <w:t xml:space="preserve">Figure </w:t>
      </w:r>
      <w:r w:rsidR="00443010">
        <w:fldChar w:fldCharType="begin"/>
      </w:r>
      <w:r w:rsidR="00443010">
        <w:instrText xml:space="preserve"> STYLEREF 1 \s </w:instrText>
      </w:r>
      <w:r w:rsidR="00443010">
        <w:fldChar w:fldCharType="separate"/>
      </w:r>
      <w:r w:rsidR="000A0E3D">
        <w:rPr>
          <w:noProof/>
        </w:rPr>
        <w:t>IV</w:t>
      </w:r>
      <w:r w:rsidR="00443010">
        <w:rPr>
          <w:noProof/>
        </w:rPr>
        <w:fldChar w:fldCharType="end"/>
      </w:r>
      <w:r>
        <w:t>.</w:t>
      </w:r>
      <w:r w:rsidR="00443010">
        <w:fldChar w:fldCharType="begin"/>
      </w:r>
      <w:r w:rsidR="00443010">
        <w:instrText xml:space="preserve"> SEQ Figure \* ARABIC \s 1 </w:instrText>
      </w:r>
      <w:r w:rsidR="00443010">
        <w:fldChar w:fldCharType="separate"/>
      </w:r>
      <w:r w:rsidR="000A0E3D">
        <w:rPr>
          <w:noProof/>
        </w:rPr>
        <w:t>30</w:t>
      </w:r>
      <w:r w:rsidR="00443010">
        <w:rPr>
          <w:noProof/>
        </w:rPr>
        <w:fldChar w:fldCharType="end"/>
      </w:r>
      <w:r>
        <w:t xml:space="preserve"> </w:t>
      </w:r>
      <w:r w:rsidR="00BA0582" w:rsidRPr="00FE04D9">
        <w:rPr>
          <w:rFonts w:cstheme="minorHAnsi"/>
        </w:rPr>
        <w:t>Formation of PPh</w:t>
      </w:r>
      <w:r w:rsidR="00BA0582" w:rsidRPr="00FE04D9">
        <w:rPr>
          <w:rFonts w:cstheme="minorHAnsi"/>
          <w:vertAlign w:val="subscript"/>
        </w:rPr>
        <w:t>3</w:t>
      </w:r>
      <w:r w:rsidR="00BA0582" w:rsidRPr="00FE04D9">
        <w:rPr>
          <w:rFonts w:cstheme="minorHAnsi"/>
        </w:rPr>
        <w:t>-Re-OPPh</w:t>
      </w:r>
      <w:r w:rsidR="00BA0582" w:rsidRPr="00FE04D9">
        <w:rPr>
          <w:rFonts w:cstheme="minorHAnsi"/>
          <w:vertAlign w:val="subscript"/>
        </w:rPr>
        <w:t>3</w:t>
      </w:r>
      <w:r w:rsidR="00BA0582" w:rsidRPr="00FE04D9">
        <w:rPr>
          <w:rFonts w:cstheme="minorHAnsi"/>
        </w:rPr>
        <w:t xml:space="preserve"> </w:t>
      </w:r>
      <w:r w:rsidR="00BA0582" w:rsidRPr="00573BBE">
        <w:rPr>
          <w:rFonts w:cstheme="minorHAnsi"/>
          <w:u w:val="single"/>
        </w:rPr>
        <w:t>D</w:t>
      </w:r>
      <w:r w:rsidR="00BA0582" w:rsidRPr="00FE04D9">
        <w:rPr>
          <w:rFonts w:cstheme="minorHAnsi"/>
        </w:rPr>
        <w:t xml:space="preserve"> rhenium complex</w:t>
      </w:r>
      <w:bookmarkEnd w:id="472"/>
    </w:p>
    <w:p w14:paraId="4386FF2E" w14:textId="77777777" w:rsidR="00E04778" w:rsidRPr="00E04778" w:rsidRDefault="00E04778" w:rsidP="00E04778"/>
    <w:p w14:paraId="2CF86BBE" w14:textId="77777777" w:rsidR="00BA0582" w:rsidRPr="00FE04D9" w:rsidRDefault="00BA0582" w:rsidP="00FE04D9">
      <w:pPr>
        <w:ind w:firstLine="360"/>
        <w:jc w:val="both"/>
        <w:rPr>
          <w:rFonts w:cstheme="minorHAnsi"/>
        </w:rPr>
      </w:pPr>
      <w:r w:rsidRPr="00FE04D9">
        <w:rPr>
          <w:rFonts w:cstheme="minorHAnsi"/>
        </w:rPr>
        <w:t xml:space="preserve">With the variation of alcohol in the stoichiometric experiments we noticed how the primary alcohol (ethanol, benzyl alcohol, cinnamyl alcohol) were the fastest to show color and NMR changes and the secondary alcohols (1-phenylethanol and benzhydrol) were the slowest to change. With triphenylphosphine as ligand the rhenium center the steric hindrance of the secondary alcohol could slow their stoichiometric reaction or it could also make the alkoxy-rhenium intermediate less stable. In the actual reductive coupling reaction the secondary alcohol benzhydrol provided as high yields as cinnamyl alcohol so this primary/secondary alcohol effect is noticeable only in the stoichiometric experiments. Also the dimer formation depends on the activation of the R-OM bond. This bond strength can be affected by resonance and delocalization in the developing radical which are both possible with benzhydrol and cinnamyl alcohol and would affect the rate-limiting step. </w:t>
      </w:r>
    </w:p>
    <w:p w14:paraId="514A1E4E" w14:textId="30A03E03" w:rsidR="00BA0582" w:rsidRPr="00FE04D9" w:rsidRDefault="00BA0582" w:rsidP="00FE04D9">
      <w:pPr>
        <w:ind w:firstLine="360"/>
        <w:jc w:val="both"/>
        <w:rPr>
          <w:rFonts w:cstheme="minorHAnsi"/>
        </w:rPr>
      </w:pPr>
      <w:r w:rsidRPr="00FE04D9">
        <w:rPr>
          <w:rFonts w:cstheme="minorHAnsi"/>
        </w:rPr>
        <w:t>The kinetic study has informed us of a clear catalyst dependence even though we could not tell with confidence if the catalyst order was 1 or ½. Since we used concentrations near the actual reaction concentration we were not in the optimum condition to probe the kinetic</w:t>
      </w:r>
      <w:r w:rsidR="004A12BD">
        <w:rPr>
          <w:rFonts w:cstheme="minorHAnsi"/>
        </w:rPr>
        <w:t>s</w:t>
      </w:r>
      <w:r w:rsidRPr="00FE04D9">
        <w:rPr>
          <w:rFonts w:cstheme="minorHAnsi"/>
        </w:rPr>
        <w:t xml:space="preserve"> of the alcohol and triphenylphosphine. Nonetheless we detected an inhibition effect of triphenylphosphine and the alcohol when used in excess. The kinetic results demonstrated a complex mechanism which could involve both the triphenylphosphine and the alcohol in one or more intermediates before or in the turnover-limiting step.</w:t>
      </w:r>
    </w:p>
    <w:p w14:paraId="23797EB7" w14:textId="77777777" w:rsidR="00BA0582" w:rsidRPr="00FE04D9" w:rsidRDefault="00BA0582" w:rsidP="00FE04D9">
      <w:pPr>
        <w:ind w:firstLine="360"/>
        <w:jc w:val="both"/>
        <w:rPr>
          <w:rFonts w:cstheme="minorHAnsi"/>
        </w:rPr>
      </w:pPr>
      <w:r w:rsidRPr="00FE04D9">
        <w:rPr>
          <w:rFonts w:cstheme="minorHAnsi"/>
        </w:rPr>
        <w:t>From our experiment and computation results we could give a possible reaction mechanism (</w:t>
      </w:r>
      <w:r w:rsidR="00573BBE">
        <w:rPr>
          <w:rFonts w:cstheme="minorHAnsi"/>
        </w:rPr>
        <w:fldChar w:fldCharType="begin"/>
      </w:r>
      <w:r w:rsidR="00573BBE">
        <w:rPr>
          <w:rFonts w:cstheme="minorHAnsi"/>
        </w:rPr>
        <w:instrText xml:space="preserve"> REF _Ref457477654 \h </w:instrText>
      </w:r>
      <w:r w:rsidR="00573BBE">
        <w:rPr>
          <w:rFonts w:cstheme="minorHAnsi"/>
        </w:rPr>
      </w:r>
      <w:r w:rsidR="00573BBE">
        <w:rPr>
          <w:rFonts w:cstheme="minorHAnsi"/>
        </w:rPr>
        <w:fldChar w:fldCharType="separate"/>
      </w:r>
      <w:r w:rsidR="000A0E3D">
        <w:t xml:space="preserve">Figure </w:t>
      </w:r>
      <w:r w:rsidR="000A0E3D">
        <w:rPr>
          <w:noProof/>
        </w:rPr>
        <w:t>IV</w:t>
      </w:r>
      <w:r w:rsidR="000A0E3D">
        <w:t>.</w:t>
      </w:r>
      <w:r w:rsidR="000A0E3D">
        <w:rPr>
          <w:noProof/>
        </w:rPr>
        <w:t>31</w:t>
      </w:r>
      <w:r w:rsidR="00573BBE">
        <w:rPr>
          <w:rFonts w:cstheme="minorHAnsi"/>
        </w:rPr>
        <w:fldChar w:fldCharType="end"/>
      </w:r>
      <w:r w:rsidRPr="00FE04D9">
        <w:rPr>
          <w:rFonts w:cstheme="minorHAnsi"/>
        </w:rPr>
        <w:t xml:space="preserve">). The rhenium pre-catalyst </w:t>
      </w:r>
      <w:r w:rsidRPr="00FE04D9">
        <w:rPr>
          <w:rFonts w:cstheme="minorHAnsi"/>
          <w:b/>
        </w:rPr>
        <w:t>A</w:t>
      </w:r>
      <w:r w:rsidRPr="00FE04D9">
        <w:rPr>
          <w:rFonts w:cstheme="minorHAnsi"/>
        </w:rPr>
        <w:t xml:space="preserve"> from the active catalyst </w:t>
      </w:r>
      <w:r w:rsidRPr="00FE04D9">
        <w:rPr>
          <w:rFonts w:cstheme="minorHAnsi"/>
          <w:b/>
        </w:rPr>
        <w:t>A’</w:t>
      </w:r>
      <w:r w:rsidRPr="00FE04D9">
        <w:rPr>
          <w:rFonts w:cstheme="minorHAnsi"/>
        </w:rPr>
        <w:t xml:space="preserve"> by the dissociation of triphenylphosphine. </w:t>
      </w:r>
      <w:r w:rsidRPr="00FE04D9">
        <w:rPr>
          <w:rFonts w:cstheme="minorHAnsi"/>
          <w:b/>
        </w:rPr>
        <w:t>A’</w:t>
      </w:r>
      <w:r w:rsidRPr="00FE04D9">
        <w:rPr>
          <w:rFonts w:cstheme="minorHAnsi"/>
        </w:rPr>
        <w:t xml:space="preserve"> can then form coordinated alcohol rhenium complex </w:t>
      </w:r>
      <w:r w:rsidRPr="00FE04D9">
        <w:rPr>
          <w:rFonts w:cstheme="minorHAnsi"/>
          <w:b/>
        </w:rPr>
        <w:t>B</w:t>
      </w:r>
      <w:r w:rsidRPr="00FE04D9">
        <w:rPr>
          <w:rFonts w:cstheme="minorHAnsi"/>
          <w:b/>
          <w:vertAlign w:val="subscript"/>
        </w:rPr>
        <w:t>1</w:t>
      </w:r>
      <w:r w:rsidRPr="00FE04D9">
        <w:rPr>
          <w:rFonts w:cstheme="minorHAnsi"/>
        </w:rPr>
        <w:t xml:space="preserve"> by the coordination of one alcohol or a dialkoxy-rhenium complex </w:t>
      </w:r>
      <w:r w:rsidRPr="00FE04D9">
        <w:rPr>
          <w:rFonts w:cstheme="minorHAnsi"/>
          <w:b/>
        </w:rPr>
        <w:t>C</w:t>
      </w:r>
      <w:r w:rsidRPr="00FE04D9">
        <w:rPr>
          <w:rFonts w:cstheme="minorHAnsi"/>
        </w:rPr>
        <w:t xml:space="preserve"> by the coordination of two alcohols. </w:t>
      </w:r>
      <w:r w:rsidRPr="00FE04D9">
        <w:rPr>
          <w:rFonts w:cstheme="minorHAnsi"/>
          <w:b/>
        </w:rPr>
        <w:t>B</w:t>
      </w:r>
      <w:r w:rsidRPr="00FE04D9">
        <w:rPr>
          <w:rFonts w:cstheme="minorHAnsi"/>
          <w:b/>
          <w:vertAlign w:val="subscript"/>
        </w:rPr>
        <w:t>1</w:t>
      </w:r>
      <w:r w:rsidRPr="00FE04D9">
        <w:rPr>
          <w:rFonts w:cstheme="minorHAnsi"/>
        </w:rPr>
        <w:t xml:space="preserve"> is in equilibrium with the hydroxyl-alkoxy-rhenium complex </w:t>
      </w:r>
      <w:r w:rsidRPr="00FE04D9">
        <w:rPr>
          <w:rFonts w:cstheme="minorHAnsi"/>
          <w:b/>
        </w:rPr>
        <w:t>B</w:t>
      </w:r>
      <w:r w:rsidRPr="00FE04D9">
        <w:rPr>
          <w:rFonts w:cstheme="minorHAnsi"/>
          <w:b/>
          <w:vertAlign w:val="subscript"/>
        </w:rPr>
        <w:t>2</w:t>
      </w:r>
      <w:r w:rsidRPr="00FE04D9">
        <w:rPr>
          <w:rFonts w:cstheme="minorHAnsi"/>
        </w:rPr>
        <w:t xml:space="preserve">. With the intervention of a second alcohol and triphenylphosphine </w:t>
      </w:r>
      <w:r w:rsidRPr="00FE04D9">
        <w:rPr>
          <w:rFonts w:cstheme="minorHAnsi"/>
          <w:b/>
        </w:rPr>
        <w:t>B</w:t>
      </w:r>
      <w:r w:rsidRPr="00FE04D9">
        <w:rPr>
          <w:rFonts w:cstheme="minorHAnsi"/>
          <w:b/>
          <w:vertAlign w:val="subscript"/>
        </w:rPr>
        <w:t>2</w:t>
      </w:r>
      <w:r w:rsidRPr="00FE04D9">
        <w:rPr>
          <w:rFonts w:cstheme="minorHAnsi"/>
        </w:rPr>
        <w:t xml:space="preserve"> would form the dimer product, triphenylosphine oxide and </w:t>
      </w:r>
      <w:r w:rsidRPr="00FE04D9">
        <w:rPr>
          <w:rFonts w:cstheme="minorHAnsi"/>
          <w:b/>
        </w:rPr>
        <w:t>A’</w:t>
      </w:r>
      <w:r w:rsidRPr="00FE04D9">
        <w:rPr>
          <w:rFonts w:cstheme="minorHAnsi"/>
        </w:rPr>
        <w:t xml:space="preserve">. The dialkoxide-rhenium complex </w:t>
      </w:r>
      <w:r w:rsidRPr="00FE04D9">
        <w:rPr>
          <w:rFonts w:cstheme="minorHAnsi"/>
          <w:b/>
        </w:rPr>
        <w:t>C</w:t>
      </w:r>
      <w:r w:rsidRPr="00FE04D9">
        <w:rPr>
          <w:rFonts w:cstheme="minorHAnsi"/>
        </w:rPr>
        <w:t xml:space="preserve"> could be reduced by triphenylphosphine to make a rhenium (iii) dialkoxy complex </w:t>
      </w:r>
      <w:r w:rsidRPr="00FE04D9">
        <w:rPr>
          <w:rFonts w:cstheme="minorHAnsi"/>
          <w:b/>
        </w:rPr>
        <w:t>C’</w:t>
      </w:r>
      <w:r w:rsidRPr="00FE04D9">
        <w:rPr>
          <w:rFonts w:cstheme="minorHAnsi"/>
        </w:rPr>
        <w:t xml:space="preserve">. This complex </w:t>
      </w:r>
      <w:r w:rsidRPr="00FE04D9">
        <w:rPr>
          <w:rFonts w:cstheme="minorHAnsi"/>
          <w:b/>
        </w:rPr>
        <w:t>C’</w:t>
      </w:r>
      <w:r w:rsidRPr="00FE04D9">
        <w:rPr>
          <w:rFonts w:cstheme="minorHAnsi"/>
        </w:rPr>
        <w:t xml:space="preserve"> would then form the dimeric product and </w:t>
      </w:r>
      <w:r w:rsidRPr="00FE04D9">
        <w:rPr>
          <w:rFonts w:cstheme="minorHAnsi"/>
          <w:b/>
        </w:rPr>
        <w:t>A’</w:t>
      </w:r>
      <w:r w:rsidRPr="00FE04D9">
        <w:rPr>
          <w:rFonts w:cstheme="minorHAnsi"/>
        </w:rPr>
        <w:t xml:space="preserve">. The formation of triphenylphosphine oxide over the cycle could favor the formation of complex </w:t>
      </w:r>
      <w:r w:rsidRPr="00FE04D9">
        <w:rPr>
          <w:rFonts w:cstheme="minorHAnsi"/>
          <w:b/>
        </w:rPr>
        <w:t>D</w:t>
      </w:r>
      <w:r w:rsidRPr="00FE04D9">
        <w:rPr>
          <w:rFonts w:cstheme="minorHAnsi"/>
        </w:rPr>
        <w:t xml:space="preserve"> which can be in equilibrium with </w:t>
      </w:r>
      <w:r w:rsidRPr="00FE04D9">
        <w:rPr>
          <w:rFonts w:cstheme="minorHAnsi"/>
          <w:b/>
        </w:rPr>
        <w:t>A</w:t>
      </w:r>
      <w:r w:rsidRPr="00FE04D9">
        <w:rPr>
          <w:rFonts w:cstheme="minorHAnsi"/>
        </w:rPr>
        <w:t xml:space="preserve"> in the presence of triphenylphosphine or </w:t>
      </w:r>
      <w:r w:rsidRPr="00FE04D9">
        <w:rPr>
          <w:rFonts w:cstheme="minorHAnsi"/>
          <w:b/>
        </w:rPr>
        <w:t>A’</w:t>
      </w:r>
      <w:r w:rsidRPr="00FE04D9">
        <w:rPr>
          <w:rFonts w:cstheme="minorHAnsi"/>
        </w:rPr>
        <w:t>.</w:t>
      </w:r>
    </w:p>
    <w:p w14:paraId="06FEE6EF" w14:textId="77777777" w:rsidR="00573BBE" w:rsidRDefault="00BA0582" w:rsidP="00573BBE">
      <w:pPr>
        <w:keepNext/>
        <w:ind w:firstLine="360"/>
        <w:jc w:val="center"/>
      </w:pPr>
      <w:r w:rsidRPr="00FE04D9">
        <w:rPr>
          <w:rFonts w:cstheme="minorHAnsi"/>
        </w:rPr>
        <w:object w:dxaOrig="6800" w:dyaOrig="5957" w14:anchorId="7C56EC1F">
          <v:shape id="_x0000_i1229" type="#_x0000_t75" style="width:339.45pt;height:298.3pt" o:ole="">
            <v:imagedata r:id="rId561" o:title=""/>
          </v:shape>
          <o:OLEObject Type="Embed" ProgID="ChemDraw.Document.6.0" ShapeID="_x0000_i1229" DrawAspect="Content" ObjectID="_1532785050" r:id="rId562"/>
        </w:object>
      </w:r>
    </w:p>
    <w:p w14:paraId="7BEE17FE" w14:textId="77777777" w:rsidR="00BA0582" w:rsidRDefault="00573BBE" w:rsidP="00573BBE">
      <w:pPr>
        <w:pStyle w:val="Caption"/>
        <w:rPr>
          <w:rFonts w:cstheme="minorHAnsi"/>
        </w:rPr>
      </w:pPr>
      <w:bookmarkStart w:id="473" w:name="_Ref457477654"/>
      <w:bookmarkStart w:id="474" w:name="_Toc457670815"/>
      <w:r>
        <w:t xml:space="preserve">Figure </w:t>
      </w:r>
      <w:r w:rsidR="00443010">
        <w:fldChar w:fldCharType="begin"/>
      </w:r>
      <w:r w:rsidR="00443010">
        <w:instrText xml:space="preserve"> STYLEREF 1 \s </w:instrText>
      </w:r>
      <w:r w:rsidR="00443010">
        <w:fldChar w:fldCharType="separate"/>
      </w:r>
      <w:r w:rsidR="000A0E3D">
        <w:rPr>
          <w:noProof/>
        </w:rPr>
        <w:t>IV</w:t>
      </w:r>
      <w:r w:rsidR="00443010">
        <w:rPr>
          <w:noProof/>
        </w:rPr>
        <w:fldChar w:fldCharType="end"/>
      </w:r>
      <w:r>
        <w:t>.</w:t>
      </w:r>
      <w:r w:rsidR="00443010">
        <w:fldChar w:fldCharType="begin"/>
      </w:r>
      <w:r w:rsidR="00443010">
        <w:instrText xml:space="preserve"> SEQ Figure \* ARABIC \s 1 </w:instrText>
      </w:r>
      <w:r w:rsidR="00443010">
        <w:fldChar w:fldCharType="separate"/>
      </w:r>
      <w:r w:rsidR="000A0E3D">
        <w:rPr>
          <w:noProof/>
        </w:rPr>
        <w:t>31</w:t>
      </w:r>
      <w:r w:rsidR="00443010">
        <w:rPr>
          <w:noProof/>
        </w:rPr>
        <w:fldChar w:fldCharType="end"/>
      </w:r>
      <w:bookmarkEnd w:id="473"/>
      <w:r>
        <w:t xml:space="preserve"> </w:t>
      </w:r>
      <w:r w:rsidR="00BA0582" w:rsidRPr="00FE04D9">
        <w:rPr>
          <w:rFonts w:cstheme="minorHAnsi"/>
        </w:rPr>
        <w:t>Possible mechanistic pathway</w:t>
      </w:r>
      <w:bookmarkEnd w:id="474"/>
      <w:r w:rsidR="00BA0582" w:rsidRPr="00FE04D9">
        <w:rPr>
          <w:rFonts w:cstheme="minorHAnsi"/>
        </w:rPr>
        <w:t xml:space="preserve"> </w:t>
      </w:r>
    </w:p>
    <w:p w14:paraId="781B5BD0" w14:textId="77777777" w:rsidR="00573BBE" w:rsidRPr="00573BBE" w:rsidRDefault="00573BBE" w:rsidP="00573BBE"/>
    <w:p w14:paraId="4C9E342C" w14:textId="13136CFE" w:rsidR="00BA0582" w:rsidRDefault="00BA0582" w:rsidP="00FE04D9">
      <w:pPr>
        <w:ind w:firstLine="360"/>
        <w:jc w:val="both"/>
        <w:rPr>
          <w:rFonts w:cstheme="minorHAnsi"/>
        </w:rPr>
      </w:pPr>
      <w:r w:rsidRPr="00FE04D9">
        <w:rPr>
          <w:rFonts w:cstheme="minorHAnsi"/>
        </w:rPr>
        <w:t>We have collected a lot of mechanistic information on the alcohol reductive coupling reaction but we still lack conclusive data that show how the C-O bond is breaking and how the dimer C-C bond is forming to have a full picture of the mechanistic cycle. More experiments in the laboratory and with computational tools could help to fill the catalyst cycle. The reductive coupling reaction on (R)-1-phenylethanol would be informative to understand if the C-O/C-C breaking/making is concerted of stepwise by determining first if the stereo center of the alcohol is retained during the reaction by measuring its optical rotation before and after the reaction. In fact the products of the reaction are two diastereomers, one meso and one chiral (RR and SS). We could detect both of them by NMR with a 1:1 ratio since each of diastereomers have different NMR spectrum. The detection of both diastereomers is not relevant to the mechanism although the determination the chiral</w:t>
      </w:r>
      <w:r w:rsidR="00E04778">
        <w:rPr>
          <w:rFonts w:cstheme="minorHAnsi"/>
        </w:rPr>
        <w:t xml:space="preserve"> products distribution</w:t>
      </w:r>
      <w:r w:rsidRPr="00FE04D9">
        <w:rPr>
          <w:rFonts w:cstheme="minorHAnsi"/>
        </w:rPr>
        <w:t xml:space="preserve"> (RR and/or SS) would be indicating a concerted or stepwise </w:t>
      </w:r>
      <w:r w:rsidR="00E04778">
        <w:rPr>
          <w:rFonts w:cstheme="minorHAnsi"/>
        </w:rPr>
        <w:t>mechanism</w:t>
      </w:r>
      <w:r w:rsidRPr="00FE04D9">
        <w:rPr>
          <w:rFonts w:cstheme="minorHAnsi"/>
        </w:rPr>
        <w:t>. By isolating the chiral product and measuring its optical purity we could determine if the reaction favored the RR or SS chiral product (</w:t>
      </w:r>
      <w:r w:rsidR="009A3F44">
        <w:rPr>
          <w:rFonts w:cstheme="minorHAnsi"/>
        </w:rPr>
        <w:fldChar w:fldCharType="begin"/>
      </w:r>
      <w:r w:rsidR="009A3F44">
        <w:rPr>
          <w:rFonts w:cstheme="minorHAnsi"/>
        </w:rPr>
        <w:instrText xml:space="preserve"> REF _Ref457478800 \h </w:instrText>
      </w:r>
      <w:r w:rsidR="009A3F44">
        <w:rPr>
          <w:rFonts w:cstheme="minorHAnsi"/>
        </w:rPr>
      </w:r>
      <w:r w:rsidR="009A3F44">
        <w:rPr>
          <w:rFonts w:cstheme="minorHAnsi"/>
        </w:rPr>
        <w:fldChar w:fldCharType="separate"/>
      </w:r>
      <w:r w:rsidR="000A0E3D">
        <w:t xml:space="preserve">Figure </w:t>
      </w:r>
      <w:r w:rsidR="000A0E3D">
        <w:rPr>
          <w:noProof/>
        </w:rPr>
        <w:t>IV</w:t>
      </w:r>
      <w:r w:rsidR="000A0E3D">
        <w:t>.</w:t>
      </w:r>
      <w:r w:rsidR="000A0E3D">
        <w:rPr>
          <w:noProof/>
        </w:rPr>
        <w:t>32</w:t>
      </w:r>
      <w:r w:rsidR="009A3F44">
        <w:rPr>
          <w:rFonts w:cstheme="minorHAnsi"/>
        </w:rPr>
        <w:fldChar w:fldCharType="end"/>
      </w:r>
      <w:r w:rsidRPr="00FE04D9">
        <w:rPr>
          <w:rFonts w:cstheme="minorHAnsi"/>
        </w:rPr>
        <w:t>). More kinetic reaction</w:t>
      </w:r>
      <w:r w:rsidR="00E04778">
        <w:rPr>
          <w:rFonts w:cstheme="minorHAnsi"/>
        </w:rPr>
        <w:t>s</w:t>
      </w:r>
      <w:r w:rsidRPr="00FE04D9">
        <w:rPr>
          <w:rFonts w:cstheme="minorHAnsi"/>
        </w:rPr>
        <w:t xml:space="preserve"> could be run using para substituted benzylic alcohol</w:t>
      </w:r>
      <w:r w:rsidR="00E04778">
        <w:rPr>
          <w:rFonts w:cstheme="minorHAnsi"/>
        </w:rPr>
        <w:t>s</w:t>
      </w:r>
      <w:r w:rsidRPr="00FE04D9">
        <w:rPr>
          <w:rFonts w:cstheme="minorHAnsi"/>
        </w:rPr>
        <w:t xml:space="preserve"> in order to build a Hammett plot. Such a plot could indicate with its slope, ρ, if the reaction transition state is sensitive (ρ≠0) or not (ρ=0) to negative (ρ&gt;0) or positive charge (ρ&lt;0). This will inform us of the </w:t>
      </w:r>
      <w:r w:rsidR="001539C6">
        <w:rPr>
          <w:rFonts w:cstheme="minorHAnsi"/>
        </w:rPr>
        <w:t>nature of the C-O bond breaking</w:t>
      </w:r>
      <w:r w:rsidR="00E04778">
        <w:rPr>
          <w:rFonts w:cstheme="minorHAnsi"/>
        </w:rPr>
        <w:t xml:space="preserve">. </w:t>
      </w:r>
    </w:p>
    <w:p w14:paraId="406B4F9C" w14:textId="77777777" w:rsidR="00652153" w:rsidRPr="00FE04D9" w:rsidRDefault="00652153" w:rsidP="00FE04D9">
      <w:pPr>
        <w:ind w:firstLine="360"/>
        <w:jc w:val="both"/>
        <w:rPr>
          <w:rFonts w:cstheme="minorHAnsi"/>
        </w:rPr>
      </w:pPr>
    </w:p>
    <w:p w14:paraId="6C444E54" w14:textId="77777777" w:rsidR="00573BBE" w:rsidRDefault="00BA0582" w:rsidP="00573BBE">
      <w:pPr>
        <w:keepNext/>
        <w:jc w:val="center"/>
      </w:pPr>
      <w:r w:rsidRPr="00FE04D9">
        <w:rPr>
          <w:rFonts w:cstheme="minorHAnsi"/>
        </w:rPr>
        <w:object w:dxaOrig="7461" w:dyaOrig="947" w14:anchorId="2DAD55C7">
          <v:shape id="_x0000_i1230" type="#_x0000_t75" style="width:375.05pt;height:46.7pt" o:ole="">
            <v:imagedata r:id="rId563" o:title=""/>
          </v:shape>
          <o:OLEObject Type="Embed" ProgID="ChemDraw.Document.6.0" ShapeID="_x0000_i1230" DrawAspect="Content" ObjectID="_1532785051" r:id="rId564"/>
        </w:object>
      </w:r>
    </w:p>
    <w:p w14:paraId="137DDE43" w14:textId="77777777" w:rsidR="00BA0582" w:rsidRPr="00FE04D9" w:rsidRDefault="00573BBE" w:rsidP="00E04778">
      <w:pPr>
        <w:pStyle w:val="Caption"/>
        <w:rPr>
          <w:rFonts w:cstheme="minorHAnsi"/>
        </w:rPr>
      </w:pPr>
      <w:bookmarkStart w:id="475" w:name="_Ref457478800"/>
      <w:bookmarkStart w:id="476" w:name="_Toc457670816"/>
      <w:r>
        <w:t xml:space="preserve">Figure </w:t>
      </w:r>
      <w:r w:rsidR="00443010">
        <w:fldChar w:fldCharType="begin"/>
      </w:r>
      <w:r w:rsidR="00443010">
        <w:instrText xml:space="preserve"> STYLEREF 1 \s </w:instrText>
      </w:r>
      <w:r w:rsidR="00443010">
        <w:fldChar w:fldCharType="separate"/>
      </w:r>
      <w:r w:rsidR="000A0E3D">
        <w:rPr>
          <w:noProof/>
        </w:rPr>
        <w:t>IV</w:t>
      </w:r>
      <w:r w:rsidR="00443010">
        <w:rPr>
          <w:noProof/>
        </w:rPr>
        <w:fldChar w:fldCharType="end"/>
      </w:r>
      <w:r>
        <w:t>.</w:t>
      </w:r>
      <w:r w:rsidR="00443010">
        <w:fldChar w:fldCharType="begin"/>
      </w:r>
      <w:r w:rsidR="00443010">
        <w:instrText xml:space="preserve"> SEQ Figure \* ARABIC \s 1 </w:instrText>
      </w:r>
      <w:r w:rsidR="00443010">
        <w:fldChar w:fldCharType="separate"/>
      </w:r>
      <w:r w:rsidR="000A0E3D">
        <w:rPr>
          <w:noProof/>
        </w:rPr>
        <w:t>32</w:t>
      </w:r>
      <w:r w:rsidR="00443010">
        <w:rPr>
          <w:noProof/>
        </w:rPr>
        <w:fldChar w:fldCharType="end"/>
      </w:r>
      <w:bookmarkEnd w:id="475"/>
      <w:r>
        <w:t xml:space="preserve"> </w:t>
      </w:r>
      <w:r w:rsidR="00BA0582" w:rsidRPr="00FE04D9">
        <w:rPr>
          <w:rFonts w:cstheme="minorHAnsi"/>
        </w:rPr>
        <w:t>Reductive coupling of (R)-1-phenylethanol</w:t>
      </w:r>
      <w:bookmarkEnd w:id="476"/>
    </w:p>
    <w:p w14:paraId="5EC459A0" w14:textId="77777777" w:rsidR="00BA0582" w:rsidRPr="00FE04D9" w:rsidRDefault="00BA0582" w:rsidP="00FE04D9">
      <w:pPr>
        <w:rPr>
          <w:rFonts w:cstheme="minorHAnsi"/>
        </w:rPr>
      </w:pPr>
      <w:r w:rsidRPr="00FE04D9">
        <w:rPr>
          <w:rFonts w:cstheme="minorHAnsi"/>
        </w:rPr>
        <w:br w:type="page"/>
      </w:r>
    </w:p>
    <w:p w14:paraId="2DAF2C30" w14:textId="77777777" w:rsidR="00BA0582" w:rsidRPr="000351A7" w:rsidRDefault="00BA0582" w:rsidP="000351A7">
      <w:pPr>
        <w:pStyle w:val="Heading2"/>
      </w:pPr>
      <w:bookmarkStart w:id="477" w:name="_Toc458938347"/>
      <w:r w:rsidRPr="000351A7">
        <w:t>Experimental</w:t>
      </w:r>
      <w:bookmarkEnd w:id="477"/>
    </w:p>
    <w:p w14:paraId="343EF7D8" w14:textId="77777777" w:rsidR="00BA0582" w:rsidRPr="00FE04D9" w:rsidRDefault="00BA0582" w:rsidP="00B5501C">
      <w:pPr>
        <w:pStyle w:val="Heading3"/>
        <w:numPr>
          <w:ilvl w:val="0"/>
          <w:numId w:val="41"/>
        </w:numPr>
      </w:pPr>
      <w:bookmarkStart w:id="478" w:name="_Toc458938348"/>
      <w:r w:rsidRPr="00FE04D9">
        <w:t>General information: reagents and instruments.</w:t>
      </w:r>
      <w:bookmarkEnd w:id="478"/>
    </w:p>
    <w:p w14:paraId="6EB6DB1A" w14:textId="77777777" w:rsidR="00BA0582" w:rsidRPr="00FE04D9" w:rsidRDefault="00BA0582" w:rsidP="00FE04D9">
      <w:pPr>
        <w:ind w:firstLine="360"/>
        <w:jc w:val="both"/>
        <w:rPr>
          <w:rFonts w:cstheme="minorHAnsi"/>
        </w:rPr>
      </w:pPr>
      <w:r w:rsidRPr="00FE04D9">
        <w:rPr>
          <w:rFonts w:cstheme="minorHAnsi"/>
        </w:rPr>
        <w:t xml:space="preserve">All reactants and catalysts were obtained commercially and used without further purification. All solvents were ACS grade and were used directly (unless otherwise described in the procedures). </w:t>
      </w:r>
      <w:r w:rsidRPr="00FE04D9">
        <w:rPr>
          <w:rFonts w:cstheme="minorHAnsi"/>
          <w:vertAlign w:val="superscript"/>
        </w:rPr>
        <w:t>1</w:t>
      </w:r>
      <w:r w:rsidRPr="00FE04D9">
        <w:rPr>
          <w:rFonts w:cstheme="minorHAnsi"/>
        </w:rPr>
        <w:t xml:space="preserve">H, </w:t>
      </w:r>
      <w:r w:rsidRPr="00FE04D9">
        <w:rPr>
          <w:rFonts w:cstheme="minorHAnsi"/>
          <w:vertAlign w:val="superscript"/>
        </w:rPr>
        <w:t>2</w:t>
      </w:r>
      <w:r w:rsidRPr="00FE04D9">
        <w:rPr>
          <w:rFonts w:cstheme="minorHAnsi"/>
        </w:rPr>
        <w:t xml:space="preserve">H and </w:t>
      </w:r>
      <w:r w:rsidRPr="00FE04D9">
        <w:rPr>
          <w:rFonts w:cstheme="minorHAnsi"/>
          <w:vertAlign w:val="superscript"/>
        </w:rPr>
        <w:t>13</w:t>
      </w:r>
      <w:r w:rsidRPr="00FE04D9">
        <w:rPr>
          <w:rFonts w:cstheme="minorHAnsi"/>
        </w:rPr>
        <w:t>C NMR spectra were collected on Varian VNMRS 400 MHz and VNMRS 500 MHz instruments. The NMR data were processed using MestReNova</w:t>
      </w:r>
      <w:r w:rsidRPr="00FE04D9">
        <w:rPr>
          <w:rFonts w:cstheme="minorHAnsi"/>
        </w:rPr>
        <w:fldChar w:fldCharType="begin"/>
      </w:r>
      <w:r w:rsidR="00A074C8">
        <w:rPr>
          <w:rFonts w:cstheme="minorHAnsi"/>
        </w:rPr>
        <w:instrText xml:space="preserve"> ADDIN ZOTERO_ITEM CSL_CITATION {"citationID":"6QuII0SR","properties":{"formattedCitation":"{\\rtf \\super 232\\nosupersub{}}","plainCitation":"232"},"citationItems":[{"id":2025,"uris":["http://zotero.org/users/1624234/items/9TNFDR5E"],"uri":["http://zotero.org/users/1624234/items/9TNFDR5E"],"itemData":{"id":2025,"type":"book","title":"MestReNova Software v10.0.2-15465","version":"version 10.0.2-15465","issued":{"date-parts":[["2015"]]}}}],"schema":"https://github.com/citation-style-language/schema/raw/master/csl-citation.json"} </w:instrText>
      </w:r>
      <w:r w:rsidRPr="00FE04D9">
        <w:rPr>
          <w:rFonts w:cstheme="minorHAnsi"/>
        </w:rPr>
        <w:fldChar w:fldCharType="separate"/>
      </w:r>
      <w:r w:rsidR="0091451B" w:rsidRPr="0091451B">
        <w:rPr>
          <w:rFonts w:ascii="Times New Roman" w:hAnsi="Times New Roman"/>
          <w:vertAlign w:val="superscript"/>
        </w:rPr>
        <w:t>232</w:t>
      </w:r>
      <w:r w:rsidRPr="00FE04D9">
        <w:rPr>
          <w:rFonts w:cstheme="minorHAnsi"/>
        </w:rPr>
        <w:fldChar w:fldCharType="end"/>
      </w:r>
      <w:r w:rsidRPr="00FE04D9">
        <w:rPr>
          <w:rFonts w:cstheme="minorHAnsi"/>
        </w:rPr>
        <w:t xml:space="preserve"> and ACD</w:t>
      </w:r>
      <w:r w:rsidRPr="00FE04D9">
        <w:rPr>
          <w:rFonts w:cstheme="minorHAnsi"/>
        </w:rPr>
        <w:fldChar w:fldCharType="begin"/>
      </w:r>
      <w:r w:rsidR="0091451B">
        <w:rPr>
          <w:rFonts w:cstheme="minorHAnsi"/>
        </w:rPr>
        <w:instrText xml:space="preserve"> ADDIN ZOTERO_ITEM CSL_CITATION {"citationID":"3l4g5j223","properties":{"formattedCitation":"{\\rtf \\super 103\\nosupersub{}}","plainCitation":"103"},"citationItems":[{"id":1512,"uris":["http://zotero.org/users/1624234/items/VJU6SH7K"],"uri":["http://zotero.org/users/1624234/items/VJU6SH7K"],"itemData":{"id":1512,"type":"book","title":"ACD/Structure Elucidator","publisher":"Advanced Chemistry Development, Inc.","version":"12.01","URL":"www.acdlabs.com","issued":{"date-parts":[["2014"]]}}}],"schema":"https://github.com/citation-style-language/schema/raw/master/csl-citation.json"} </w:instrText>
      </w:r>
      <w:r w:rsidRPr="00FE04D9">
        <w:rPr>
          <w:rFonts w:cstheme="minorHAnsi"/>
        </w:rPr>
        <w:fldChar w:fldCharType="separate"/>
      </w:r>
      <w:r w:rsidR="0091451B" w:rsidRPr="0091451B">
        <w:rPr>
          <w:rFonts w:ascii="Times New Roman" w:hAnsi="Times New Roman"/>
          <w:vertAlign w:val="superscript"/>
        </w:rPr>
        <w:t>103</w:t>
      </w:r>
      <w:r w:rsidRPr="00FE04D9">
        <w:rPr>
          <w:rFonts w:cstheme="minorHAnsi"/>
        </w:rPr>
        <w:fldChar w:fldCharType="end"/>
      </w:r>
      <w:r w:rsidRPr="00FE04D9">
        <w:rPr>
          <w:rFonts w:cstheme="minorHAnsi"/>
        </w:rPr>
        <w:t xml:space="preserve"> software. </w:t>
      </w:r>
      <w:r w:rsidRPr="00FE04D9">
        <w:rPr>
          <w:rFonts w:cstheme="minorHAnsi"/>
          <w:sz w:val="23"/>
          <w:szCs w:val="23"/>
        </w:rPr>
        <w:t>Gas chromatograms were collected on a Shimadzu GC-2014 equipped with an AOC 20i+s auto sampler, both with 3% SE-54 packed column, FID and thermal program 40</w:t>
      </w:r>
      <w:r w:rsidRPr="00FE04D9">
        <w:rPr>
          <w:rFonts w:cstheme="minorHAnsi"/>
          <w:szCs w:val="16"/>
          <w:vertAlign w:val="superscript"/>
        </w:rPr>
        <w:t>o</w:t>
      </w:r>
      <w:r w:rsidRPr="00FE04D9">
        <w:rPr>
          <w:rFonts w:cstheme="minorHAnsi"/>
          <w:sz w:val="23"/>
          <w:szCs w:val="23"/>
        </w:rPr>
        <w:t>C for 5 min; 20 deg/min to 250</w:t>
      </w:r>
      <w:r w:rsidRPr="00FE04D9">
        <w:rPr>
          <w:rFonts w:cstheme="minorHAnsi"/>
          <w:szCs w:val="16"/>
          <w:vertAlign w:val="superscript"/>
        </w:rPr>
        <w:t>o</w:t>
      </w:r>
      <w:r w:rsidRPr="00FE04D9">
        <w:rPr>
          <w:rFonts w:cstheme="minorHAnsi"/>
          <w:sz w:val="23"/>
          <w:szCs w:val="23"/>
        </w:rPr>
        <w:t>C; then 7 min at 250</w:t>
      </w:r>
      <w:r w:rsidRPr="00FE04D9">
        <w:rPr>
          <w:rFonts w:cstheme="minorHAnsi"/>
          <w:szCs w:val="23"/>
          <w:vertAlign w:val="superscript"/>
        </w:rPr>
        <w:t>o</w:t>
      </w:r>
      <w:r w:rsidRPr="00FE04D9">
        <w:rPr>
          <w:rFonts w:cstheme="minorHAnsi"/>
          <w:sz w:val="23"/>
          <w:szCs w:val="23"/>
        </w:rPr>
        <w:t>C.</w:t>
      </w:r>
    </w:p>
    <w:p w14:paraId="78007924" w14:textId="77777777" w:rsidR="00BA0582" w:rsidRPr="00FE04D9" w:rsidRDefault="00BA0582" w:rsidP="00FE04D9">
      <w:pPr>
        <w:ind w:firstLine="360"/>
        <w:rPr>
          <w:rFonts w:cstheme="minorHAnsi"/>
        </w:rPr>
      </w:pPr>
    </w:p>
    <w:p w14:paraId="45344E4B" w14:textId="77777777" w:rsidR="00BA0582" w:rsidRPr="00FE04D9" w:rsidRDefault="00BA0582" w:rsidP="000351A7">
      <w:pPr>
        <w:pStyle w:val="Heading3"/>
      </w:pPr>
      <w:bookmarkStart w:id="479" w:name="_Toc458938349"/>
      <w:r w:rsidRPr="00FE04D9">
        <w:t>Catalyst synthesis</w:t>
      </w:r>
      <w:bookmarkEnd w:id="479"/>
    </w:p>
    <w:p w14:paraId="02AC6299" w14:textId="77777777" w:rsidR="00BA0582" w:rsidRDefault="00BA0582" w:rsidP="00FE04D9">
      <w:pPr>
        <w:ind w:firstLine="360"/>
        <w:jc w:val="both"/>
        <w:rPr>
          <w:rFonts w:cstheme="minorHAnsi"/>
        </w:rPr>
      </w:pPr>
      <w:r w:rsidRPr="00FE04D9">
        <w:rPr>
          <w:rFonts w:cstheme="minorHAnsi"/>
        </w:rPr>
        <w:t>The catalyst (</w:t>
      </w:r>
      <w:r w:rsidRPr="00FE04D9">
        <w:rPr>
          <w:rFonts w:cstheme="minorHAnsi"/>
          <w:b/>
        </w:rPr>
        <w:t>1</w:t>
      </w:r>
      <w:r w:rsidRPr="00FE04D9">
        <w:rPr>
          <w:rFonts w:cstheme="minorHAnsi"/>
        </w:rPr>
        <w:t>) was synthesized in two steps following a literature procedure.</w:t>
      </w:r>
      <w:r w:rsidRPr="00FE04D9">
        <w:rPr>
          <w:rFonts w:cstheme="minorHAnsi"/>
        </w:rPr>
        <w:fldChar w:fldCharType="begin"/>
      </w:r>
      <w:r w:rsidR="0091451B">
        <w:rPr>
          <w:rFonts w:cstheme="minorHAnsi"/>
        </w:rPr>
        <w:instrText xml:space="preserve"> ADDIN ZOTERO_ITEM CSL_CITATION {"citationID":"1jsnlcs40p","properties":{"formattedCitation":"{\\rtf \\super 233\\nosupersub{}}","plainCitation":"233"},"citationItems":[{"id":1961,"uris":["http://zotero.org/users/1624234/items/II7B48FR"],"uri":["http://zotero.org/users/1624234/items/II7B48FR"],"itemData":{"id":1961,"type":"article-journal","title":"Rhenium(V) oxide complexes. Crystal and molecular structures of the compounds trans-ReI2O(OR)(PPh3)2 (R = Et, Me) and of their hydrolysis derivative ReIO2(PPh3)2","container-title":"Inorganica Chimica Acta","page":"29-37","volume":"72","source":"ScienceDirect","abstract":"The structure of the complex ReI2O(OEt)(PPh3)2·3/2C6H6 (I) has been investigated: the dark-yellow crystals are monoclinic, space group P21/n, with a = 17.410(8), b = 17.322(6), c = 15.039(5) Å, β = 103.49(3)°, Z = 4. Least-squares refinements based on 3636 significant counter data led to a final R value of 0.059. The compound exhibits a slightly distorted octahedral coordination, with the two PPh3 groups trans between themselves (mean Re</w:instrText>
      </w:r>
      <w:r w:rsidR="0091451B">
        <w:rPr>
          <w:rFonts w:cstheme="minorHAnsi" w:hint="eastAsia"/>
        </w:rPr>
        <w:instrText></w:instrText>
      </w:r>
      <w:r w:rsidR="0091451B">
        <w:rPr>
          <w:rFonts w:cstheme="minorHAnsi"/>
        </w:rPr>
        <w:instrText>P 2.523 Å), as well as the two iodide ligands (mean Re</w:instrText>
      </w:r>
      <w:r w:rsidR="0091451B">
        <w:rPr>
          <w:rFonts w:cstheme="minorHAnsi" w:hint="eastAsia"/>
        </w:rPr>
        <w:instrText></w:instrText>
      </w:r>
      <w:r w:rsidR="0091451B">
        <w:rPr>
          <w:rFonts w:cstheme="minorHAnsi"/>
        </w:rPr>
        <w:instrText>I 2.789 Å). The ethoxo group (Re</w:instrText>
      </w:r>
      <w:r w:rsidR="0091451B">
        <w:rPr>
          <w:rFonts w:cstheme="minorHAnsi" w:hint="eastAsia"/>
        </w:rPr>
        <w:instrText></w:instrText>
      </w:r>
      <w:r w:rsidR="0091451B">
        <w:rPr>
          <w:rFonts w:cstheme="minorHAnsi"/>
        </w:rPr>
        <w:instrText>O 1.880(9) Å) and the oxide ligand (Re</w:instrText>
      </w:r>
      <w:r w:rsidR="0091451B">
        <w:rPr>
          <w:rFonts w:cstheme="minorHAnsi" w:hint="eastAsia"/>
        </w:rPr>
        <w:instrText></w:instrText>
      </w:r>
      <w:r w:rsidR="0091451B">
        <w:rPr>
          <w:rFonts w:cstheme="minorHAnsi"/>
        </w:rPr>
        <w:instrText>O 1.715(9) Å) occupy the other two coordination sites. Compound I in methanol transforms into ReI2O(OMe)(PPh3)2 (II), which has been characterized by X-ray analysis in crystals containing CHCl3 molecules of solvation. The crystals are triclinic, space group P1, a = 12.835(3), b = 13.067(4), c = 13.485(4) Å, α = 89.71(2)°, β = 71.61(2)°, γ = 70.19(2)°, Z = 2. The refinements gave a final R value of 0.036, on the basis of 4524 significant counter intensities. The stereochemistry and the bond parameters are similar to those found in compound I. In particular the Re</w:instrText>
      </w:r>
      <w:r w:rsidR="0091451B">
        <w:rPr>
          <w:rFonts w:cstheme="minorHAnsi" w:hint="eastAsia"/>
        </w:rPr>
        <w:instrText></w:instrText>
      </w:r>
      <w:r w:rsidR="0091451B">
        <w:rPr>
          <w:rFonts w:cstheme="minorHAnsi"/>
        </w:rPr>
        <w:instrText>O (methoxo) and Re</w:instrText>
      </w:r>
      <w:r w:rsidR="0091451B">
        <w:rPr>
          <w:rFonts w:cstheme="minorHAnsi" w:hint="eastAsia"/>
        </w:rPr>
        <w:instrText></w:instrText>
      </w:r>
      <w:r w:rsidR="0091451B">
        <w:rPr>
          <w:rFonts w:cstheme="minorHAnsi"/>
        </w:rPr>
        <w:instrText>O (oxide) bond lengths are 1.859(5) and 1.698(5) Å respectively.\n\nHydrolysis reactions of both compounds I and II give the violet derivative ReIO2(PPh3)2 (III). The crystal data are: orthorhombic, space group Aba2, a = 19.834(5), b = 16.144(3), c = 10.560(2) Å, Z = 4. 1435 significant counter reflections were used in the refinements the final R value being 0.039. The compound is an unusual example of a five coordinate Re(V) complex. It possesses a rigorous C2 crystallographic symmetry and exhibits a distorted trigonal bipyramidal stereochemistry, with the two PPh3 groups in an axial direction (Re</w:instrText>
      </w:r>
      <w:r w:rsidR="0091451B">
        <w:rPr>
          <w:rFonts w:cstheme="minorHAnsi" w:hint="eastAsia"/>
        </w:rPr>
        <w:instrText></w:instrText>
      </w:r>
      <w:r w:rsidR="0091451B">
        <w:rPr>
          <w:rFonts w:cstheme="minorHAnsi"/>
        </w:rPr>
        <w:instrText>P 2.488(3) Å) and the two oxide and the iodide ligands in equatorial positions. The Re</w:instrText>
      </w:r>
      <w:r w:rsidR="0091451B">
        <w:rPr>
          <w:rFonts w:cstheme="minorHAnsi" w:hint="eastAsia"/>
        </w:rPr>
        <w:instrText></w:instrText>
      </w:r>
      <w:r w:rsidR="0091451B">
        <w:rPr>
          <w:rFonts w:cstheme="minorHAnsi"/>
        </w:rPr>
        <w:instrText>I and Re</w:instrText>
      </w:r>
      <w:r w:rsidR="0091451B">
        <w:rPr>
          <w:rFonts w:cstheme="minorHAnsi" w:hint="eastAsia"/>
        </w:rPr>
        <w:instrText></w:instrText>
      </w:r>
      <w:r w:rsidR="0091451B">
        <w:rPr>
          <w:rFonts w:cstheme="minorHAnsi"/>
        </w:rPr>
        <w:instrText xml:space="preserve">O interactions have values of 2.664(2) and 1.742(11) Å respectively.","DOI":"10.1016/S0020-1693(00)81690-4","ISSN":"0020-1693","journalAbbreviation":"Inorganica Chimica Acta","author":[{"family":"Ciani","given":"Giani Franco"},{"family":"D'Alfonso","given":"Giuseppe"},{"family":"Romiti","given":"Pier Francesco"},{"family":"Sironi","given":"Angelo"},{"family":"Freni","given":"Maria"}],"issued":{"date-parts":[["1983"]]}}}],"schema":"https://github.com/citation-style-language/schema/raw/master/csl-citation.json"} </w:instrText>
      </w:r>
      <w:r w:rsidRPr="00FE04D9">
        <w:rPr>
          <w:rFonts w:cstheme="minorHAnsi"/>
        </w:rPr>
        <w:fldChar w:fldCharType="separate"/>
      </w:r>
      <w:r w:rsidR="0091451B" w:rsidRPr="0091451B">
        <w:rPr>
          <w:rFonts w:ascii="Times New Roman" w:hAnsi="Times New Roman"/>
          <w:vertAlign w:val="superscript"/>
        </w:rPr>
        <w:t>233</w:t>
      </w:r>
      <w:r w:rsidRPr="00FE04D9">
        <w:rPr>
          <w:rFonts w:cstheme="minorHAnsi"/>
        </w:rPr>
        <w:fldChar w:fldCharType="end"/>
      </w:r>
      <w:r w:rsidRPr="00FE04D9">
        <w:rPr>
          <w:rFonts w:cstheme="minorHAnsi"/>
        </w:rPr>
        <w:t xml:space="preserve"> Only the starting material was changed from perrhenic acid to ammonium perrhenate.</w:t>
      </w:r>
    </w:p>
    <w:p w14:paraId="2A4F48C5" w14:textId="77777777" w:rsidR="00573BBE" w:rsidRPr="00FE04D9" w:rsidRDefault="00573BBE" w:rsidP="00FE04D9">
      <w:pPr>
        <w:ind w:firstLine="360"/>
        <w:jc w:val="both"/>
        <w:rPr>
          <w:rFonts w:cstheme="minorHAnsi"/>
        </w:rPr>
      </w:pPr>
    </w:p>
    <w:p w14:paraId="3EA78875" w14:textId="77777777" w:rsidR="00BA0582" w:rsidRPr="000351A7" w:rsidRDefault="00BA0582" w:rsidP="00B5501C">
      <w:pPr>
        <w:pStyle w:val="Heading41"/>
        <w:numPr>
          <w:ilvl w:val="0"/>
          <w:numId w:val="42"/>
        </w:numPr>
        <w:rPr>
          <w:vertAlign w:val="subscript"/>
        </w:rPr>
      </w:pPr>
      <w:r w:rsidRPr="00FE04D9">
        <w:t>Synthesis of I</w:t>
      </w:r>
      <w:r w:rsidRPr="000351A7">
        <w:rPr>
          <w:vertAlign w:val="subscript"/>
        </w:rPr>
        <w:t>2</w:t>
      </w:r>
      <w:r w:rsidRPr="00FE04D9">
        <w:t>ReO(OEt)(PPh</w:t>
      </w:r>
      <w:r w:rsidRPr="000351A7">
        <w:rPr>
          <w:vertAlign w:val="subscript"/>
        </w:rPr>
        <w:t>3</w:t>
      </w:r>
      <w:r w:rsidRPr="00FE04D9">
        <w:t>)</w:t>
      </w:r>
      <w:r w:rsidRPr="000351A7">
        <w:rPr>
          <w:vertAlign w:val="subscript"/>
        </w:rPr>
        <w:t>2</w:t>
      </w:r>
    </w:p>
    <w:p w14:paraId="3C2AC7A5" w14:textId="77777777" w:rsidR="00BA0582" w:rsidRDefault="00BA0582" w:rsidP="00FE04D9">
      <w:pPr>
        <w:ind w:firstLine="360"/>
        <w:jc w:val="both"/>
        <w:rPr>
          <w:rFonts w:cstheme="minorHAnsi"/>
        </w:rPr>
      </w:pPr>
      <w:r w:rsidRPr="00FE04D9">
        <w:rPr>
          <w:rFonts w:cstheme="minorHAnsi"/>
        </w:rPr>
        <w:t>Ammonium perrhenate (white crystal) (1</w:t>
      </w:r>
      <w:r w:rsidR="00E04778">
        <w:rPr>
          <w:rFonts w:cstheme="minorHAnsi"/>
        </w:rPr>
        <w:t>.0</w:t>
      </w:r>
      <w:r w:rsidRPr="00FE04D9">
        <w:rPr>
          <w:rFonts w:cstheme="minorHAnsi"/>
        </w:rPr>
        <w:t xml:space="preserve"> g, 3.7 mmol)</w:t>
      </w:r>
      <w:r w:rsidR="00E04778">
        <w:rPr>
          <w:rFonts w:cstheme="minorHAnsi"/>
        </w:rPr>
        <w:t xml:space="preserve"> </w:t>
      </w:r>
      <w:r w:rsidRPr="00FE04D9">
        <w:rPr>
          <w:rFonts w:cstheme="minorHAnsi"/>
        </w:rPr>
        <w:t>and triphenylphosphine (5 g, 19 mmol) were added to a mixture of 56% hydriodic acid solution (5 mL) and ethanol (30 mL). The reaction was brought to reflux for 15 min. Green crystals formed in the solution. These crystals were filtered off, washed with ethanol and dried under high vacuum (1-5 mmHg). The yield was nearly quantitative. The product was stored in a dedicator over CaCl</w:t>
      </w:r>
      <w:r w:rsidRPr="00FE04D9">
        <w:rPr>
          <w:rFonts w:cstheme="minorHAnsi"/>
          <w:vertAlign w:val="subscript"/>
        </w:rPr>
        <w:t>2</w:t>
      </w:r>
      <w:r w:rsidRPr="00FE04D9">
        <w:rPr>
          <w:rFonts w:cstheme="minorHAnsi"/>
        </w:rPr>
        <w:t xml:space="preserve">. </w:t>
      </w:r>
    </w:p>
    <w:p w14:paraId="5039E84C" w14:textId="77777777" w:rsidR="00573BBE" w:rsidRDefault="00573BBE" w:rsidP="00FE04D9">
      <w:pPr>
        <w:ind w:firstLine="360"/>
        <w:jc w:val="both"/>
        <w:rPr>
          <w:rFonts w:cstheme="minorHAnsi"/>
        </w:rPr>
      </w:pPr>
    </w:p>
    <w:p w14:paraId="58917FE7" w14:textId="77777777" w:rsidR="00573BBE" w:rsidRPr="00FE04D9" w:rsidRDefault="00573BBE" w:rsidP="00FE04D9">
      <w:pPr>
        <w:ind w:firstLine="360"/>
        <w:jc w:val="both"/>
        <w:rPr>
          <w:rFonts w:cstheme="minorHAnsi"/>
        </w:rPr>
      </w:pPr>
    </w:p>
    <w:p w14:paraId="60E4A805" w14:textId="77777777" w:rsidR="00BA0582" w:rsidRPr="00FE04D9" w:rsidRDefault="00BA0582" w:rsidP="000351A7">
      <w:pPr>
        <w:pStyle w:val="Heading41"/>
      </w:pPr>
      <w:r w:rsidRPr="00FE04D9">
        <w:t>Synthesis of IReO</w:t>
      </w:r>
      <w:r w:rsidRPr="00FE04D9">
        <w:rPr>
          <w:vertAlign w:val="subscript"/>
        </w:rPr>
        <w:t>2</w:t>
      </w:r>
      <w:r w:rsidRPr="00FE04D9">
        <w:t>(PPh</w:t>
      </w:r>
      <w:r w:rsidRPr="00FE04D9">
        <w:rPr>
          <w:vertAlign w:val="subscript"/>
        </w:rPr>
        <w:t>3</w:t>
      </w:r>
      <w:r w:rsidRPr="00FE04D9">
        <w:t>)</w:t>
      </w:r>
      <w:r w:rsidRPr="00FE04D9">
        <w:rPr>
          <w:vertAlign w:val="subscript"/>
        </w:rPr>
        <w:t>2</w:t>
      </w:r>
      <w:r w:rsidRPr="00FE04D9">
        <w:t xml:space="preserve"> (</w:t>
      </w:r>
      <w:r w:rsidRPr="00FE04D9">
        <w:rPr>
          <w:b/>
        </w:rPr>
        <w:t>1</w:t>
      </w:r>
      <w:r w:rsidRPr="00FE04D9">
        <w:t>)</w:t>
      </w:r>
    </w:p>
    <w:p w14:paraId="3F0E9F42" w14:textId="77777777" w:rsidR="00BA0582" w:rsidRPr="00FE04D9" w:rsidRDefault="00BA0582" w:rsidP="00FE04D9">
      <w:pPr>
        <w:ind w:firstLine="360"/>
        <w:jc w:val="both"/>
        <w:rPr>
          <w:rFonts w:cstheme="minorHAnsi"/>
        </w:rPr>
      </w:pPr>
      <w:r w:rsidRPr="00FE04D9">
        <w:rPr>
          <w:rFonts w:cstheme="minorHAnsi"/>
        </w:rPr>
        <w:t>I</w:t>
      </w:r>
      <w:r w:rsidRPr="00FE04D9">
        <w:rPr>
          <w:rFonts w:cstheme="minorHAnsi"/>
          <w:vertAlign w:val="subscript"/>
        </w:rPr>
        <w:t>2</w:t>
      </w:r>
      <w:r w:rsidRPr="00FE04D9">
        <w:rPr>
          <w:rFonts w:cstheme="minorHAnsi"/>
        </w:rPr>
        <w:t>ReO(OEt)(PPh</w:t>
      </w:r>
      <w:r w:rsidRPr="00FE04D9">
        <w:rPr>
          <w:rFonts w:cstheme="minorHAnsi"/>
          <w:vertAlign w:val="subscript"/>
        </w:rPr>
        <w:t>3</w:t>
      </w:r>
      <w:r w:rsidRPr="00FE04D9">
        <w:rPr>
          <w:rFonts w:cstheme="minorHAnsi"/>
        </w:rPr>
        <w:t>)</w:t>
      </w:r>
      <w:r w:rsidRPr="00FE04D9">
        <w:rPr>
          <w:rFonts w:cstheme="minorHAnsi"/>
          <w:vertAlign w:val="subscript"/>
        </w:rPr>
        <w:t>2</w:t>
      </w:r>
      <w:r w:rsidRPr="00FE04D9">
        <w:rPr>
          <w:rFonts w:cstheme="minorHAnsi"/>
        </w:rPr>
        <w:t xml:space="preserve"> (1</w:t>
      </w:r>
      <w:r w:rsidR="00E04778">
        <w:rPr>
          <w:rFonts w:cstheme="minorHAnsi"/>
        </w:rPr>
        <w:t>.0 gr, 0.97</w:t>
      </w:r>
      <w:r w:rsidRPr="00FE04D9">
        <w:rPr>
          <w:rFonts w:cstheme="minorHAnsi"/>
        </w:rPr>
        <w:t xml:space="preserve"> mmol) of was added to a mixture of acetone (50 mL) and water (2 mL). The green suspension was magnetically stirred at room temperature. After an hour the suspended crystals changed color to violet. These crystals were filtered off and washed with cold acetone. The product was recrystallized from 1:1 benzene / hexanes (Process: at 100</w:t>
      </w:r>
      <w:r w:rsidRPr="00FE04D9">
        <w:rPr>
          <w:rFonts w:cstheme="minorHAnsi"/>
          <w:vertAlign w:val="superscript"/>
        </w:rPr>
        <w:t>o</w:t>
      </w:r>
      <w:r w:rsidRPr="00FE04D9">
        <w:rPr>
          <w:rFonts w:cstheme="minorHAnsi"/>
        </w:rPr>
        <w:t>C until dilution and slow temperature decrease to room temperature follow</w:t>
      </w:r>
      <w:r w:rsidR="00E04778">
        <w:rPr>
          <w:rFonts w:cstheme="minorHAnsi"/>
        </w:rPr>
        <w:t>ed</w:t>
      </w:r>
      <w:r w:rsidRPr="00FE04D9">
        <w:rPr>
          <w:rFonts w:cstheme="minorHAnsi"/>
        </w:rPr>
        <w:t xml:space="preserve"> by vacuum filtration and rinsed with cold hexane and overnight under high vacuum 5-1 mmHg) giving a yield of 80%. The product was then stored in a dedicator over CaCl</w:t>
      </w:r>
      <w:r w:rsidRPr="00FE04D9">
        <w:rPr>
          <w:rFonts w:cstheme="minorHAnsi"/>
          <w:vertAlign w:val="subscript"/>
        </w:rPr>
        <w:t>2</w:t>
      </w:r>
      <w:r w:rsidRPr="00FE04D9">
        <w:rPr>
          <w:rFonts w:cstheme="minorHAnsi"/>
        </w:rPr>
        <w:t>.</w:t>
      </w:r>
    </w:p>
    <w:p w14:paraId="2F007FD8" w14:textId="77777777" w:rsidR="00BA0582" w:rsidRPr="00FE04D9" w:rsidRDefault="00BA0582" w:rsidP="00FE04D9">
      <w:pPr>
        <w:jc w:val="both"/>
        <w:rPr>
          <w:rFonts w:cstheme="minorHAnsi"/>
        </w:rPr>
      </w:pPr>
    </w:p>
    <w:p w14:paraId="41354547" w14:textId="77777777" w:rsidR="00BA0582" w:rsidRPr="00FE04D9" w:rsidRDefault="00BA0582" w:rsidP="000351A7">
      <w:pPr>
        <w:pStyle w:val="Heading3"/>
      </w:pPr>
      <w:bookmarkStart w:id="480" w:name="_Toc458938350"/>
      <w:r w:rsidRPr="00FE04D9">
        <w:t>Study of the catalyst in solution; ligand dissociation</w:t>
      </w:r>
      <w:bookmarkEnd w:id="480"/>
    </w:p>
    <w:p w14:paraId="33AF9D65" w14:textId="77777777" w:rsidR="00BA0582" w:rsidRPr="00FE04D9" w:rsidRDefault="00BA0582" w:rsidP="00FE04D9">
      <w:pPr>
        <w:ind w:firstLine="360"/>
        <w:jc w:val="both"/>
        <w:rPr>
          <w:rFonts w:cstheme="minorHAnsi"/>
        </w:rPr>
      </w:pPr>
      <w:r w:rsidRPr="00FE04D9">
        <w:rPr>
          <w:rFonts w:cstheme="minorHAnsi"/>
        </w:rPr>
        <w:t>Each sample was prepared with about 1 mL of benzene-</w:t>
      </w:r>
      <w:r w:rsidRPr="00FE04D9">
        <w:rPr>
          <w:rFonts w:cstheme="minorHAnsi"/>
          <w:i/>
        </w:rPr>
        <w:t>d</w:t>
      </w:r>
      <w:r w:rsidRPr="00FE04D9">
        <w:rPr>
          <w:rFonts w:cstheme="minorHAnsi"/>
          <w:i/>
          <w:vertAlign w:val="superscript"/>
        </w:rPr>
        <w:t>6</w:t>
      </w:r>
      <w:r w:rsidRPr="00FE04D9">
        <w:rPr>
          <w:rFonts w:cstheme="minorHAnsi"/>
        </w:rPr>
        <w:t xml:space="preserve"> and 4 mg of IReO</w:t>
      </w:r>
      <w:r w:rsidRPr="00FE04D9">
        <w:rPr>
          <w:rFonts w:cstheme="minorHAnsi"/>
          <w:vertAlign w:val="subscript"/>
        </w:rPr>
        <w:t>2</w:t>
      </w:r>
      <w:r w:rsidRPr="00FE04D9">
        <w:rPr>
          <w:rFonts w:cstheme="minorHAnsi"/>
        </w:rPr>
        <w:t>(PPh</w:t>
      </w:r>
      <w:r w:rsidRPr="00FE04D9">
        <w:rPr>
          <w:rFonts w:cstheme="minorHAnsi"/>
          <w:vertAlign w:val="subscript"/>
        </w:rPr>
        <w:t>3</w:t>
      </w:r>
      <w:r w:rsidRPr="00FE04D9">
        <w:rPr>
          <w:rFonts w:cstheme="minorHAnsi"/>
        </w:rPr>
        <w:t>)</w:t>
      </w:r>
      <w:r w:rsidRPr="00FE04D9">
        <w:rPr>
          <w:rFonts w:cstheme="minorHAnsi"/>
          <w:vertAlign w:val="subscript"/>
        </w:rPr>
        <w:t>2</w:t>
      </w:r>
      <w:r w:rsidRPr="00FE04D9">
        <w:rPr>
          <w:rFonts w:cstheme="minorHAnsi"/>
        </w:rPr>
        <w:t xml:space="preserve"> under N</w:t>
      </w:r>
      <w:r w:rsidRPr="00FE04D9">
        <w:rPr>
          <w:rFonts w:cstheme="minorHAnsi"/>
          <w:vertAlign w:val="subscript"/>
        </w:rPr>
        <w:t>2</w:t>
      </w:r>
      <w:r w:rsidRPr="00FE04D9">
        <w:rPr>
          <w:rFonts w:cstheme="minorHAnsi"/>
        </w:rPr>
        <w:t xml:space="preserve"> (5 mM). First we tested the evolution of samples over time with and without aluminum foil wrap to check for any potential effects of light. After establishing that light did not make any difference for these samples, we did not wrap the samples in the rest of the study. </w:t>
      </w:r>
    </w:p>
    <w:p w14:paraId="7335F50B" w14:textId="77777777" w:rsidR="00BA0582" w:rsidRPr="00FE04D9" w:rsidRDefault="00BA0582" w:rsidP="00FE04D9">
      <w:pPr>
        <w:ind w:firstLine="360"/>
        <w:jc w:val="both"/>
        <w:rPr>
          <w:rFonts w:cstheme="minorHAnsi"/>
        </w:rPr>
      </w:pPr>
      <w:r w:rsidRPr="00FE04D9">
        <w:rPr>
          <w:rFonts w:cstheme="minorHAnsi"/>
        </w:rPr>
        <w:t>For the samples in which we added triphenylphosphine 26 mg was used.</w:t>
      </w:r>
    </w:p>
    <w:p w14:paraId="7806A087" w14:textId="77777777" w:rsidR="00BA0582" w:rsidRPr="00FE04D9" w:rsidRDefault="00BA0582" w:rsidP="00FE04D9">
      <w:pPr>
        <w:ind w:firstLine="360"/>
        <w:jc w:val="both"/>
        <w:rPr>
          <w:rFonts w:cstheme="minorHAnsi"/>
        </w:rPr>
      </w:pPr>
    </w:p>
    <w:p w14:paraId="31494CDC" w14:textId="77777777" w:rsidR="00BA0582" w:rsidRPr="00FE04D9" w:rsidRDefault="00BA0582" w:rsidP="000351A7">
      <w:pPr>
        <w:pStyle w:val="Heading3"/>
      </w:pPr>
      <w:bookmarkStart w:id="481" w:name="_Toc458938351"/>
      <w:r w:rsidRPr="00FE04D9">
        <w:t xml:space="preserve">NMR </w:t>
      </w:r>
      <w:r w:rsidR="005943F9">
        <w:t>S</w:t>
      </w:r>
      <w:r w:rsidRPr="00FE04D9">
        <w:t xml:space="preserve">toichiometric </w:t>
      </w:r>
      <w:r w:rsidR="005943F9">
        <w:t>E</w:t>
      </w:r>
      <w:r w:rsidRPr="00FE04D9">
        <w:t>xperiment</w:t>
      </w:r>
      <w:r w:rsidR="005943F9">
        <w:t>s</w:t>
      </w:r>
      <w:bookmarkEnd w:id="481"/>
    </w:p>
    <w:p w14:paraId="64166A76" w14:textId="77777777" w:rsidR="00BA0582" w:rsidRPr="00FE04D9" w:rsidRDefault="00BA0582" w:rsidP="00B5501C">
      <w:pPr>
        <w:pStyle w:val="Heading41"/>
        <w:numPr>
          <w:ilvl w:val="0"/>
          <w:numId w:val="44"/>
        </w:numPr>
      </w:pPr>
      <w:r w:rsidRPr="00FE04D9">
        <w:t xml:space="preserve">Representative procedure: Sample B </w:t>
      </w:r>
    </w:p>
    <w:p w14:paraId="4AFF2934" w14:textId="77777777" w:rsidR="00BA0582" w:rsidRPr="00FE04D9" w:rsidRDefault="00BA0582" w:rsidP="00FE04D9">
      <w:pPr>
        <w:ind w:firstLine="360"/>
        <w:jc w:val="both"/>
        <w:rPr>
          <w:rFonts w:cstheme="minorHAnsi"/>
        </w:rPr>
      </w:pPr>
      <w:r w:rsidRPr="00DE200B">
        <w:rPr>
          <w:rFonts w:cstheme="minorHAnsi"/>
          <w:color w:val="000000"/>
          <w:szCs w:val="20"/>
        </w:rPr>
        <w:t>IReO</w:t>
      </w:r>
      <w:r w:rsidRPr="00DE200B">
        <w:rPr>
          <w:rFonts w:cstheme="minorHAnsi"/>
          <w:color w:val="000000"/>
          <w:szCs w:val="20"/>
          <w:vertAlign w:val="subscript"/>
        </w:rPr>
        <w:t>2</w:t>
      </w:r>
      <w:r w:rsidRPr="00DE200B">
        <w:rPr>
          <w:rFonts w:cstheme="minorHAnsi"/>
          <w:color w:val="000000"/>
          <w:szCs w:val="20"/>
        </w:rPr>
        <w:t>(PPh</w:t>
      </w:r>
      <w:r w:rsidRPr="00DE200B">
        <w:rPr>
          <w:rFonts w:cstheme="minorHAnsi"/>
          <w:color w:val="000000"/>
          <w:szCs w:val="20"/>
          <w:vertAlign w:val="subscript"/>
        </w:rPr>
        <w:t>3</w:t>
      </w:r>
      <w:r w:rsidRPr="00DE200B">
        <w:rPr>
          <w:rFonts w:cstheme="minorHAnsi"/>
          <w:color w:val="000000"/>
          <w:szCs w:val="20"/>
        </w:rPr>
        <w:t>)</w:t>
      </w:r>
      <w:r w:rsidRPr="00DE200B">
        <w:rPr>
          <w:rFonts w:cstheme="minorHAnsi"/>
          <w:color w:val="000000"/>
          <w:szCs w:val="20"/>
          <w:vertAlign w:val="subscript"/>
        </w:rPr>
        <w:t>2</w:t>
      </w:r>
      <w:r w:rsidRPr="00DE200B">
        <w:rPr>
          <w:rFonts w:cstheme="minorHAnsi"/>
          <w:color w:val="000000"/>
          <w:szCs w:val="20"/>
        </w:rPr>
        <w:t xml:space="preserve"> </w:t>
      </w:r>
      <w:r w:rsidR="00DE200B" w:rsidRPr="00DE200B">
        <w:rPr>
          <w:rFonts w:cstheme="minorHAnsi"/>
          <w:color w:val="000000"/>
          <w:szCs w:val="20"/>
        </w:rPr>
        <w:t>(</w:t>
      </w:r>
      <w:r w:rsidRPr="00FE04D9">
        <w:rPr>
          <w:rFonts w:cstheme="minorHAnsi"/>
          <w:b/>
        </w:rPr>
        <w:t>1</w:t>
      </w:r>
      <w:r w:rsidR="00DE200B" w:rsidRPr="00DE200B">
        <w:rPr>
          <w:rFonts w:cstheme="minorHAnsi"/>
        </w:rPr>
        <w:t>)</w:t>
      </w:r>
      <w:r w:rsidRPr="00FE04D9">
        <w:rPr>
          <w:rFonts w:cstheme="minorHAnsi"/>
        </w:rPr>
        <w:t xml:space="preserve"> (0.006 mmol, 5 mg) and benzhydrol (60 µL of 0.06 M solution in </w:t>
      </w:r>
      <w:r w:rsidRPr="00FE04D9">
        <w:rPr>
          <w:rFonts w:cstheme="minorHAnsi"/>
          <w:i/>
        </w:rPr>
        <w:t>d</w:t>
      </w:r>
      <w:r w:rsidRPr="00FE04D9">
        <w:rPr>
          <w:rFonts w:cstheme="minorHAnsi"/>
          <w:i/>
          <w:vertAlign w:val="superscript"/>
        </w:rPr>
        <w:t>6</w:t>
      </w:r>
      <w:r w:rsidRPr="00FE04D9">
        <w:rPr>
          <w:rFonts w:cstheme="minorHAnsi"/>
        </w:rPr>
        <w:t xml:space="preserve">-benzene), (alcohol/catalyst ratio in the table below) were added into 0.74 mL of </w:t>
      </w:r>
      <w:r w:rsidRPr="00FE04D9">
        <w:rPr>
          <w:rFonts w:cstheme="minorHAnsi"/>
          <w:i/>
        </w:rPr>
        <w:t>d</w:t>
      </w:r>
      <w:r w:rsidRPr="00FE04D9">
        <w:rPr>
          <w:rFonts w:cstheme="minorHAnsi"/>
          <w:i/>
          <w:vertAlign w:val="superscript"/>
        </w:rPr>
        <w:t>6</w:t>
      </w:r>
      <w:r w:rsidRPr="00FE04D9">
        <w:rPr>
          <w:rFonts w:cstheme="minorHAnsi"/>
        </w:rPr>
        <w:t>-benzene in a thick-walled NMR tube. The NMR tube was caped and purged (vacuum pumped then back filled with N</w:t>
      </w:r>
      <w:r w:rsidRPr="00FE04D9">
        <w:rPr>
          <w:rFonts w:cstheme="minorHAnsi"/>
          <w:vertAlign w:val="subscript"/>
        </w:rPr>
        <w:t>2</w:t>
      </w:r>
      <w:r w:rsidRPr="00FE04D9">
        <w:rPr>
          <w:rFonts w:cstheme="minorHAnsi"/>
        </w:rPr>
        <w:t xml:space="preserve"> three times) and finally placed under argon. The tube was left at room temperature for several weeks. The changes over time were followed by </w:t>
      </w:r>
      <w:r w:rsidRPr="00FE04D9">
        <w:rPr>
          <w:rFonts w:cstheme="minorHAnsi"/>
          <w:vertAlign w:val="superscript"/>
        </w:rPr>
        <w:t>1</w:t>
      </w:r>
      <w:r w:rsidRPr="00FE04D9">
        <w:rPr>
          <w:rFonts w:cstheme="minorHAnsi"/>
        </w:rPr>
        <w:t xml:space="preserve">H and </w:t>
      </w:r>
      <w:r w:rsidRPr="00FE04D9">
        <w:rPr>
          <w:rFonts w:cstheme="minorHAnsi"/>
          <w:vertAlign w:val="superscript"/>
        </w:rPr>
        <w:t>31</w:t>
      </w:r>
      <w:r w:rsidRPr="00FE04D9">
        <w:rPr>
          <w:rFonts w:cstheme="minorHAnsi"/>
        </w:rPr>
        <w:t xml:space="preserve">P NMR. </w:t>
      </w:r>
    </w:p>
    <w:p w14:paraId="39DC7ECA" w14:textId="77777777" w:rsidR="00BA0582" w:rsidRPr="00FE04D9" w:rsidRDefault="00BA0582" w:rsidP="00FE04D9">
      <w:pPr>
        <w:ind w:firstLine="360"/>
        <w:jc w:val="both"/>
        <w:rPr>
          <w:rFonts w:cstheme="minorHAnsi"/>
        </w:rPr>
      </w:pPr>
      <w:r w:rsidRPr="00FE04D9">
        <w:rPr>
          <w:rFonts w:cstheme="minorHAnsi"/>
        </w:rPr>
        <w:t>After a month at room temperature and no more noticeable changes B and D were placed in an oil bath at 50</w:t>
      </w:r>
      <w:r w:rsidRPr="00FE04D9">
        <w:rPr>
          <w:rFonts w:cstheme="minorHAnsi"/>
          <w:vertAlign w:val="superscript"/>
        </w:rPr>
        <w:t>o</w:t>
      </w:r>
      <w:r w:rsidRPr="00FE04D9">
        <w:rPr>
          <w:rFonts w:cstheme="minorHAnsi"/>
        </w:rPr>
        <w:t xml:space="preserve">C. The changes were followed by </w:t>
      </w:r>
      <w:r w:rsidRPr="00FE04D9">
        <w:rPr>
          <w:rFonts w:cstheme="minorHAnsi"/>
          <w:vertAlign w:val="superscript"/>
        </w:rPr>
        <w:t>1</w:t>
      </w:r>
      <w:r w:rsidRPr="00FE04D9">
        <w:rPr>
          <w:rFonts w:cstheme="minorHAnsi"/>
        </w:rPr>
        <w:t xml:space="preserve">H and </w:t>
      </w:r>
      <w:r w:rsidRPr="00FE04D9">
        <w:rPr>
          <w:rFonts w:cstheme="minorHAnsi"/>
          <w:vertAlign w:val="superscript"/>
        </w:rPr>
        <w:t>31</w:t>
      </w:r>
      <w:r w:rsidRPr="00FE04D9">
        <w:rPr>
          <w:rFonts w:cstheme="minorHAnsi"/>
        </w:rPr>
        <w:t>P NMR about every 16 h.</w:t>
      </w:r>
    </w:p>
    <w:tbl>
      <w:tblPr>
        <w:tblW w:w="4176" w:type="dxa"/>
        <w:jc w:val="center"/>
        <w:tblLayout w:type="fixed"/>
        <w:tblLook w:val="04A0" w:firstRow="1" w:lastRow="0" w:firstColumn="1" w:lastColumn="0" w:noHBand="0" w:noVBand="1"/>
      </w:tblPr>
      <w:tblGrid>
        <w:gridCol w:w="1152"/>
        <w:gridCol w:w="1584"/>
        <w:gridCol w:w="1440"/>
      </w:tblGrid>
      <w:tr w:rsidR="00BA0582" w:rsidRPr="00FE04D9" w14:paraId="2AB146A6" w14:textId="77777777" w:rsidTr="00BA0582">
        <w:trPr>
          <w:trHeight w:val="298"/>
          <w:jc w:val="center"/>
        </w:trPr>
        <w:tc>
          <w:tcPr>
            <w:tcW w:w="1152" w:type="dxa"/>
            <w:vMerge w:val="restart"/>
            <w:tcBorders>
              <w:top w:val="nil"/>
              <w:left w:val="nil"/>
              <w:right w:val="single" w:sz="12" w:space="0" w:color="auto"/>
            </w:tcBorders>
            <w:shd w:val="clear" w:color="auto" w:fill="auto"/>
            <w:noWrap/>
            <w:vAlign w:val="center"/>
            <w:hideMark/>
          </w:tcPr>
          <w:p w14:paraId="5AF8EF7C" w14:textId="77777777" w:rsidR="00BA0582" w:rsidRPr="00FE04D9" w:rsidRDefault="00BA0582" w:rsidP="00BA0582">
            <w:pPr>
              <w:spacing w:line="240" w:lineRule="auto"/>
              <w:jc w:val="center"/>
              <w:rPr>
                <w:rFonts w:cstheme="minorHAnsi"/>
                <w:color w:val="000000"/>
              </w:rPr>
            </w:pPr>
            <w:r w:rsidRPr="00FE04D9">
              <w:rPr>
                <w:rFonts w:cstheme="minorHAnsi"/>
                <w:color w:val="000000"/>
              </w:rPr>
              <w:t>Sample</w:t>
            </w:r>
            <w:r w:rsidRPr="00FE04D9">
              <w:rPr>
                <w:rFonts w:cstheme="minorHAnsi"/>
                <w:color w:val="000000"/>
                <w:vertAlign w:val="superscript"/>
              </w:rPr>
              <w:t>a</w:t>
            </w:r>
          </w:p>
        </w:tc>
        <w:tc>
          <w:tcPr>
            <w:tcW w:w="3024" w:type="dxa"/>
            <w:gridSpan w:val="2"/>
            <w:tcBorders>
              <w:top w:val="nil"/>
              <w:left w:val="single" w:sz="2" w:space="0" w:color="808080" w:themeColor="background1" w:themeShade="80"/>
              <w:bottom w:val="dashed" w:sz="4" w:space="0" w:color="808080" w:themeColor="background1" w:themeShade="80"/>
            </w:tcBorders>
            <w:vAlign w:val="center"/>
          </w:tcPr>
          <w:p w14:paraId="1B085BAA" w14:textId="77777777" w:rsidR="00BA0582" w:rsidRPr="00FE04D9" w:rsidRDefault="00BA0582" w:rsidP="00BA0582">
            <w:pPr>
              <w:spacing w:line="240" w:lineRule="auto"/>
              <w:jc w:val="center"/>
              <w:rPr>
                <w:rFonts w:cstheme="minorHAnsi"/>
                <w:color w:val="000000"/>
              </w:rPr>
            </w:pPr>
            <w:r w:rsidRPr="00FE04D9">
              <w:rPr>
                <w:rFonts w:cstheme="minorHAnsi"/>
                <w:color w:val="000000"/>
              </w:rPr>
              <w:t>ROH</w:t>
            </w:r>
          </w:p>
        </w:tc>
      </w:tr>
      <w:tr w:rsidR="00BA0582" w:rsidRPr="00FE04D9" w14:paraId="29178FF9" w14:textId="77777777" w:rsidTr="00BA0582">
        <w:trPr>
          <w:trHeight w:val="297"/>
          <w:jc w:val="center"/>
        </w:trPr>
        <w:tc>
          <w:tcPr>
            <w:tcW w:w="1152" w:type="dxa"/>
            <w:vMerge/>
            <w:tcBorders>
              <w:left w:val="nil"/>
              <w:bottom w:val="single" w:sz="12" w:space="0" w:color="auto"/>
              <w:right w:val="single" w:sz="12" w:space="0" w:color="auto"/>
            </w:tcBorders>
            <w:shd w:val="clear" w:color="auto" w:fill="auto"/>
            <w:noWrap/>
            <w:vAlign w:val="center"/>
          </w:tcPr>
          <w:p w14:paraId="6DF0297D" w14:textId="77777777" w:rsidR="00BA0582" w:rsidRPr="00FE04D9" w:rsidRDefault="00BA0582" w:rsidP="00BA0582">
            <w:pPr>
              <w:spacing w:line="240" w:lineRule="auto"/>
              <w:jc w:val="center"/>
              <w:rPr>
                <w:rFonts w:cstheme="minorHAnsi"/>
                <w:color w:val="000000"/>
              </w:rPr>
            </w:pPr>
          </w:p>
        </w:tc>
        <w:tc>
          <w:tcPr>
            <w:tcW w:w="1584" w:type="dxa"/>
            <w:tcBorders>
              <w:top w:val="dashed" w:sz="4" w:space="0" w:color="808080" w:themeColor="background1" w:themeShade="80"/>
              <w:left w:val="single" w:sz="2" w:space="0" w:color="808080" w:themeColor="background1" w:themeShade="80"/>
              <w:bottom w:val="single" w:sz="12" w:space="0" w:color="auto"/>
              <w:right w:val="dashed" w:sz="4" w:space="0" w:color="808080" w:themeColor="background1" w:themeShade="80"/>
            </w:tcBorders>
            <w:shd w:val="clear" w:color="auto" w:fill="auto"/>
            <w:vAlign w:val="center"/>
          </w:tcPr>
          <w:p w14:paraId="3174A2C9" w14:textId="77777777" w:rsidR="00BA0582" w:rsidRPr="00FE04D9" w:rsidRDefault="00BA0582" w:rsidP="00BA0582">
            <w:pPr>
              <w:spacing w:line="240" w:lineRule="auto"/>
              <w:jc w:val="center"/>
              <w:rPr>
                <w:rFonts w:cstheme="minorHAnsi"/>
                <w:color w:val="000000"/>
              </w:rPr>
            </w:pPr>
            <w:r w:rsidRPr="00FE04D9">
              <w:rPr>
                <w:rFonts w:cstheme="minorHAnsi"/>
                <w:color w:val="000000"/>
              </w:rPr>
              <w:t>R</w:t>
            </w:r>
          </w:p>
        </w:tc>
        <w:tc>
          <w:tcPr>
            <w:tcW w:w="1440" w:type="dxa"/>
            <w:tcBorders>
              <w:top w:val="dashed" w:sz="4" w:space="0" w:color="808080" w:themeColor="background1" w:themeShade="80"/>
              <w:left w:val="dashed" w:sz="4" w:space="0" w:color="808080" w:themeColor="background1" w:themeShade="80"/>
              <w:bottom w:val="single" w:sz="12" w:space="0" w:color="auto"/>
            </w:tcBorders>
            <w:vAlign w:val="center"/>
          </w:tcPr>
          <w:p w14:paraId="6295D4F4" w14:textId="77777777" w:rsidR="00BA0582" w:rsidRPr="00FE04D9" w:rsidRDefault="00BA0582" w:rsidP="00BA0582">
            <w:pPr>
              <w:spacing w:line="240" w:lineRule="auto"/>
              <w:jc w:val="center"/>
              <w:rPr>
                <w:rFonts w:cstheme="minorHAnsi"/>
                <w:color w:val="000000"/>
              </w:rPr>
            </w:pPr>
            <w:r w:rsidRPr="00FE04D9">
              <w:rPr>
                <w:rFonts w:cstheme="minorHAnsi"/>
                <w:color w:val="000000"/>
              </w:rPr>
              <w:t>equiv.</w:t>
            </w:r>
            <w:r w:rsidRPr="00FE04D9">
              <w:rPr>
                <w:rFonts w:cstheme="minorHAnsi"/>
                <w:color w:val="000000"/>
                <w:vertAlign w:val="superscript"/>
              </w:rPr>
              <w:t>b</w:t>
            </w:r>
          </w:p>
        </w:tc>
      </w:tr>
      <w:tr w:rsidR="00BA0582" w:rsidRPr="00FE04D9" w14:paraId="41A10C0F" w14:textId="77777777" w:rsidTr="00BA0582">
        <w:trPr>
          <w:trHeight w:val="317"/>
          <w:jc w:val="center"/>
        </w:trPr>
        <w:tc>
          <w:tcPr>
            <w:tcW w:w="1152" w:type="dxa"/>
            <w:tcBorders>
              <w:top w:val="single" w:sz="12" w:space="0" w:color="auto"/>
              <w:left w:val="nil"/>
              <w:bottom w:val="single" w:sz="2" w:space="0" w:color="808080" w:themeColor="background1" w:themeShade="80"/>
              <w:right w:val="single" w:sz="12" w:space="0" w:color="auto"/>
            </w:tcBorders>
            <w:shd w:val="clear" w:color="auto" w:fill="auto"/>
            <w:noWrap/>
            <w:vAlign w:val="center"/>
            <w:hideMark/>
          </w:tcPr>
          <w:p w14:paraId="07FB1C8D" w14:textId="77777777" w:rsidR="00BA0582" w:rsidRPr="00FE04D9" w:rsidRDefault="00BA0582" w:rsidP="00BA0582">
            <w:pPr>
              <w:spacing w:line="240" w:lineRule="auto"/>
              <w:jc w:val="center"/>
              <w:rPr>
                <w:rFonts w:cstheme="minorHAnsi"/>
                <w:color w:val="000000"/>
              </w:rPr>
            </w:pPr>
            <w:r w:rsidRPr="00FE04D9">
              <w:rPr>
                <w:rFonts w:cstheme="minorHAnsi"/>
                <w:color w:val="000000"/>
              </w:rPr>
              <w:t>A</w:t>
            </w:r>
            <w:r w:rsidRPr="00FE04D9">
              <w:rPr>
                <w:rFonts w:cstheme="minorHAnsi"/>
                <w:color w:val="000000"/>
                <w:vertAlign w:val="superscript"/>
              </w:rPr>
              <w:t>c</w:t>
            </w:r>
          </w:p>
        </w:tc>
        <w:tc>
          <w:tcPr>
            <w:tcW w:w="1584" w:type="dxa"/>
            <w:tcBorders>
              <w:top w:val="single" w:sz="12" w:space="0" w:color="auto"/>
              <w:left w:val="single" w:sz="2"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hideMark/>
          </w:tcPr>
          <w:p w14:paraId="4782FF93" w14:textId="77777777" w:rsidR="00BA0582" w:rsidRPr="00FE04D9" w:rsidRDefault="00BA0582" w:rsidP="00BA0582">
            <w:pPr>
              <w:spacing w:line="240" w:lineRule="auto"/>
              <w:jc w:val="right"/>
              <w:rPr>
                <w:rFonts w:cstheme="minorHAnsi"/>
                <w:color w:val="000000"/>
              </w:rPr>
            </w:pPr>
            <w:r w:rsidRPr="00FE04D9">
              <w:rPr>
                <w:rFonts w:cstheme="minorHAnsi"/>
                <w:color w:val="000000"/>
              </w:rPr>
              <w:t>Ph</w:t>
            </w:r>
            <w:r w:rsidRPr="00FE04D9">
              <w:rPr>
                <w:rFonts w:cstheme="minorHAnsi"/>
                <w:color w:val="000000"/>
                <w:vertAlign w:val="subscript"/>
              </w:rPr>
              <w:t>2</w:t>
            </w:r>
            <w:r w:rsidRPr="00FE04D9">
              <w:rPr>
                <w:rFonts w:cstheme="minorHAnsi"/>
                <w:color w:val="000000"/>
              </w:rPr>
              <w:t>CH</w:t>
            </w:r>
          </w:p>
        </w:tc>
        <w:tc>
          <w:tcPr>
            <w:tcW w:w="1440" w:type="dxa"/>
            <w:tcBorders>
              <w:top w:val="single" w:sz="12" w:space="0" w:color="auto"/>
              <w:left w:val="dashed" w:sz="4" w:space="0" w:color="808080" w:themeColor="background1" w:themeShade="80"/>
              <w:bottom w:val="single" w:sz="2" w:space="0" w:color="808080" w:themeColor="background1" w:themeShade="80"/>
            </w:tcBorders>
            <w:vAlign w:val="center"/>
          </w:tcPr>
          <w:p w14:paraId="079386A5" w14:textId="77777777" w:rsidR="00BA0582" w:rsidRPr="00FE04D9" w:rsidRDefault="00BA0582" w:rsidP="00BA0582">
            <w:pPr>
              <w:spacing w:line="240" w:lineRule="auto"/>
              <w:jc w:val="right"/>
              <w:rPr>
                <w:rFonts w:cstheme="minorHAnsi"/>
                <w:color w:val="000000"/>
              </w:rPr>
            </w:pPr>
            <w:r w:rsidRPr="00FE04D9">
              <w:rPr>
                <w:rFonts w:cstheme="minorHAnsi"/>
                <w:color w:val="000000"/>
              </w:rPr>
              <w:t>1</w:t>
            </w:r>
          </w:p>
        </w:tc>
      </w:tr>
      <w:tr w:rsidR="00BA0582" w:rsidRPr="00FE04D9" w14:paraId="62F74768" w14:textId="77777777" w:rsidTr="00BA0582">
        <w:trPr>
          <w:trHeight w:val="317"/>
          <w:jc w:val="center"/>
        </w:trPr>
        <w:tc>
          <w:tcPr>
            <w:tcW w:w="1152" w:type="dxa"/>
            <w:tcBorders>
              <w:top w:val="single" w:sz="2" w:space="0" w:color="808080" w:themeColor="background1" w:themeShade="80"/>
              <w:left w:val="nil"/>
              <w:bottom w:val="single" w:sz="2" w:space="0" w:color="808080" w:themeColor="background1" w:themeShade="80"/>
              <w:right w:val="single" w:sz="12" w:space="0" w:color="auto"/>
            </w:tcBorders>
            <w:shd w:val="clear" w:color="auto" w:fill="auto"/>
            <w:noWrap/>
            <w:vAlign w:val="center"/>
            <w:hideMark/>
          </w:tcPr>
          <w:p w14:paraId="5A58640E" w14:textId="77777777" w:rsidR="00BA0582" w:rsidRPr="00FE04D9" w:rsidRDefault="00BA0582" w:rsidP="00BA0582">
            <w:pPr>
              <w:spacing w:line="240" w:lineRule="auto"/>
              <w:jc w:val="center"/>
              <w:rPr>
                <w:rFonts w:cstheme="minorHAnsi"/>
                <w:color w:val="000000"/>
              </w:rPr>
            </w:pPr>
            <w:r w:rsidRPr="00FE04D9">
              <w:rPr>
                <w:rFonts w:cstheme="minorHAnsi"/>
                <w:color w:val="000000"/>
              </w:rPr>
              <w:t>B</w:t>
            </w:r>
          </w:p>
        </w:tc>
        <w:tc>
          <w:tcPr>
            <w:tcW w:w="1584" w:type="dxa"/>
            <w:tcBorders>
              <w:top w:val="single" w:sz="2" w:space="0" w:color="808080" w:themeColor="background1" w:themeShade="80"/>
              <w:left w:val="single" w:sz="2"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hideMark/>
          </w:tcPr>
          <w:p w14:paraId="0C03474E" w14:textId="77777777" w:rsidR="00BA0582" w:rsidRPr="00FE04D9" w:rsidRDefault="00BA0582" w:rsidP="00BA0582">
            <w:pPr>
              <w:spacing w:line="240" w:lineRule="auto"/>
              <w:jc w:val="right"/>
              <w:rPr>
                <w:rFonts w:cstheme="minorHAnsi"/>
                <w:color w:val="000000"/>
              </w:rPr>
            </w:pPr>
            <w:r w:rsidRPr="00FE04D9">
              <w:rPr>
                <w:rFonts w:cstheme="minorHAnsi"/>
                <w:color w:val="000000"/>
              </w:rPr>
              <w:t>Ph</w:t>
            </w:r>
            <w:r w:rsidRPr="00FE04D9">
              <w:rPr>
                <w:rFonts w:cstheme="minorHAnsi"/>
                <w:color w:val="000000"/>
                <w:vertAlign w:val="subscript"/>
              </w:rPr>
              <w:t>2</w:t>
            </w:r>
            <w:r w:rsidRPr="00FE04D9">
              <w:rPr>
                <w:rFonts w:cstheme="minorHAnsi"/>
                <w:color w:val="000000"/>
              </w:rPr>
              <w:t>CH</w:t>
            </w:r>
          </w:p>
        </w:tc>
        <w:tc>
          <w:tcPr>
            <w:tcW w:w="1440" w:type="dxa"/>
            <w:tcBorders>
              <w:top w:val="single" w:sz="2" w:space="0" w:color="808080" w:themeColor="background1" w:themeShade="80"/>
              <w:left w:val="dashed" w:sz="4" w:space="0" w:color="808080" w:themeColor="background1" w:themeShade="80"/>
              <w:bottom w:val="single" w:sz="2" w:space="0" w:color="808080" w:themeColor="background1" w:themeShade="80"/>
            </w:tcBorders>
            <w:vAlign w:val="center"/>
          </w:tcPr>
          <w:p w14:paraId="74D3231F" w14:textId="77777777" w:rsidR="00BA0582" w:rsidRPr="00FE04D9" w:rsidRDefault="00BA0582" w:rsidP="00BA0582">
            <w:pPr>
              <w:spacing w:line="240" w:lineRule="auto"/>
              <w:jc w:val="right"/>
              <w:rPr>
                <w:rFonts w:cstheme="minorHAnsi"/>
                <w:color w:val="000000"/>
              </w:rPr>
            </w:pPr>
            <w:r w:rsidRPr="00FE04D9">
              <w:rPr>
                <w:rFonts w:cstheme="minorHAnsi"/>
                <w:color w:val="000000"/>
              </w:rPr>
              <w:t>1</w:t>
            </w:r>
          </w:p>
        </w:tc>
      </w:tr>
      <w:tr w:rsidR="00BA0582" w:rsidRPr="00FE04D9" w14:paraId="24E6E6A5" w14:textId="77777777" w:rsidTr="00BA0582">
        <w:trPr>
          <w:trHeight w:val="317"/>
          <w:jc w:val="center"/>
        </w:trPr>
        <w:tc>
          <w:tcPr>
            <w:tcW w:w="1152" w:type="dxa"/>
            <w:tcBorders>
              <w:top w:val="single" w:sz="2" w:space="0" w:color="808080" w:themeColor="background1" w:themeShade="80"/>
              <w:left w:val="nil"/>
              <w:bottom w:val="single" w:sz="2" w:space="0" w:color="808080" w:themeColor="background1" w:themeShade="80"/>
              <w:right w:val="single" w:sz="12" w:space="0" w:color="auto"/>
            </w:tcBorders>
            <w:shd w:val="clear" w:color="auto" w:fill="auto"/>
            <w:noWrap/>
            <w:vAlign w:val="center"/>
            <w:hideMark/>
          </w:tcPr>
          <w:p w14:paraId="437B5765" w14:textId="77777777" w:rsidR="00BA0582" w:rsidRPr="00FE04D9" w:rsidRDefault="00BA0582" w:rsidP="00BA0582">
            <w:pPr>
              <w:spacing w:line="240" w:lineRule="auto"/>
              <w:jc w:val="center"/>
              <w:rPr>
                <w:rFonts w:cstheme="minorHAnsi"/>
                <w:color w:val="000000"/>
              </w:rPr>
            </w:pPr>
            <w:r w:rsidRPr="00FE04D9">
              <w:rPr>
                <w:rFonts w:cstheme="minorHAnsi"/>
                <w:color w:val="000000"/>
              </w:rPr>
              <w:t>C</w:t>
            </w:r>
            <w:r w:rsidRPr="00FE04D9">
              <w:rPr>
                <w:rFonts w:cstheme="minorHAnsi"/>
                <w:color w:val="000000"/>
                <w:vertAlign w:val="superscript"/>
              </w:rPr>
              <w:t>d</w:t>
            </w:r>
          </w:p>
        </w:tc>
        <w:tc>
          <w:tcPr>
            <w:tcW w:w="1584" w:type="dxa"/>
            <w:tcBorders>
              <w:top w:val="single" w:sz="2" w:space="0" w:color="808080" w:themeColor="background1" w:themeShade="80"/>
              <w:left w:val="single" w:sz="2"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hideMark/>
          </w:tcPr>
          <w:p w14:paraId="6DD485C5" w14:textId="77777777" w:rsidR="00BA0582" w:rsidRPr="00FE04D9" w:rsidRDefault="00BA0582" w:rsidP="00BA0582">
            <w:pPr>
              <w:spacing w:line="240" w:lineRule="auto"/>
              <w:jc w:val="right"/>
              <w:rPr>
                <w:rFonts w:cstheme="minorHAnsi"/>
                <w:color w:val="000000"/>
              </w:rPr>
            </w:pPr>
            <w:r w:rsidRPr="00FE04D9">
              <w:rPr>
                <w:rFonts w:cstheme="minorHAnsi"/>
                <w:color w:val="000000"/>
              </w:rPr>
              <w:t>Ph</w:t>
            </w:r>
            <w:r w:rsidRPr="00FE04D9">
              <w:rPr>
                <w:rFonts w:cstheme="minorHAnsi"/>
                <w:color w:val="000000"/>
                <w:vertAlign w:val="subscript"/>
              </w:rPr>
              <w:t>2</w:t>
            </w:r>
            <w:r w:rsidRPr="00FE04D9">
              <w:rPr>
                <w:rFonts w:cstheme="minorHAnsi"/>
                <w:color w:val="000000"/>
              </w:rPr>
              <w:t>CH</w:t>
            </w:r>
          </w:p>
        </w:tc>
        <w:tc>
          <w:tcPr>
            <w:tcW w:w="1440" w:type="dxa"/>
            <w:tcBorders>
              <w:top w:val="single" w:sz="2" w:space="0" w:color="808080" w:themeColor="background1" w:themeShade="80"/>
              <w:left w:val="dashed" w:sz="4" w:space="0" w:color="808080" w:themeColor="background1" w:themeShade="80"/>
              <w:bottom w:val="single" w:sz="2" w:space="0" w:color="808080" w:themeColor="background1" w:themeShade="80"/>
            </w:tcBorders>
            <w:vAlign w:val="center"/>
          </w:tcPr>
          <w:p w14:paraId="0D1CCCBB" w14:textId="77777777" w:rsidR="00BA0582" w:rsidRPr="00FE04D9" w:rsidRDefault="00BA0582" w:rsidP="00BA0582">
            <w:pPr>
              <w:spacing w:line="240" w:lineRule="auto"/>
              <w:jc w:val="right"/>
              <w:rPr>
                <w:rFonts w:cstheme="minorHAnsi"/>
                <w:color w:val="000000"/>
              </w:rPr>
            </w:pPr>
            <w:r w:rsidRPr="00FE04D9">
              <w:rPr>
                <w:rFonts w:cstheme="minorHAnsi"/>
                <w:color w:val="000000"/>
              </w:rPr>
              <w:t>1</w:t>
            </w:r>
          </w:p>
        </w:tc>
      </w:tr>
      <w:tr w:rsidR="00BA0582" w:rsidRPr="00FE04D9" w14:paraId="4EC7474A" w14:textId="77777777" w:rsidTr="00BA0582">
        <w:trPr>
          <w:trHeight w:val="317"/>
          <w:jc w:val="center"/>
        </w:trPr>
        <w:tc>
          <w:tcPr>
            <w:tcW w:w="1152" w:type="dxa"/>
            <w:tcBorders>
              <w:top w:val="single" w:sz="2" w:space="0" w:color="808080" w:themeColor="background1" w:themeShade="80"/>
              <w:left w:val="nil"/>
              <w:bottom w:val="single" w:sz="2" w:space="0" w:color="808080" w:themeColor="background1" w:themeShade="80"/>
              <w:right w:val="single" w:sz="12" w:space="0" w:color="auto"/>
            </w:tcBorders>
            <w:shd w:val="clear" w:color="auto" w:fill="auto"/>
            <w:noWrap/>
            <w:vAlign w:val="center"/>
            <w:hideMark/>
          </w:tcPr>
          <w:p w14:paraId="492B1112" w14:textId="77777777" w:rsidR="00BA0582" w:rsidRPr="00FE04D9" w:rsidRDefault="00BA0582" w:rsidP="00BA0582">
            <w:pPr>
              <w:spacing w:line="240" w:lineRule="auto"/>
              <w:jc w:val="center"/>
              <w:rPr>
                <w:rFonts w:cstheme="minorHAnsi"/>
                <w:color w:val="000000"/>
              </w:rPr>
            </w:pPr>
            <w:r w:rsidRPr="00FE04D9">
              <w:rPr>
                <w:rFonts w:cstheme="minorHAnsi"/>
                <w:color w:val="000000"/>
              </w:rPr>
              <w:t>D</w:t>
            </w:r>
          </w:p>
        </w:tc>
        <w:tc>
          <w:tcPr>
            <w:tcW w:w="1584" w:type="dxa"/>
            <w:tcBorders>
              <w:top w:val="single" w:sz="2" w:space="0" w:color="808080" w:themeColor="background1" w:themeShade="80"/>
              <w:left w:val="single" w:sz="2"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hideMark/>
          </w:tcPr>
          <w:p w14:paraId="143AC42C" w14:textId="77777777" w:rsidR="00BA0582" w:rsidRPr="00FE04D9" w:rsidRDefault="00BA0582" w:rsidP="00BA0582">
            <w:pPr>
              <w:spacing w:line="240" w:lineRule="auto"/>
              <w:jc w:val="right"/>
              <w:rPr>
                <w:rFonts w:cstheme="minorHAnsi"/>
                <w:color w:val="000000"/>
              </w:rPr>
            </w:pPr>
            <w:r w:rsidRPr="00FE04D9">
              <w:rPr>
                <w:rFonts w:cstheme="minorHAnsi"/>
                <w:color w:val="000000"/>
              </w:rPr>
              <w:t>Ph</w:t>
            </w:r>
            <w:r w:rsidRPr="00FE04D9">
              <w:rPr>
                <w:rFonts w:cstheme="minorHAnsi"/>
                <w:color w:val="000000"/>
                <w:vertAlign w:val="subscript"/>
              </w:rPr>
              <w:t>2</w:t>
            </w:r>
            <w:r w:rsidRPr="00FE04D9">
              <w:rPr>
                <w:rFonts w:cstheme="minorHAnsi"/>
                <w:color w:val="000000"/>
              </w:rPr>
              <w:t>CH</w:t>
            </w:r>
          </w:p>
        </w:tc>
        <w:tc>
          <w:tcPr>
            <w:tcW w:w="1440" w:type="dxa"/>
            <w:tcBorders>
              <w:top w:val="single" w:sz="2" w:space="0" w:color="808080" w:themeColor="background1" w:themeShade="80"/>
              <w:left w:val="dashed" w:sz="4" w:space="0" w:color="808080" w:themeColor="background1" w:themeShade="80"/>
              <w:bottom w:val="single" w:sz="2" w:space="0" w:color="808080" w:themeColor="background1" w:themeShade="80"/>
            </w:tcBorders>
            <w:vAlign w:val="center"/>
          </w:tcPr>
          <w:p w14:paraId="2D847D4A" w14:textId="77777777" w:rsidR="00BA0582" w:rsidRPr="00FE04D9" w:rsidRDefault="00BA0582" w:rsidP="00BA0582">
            <w:pPr>
              <w:spacing w:line="240" w:lineRule="auto"/>
              <w:jc w:val="right"/>
              <w:rPr>
                <w:rFonts w:cstheme="minorHAnsi"/>
                <w:color w:val="000000"/>
              </w:rPr>
            </w:pPr>
            <w:r w:rsidRPr="00FE04D9">
              <w:rPr>
                <w:rFonts w:cstheme="minorHAnsi"/>
                <w:color w:val="000000"/>
              </w:rPr>
              <w:t>5</w:t>
            </w:r>
          </w:p>
        </w:tc>
      </w:tr>
      <w:tr w:rsidR="00BA0582" w:rsidRPr="00FE04D9" w14:paraId="333F091C" w14:textId="77777777" w:rsidTr="00BA0582">
        <w:trPr>
          <w:trHeight w:val="317"/>
          <w:jc w:val="center"/>
        </w:trPr>
        <w:tc>
          <w:tcPr>
            <w:tcW w:w="1152" w:type="dxa"/>
            <w:tcBorders>
              <w:top w:val="single" w:sz="2" w:space="0" w:color="808080" w:themeColor="background1" w:themeShade="80"/>
              <w:left w:val="nil"/>
              <w:bottom w:val="single" w:sz="2" w:space="0" w:color="808080" w:themeColor="background1" w:themeShade="80"/>
              <w:right w:val="single" w:sz="12" w:space="0" w:color="auto"/>
            </w:tcBorders>
            <w:shd w:val="clear" w:color="auto" w:fill="auto"/>
            <w:noWrap/>
            <w:vAlign w:val="center"/>
            <w:hideMark/>
          </w:tcPr>
          <w:p w14:paraId="4E06BFB1" w14:textId="77777777" w:rsidR="00BA0582" w:rsidRPr="00FE04D9" w:rsidRDefault="00BA0582" w:rsidP="00BA0582">
            <w:pPr>
              <w:spacing w:line="240" w:lineRule="auto"/>
              <w:jc w:val="center"/>
              <w:rPr>
                <w:rFonts w:cstheme="minorHAnsi"/>
                <w:color w:val="000000"/>
              </w:rPr>
            </w:pPr>
            <w:r w:rsidRPr="00FE04D9">
              <w:rPr>
                <w:rFonts w:cstheme="minorHAnsi"/>
                <w:color w:val="000000"/>
              </w:rPr>
              <w:t>E</w:t>
            </w:r>
          </w:p>
        </w:tc>
        <w:tc>
          <w:tcPr>
            <w:tcW w:w="1584" w:type="dxa"/>
            <w:tcBorders>
              <w:top w:val="single" w:sz="2" w:space="0" w:color="808080" w:themeColor="background1" w:themeShade="80"/>
              <w:left w:val="single" w:sz="2"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hideMark/>
          </w:tcPr>
          <w:p w14:paraId="73F4D306" w14:textId="77777777" w:rsidR="00BA0582" w:rsidRPr="00FE04D9" w:rsidRDefault="00BA0582" w:rsidP="00BA0582">
            <w:pPr>
              <w:spacing w:line="240" w:lineRule="auto"/>
              <w:jc w:val="right"/>
              <w:rPr>
                <w:rFonts w:cstheme="minorHAnsi"/>
                <w:color w:val="000000"/>
              </w:rPr>
            </w:pPr>
            <w:r w:rsidRPr="00FE04D9">
              <w:rPr>
                <w:rFonts w:cstheme="minorHAnsi"/>
                <w:color w:val="000000"/>
              </w:rPr>
              <w:t>Ph</w:t>
            </w:r>
            <w:r w:rsidRPr="00FE04D9">
              <w:rPr>
                <w:rFonts w:cstheme="minorHAnsi"/>
                <w:color w:val="000000"/>
                <w:vertAlign w:val="subscript"/>
              </w:rPr>
              <w:t>2</w:t>
            </w:r>
            <w:r w:rsidRPr="00FE04D9">
              <w:rPr>
                <w:rFonts w:cstheme="minorHAnsi"/>
                <w:color w:val="000000"/>
              </w:rPr>
              <w:t>CH</w:t>
            </w:r>
          </w:p>
        </w:tc>
        <w:tc>
          <w:tcPr>
            <w:tcW w:w="1440" w:type="dxa"/>
            <w:tcBorders>
              <w:top w:val="single" w:sz="2" w:space="0" w:color="808080" w:themeColor="background1" w:themeShade="80"/>
              <w:left w:val="dashed" w:sz="4" w:space="0" w:color="808080" w:themeColor="background1" w:themeShade="80"/>
              <w:bottom w:val="single" w:sz="2" w:space="0" w:color="808080" w:themeColor="background1" w:themeShade="80"/>
            </w:tcBorders>
            <w:vAlign w:val="center"/>
          </w:tcPr>
          <w:p w14:paraId="12507256" w14:textId="77777777" w:rsidR="00BA0582" w:rsidRPr="00FE04D9" w:rsidRDefault="00BA0582" w:rsidP="00BA0582">
            <w:pPr>
              <w:spacing w:line="240" w:lineRule="auto"/>
              <w:jc w:val="right"/>
              <w:rPr>
                <w:rFonts w:cstheme="minorHAnsi"/>
                <w:color w:val="000000"/>
              </w:rPr>
            </w:pPr>
            <w:r w:rsidRPr="00FE04D9">
              <w:rPr>
                <w:rFonts w:cstheme="minorHAnsi"/>
                <w:color w:val="000000"/>
              </w:rPr>
              <w:t>10</w:t>
            </w:r>
          </w:p>
        </w:tc>
      </w:tr>
      <w:tr w:rsidR="00BA0582" w:rsidRPr="00FE04D9" w14:paraId="696C263E" w14:textId="77777777" w:rsidTr="00BA0582">
        <w:trPr>
          <w:trHeight w:val="317"/>
          <w:jc w:val="center"/>
        </w:trPr>
        <w:tc>
          <w:tcPr>
            <w:tcW w:w="1152" w:type="dxa"/>
            <w:tcBorders>
              <w:top w:val="single" w:sz="2" w:space="0" w:color="808080" w:themeColor="background1" w:themeShade="80"/>
              <w:left w:val="nil"/>
              <w:bottom w:val="single" w:sz="2" w:space="0" w:color="808080" w:themeColor="background1" w:themeShade="80"/>
              <w:right w:val="single" w:sz="12" w:space="0" w:color="auto"/>
            </w:tcBorders>
            <w:shd w:val="clear" w:color="auto" w:fill="auto"/>
            <w:noWrap/>
            <w:vAlign w:val="center"/>
          </w:tcPr>
          <w:p w14:paraId="144D5609" w14:textId="77777777" w:rsidR="00BA0582" w:rsidRPr="00FE04D9" w:rsidRDefault="00BA0582" w:rsidP="00BA0582">
            <w:pPr>
              <w:spacing w:line="240" w:lineRule="auto"/>
              <w:jc w:val="center"/>
              <w:rPr>
                <w:rFonts w:cstheme="minorHAnsi"/>
                <w:color w:val="000000"/>
              </w:rPr>
            </w:pPr>
            <w:r w:rsidRPr="00FE04D9">
              <w:rPr>
                <w:rFonts w:cstheme="minorHAnsi"/>
                <w:color w:val="000000"/>
              </w:rPr>
              <w:t>G</w:t>
            </w:r>
            <w:r w:rsidRPr="00FE04D9">
              <w:rPr>
                <w:rFonts w:cstheme="minorHAnsi"/>
                <w:color w:val="000000"/>
                <w:vertAlign w:val="superscript"/>
              </w:rPr>
              <w:t>e</w:t>
            </w:r>
          </w:p>
        </w:tc>
        <w:tc>
          <w:tcPr>
            <w:tcW w:w="1584" w:type="dxa"/>
            <w:tcBorders>
              <w:top w:val="single" w:sz="2" w:space="0" w:color="808080" w:themeColor="background1" w:themeShade="80"/>
              <w:left w:val="single" w:sz="2"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hideMark/>
          </w:tcPr>
          <w:p w14:paraId="75EA4918" w14:textId="77777777" w:rsidR="00BA0582" w:rsidRPr="00FE04D9" w:rsidRDefault="00BA0582" w:rsidP="00BA0582">
            <w:pPr>
              <w:spacing w:line="240" w:lineRule="auto"/>
              <w:jc w:val="right"/>
              <w:rPr>
                <w:rFonts w:cstheme="minorHAnsi"/>
                <w:color w:val="000000"/>
              </w:rPr>
            </w:pPr>
            <w:r w:rsidRPr="00FE04D9">
              <w:rPr>
                <w:rFonts w:cstheme="minorHAnsi"/>
                <w:color w:val="000000"/>
              </w:rPr>
              <w:t>-</w:t>
            </w:r>
          </w:p>
        </w:tc>
        <w:tc>
          <w:tcPr>
            <w:tcW w:w="1440" w:type="dxa"/>
            <w:tcBorders>
              <w:top w:val="single" w:sz="2" w:space="0" w:color="808080" w:themeColor="background1" w:themeShade="80"/>
              <w:left w:val="dashed" w:sz="4" w:space="0" w:color="808080" w:themeColor="background1" w:themeShade="80"/>
              <w:bottom w:val="single" w:sz="2" w:space="0" w:color="808080" w:themeColor="background1" w:themeShade="80"/>
            </w:tcBorders>
            <w:vAlign w:val="center"/>
          </w:tcPr>
          <w:p w14:paraId="380315E8" w14:textId="77777777" w:rsidR="00BA0582" w:rsidRPr="00FE04D9" w:rsidRDefault="00BA0582" w:rsidP="00BA0582">
            <w:pPr>
              <w:spacing w:line="240" w:lineRule="auto"/>
              <w:jc w:val="right"/>
              <w:rPr>
                <w:rFonts w:cstheme="minorHAnsi"/>
                <w:color w:val="000000"/>
              </w:rPr>
            </w:pPr>
            <w:r w:rsidRPr="00FE04D9">
              <w:rPr>
                <w:rFonts w:cstheme="minorHAnsi"/>
                <w:color w:val="000000"/>
              </w:rPr>
              <w:t>0</w:t>
            </w:r>
          </w:p>
        </w:tc>
      </w:tr>
      <w:tr w:rsidR="00BA0582" w:rsidRPr="00FE04D9" w14:paraId="01E4E160" w14:textId="77777777" w:rsidTr="00BA0582">
        <w:trPr>
          <w:trHeight w:val="317"/>
          <w:jc w:val="center"/>
        </w:trPr>
        <w:tc>
          <w:tcPr>
            <w:tcW w:w="1152" w:type="dxa"/>
            <w:tcBorders>
              <w:top w:val="single" w:sz="2" w:space="0" w:color="808080" w:themeColor="background1" w:themeShade="80"/>
              <w:left w:val="nil"/>
              <w:bottom w:val="single" w:sz="2" w:space="0" w:color="808080" w:themeColor="background1" w:themeShade="80"/>
              <w:right w:val="single" w:sz="12" w:space="0" w:color="auto"/>
            </w:tcBorders>
            <w:shd w:val="clear" w:color="auto" w:fill="auto"/>
            <w:noWrap/>
            <w:vAlign w:val="center"/>
            <w:hideMark/>
          </w:tcPr>
          <w:p w14:paraId="750404DE" w14:textId="77777777" w:rsidR="00BA0582" w:rsidRPr="00FE04D9" w:rsidRDefault="00BA0582" w:rsidP="00BA0582">
            <w:pPr>
              <w:spacing w:line="240" w:lineRule="auto"/>
              <w:jc w:val="center"/>
              <w:rPr>
                <w:rFonts w:cstheme="minorHAnsi"/>
                <w:color w:val="000000"/>
              </w:rPr>
            </w:pPr>
            <w:r w:rsidRPr="00FE04D9">
              <w:rPr>
                <w:rFonts w:cstheme="minorHAnsi"/>
                <w:color w:val="000000"/>
              </w:rPr>
              <w:t>H</w:t>
            </w:r>
          </w:p>
        </w:tc>
        <w:tc>
          <w:tcPr>
            <w:tcW w:w="1584" w:type="dxa"/>
            <w:tcBorders>
              <w:top w:val="single" w:sz="2" w:space="0" w:color="808080" w:themeColor="background1" w:themeShade="80"/>
              <w:left w:val="single" w:sz="2"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hideMark/>
          </w:tcPr>
          <w:p w14:paraId="363BAB84" w14:textId="77777777" w:rsidR="00BA0582" w:rsidRPr="00FE04D9" w:rsidRDefault="00BA0582" w:rsidP="00BA0582">
            <w:pPr>
              <w:spacing w:line="240" w:lineRule="auto"/>
              <w:jc w:val="right"/>
              <w:rPr>
                <w:rFonts w:cstheme="minorHAnsi"/>
                <w:color w:val="000000"/>
              </w:rPr>
            </w:pPr>
            <w:r w:rsidRPr="00FE04D9">
              <w:rPr>
                <w:rFonts w:cstheme="minorHAnsi"/>
                <w:color w:val="000000"/>
              </w:rPr>
              <w:t>Et</w:t>
            </w:r>
          </w:p>
        </w:tc>
        <w:tc>
          <w:tcPr>
            <w:tcW w:w="1440" w:type="dxa"/>
            <w:tcBorders>
              <w:top w:val="single" w:sz="2" w:space="0" w:color="808080" w:themeColor="background1" w:themeShade="80"/>
              <w:left w:val="dashed" w:sz="4" w:space="0" w:color="808080" w:themeColor="background1" w:themeShade="80"/>
              <w:bottom w:val="single" w:sz="2" w:space="0" w:color="808080" w:themeColor="background1" w:themeShade="80"/>
            </w:tcBorders>
            <w:vAlign w:val="center"/>
          </w:tcPr>
          <w:p w14:paraId="2A2FABF7" w14:textId="77777777" w:rsidR="00BA0582" w:rsidRPr="00FE04D9" w:rsidRDefault="00BA0582" w:rsidP="00BA0582">
            <w:pPr>
              <w:spacing w:line="240" w:lineRule="auto"/>
              <w:jc w:val="right"/>
              <w:rPr>
                <w:rFonts w:cstheme="minorHAnsi"/>
                <w:color w:val="000000"/>
              </w:rPr>
            </w:pPr>
            <w:r w:rsidRPr="00FE04D9">
              <w:rPr>
                <w:rFonts w:cstheme="minorHAnsi"/>
                <w:color w:val="000000"/>
              </w:rPr>
              <w:t>5</w:t>
            </w:r>
          </w:p>
        </w:tc>
      </w:tr>
      <w:tr w:rsidR="00BA0582" w:rsidRPr="00FE04D9" w14:paraId="7686553E" w14:textId="77777777" w:rsidTr="00BA0582">
        <w:trPr>
          <w:trHeight w:val="317"/>
          <w:jc w:val="center"/>
        </w:trPr>
        <w:tc>
          <w:tcPr>
            <w:tcW w:w="1152" w:type="dxa"/>
            <w:tcBorders>
              <w:top w:val="single" w:sz="2" w:space="0" w:color="808080" w:themeColor="background1" w:themeShade="80"/>
              <w:left w:val="nil"/>
              <w:bottom w:val="single" w:sz="2" w:space="0" w:color="808080" w:themeColor="background1" w:themeShade="80"/>
              <w:right w:val="single" w:sz="12" w:space="0" w:color="auto"/>
            </w:tcBorders>
            <w:shd w:val="clear" w:color="auto" w:fill="auto"/>
            <w:noWrap/>
            <w:vAlign w:val="center"/>
            <w:hideMark/>
          </w:tcPr>
          <w:p w14:paraId="44A6CDA8" w14:textId="77777777" w:rsidR="00BA0582" w:rsidRPr="00FE04D9" w:rsidRDefault="00BA0582" w:rsidP="00BA0582">
            <w:pPr>
              <w:spacing w:line="240" w:lineRule="auto"/>
              <w:jc w:val="center"/>
              <w:rPr>
                <w:rFonts w:cstheme="minorHAnsi"/>
                <w:color w:val="000000"/>
              </w:rPr>
            </w:pPr>
            <w:r w:rsidRPr="00FE04D9">
              <w:rPr>
                <w:rFonts w:cstheme="minorHAnsi"/>
                <w:color w:val="000000"/>
              </w:rPr>
              <w:t>I</w:t>
            </w:r>
          </w:p>
        </w:tc>
        <w:tc>
          <w:tcPr>
            <w:tcW w:w="1584" w:type="dxa"/>
            <w:tcBorders>
              <w:top w:val="single" w:sz="2" w:space="0" w:color="808080" w:themeColor="background1" w:themeShade="80"/>
              <w:left w:val="single" w:sz="2"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hideMark/>
          </w:tcPr>
          <w:p w14:paraId="4E2C7F33" w14:textId="77777777" w:rsidR="00BA0582" w:rsidRPr="00FE04D9" w:rsidRDefault="00BA0582" w:rsidP="00BA0582">
            <w:pPr>
              <w:spacing w:line="240" w:lineRule="auto"/>
              <w:jc w:val="right"/>
              <w:rPr>
                <w:rFonts w:cstheme="minorHAnsi"/>
                <w:color w:val="000000"/>
              </w:rPr>
            </w:pPr>
            <w:r w:rsidRPr="00FE04D9">
              <w:rPr>
                <w:rFonts w:cstheme="minorHAnsi"/>
                <w:color w:val="000000"/>
              </w:rPr>
              <w:t>PhCH</w:t>
            </w:r>
            <w:r w:rsidRPr="00FE04D9">
              <w:rPr>
                <w:rFonts w:cstheme="minorHAnsi"/>
                <w:color w:val="000000"/>
                <w:vertAlign w:val="subscript"/>
              </w:rPr>
              <w:t>2</w:t>
            </w:r>
          </w:p>
        </w:tc>
        <w:tc>
          <w:tcPr>
            <w:tcW w:w="1440" w:type="dxa"/>
            <w:tcBorders>
              <w:top w:val="single" w:sz="2" w:space="0" w:color="808080" w:themeColor="background1" w:themeShade="80"/>
              <w:left w:val="dashed" w:sz="4" w:space="0" w:color="808080" w:themeColor="background1" w:themeShade="80"/>
              <w:bottom w:val="single" w:sz="2" w:space="0" w:color="808080" w:themeColor="background1" w:themeShade="80"/>
            </w:tcBorders>
            <w:vAlign w:val="center"/>
          </w:tcPr>
          <w:p w14:paraId="1C1897DA" w14:textId="77777777" w:rsidR="00BA0582" w:rsidRPr="00FE04D9" w:rsidRDefault="00BA0582" w:rsidP="00BA0582">
            <w:pPr>
              <w:spacing w:line="240" w:lineRule="auto"/>
              <w:jc w:val="right"/>
              <w:rPr>
                <w:rFonts w:cstheme="minorHAnsi"/>
                <w:color w:val="000000"/>
              </w:rPr>
            </w:pPr>
            <w:r w:rsidRPr="00FE04D9">
              <w:rPr>
                <w:rFonts w:cstheme="minorHAnsi"/>
                <w:color w:val="000000"/>
              </w:rPr>
              <w:t>5</w:t>
            </w:r>
          </w:p>
        </w:tc>
      </w:tr>
      <w:tr w:rsidR="00BA0582" w:rsidRPr="00FE04D9" w14:paraId="746003B0" w14:textId="77777777" w:rsidTr="00BA0582">
        <w:trPr>
          <w:trHeight w:val="317"/>
          <w:jc w:val="center"/>
        </w:trPr>
        <w:tc>
          <w:tcPr>
            <w:tcW w:w="1152" w:type="dxa"/>
            <w:tcBorders>
              <w:top w:val="single" w:sz="2" w:space="0" w:color="808080" w:themeColor="background1" w:themeShade="80"/>
              <w:left w:val="nil"/>
              <w:bottom w:val="single" w:sz="2" w:space="0" w:color="808080" w:themeColor="background1" w:themeShade="80"/>
              <w:right w:val="single" w:sz="12" w:space="0" w:color="auto"/>
            </w:tcBorders>
            <w:shd w:val="clear" w:color="auto" w:fill="auto"/>
            <w:noWrap/>
            <w:vAlign w:val="center"/>
            <w:hideMark/>
          </w:tcPr>
          <w:p w14:paraId="1A811D91" w14:textId="77777777" w:rsidR="00BA0582" w:rsidRPr="00FE04D9" w:rsidRDefault="00BA0582" w:rsidP="00BA0582">
            <w:pPr>
              <w:spacing w:line="240" w:lineRule="auto"/>
              <w:jc w:val="center"/>
              <w:rPr>
                <w:rFonts w:cstheme="minorHAnsi"/>
                <w:color w:val="000000"/>
              </w:rPr>
            </w:pPr>
            <w:r w:rsidRPr="00FE04D9">
              <w:rPr>
                <w:rFonts w:cstheme="minorHAnsi"/>
                <w:color w:val="000000"/>
              </w:rPr>
              <w:t>J</w:t>
            </w:r>
          </w:p>
        </w:tc>
        <w:tc>
          <w:tcPr>
            <w:tcW w:w="1584" w:type="dxa"/>
            <w:tcBorders>
              <w:top w:val="single" w:sz="2" w:space="0" w:color="808080" w:themeColor="background1" w:themeShade="80"/>
              <w:left w:val="single" w:sz="2"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hideMark/>
          </w:tcPr>
          <w:p w14:paraId="665808D5" w14:textId="77777777" w:rsidR="00BA0582" w:rsidRPr="00FE04D9" w:rsidRDefault="00BA0582" w:rsidP="00BA0582">
            <w:pPr>
              <w:spacing w:line="240" w:lineRule="auto"/>
              <w:jc w:val="right"/>
              <w:rPr>
                <w:rFonts w:cstheme="minorHAnsi"/>
                <w:color w:val="000000"/>
              </w:rPr>
            </w:pPr>
            <w:r w:rsidRPr="00FE04D9">
              <w:rPr>
                <w:rFonts w:cstheme="minorHAnsi"/>
                <w:color w:val="000000"/>
              </w:rPr>
              <w:t>PhCHMe</w:t>
            </w:r>
          </w:p>
        </w:tc>
        <w:tc>
          <w:tcPr>
            <w:tcW w:w="1440" w:type="dxa"/>
            <w:tcBorders>
              <w:top w:val="single" w:sz="2" w:space="0" w:color="808080" w:themeColor="background1" w:themeShade="80"/>
              <w:left w:val="dashed" w:sz="4" w:space="0" w:color="808080" w:themeColor="background1" w:themeShade="80"/>
              <w:bottom w:val="single" w:sz="2" w:space="0" w:color="808080" w:themeColor="background1" w:themeShade="80"/>
            </w:tcBorders>
            <w:vAlign w:val="center"/>
          </w:tcPr>
          <w:p w14:paraId="5A57C651" w14:textId="77777777" w:rsidR="00BA0582" w:rsidRPr="00FE04D9" w:rsidRDefault="00BA0582" w:rsidP="00BA0582">
            <w:pPr>
              <w:spacing w:line="240" w:lineRule="auto"/>
              <w:jc w:val="right"/>
              <w:rPr>
                <w:rFonts w:cstheme="minorHAnsi"/>
                <w:color w:val="000000"/>
              </w:rPr>
            </w:pPr>
            <w:r w:rsidRPr="00FE04D9">
              <w:rPr>
                <w:rFonts w:cstheme="minorHAnsi"/>
                <w:color w:val="000000"/>
              </w:rPr>
              <w:t>5</w:t>
            </w:r>
          </w:p>
        </w:tc>
      </w:tr>
      <w:tr w:rsidR="00BA0582" w:rsidRPr="00FE04D9" w14:paraId="159DFF82" w14:textId="77777777" w:rsidTr="00BA0582">
        <w:trPr>
          <w:trHeight w:val="317"/>
          <w:jc w:val="center"/>
        </w:trPr>
        <w:tc>
          <w:tcPr>
            <w:tcW w:w="1152" w:type="dxa"/>
            <w:tcBorders>
              <w:top w:val="single" w:sz="2" w:space="0" w:color="808080" w:themeColor="background1" w:themeShade="80"/>
              <w:left w:val="nil"/>
              <w:bottom w:val="single" w:sz="2" w:space="0" w:color="808080" w:themeColor="background1" w:themeShade="80"/>
              <w:right w:val="single" w:sz="12" w:space="0" w:color="auto"/>
            </w:tcBorders>
            <w:shd w:val="clear" w:color="auto" w:fill="auto"/>
            <w:noWrap/>
            <w:vAlign w:val="center"/>
          </w:tcPr>
          <w:p w14:paraId="227A7738" w14:textId="77777777" w:rsidR="00BA0582" w:rsidRPr="00FE04D9" w:rsidRDefault="00BA0582" w:rsidP="00BA0582">
            <w:pPr>
              <w:spacing w:line="240" w:lineRule="auto"/>
              <w:jc w:val="center"/>
              <w:rPr>
                <w:rFonts w:cstheme="minorHAnsi"/>
                <w:color w:val="000000"/>
              </w:rPr>
            </w:pPr>
            <w:r w:rsidRPr="00FE04D9">
              <w:rPr>
                <w:rFonts w:cstheme="minorHAnsi"/>
                <w:color w:val="000000"/>
              </w:rPr>
              <w:t>K</w:t>
            </w:r>
          </w:p>
        </w:tc>
        <w:tc>
          <w:tcPr>
            <w:tcW w:w="1584" w:type="dxa"/>
            <w:tcBorders>
              <w:top w:val="single" w:sz="2" w:space="0" w:color="808080" w:themeColor="background1" w:themeShade="80"/>
              <w:left w:val="single" w:sz="2"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tcPr>
          <w:p w14:paraId="4F3C519F" w14:textId="77777777" w:rsidR="00BA0582" w:rsidRPr="00FE04D9" w:rsidRDefault="00BA0582" w:rsidP="00BA0582">
            <w:pPr>
              <w:spacing w:line="240" w:lineRule="auto"/>
              <w:jc w:val="right"/>
              <w:rPr>
                <w:rFonts w:cstheme="minorHAnsi"/>
                <w:color w:val="000000"/>
              </w:rPr>
            </w:pPr>
            <w:r w:rsidRPr="00FE04D9">
              <w:rPr>
                <w:rFonts w:cstheme="minorHAnsi"/>
                <w:color w:val="000000"/>
              </w:rPr>
              <w:t>PhCHCHCH</w:t>
            </w:r>
            <w:r w:rsidRPr="00FE04D9">
              <w:rPr>
                <w:rFonts w:cstheme="minorHAnsi"/>
                <w:color w:val="000000"/>
                <w:vertAlign w:val="subscript"/>
              </w:rPr>
              <w:t>2</w:t>
            </w:r>
            <w:r w:rsidRPr="00FE04D9">
              <w:rPr>
                <w:rFonts w:cstheme="minorHAnsi"/>
                <w:color w:val="000000"/>
              </w:rPr>
              <w:t>OH</w:t>
            </w:r>
          </w:p>
        </w:tc>
        <w:tc>
          <w:tcPr>
            <w:tcW w:w="1440" w:type="dxa"/>
            <w:tcBorders>
              <w:top w:val="single" w:sz="2" w:space="0" w:color="808080" w:themeColor="background1" w:themeShade="80"/>
              <w:left w:val="dashed" w:sz="4" w:space="0" w:color="808080" w:themeColor="background1" w:themeShade="80"/>
              <w:bottom w:val="single" w:sz="2" w:space="0" w:color="808080" w:themeColor="background1" w:themeShade="80"/>
            </w:tcBorders>
            <w:vAlign w:val="center"/>
          </w:tcPr>
          <w:p w14:paraId="58141607" w14:textId="77777777" w:rsidR="00BA0582" w:rsidRPr="00FE04D9" w:rsidRDefault="00BA0582" w:rsidP="00BA0582">
            <w:pPr>
              <w:spacing w:line="240" w:lineRule="auto"/>
              <w:jc w:val="right"/>
              <w:rPr>
                <w:rFonts w:cstheme="minorHAnsi"/>
                <w:color w:val="000000"/>
              </w:rPr>
            </w:pPr>
          </w:p>
        </w:tc>
      </w:tr>
      <w:tr w:rsidR="00BA0582" w:rsidRPr="00FE04D9" w14:paraId="1F18F43E" w14:textId="77777777" w:rsidTr="00BA0582">
        <w:trPr>
          <w:trHeight w:val="317"/>
          <w:jc w:val="center"/>
        </w:trPr>
        <w:tc>
          <w:tcPr>
            <w:tcW w:w="4176" w:type="dxa"/>
            <w:gridSpan w:val="3"/>
            <w:tcBorders>
              <w:top w:val="single" w:sz="2" w:space="0" w:color="808080" w:themeColor="background1" w:themeShade="80"/>
              <w:left w:val="nil"/>
              <w:bottom w:val="single" w:sz="2" w:space="0" w:color="808080" w:themeColor="background1" w:themeShade="80"/>
            </w:tcBorders>
            <w:shd w:val="clear" w:color="auto" w:fill="auto"/>
            <w:noWrap/>
          </w:tcPr>
          <w:p w14:paraId="695FE675" w14:textId="00D07676" w:rsidR="00BA0582" w:rsidRPr="00FE04D9" w:rsidRDefault="00BA0582" w:rsidP="00BA0582">
            <w:pPr>
              <w:spacing w:line="240" w:lineRule="auto"/>
              <w:rPr>
                <w:rFonts w:cstheme="minorHAnsi"/>
                <w:color w:val="000000"/>
              </w:rPr>
            </w:pPr>
            <w:r w:rsidRPr="00FE04D9">
              <w:rPr>
                <w:rFonts w:cstheme="minorHAnsi"/>
                <w:color w:val="000000"/>
                <w:sz w:val="18"/>
              </w:rPr>
              <w:t xml:space="preserve">a) with </w:t>
            </w:r>
            <w:r w:rsidRPr="00FE04D9">
              <w:rPr>
                <w:rFonts w:cstheme="minorHAnsi"/>
                <w:b/>
                <w:color w:val="000000"/>
                <w:sz w:val="18"/>
              </w:rPr>
              <w:t>1</w:t>
            </w:r>
            <w:r w:rsidRPr="00FE04D9">
              <w:rPr>
                <w:rFonts w:cstheme="minorHAnsi"/>
                <w:color w:val="000000"/>
                <w:sz w:val="18"/>
              </w:rPr>
              <w:t xml:space="preserve"> (6 µmol, 5 mg) in 0.8 mL </w:t>
            </w:r>
            <w:r w:rsidRPr="00FE04D9">
              <w:rPr>
                <w:rFonts w:cstheme="minorHAnsi"/>
                <w:i/>
                <w:color w:val="000000"/>
                <w:sz w:val="18"/>
              </w:rPr>
              <w:t>d</w:t>
            </w:r>
            <w:r w:rsidRPr="00FE04D9">
              <w:rPr>
                <w:rFonts w:cstheme="minorHAnsi"/>
                <w:i/>
                <w:color w:val="000000"/>
                <w:sz w:val="18"/>
                <w:vertAlign w:val="superscript"/>
              </w:rPr>
              <w:t>6</w:t>
            </w:r>
            <w:r w:rsidRPr="00FE04D9">
              <w:rPr>
                <w:rFonts w:cstheme="minorHAnsi"/>
                <w:color w:val="000000"/>
                <w:sz w:val="18"/>
              </w:rPr>
              <w:t xml:space="preserve">-benzene; b) relative to </w:t>
            </w:r>
            <w:r w:rsidRPr="00FE04D9">
              <w:rPr>
                <w:rFonts w:cstheme="minorHAnsi"/>
                <w:b/>
                <w:color w:val="000000"/>
                <w:sz w:val="18"/>
              </w:rPr>
              <w:t>1</w:t>
            </w:r>
            <w:r w:rsidR="00630CBC">
              <w:rPr>
                <w:rFonts w:cstheme="minorHAnsi"/>
                <w:color w:val="000000"/>
                <w:sz w:val="18"/>
              </w:rPr>
              <w:t>; c) with 1 mmol (26</w:t>
            </w:r>
            <w:r w:rsidRPr="00FE04D9">
              <w:rPr>
                <w:rFonts w:cstheme="minorHAnsi"/>
                <w:color w:val="000000"/>
                <w:sz w:val="18"/>
              </w:rPr>
              <w:t xml:space="preserve"> mg) of PPh</w:t>
            </w:r>
            <w:r w:rsidRPr="00FE04D9">
              <w:rPr>
                <w:rFonts w:cstheme="minorHAnsi"/>
                <w:color w:val="000000"/>
                <w:sz w:val="18"/>
                <w:vertAlign w:val="subscript"/>
              </w:rPr>
              <w:t>3</w:t>
            </w:r>
            <w:r w:rsidRPr="00FE04D9">
              <w:rPr>
                <w:rFonts w:cstheme="minorHAnsi"/>
                <w:color w:val="000000"/>
                <w:sz w:val="18"/>
              </w:rPr>
              <w:t xml:space="preserve">; d) catalyst </w:t>
            </w:r>
            <w:r w:rsidRPr="00FE04D9">
              <w:rPr>
                <w:rFonts w:cstheme="minorHAnsi"/>
                <w:b/>
                <w:color w:val="000000"/>
                <w:sz w:val="18"/>
              </w:rPr>
              <w:t>1</w:t>
            </w:r>
            <w:r w:rsidRPr="00FE04D9">
              <w:rPr>
                <w:rFonts w:cstheme="minorHAnsi"/>
                <w:color w:val="000000"/>
                <w:sz w:val="18"/>
              </w:rPr>
              <w:t xml:space="preserve"> was left in solvent 3 days for ligand di</w:t>
            </w:r>
            <w:r w:rsidR="00630CBC">
              <w:rPr>
                <w:rFonts w:cstheme="minorHAnsi"/>
                <w:color w:val="000000"/>
                <w:sz w:val="18"/>
              </w:rPr>
              <w:t>ssociation; e) with 1 mmol (28</w:t>
            </w:r>
            <w:r w:rsidRPr="00FE04D9">
              <w:rPr>
                <w:rFonts w:cstheme="minorHAnsi"/>
                <w:color w:val="000000"/>
                <w:sz w:val="18"/>
              </w:rPr>
              <w:t xml:space="preserve"> mg) of OPPh</w:t>
            </w:r>
            <w:r w:rsidRPr="00FE04D9">
              <w:rPr>
                <w:rFonts w:cstheme="minorHAnsi"/>
                <w:color w:val="000000"/>
                <w:sz w:val="18"/>
                <w:vertAlign w:val="subscript"/>
              </w:rPr>
              <w:t>3</w:t>
            </w:r>
            <w:r w:rsidRPr="00FE04D9">
              <w:rPr>
                <w:rFonts w:cstheme="minorHAnsi"/>
                <w:color w:val="000000"/>
                <w:sz w:val="18"/>
              </w:rPr>
              <w:t xml:space="preserve"> </w:t>
            </w:r>
          </w:p>
        </w:tc>
      </w:tr>
    </w:tbl>
    <w:p w14:paraId="1B5EAAEB" w14:textId="77777777" w:rsidR="00BA0582" w:rsidRPr="006D3317" w:rsidRDefault="00BA0582" w:rsidP="00FE04D9"/>
    <w:p w14:paraId="19CFBC49" w14:textId="77777777" w:rsidR="00BA0582" w:rsidRPr="00E62A66" w:rsidRDefault="00BA0582" w:rsidP="00B5501C">
      <w:pPr>
        <w:pStyle w:val="ListParagraph"/>
        <w:numPr>
          <w:ilvl w:val="1"/>
          <w:numId w:val="38"/>
        </w:numPr>
        <w:spacing w:after="160"/>
        <w:jc w:val="both"/>
      </w:pPr>
      <w:r w:rsidRPr="002745A4">
        <w:rPr>
          <w:vertAlign w:val="superscript"/>
        </w:rPr>
        <w:t>13</w:t>
      </w:r>
      <w:r>
        <w:t>C NMR</w:t>
      </w:r>
      <w:r w:rsidRPr="00E62A66">
        <w:t xml:space="preserve"> signals</w:t>
      </w:r>
      <w:r>
        <w:t xml:space="preserve"> in </w:t>
      </w:r>
      <w:r w:rsidRPr="000D29FB">
        <w:rPr>
          <w:b/>
        </w:rPr>
        <w:t>B</w:t>
      </w:r>
      <w:r w:rsidRPr="000D29FB">
        <w:rPr>
          <w:b/>
          <w:vertAlign w:val="subscript"/>
        </w:rPr>
        <w:t>2</w:t>
      </w:r>
      <w:r w:rsidRPr="00E62A66">
        <w:t xml:space="preserve">: </w:t>
      </w:r>
    </w:p>
    <w:p w14:paraId="5176F7DD" w14:textId="6A163791" w:rsidR="00BA0582" w:rsidRPr="00DE200B" w:rsidRDefault="00630CBC" w:rsidP="00FE04D9">
      <w:pPr>
        <w:jc w:val="both"/>
      </w:pPr>
      <w:r>
        <w:t>30, 76*, 127*, 127*, 127.5</w:t>
      </w:r>
      <w:r w:rsidR="00BA0582" w:rsidRPr="00DE200B">
        <w:t xml:space="preserve"> </w:t>
      </w:r>
      <w:r w:rsidR="00BA0582" w:rsidRPr="00DE200B">
        <w:rPr>
          <w:i/>
        </w:rPr>
        <w:t>d(</w:t>
      </w:r>
      <w:r w:rsidR="00DE200B" w:rsidRPr="00DE200B">
        <w:rPr>
          <w:i/>
        </w:rPr>
        <w:t>J</w:t>
      </w:r>
      <w:r w:rsidR="00DE200B" w:rsidRPr="00DE200B">
        <w:rPr>
          <w:i/>
          <w:vertAlign w:val="subscript"/>
        </w:rPr>
        <w:t>CP</w:t>
      </w:r>
      <w:r w:rsidR="00BA0582" w:rsidRPr="00DE200B">
        <w:rPr>
          <w:i/>
        </w:rPr>
        <w:t>&lt;2</w:t>
      </w:r>
      <w:r w:rsidR="00DE200B" w:rsidRPr="00DE200B">
        <w:rPr>
          <w:i/>
        </w:rPr>
        <w:t xml:space="preserve"> Hz</w:t>
      </w:r>
      <w:r w:rsidR="00BA0582" w:rsidRPr="00DE200B">
        <w:rPr>
          <w:i/>
        </w:rPr>
        <w:t>)</w:t>
      </w:r>
      <w:r>
        <w:t>, 128</w:t>
      </w:r>
      <w:r w:rsidR="00BA0582" w:rsidRPr="00DE200B">
        <w:t xml:space="preserve"> </w:t>
      </w:r>
      <w:r w:rsidR="00BA0582" w:rsidRPr="00DE200B">
        <w:rPr>
          <w:i/>
        </w:rPr>
        <w:t>d(</w:t>
      </w:r>
      <w:r w:rsidR="00DE200B" w:rsidRPr="00DE200B">
        <w:rPr>
          <w:i/>
        </w:rPr>
        <w:t>J</w:t>
      </w:r>
      <w:r w:rsidR="00DE200B" w:rsidRPr="00DE200B">
        <w:rPr>
          <w:i/>
          <w:vertAlign w:val="subscript"/>
        </w:rPr>
        <w:t>CP</w:t>
      </w:r>
      <w:r w:rsidR="00BA0582" w:rsidRPr="00DE200B">
        <w:rPr>
          <w:i/>
        </w:rPr>
        <w:t>&lt;2</w:t>
      </w:r>
      <w:r w:rsidR="00DE200B" w:rsidRPr="00DE200B">
        <w:rPr>
          <w:i/>
        </w:rPr>
        <w:t xml:space="preserve"> Hz</w:t>
      </w:r>
      <w:r w:rsidR="00BA0582" w:rsidRPr="00DE200B">
        <w:rPr>
          <w:i/>
        </w:rPr>
        <w:t>)</w:t>
      </w:r>
      <w:r>
        <w:t>, 128</w:t>
      </w:r>
      <w:r w:rsidR="00BA0582" w:rsidRPr="00DE200B">
        <w:t xml:space="preserve"> </w:t>
      </w:r>
      <w:r w:rsidR="00BA0582" w:rsidRPr="00DE200B">
        <w:rPr>
          <w:i/>
        </w:rPr>
        <w:t>d(</w:t>
      </w:r>
      <w:r w:rsidR="00DE200B" w:rsidRPr="00DE200B">
        <w:rPr>
          <w:i/>
        </w:rPr>
        <w:t>J</w:t>
      </w:r>
      <w:r w:rsidR="00DE200B" w:rsidRPr="00DE200B">
        <w:rPr>
          <w:i/>
          <w:vertAlign w:val="subscript"/>
        </w:rPr>
        <w:t>CP</w:t>
      </w:r>
      <w:r w:rsidR="00DE200B">
        <w:rPr>
          <w:i/>
        </w:rPr>
        <w:t>=</w:t>
      </w:r>
      <w:r w:rsidR="00BA0582" w:rsidRPr="00DE200B">
        <w:rPr>
          <w:i/>
        </w:rPr>
        <w:t>2.29</w:t>
      </w:r>
      <w:r w:rsidR="00DE200B">
        <w:rPr>
          <w:i/>
        </w:rPr>
        <w:t xml:space="preserve"> Hz</w:t>
      </w:r>
      <w:r w:rsidR="00BA0582" w:rsidRPr="00DE200B">
        <w:rPr>
          <w:i/>
        </w:rPr>
        <w:t>)</w:t>
      </w:r>
      <w:r>
        <w:t>, 128.2, 128.3</w:t>
      </w:r>
      <w:r w:rsidR="00BA0582" w:rsidRPr="00DE200B">
        <w:t>, 128.35</w:t>
      </w:r>
      <w:r>
        <w:t>, 128.4</w:t>
      </w:r>
      <w:r w:rsidR="00BA0582" w:rsidRPr="00DE200B">
        <w:t xml:space="preserve">, 128.45 </w:t>
      </w:r>
      <w:r w:rsidR="00BA0582" w:rsidRPr="00DE200B">
        <w:rPr>
          <w:i/>
        </w:rPr>
        <w:t>d(</w:t>
      </w:r>
      <w:r w:rsidR="00DE200B" w:rsidRPr="00DE200B">
        <w:rPr>
          <w:i/>
        </w:rPr>
        <w:t>J</w:t>
      </w:r>
      <w:r w:rsidR="00DE200B" w:rsidRPr="00DE200B">
        <w:rPr>
          <w:i/>
          <w:vertAlign w:val="subscript"/>
        </w:rPr>
        <w:t>CP</w:t>
      </w:r>
      <w:r w:rsidR="00BA0582" w:rsidRPr="00DE200B">
        <w:rPr>
          <w:i/>
        </w:rPr>
        <w:t>~2</w:t>
      </w:r>
      <w:r w:rsidR="00DE200B">
        <w:rPr>
          <w:i/>
        </w:rPr>
        <w:t xml:space="preserve"> Hz</w:t>
      </w:r>
      <w:r w:rsidR="00BA0582" w:rsidRPr="00DE200B">
        <w:rPr>
          <w:i/>
        </w:rPr>
        <w:t>)</w:t>
      </w:r>
      <w:r>
        <w:t>, 128.5, 128.6</w:t>
      </w:r>
      <w:r w:rsidR="00BA0582" w:rsidRPr="00DE200B">
        <w:t xml:space="preserve"> </w:t>
      </w:r>
      <w:r w:rsidR="00BA0582" w:rsidRPr="00DE200B">
        <w:rPr>
          <w:i/>
        </w:rPr>
        <w:t>d(</w:t>
      </w:r>
      <w:r w:rsidR="00DE200B" w:rsidRPr="00DE200B">
        <w:rPr>
          <w:i/>
        </w:rPr>
        <w:t>J</w:t>
      </w:r>
      <w:r w:rsidR="00DE200B" w:rsidRPr="00DE200B">
        <w:rPr>
          <w:i/>
          <w:vertAlign w:val="subscript"/>
        </w:rPr>
        <w:t>CP</w:t>
      </w:r>
      <w:r w:rsidR="00DE200B">
        <w:rPr>
          <w:i/>
        </w:rPr>
        <w:t>=</w:t>
      </w:r>
      <w:r w:rsidR="00BA0582" w:rsidRPr="00DE200B">
        <w:rPr>
          <w:i/>
        </w:rPr>
        <w:t>5.34</w:t>
      </w:r>
      <w:r w:rsidR="00DE200B">
        <w:rPr>
          <w:i/>
        </w:rPr>
        <w:t xml:space="preserve"> Hz</w:t>
      </w:r>
      <w:r w:rsidR="00BA0582" w:rsidRPr="00DE200B">
        <w:rPr>
          <w:i/>
        </w:rPr>
        <w:t>)</w:t>
      </w:r>
      <w:r>
        <w:t>, 128.7, 128.8, 128.9, 129.1*, 129.4, 129.7, 131.1</w:t>
      </w:r>
      <w:r w:rsidR="00BA0582" w:rsidRPr="00DE200B">
        <w:t xml:space="preserve"> </w:t>
      </w:r>
      <w:r w:rsidR="00BA0582" w:rsidRPr="00DE200B">
        <w:rPr>
          <w:i/>
        </w:rPr>
        <w:t>d(</w:t>
      </w:r>
      <w:r w:rsidR="00DE200B" w:rsidRPr="00DE200B">
        <w:rPr>
          <w:i/>
        </w:rPr>
        <w:t>J</w:t>
      </w:r>
      <w:r w:rsidR="00DE200B" w:rsidRPr="00DE200B">
        <w:rPr>
          <w:i/>
          <w:vertAlign w:val="subscript"/>
        </w:rPr>
        <w:t>CP</w:t>
      </w:r>
      <w:r w:rsidR="00DE200B">
        <w:rPr>
          <w:i/>
        </w:rPr>
        <w:t>=</w:t>
      </w:r>
      <w:r w:rsidR="00BA0582" w:rsidRPr="00DE200B">
        <w:rPr>
          <w:i/>
        </w:rPr>
        <w:t>2.29</w:t>
      </w:r>
      <w:r w:rsidR="00DE200B">
        <w:rPr>
          <w:i/>
        </w:rPr>
        <w:t>Hz</w:t>
      </w:r>
      <w:r w:rsidR="00BA0582" w:rsidRPr="00DE200B">
        <w:rPr>
          <w:i/>
        </w:rPr>
        <w:t>)</w:t>
      </w:r>
      <w:r>
        <w:t>, 131.2</w:t>
      </w:r>
      <w:r w:rsidR="00BA0582" w:rsidRPr="00DE200B">
        <w:t xml:space="preserve"> </w:t>
      </w:r>
      <w:r w:rsidR="00BA0582" w:rsidRPr="00DE200B">
        <w:rPr>
          <w:i/>
        </w:rPr>
        <w:t>d(</w:t>
      </w:r>
      <w:r w:rsidR="00DE200B" w:rsidRPr="00DE200B">
        <w:rPr>
          <w:i/>
        </w:rPr>
        <w:t>J</w:t>
      </w:r>
      <w:r w:rsidR="00DE200B" w:rsidRPr="00DE200B">
        <w:rPr>
          <w:i/>
          <w:vertAlign w:val="subscript"/>
        </w:rPr>
        <w:t>CP</w:t>
      </w:r>
      <w:r w:rsidR="00BA0582" w:rsidRPr="00DE200B">
        <w:rPr>
          <w:i/>
        </w:rPr>
        <w:t>~2</w:t>
      </w:r>
      <w:r w:rsidR="00DE200B">
        <w:rPr>
          <w:i/>
        </w:rPr>
        <w:t xml:space="preserve"> Hz</w:t>
      </w:r>
      <w:r w:rsidR="00BA0582" w:rsidRPr="00DE200B">
        <w:rPr>
          <w:i/>
        </w:rPr>
        <w:t>)</w:t>
      </w:r>
      <w:r>
        <w:t>, 132</w:t>
      </w:r>
      <w:r w:rsidR="00BA0582" w:rsidRPr="00DE200B">
        <w:t xml:space="preserve"> </w:t>
      </w:r>
      <w:r w:rsidR="00BA0582" w:rsidRPr="00DE200B">
        <w:rPr>
          <w:i/>
        </w:rPr>
        <w:t>d(</w:t>
      </w:r>
      <w:r w:rsidR="00DE200B" w:rsidRPr="00DE200B">
        <w:rPr>
          <w:i/>
        </w:rPr>
        <w:t>J</w:t>
      </w:r>
      <w:r w:rsidR="00DE200B" w:rsidRPr="00DE200B">
        <w:rPr>
          <w:i/>
          <w:vertAlign w:val="subscript"/>
        </w:rPr>
        <w:t>CP</w:t>
      </w:r>
      <w:r w:rsidR="00DE200B">
        <w:rPr>
          <w:i/>
        </w:rPr>
        <w:t>=</w:t>
      </w:r>
      <w:r w:rsidR="00BA0582" w:rsidRPr="00DE200B">
        <w:rPr>
          <w:i/>
        </w:rPr>
        <w:t>9.92</w:t>
      </w:r>
      <w:r w:rsidR="00DE200B">
        <w:rPr>
          <w:i/>
        </w:rPr>
        <w:t xml:space="preserve"> Hz</w:t>
      </w:r>
      <w:r w:rsidR="00BA0582" w:rsidRPr="00DE200B">
        <w:rPr>
          <w:i/>
        </w:rPr>
        <w:t>)</w:t>
      </w:r>
      <w:r>
        <w:t>, 133.1</w:t>
      </w:r>
      <w:r w:rsidR="00BA0582" w:rsidRPr="00DE200B">
        <w:t xml:space="preserve"> </w:t>
      </w:r>
      <w:r w:rsidR="00BA0582" w:rsidRPr="00DE200B">
        <w:rPr>
          <w:i/>
        </w:rPr>
        <w:t>d(</w:t>
      </w:r>
      <w:r w:rsidR="00DE200B" w:rsidRPr="00DE200B">
        <w:rPr>
          <w:i/>
        </w:rPr>
        <w:t>J</w:t>
      </w:r>
      <w:r w:rsidR="00DE200B" w:rsidRPr="00DE200B">
        <w:rPr>
          <w:i/>
          <w:vertAlign w:val="subscript"/>
        </w:rPr>
        <w:t>CP</w:t>
      </w:r>
      <w:r w:rsidR="00DE200B">
        <w:rPr>
          <w:i/>
        </w:rPr>
        <w:t>=</w:t>
      </w:r>
      <w:r w:rsidR="00BA0582" w:rsidRPr="00DE200B">
        <w:rPr>
          <w:i/>
        </w:rPr>
        <w:t>2.29</w:t>
      </w:r>
      <w:r w:rsidR="00DE200B">
        <w:rPr>
          <w:i/>
        </w:rPr>
        <w:t xml:space="preserve"> Hz</w:t>
      </w:r>
      <w:r w:rsidR="00BA0582" w:rsidRPr="00DE200B">
        <w:rPr>
          <w:i/>
        </w:rPr>
        <w:t>)</w:t>
      </w:r>
      <w:r>
        <w:t>, 133.7, 133.9</w:t>
      </w:r>
      <w:r w:rsidR="00BA0582" w:rsidRPr="00DE200B">
        <w:t xml:space="preserve"> </w:t>
      </w:r>
      <w:r w:rsidR="00BA0582" w:rsidRPr="00DE200B">
        <w:rPr>
          <w:i/>
        </w:rPr>
        <w:t>d(</w:t>
      </w:r>
      <w:r w:rsidR="00DE200B" w:rsidRPr="00DE200B">
        <w:rPr>
          <w:i/>
        </w:rPr>
        <w:t>J</w:t>
      </w:r>
      <w:r w:rsidR="00DE200B" w:rsidRPr="00DE200B">
        <w:rPr>
          <w:i/>
          <w:vertAlign w:val="subscript"/>
        </w:rPr>
        <w:t>CP</w:t>
      </w:r>
      <w:r w:rsidR="00DE200B">
        <w:rPr>
          <w:i/>
        </w:rPr>
        <w:t>=</w:t>
      </w:r>
      <w:r w:rsidR="00BA0582" w:rsidRPr="00DE200B">
        <w:rPr>
          <w:i/>
        </w:rPr>
        <w:t>19.84</w:t>
      </w:r>
      <w:r w:rsidR="00DE200B">
        <w:rPr>
          <w:i/>
        </w:rPr>
        <w:t xml:space="preserve"> Hz</w:t>
      </w:r>
      <w:r w:rsidR="00BA0582" w:rsidRPr="00DE200B">
        <w:rPr>
          <w:i/>
        </w:rPr>
        <w:t>)</w:t>
      </w:r>
      <w:r>
        <w:t>, 134.0</w:t>
      </w:r>
      <w:r w:rsidR="00BA0582" w:rsidRPr="00DE200B">
        <w:t xml:space="preserve"> </w:t>
      </w:r>
      <w:r w:rsidR="00BA0582" w:rsidRPr="00DE200B">
        <w:rPr>
          <w:i/>
        </w:rPr>
        <w:t>d(</w:t>
      </w:r>
      <w:r w:rsidR="00DE200B" w:rsidRPr="00DE200B">
        <w:rPr>
          <w:i/>
        </w:rPr>
        <w:t>J</w:t>
      </w:r>
      <w:r w:rsidR="00DE200B" w:rsidRPr="00DE200B">
        <w:rPr>
          <w:i/>
          <w:vertAlign w:val="subscript"/>
        </w:rPr>
        <w:t>CP</w:t>
      </w:r>
      <w:r w:rsidR="00DE200B">
        <w:rPr>
          <w:i/>
        </w:rPr>
        <w:t>=</w:t>
      </w:r>
      <w:r w:rsidR="00BA0582" w:rsidRPr="00DE200B">
        <w:rPr>
          <w:i/>
        </w:rPr>
        <w:t>11.44</w:t>
      </w:r>
      <w:r w:rsidR="00DE200B">
        <w:rPr>
          <w:i/>
        </w:rPr>
        <w:t xml:space="preserve"> Hz</w:t>
      </w:r>
      <w:r w:rsidR="00BA0582" w:rsidRPr="00DE200B">
        <w:rPr>
          <w:i/>
        </w:rPr>
        <w:t>)</w:t>
      </w:r>
      <w:r>
        <w:t>, 134.4</w:t>
      </w:r>
      <w:r w:rsidR="00BA0582" w:rsidRPr="00DE200B">
        <w:t xml:space="preserve"> </w:t>
      </w:r>
      <w:r w:rsidR="00BA0582" w:rsidRPr="00DE200B">
        <w:rPr>
          <w:i/>
        </w:rPr>
        <w:t>d(</w:t>
      </w:r>
      <w:r w:rsidR="00DE200B" w:rsidRPr="00DE200B">
        <w:rPr>
          <w:i/>
        </w:rPr>
        <w:t>J</w:t>
      </w:r>
      <w:r w:rsidR="00DE200B" w:rsidRPr="00DE200B">
        <w:rPr>
          <w:i/>
          <w:vertAlign w:val="subscript"/>
        </w:rPr>
        <w:t>CP</w:t>
      </w:r>
      <w:r w:rsidR="00DE200B">
        <w:rPr>
          <w:i/>
        </w:rPr>
        <w:t>=</w:t>
      </w:r>
      <w:r w:rsidR="00BA0582" w:rsidRPr="00DE200B">
        <w:rPr>
          <w:i/>
        </w:rPr>
        <w:t>9.16</w:t>
      </w:r>
      <w:r w:rsidR="00DE200B">
        <w:rPr>
          <w:i/>
        </w:rPr>
        <w:t xml:space="preserve"> Hz</w:t>
      </w:r>
      <w:r w:rsidR="00BA0582" w:rsidRPr="00DE200B">
        <w:rPr>
          <w:i/>
        </w:rPr>
        <w:t>)</w:t>
      </w:r>
      <w:r>
        <w:t>, 135</w:t>
      </w:r>
      <w:r w:rsidR="00BA0582" w:rsidRPr="00DE200B">
        <w:t xml:space="preserve"> </w:t>
      </w:r>
      <w:r w:rsidR="00BA0582" w:rsidRPr="00DE200B">
        <w:rPr>
          <w:i/>
        </w:rPr>
        <w:t>t(</w:t>
      </w:r>
      <w:r w:rsidR="00DE200B" w:rsidRPr="00DE200B">
        <w:rPr>
          <w:i/>
        </w:rPr>
        <w:t>J</w:t>
      </w:r>
      <w:r w:rsidR="00DE200B" w:rsidRPr="00DE200B">
        <w:rPr>
          <w:i/>
          <w:vertAlign w:val="subscript"/>
        </w:rPr>
        <w:t>CP</w:t>
      </w:r>
      <w:r w:rsidR="00DE200B">
        <w:rPr>
          <w:i/>
        </w:rPr>
        <w:t>=</w:t>
      </w:r>
      <w:r w:rsidR="00BA0582" w:rsidRPr="00DE200B">
        <w:rPr>
          <w:i/>
        </w:rPr>
        <w:t>4.4</w:t>
      </w:r>
      <w:r w:rsidR="00DE200B">
        <w:rPr>
          <w:i/>
        </w:rPr>
        <w:t xml:space="preserve"> Hz</w:t>
      </w:r>
      <w:r w:rsidR="00BA0582" w:rsidRPr="00DE200B">
        <w:rPr>
          <w:i/>
        </w:rPr>
        <w:t>)</w:t>
      </w:r>
      <w:r>
        <w:t>, 144.6</w:t>
      </w:r>
      <w:r w:rsidR="00BA0582" w:rsidRPr="00DE200B">
        <w:t>*</w:t>
      </w:r>
    </w:p>
    <w:p w14:paraId="5C0FADBA" w14:textId="77777777" w:rsidR="00BA0582" w:rsidRPr="00E62A66" w:rsidRDefault="00BA0582" w:rsidP="00FE04D9">
      <w:pPr>
        <w:jc w:val="both"/>
      </w:pPr>
      <w:r w:rsidRPr="00E62A66">
        <w:t>ROH = *</w:t>
      </w:r>
    </w:p>
    <w:p w14:paraId="6088AD9B" w14:textId="77777777" w:rsidR="00BA0582" w:rsidRPr="00AC5F68" w:rsidRDefault="00BA0582" w:rsidP="00FE04D9">
      <w:pPr>
        <w:jc w:val="both"/>
        <w:rPr>
          <w:lang w:val="fr-FR"/>
        </w:rPr>
      </w:pPr>
    </w:p>
    <w:tbl>
      <w:tblPr>
        <w:tblpPr w:leftFromText="180" w:rightFromText="180" w:vertAnchor="text" w:horzAnchor="margin" w:tblpXSpec="center" w:tblpY="-155"/>
        <w:tblW w:w="4993" w:type="pct"/>
        <w:tblLayout w:type="fixed"/>
        <w:tblLook w:val="04A0" w:firstRow="1" w:lastRow="0" w:firstColumn="1" w:lastColumn="0" w:noHBand="0" w:noVBand="1"/>
      </w:tblPr>
      <w:tblGrid>
        <w:gridCol w:w="1538"/>
        <w:gridCol w:w="977"/>
        <w:gridCol w:w="36"/>
        <w:gridCol w:w="597"/>
        <w:gridCol w:w="1011"/>
        <w:gridCol w:w="969"/>
        <w:gridCol w:w="44"/>
        <w:gridCol w:w="585"/>
        <w:gridCol w:w="1083"/>
        <w:gridCol w:w="589"/>
        <w:gridCol w:w="1055"/>
      </w:tblGrid>
      <w:tr w:rsidR="00BA0582" w:rsidRPr="000C6900" w14:paraId="5F0CCA1B" w14:textId="77777777" w:rsidTr="00DE200B">
        <w:trPr>
          <w:trHeight w:val="330"/>
        </w:trPr>
        <w:tc>
          <w:tcPr>
            <w:tcW w:w="906" w:type="pct"/>
            <w:vMerge w:val="restart"/>
            <w:tcBorders>
              <w:top w:val="nil"/>
              <w:left w:val="nil"/>
              <w:bottom w:val="single" w:sz="4" w:space="0" w:color="000000"/>
              <w:right w:val="single" w:sz="12" w:space="0" w:color="auto"/>
            </w:tcBorders>
            <w:shd w:val="clear" w:color="auto" w:fill="auto"/>
            <w:noWrap/>
            <w:vAlign w:val="center"/>
            <w:hideMark/>
          </w:tcPr>
          <w:p w14:paraId="767908DE" w14:textId="77777777" w:rsidR="00BA0582" w:rsidRPr="000C6900" w:rsidRDefault="00BA0582" w:rsidP="00BA0582">
            <w:pPr>
              <w:spacing w:line="240" w:lineRule="auto"/>
              <w:rPr>
                <w:rFonts w:cstheme="minorHAnsi"/>
                <w:color w:val="000000"/>
                <w:sz w:val="18"/>
                <w:szCs w:val="20"/>
              </w:rPr>
            </w:pPr>
            <w:r w:rsidRPr="000C6900">
              <w:rPr>
                <w:rFonts w:cstheme="minorHAnsi"/>
                <w:color w:val="000000"/>
                <w:sz w:val="18"/>
                <w:szCs w:val="20"/>
              </w:rPr>
              <w:t>ROH</w:t>
            </w:r>
          </w:p>
        </w:tc>
        <w:tc>
          <w:tcPr>
            <w:tcW w:w="949" w:type="pct"/>
            <w:gridSpan w:val="3"/>
            <w:tcBorders>
              <w:top w:val="nil"/>
              <w:left w:val="single" w:sz="12" w:space="0" w:color="auto"/>
              <w:bottom w:val="dashed" w:sz="4" w:space="0" w:color="808080" w:themeColor="background1" w:themeShade="80"/>
              <w:right w:val="single" w:sz="4" w:space="0" w:color="808080"/>
            </w:tcBorders>
            <w:shd w:val="clear" w:color="auto" w:fill="auto"/>
            <w:noWrap/>
            <w:vAlign w:val="center"/>
            <w:hideMark/>
          </w:tcPr>
          <w:p w14:paraId="1C562CA1" w14:textId="77777777" w:rsidR="00BA0582" w:rsidRPr="000C6900" w:rsidRDefault="00BA0582" w:rsidP="00BA0582">
            <w:pPr>
              <w:spacing w:line="240" w:lineRule="auto"/>
              <w:rPr>
                <w:rFonts w:cstheme="minorHAnsi"/>
                <w:color w:val="000000"/>
                <w:sz w:val="18"/>
                <w:szCs w:val="20"/>
              </w:rPr>
            </w:pPr>
            <w:r w:rsidRPr="000C6900">
              <w:rPr>
                <w:rFonts w:cstheme="minorHAnsi"/>
                <w:color w:val="000000"/>
                <w:sz w:val="18"/>
                <w:szCs w:val="20"/>
              </w:rPr>
              <w:t>EtOH</w:t>
            </w:r>
          </w:p>
        </w:tc>
        <w:tc>
          <w:tcPr>
            <w:tcW w:w="596" w:type="pct"/>
            <w:tcBorders>
              <w:top w:val="nil"/>
              <w:left w:val="nil"/>
              <w:bottom w:val="dashed" w:sz="4" w:space="0" w:color="808080" w:themeColor="background1" w:themeShade="80"/>
              <w:right w:val="single" w:sz="4" w:space="0" w:color="808080"/>
            </w:tcBorders>
            <w:shd w:val="clear" w:color="auto" w:fill="auto"/>
            <w:noWrap/>
            <w:vAlign w:val="center"/>
            <w:hideMark/>
          </w:tcPr>
          <w:p w14:paraId="30FAD942" w14:textId="77777777" w:rsidR="00BA0582" w:rsidRPr="000C6900" w:rsidRDefault="00BA0582" w:rsidP="00BA0582">
            <w:pPr>
              <w:spacing w:line="240" w:lineRule="auto"/>
              <w:rPr>
                <w:rFonts w:cstheme="minorHAnsi"/>
                <w:color w:val="000000"/>
                <w:sz w:val="18"/>
                <w:szCs w:val="20"/>
              </w:rPr>
            </w:pPr>
            <w:r w:rsidRPr="000C6900">
              <w:rPr>
                <w:rFonts w:cstheme="minorHAnsi"/>
                <w:color w:val="000000"/>
                <w:sz w:val="18"/>
                <w:szCs w:val="20"/>
              </w:rPr>
              <w:t>PhCH</w:t>
            </w:r>
            <w:r w:rsidRPr="000C6900">
              <w:rPr>
                <w:rFonts w:cstheme="minorHAnsi"/>
                <w:color w:val="000000"/>
                <w:sz w:val="18"/>
                <w:szCs w:val="20"/>
                <w:vertAlign w:val="subscript"/>
              </w:rPr>
              <w:t>2</w:t>
            </w:r>
            <w:r w:rsidRPr="000C6900">
              <w:rPr>
                <w:rFonts w:cstheme="minorHAnsi"/>
                <w:color w:val="000000"/>
                <w:sz w:val="18"/>
                <w:szCs w:val="20"/>
              </w:rPr>
              <w:t>OH</w:t>
            </w:r>
          </w:p>
        </w:tc>
        <w:tc>
          <w:tcPr>
            <w:tcW w:w="942" w:type="pct"/>
            <w:gridSpan w:val="3"/>
            <w:tcBorders>
              <w:top w:val="nil"/>
              <w:left w:val="nil"/>
              <w:bottom w:val="dashed" w:sz="4" w:space="0" w:color="808080" w:themeColor="background1" w:themeShade="80"/>
              <w:right w:val="single" w:sz="4" w:space="0" w:color="808080"/>
            </w:tcBorders>
            <w:shd w:val="clear" w:color="auto" w:fill="auto"/>
            <w:noWrap/>
            <w:vAlign w:val="center"/>
            <w:hideMark/>
          </w:tcPr>
          <w:p w14:paraId="226D785E" w14:textId="77777777" w:rsidR="00BA0582" w:rsidRPr="000C6900" w:rsidRDefault="00BA0582" w:rsidP="00BA0582">
            <w:pPr>
              <w:spacing w:line="240" w:lineRule="auto"/>
              <w:rPr>
                <w:rFonts w:cstheme="minorHAnsi"/>
                <w:color w:val="000000"/>
                <w:sz w:val="18"/>
                <w:szCs w:val="20"/>
              </w:rPr>
            </w:pPr>
            <w:r w:rsidRPr="000C6900">
              <w:rPr>
                <w:rFonts w:cstheme="minorHAnsi"/>
                <w:color w:val="000000"/>
                <w:sz w:val="18"/>
                <w:szCs w:val="20"/>
              </w:rPr>
              <w:t>PhCH(OH)CH</w:t>
            </w:r>
            <w:r w:rsidRPr="000C6900">
              <w:rPr>
                <w:rFonts w:cstheme="minorHAnsi"/>
                <w:color w:val="000000"/>
                <w:sz w:val="18"/>
                <w:szCs w:val="20"/>
                <w:vertAlign w:val="subscript"/>
              </w:rPr>
              <w:t>3</w:t>
            </w:r>
          </w:p>
        </w:tc>
        <w:tc>
          <w:tcPr>
            <w:tcW w:w="984" w:type="pct"/>
            <w:gridSpan w:val="2"/>
            <w:tcBorders>
              <w:top w:val="nil"/>
              <w:left w:val="nil"/>
              <w:bottom w:val="dashed" w:sz="4" w:space="0" w:color="808080" w:themeColor="background1" w:themeShade="80"/>
              <w:right w:val="single" w:sz="4" w:space="0" w:color="808080"/>
            </w:tcBorders>
            <w:shd w:val="clear" w:color="auto" w:fill="auto"/>
            <w:noWrap/>
            <w:vAlign w:val="center"/>
            <w:hideMark/>
          </w:tcPr>
          <w:p w14:paraId="5CAF7B40" w14:textId="77777777" w:rsidR="000C6900" w:rsidRPr="000C6900" w:rsidRDefault="00BA0582" w:rsidP="00BA0582">
            <w:pPr>
              <w:spacing w:line="240" w:lineRule="auto"/>
              <w:rPr>
                <w:rFonts w:cstheme="minorHAnsi"/>
                <w:color w:val="000000"/>
                <w:sz w:val="18"/>
                <w:szCs w:val="20"/>
              </w:rPr>
            </w:pPr>
            <w:r w:rsidRPr="000C6900">
              <w:rPr>
                <w:rFonts w:cstheme="minorHAnsi"/>
                <w:color w:val="000000"/>
                <w:sz w:val="18"/>
                <w:szCs w:val="20"/>
              </w:rPr>
              <w:t>PhCHCHCH</w:t>
            </w:r>
            <w:r w:rsidRPr="000C6900">
              <w:rPr>
                <w:rFonts w:cstheme="minorHAnsi"/>
                <w:color w:val="000000"/>
                <w:sz w:val="18"/>
                <w:szCs w:val="20"/>
                <w:vertAlign w:val="subscript"/>
              </w:rPr>
              <w:t>2</w:t>
            </w:r>
            <w:r w:rsidRPr="000C6900">
              <w:rPr>
                <w:rFonts w:cstheme="minorHAnsi"/>
                <w:color w:val="000000"/>
                <w:sz w:val="18"/>
                <w:szCs w:val="20"/>
              </w:rPr>
              <w:t>OH</w:t>
            </w:r>
          </w:p>
        </w:tc>
        <w:tc>
          <w:tcPr>
            <w:tcW w:w="622" w:type="pct"/>
            <w:tcBorders>
              <w:top w:val="nil"/>
              <w:left w:val="nil"/>
              <w:bottom w:val="dashed" w:sz="4" w:space="0" w:color="808080" w:themeColor="background1" w:themeShade="80"/>
            </w:tcBorders>
            <w:shd w:val="clear" w:color="auto" w:fill="auto"/>
            <w:noWrap/>
            <w:vAlign w:val="center"/>
            <w:hideMark/>
          </w:tcPr>
          <w:p w14:paraId="53181C91" w14:textId="77777777" w:rsidR="00BA0582" w:rsidRPr="000C6900" w:rsidRDefault="00BA0582" w:rsidP="00BA0582">
            <w:pPr>
              <w:spacing w:line="240" w:lineRule="auto"/>
              <w:rPr>
                <w:rFonts w:cstheme="minorHAnsi"/>
                <w:color w:val="000000"/>
                <w:sz w:val="18"/>
                <w:szCs w:val="20"/>
              </w:rPr>
            </w:pPr>
            <w:r w:rsidRPr="000C6900">
              <w:rPr>
                <w:rFonts w:cstheme="minorHAnsi"/>
                <w:color w:val="000000"/>
                <w:sz w:val="18"/>
                <w:szCs w:val="20"/>
              </w:rPr>
              <w:t>Ph</w:t>
            </w:r>
            <w:r w:rsidRPr="000C6900">
              <w:rPr>
                <w:rFonts w:cstheme="minorHAnsi"/>
                <w:color w:val="000000"/>
                <w:sz w:val="18"/>
                <w:szCs w:val="20"/>
                <w:vertAlign w:val="subscript"/>
              </w:rPr>
              <w:t>2</w:t>
            </w:r>
            <w:r w:rsidRPr="000C6900">
              <w:rPr>
                <w:rFonts w:cstheme="minorHAnsi"/>
                <w:color w:val="000000"/>
                <w:sz w:val="18"/>
                <w:szCs w:val="20"/>
              </w:rPr>
              <w:t>CH(OH)</w:t>
            </w:r>
          </w:p>
        </w:tc>
      </w:tr>
      <w:tr w:rsidR="00DE200B" w:rsidRPr="000C6900" w14:paraId="48975356" w14:textId="77777777" w:rsidTr="00DE200B">
        <w:trPr>
          <w:trHeight w:val="290"/>
        </w:trPr>
        <w:tc>
          <w:tcPr>
            <w:tcW w:w="906" w:type="pct"/>
            <w:vMerge/>
            <w:tcBorders>
              <w:top w:val="nil"/>
              <w:left w:val="nil"/>
              <w:bottom w:val="single" w:sz="12" w:space="0" w:color="auto"/>
              <w:right w:val="single" w:sz="12" w:space="0" w:color="auto"/>
            </w:tcBorders>
            <w:vAlign w:val="center"/>
            <w:hideMark/>
          </w:tcPr>
          <w:p w14:paraId="08B24913" w14:textId="77777777" w:rsidR="00BA0582" w:rsidRPr="000C6900" w:rsidRDefault="00BA0582" w:rsidP="00BA0582">
            <w:pPr>
              <w:spacing w:line="240" w:lineRule="auto"/>
              <w:rPr>
                <w:rFonts w:cstheme="minorHAnsi"/>
                <w:color w:val="000000"/>
                <w:sz w:val="18"/>
                <w:szCs w:val="20"/>
              </w:rPr>
            </w:pPr>
          </w:p>
        </w:tc>
        <w:tc>
          <w:tcPr>
            <w:tcW w:w="576" w:type="pct"/>
            <w:tcBorders>
              <w:top w:val="dashed" w:sz="4" w:space="0" w:color="808080" w:themeColor="background1" w:themeShade="80"/>
              <w:left w:val="single" w:sz="12" w:space="0" w:color="auto"/>
              <w:bottom w:val="single" w:sz="12" w:space="0" w:color="auto"/>
              <w:right w:val="nil"/>
            </w:tcBorders>
            <w:shd w:val="clear" w:color="auto" w:fill="auto"/>
            <w:noWrap/>
            <w:vAlign w:val="center"/>
            <w:hideMark/>
          </w:tcPr>
          <w:p w14:paraId="3AAA1A85" w14:textId="77777777" w:rsidR="00BA0582" w:rsidRPr="000C6900" w:rsidRDefault="00BA0582" w:rsidP="00BA0582">
            <w:pPr>
              <w:spacing w:line="240" w:lineRule="auto"/>
              <w:rPr>
                <w:rFonts w:cstheme="minorHAnsi"/>
                <w:color w:val="000000"/>
                <w:sz w:val="18"/>
                <w:szCs w:val="20"/>
              </w:rPr>
            </w:pPr>
            <w:r w:rsidRPr="000C6900">
              <w:rPr>
                <w:rFonts w:cstheme="minorHAnsi"/>
                <w:color w:val="000000"/>
                <w:sz w:val="18"/>
                <w:szCs w:val="20"/>
              </w:rPr>
              <w:t>Shift (ppm)</w:t>
            </w:r>
          </w:p>
        </w:tc>
        <w:tc>
          <w:tcPr>
            <w:tcW w:w="373" w:type="pct"/>
            <w:gridSpan w:val="2"/>
            <w:tcBorders>
              <w:top w:val="dashed" w:sz="4" w:space="0" w:color="808080" w:themeColor="background1" w:themeShade="80"/>
              <w:left w:val="nil"/>
              <w:bottom w:val="single" w:sz="12" w:space="0" w:color="auto"/>
              <w:right w:val="single" w:sz="4" w:space="0" w:color="808080"/>
            </w:tcBorders>
            <w:shd w:val="clear" w:color="auto" w:fill="auto"/>
            <w:noWrap/>
            <w:vAlign w:val="center"/>
            <w:hideMark/>
          </w:tcPr>
          <w:p w14:paraId="2AC83822" w14:textId="77777777" w:rsidR="00BA0582" w:rsidRPr="000C6900" w:rsidRDefault="00BA0582" w:rsidP="00BA0582">
            <w:pPr>
              <w:spacing w:line="240" w:lineRule="auto"/>
              <w:rPr>
                <w:rFonts w:cstheme="minorHAnsi"/>
                <w:color w:val="000000"/>
                <w:sz w:val="18"/>
                <w:szCs w:val="20"/>
              </w:rPr>
            </w:pPr>
            <w:r w:rsidRPr="000C6900">
              <w:rPr>
                <w:rFonts w:cstheme="minorHAnsi"/>
                <w:color w:val="000000"/>
                <w:sz w:val="18"/>
                <w:szCs w:val="20"/>
              </w:rPr>
              <w:t>J</w:t>
            </w:r>
            <w:r w:rsidR="00662CEC">
              <w:rPr>
                <w:rFonts w:cstheme="minorHAnsi"/>
                <w:color w:val="000000"/>
                <w:sz w:val="18"/>
                <w:szCs w:val="20"/>
              </w:rPr>
              <w:t>(Hz</w:t>
            </w:r>
            <w:r w:rsidRPr="000C6900">
              <w:rPr>
                <w:rFonts w:cstheme="minorHAnsi"/>
                <w:color w:val="000000"/>
                <w:sz w:val="18"/>
                <w:szCs w:val="20"/>
              </w:rPr>
              <w:t>)</w:t>
            </w:r>
          </w:p>
        </w:tc>
        <w:tc>
          <w:tcPr>
            <w:tcW w:w="596" w:type="pct"/>
            <w:tcBorders>
              <w:top w:val="dashed" w:sz="4" w:space="0" w:color="808080" w:themeColor="background1" w:themeShade="80"/>
              <w:left w:val="nil"/>
              <w:bottom w:val="single" w:sz="12" w:space="0" w:color="auto"/>
              <w:right w:val="single" w:sz="4" w:space="0" w:color="808080"/>
            </w:tcBorders>
            <w:shd w:val="clear" w:color="auto" w:fill="auto"/>
            <w:noWrap/>
            <w:vAlign w:val="center"/>
            <w:hideMark/>
          </w:tcPr>
          <w:p w14:paraId="5E1E45B2" w14:textId="77777777" w:rsidR="00BA0582" w:rsidRPr="000C6900" w:rsidRDefault="00BA0582" w:rsidP="00BA0582">
            <w:pPr>
              <w:spacing w:line="240" w:lineRule="auto"/>
              <w:rPr>
                <w:rFonts w:cstheme="minorHAnsi"/>
                <w:color w:val="000000"/>
                <w:sz w:val="18"/>
                <w:szCs w:val="20"/>
              </w:rPr>
            </w:pPr>
            <w:r w:rsidRPr="000C6900">
              <w:rPr>
                <w:rFonts w:cstheme="minorHAnsi"/>
                <w:color w:val="000000"/>
                <w:sz w:val="18"/>
                <w:szCs w:val="20"/>
              </w:rPr>
              <w:t>Shift (ppm)</w:t>
            </w:r>
          </w:p>
        </w:tc>
        <w:tc>
          <w:tcPr>
            <w:tcW w:w="571" w:type="pct"/>
            <w:tcBorders>
              <w:top w:val="dashed" w:sz="4" w:space="0" w:color="808080" w:themeColor="background1" w:themeShade="80"/>
              <w:left w:val="nil"/>
              <w:bottom w:val="single" w:sz="12" w:space="0" w:color="auto"/>
              <w:right w:val="nil"/>
            </w:tcBorders>
            <w:shd w:val="clear" w:color="auto" w:fill="auto"/>
            <w:noWrap/>
            <w:vAlign w:val="center"/>
            <w:hideMark/>
          </w:tcPr>
          <w:p w14:paraId="4A64933B" w14:textId="77777777" w:rsidR="00BA0582" w:rsidRPr="000C6900" w:rsidRDefault="00BA0582" w:rsidP="00BA0582">
            <w:pPr>
              <w:spacing w:line="240" w:lineRule="auto"/>
              <w:rPr>
                <w:rFonts w:cstheme="minorHAnsi"/>
                <w:color w:val="000000"/>
                <w:sz w:val="18"/>
                <w:szCs w:val="20"/>
              </w:rPr>
            </w:pPr>
            <w:r w:rsidRPr="000C6900">
              <w:rPr>
                <w:rFonts w:cstheme="minorHAnsi"/>
                <w:color w:val="000000"/>
                <w:sz w:val="18"/>
                <w:szCs w:val="20"/>
              </w:rPr>
              <w:t>Shift (ppm)</w:t>
            </w:r>
          </w:p>
        </w:tc>
        <w:tc>
          <w:tcPr>
            <w:tcW w:w="371" w:type="pct"/>
            <w:gridSpan w:val="2"/>
            <w:tcBorders>
              <w:top w:val="dashed" w:sz="4" w:space="0" w:color="808080" w:themeColor="background1" w:themeShade="80"/>
              <w:left w:val="nil"/>
              <w:bottom w:val="single" w:sz="12" w:space="0" w:color="auto"/>
              <w:right w:val="single" w:sz="4" w:space="0" w:color="808080"/>
            </w:tcBorders>
            <w:shd w:val="clear" w:color="auto" w:fill="auto"/>
            <w:noWrap/>
            <w:vAlign w:val="center"/>
            <w:hideMark/>
          </w:tcPr>
          <w:p w14:paraId="0F7128E9" w14:textId="77777777" w:rsidR="00BA0582" w:rsidRPr="000C6900" w:rsidRDefault="00BA0582" w:rsidP="00BA0582">
            <w:pPr>
              <w:spacing w:line="240" w:lineRule="auto"/>
              <w:rPr>
                <w:rFonts w:cstheme="minorHAnsi"/>
                <w:color w:val="000000"/>
                <w:sz w:val="18"/>
                <w:szCs w:val="20"/>
              </w:rPr>
            </w:pPr>
            <w:r w:rsidRPr="000C6900">
              <w:rPr>
                <w:rFonts w:cstheme="minorHAnsi"/>
                <w:color w:val="000000"/>
                <w:sz w:val="18"/>
                <w:szCs w:val="20"/>
              </w:rPr>
              <w:t>J(Hz)</w:t>
            </w:r>
          </w:p>
        </w:tc>
        <w:tc>
          <w:tcPr>
            <w:tcW w:w="638" w:type="pct"/>
            <w:tcBorders>
              <w:top w:val="dashed" w:sz="4" w:space="0" w:color="808080" w:themeColor="background1" w:themeShade="80"/>
              <w:left w:val="nil"/>
              <w:bottom w:val="single" w:sz="12" w:space="0" w:color="auto"/>
              <w:right w:val="nil"/>
            </w:tcBorders>
            <w:shd w:val="clear" w:color="auto" w:fill="auto"/>
            <w:noWrap/>
            <w:vAlign w:val="center"/>
            <w:hideMark/>
          </w:tcPr>
          <w:p w14:paraId="033B2A65" w14:textId="77777777" w:rsidR="00BA0582" w:rsidRPr="000C6900" w:rsidRDefault="00BA0582" w:rsidP="00BA0582">
            <w:pPr>
              <w:spacing w:line="240" w:lineRule="auto"/>
              <w:rPr>
                <w:rFonts w:cstheme="minorHAnsi"/>
                <w:color w:val="000000"/>
                <w:sz w:val="18"/>
                <w:szCs w:val="20"/>
              </w:rPr>
            </w:pPr>
            <w:r w:rsidRPr="000C6900">
              <w:rPr>
                <w:rFonts w:cstheme="minorHAnsi"/>
                <w:color w:val="000000"/>
                <w:sz w:val="18"/>
                <w:szCs w:val="20"/>
              </w:rPr>
              <w:t>Shift (ppm)</w:t>
            </w:r>
          </w:p>
        </w:tc>
        <w:tc>
          <w:tcPr>
            <w:tcW w:w="347" w:type="pct"/>
            <w:tcBorders>
              <w:top w:val="dashed" w:sz="4" w:space="0" w:color="808080" w:themeColor="background1" w:themeShade="80"/>
              <w:left w:val="nil"/>
              <w:bottom w:val="single" w:sz="12" w:space="0" w:color="auto"/>
              <w:right w:val="single" w:sz="4" w:space="0" w:color="808080"/>
            </w:tcBorders>
            <w:shd w:val="clear" w:color="auto" w:fill="auto"/>
            <w:noWrap/>
            <w:vAlign w:val="center"/>
            <w:hideMark/>
          </w:tcPr>
          <w:p w14:paraId="0FD61D91" w14:textId="77777777" w:rsidR="00DE200B" w:rsidRDefault="00BA0582" w:rsidP="00BA0582">
            <w:pPr>
              <w:spacing w:line="240" w:lineRule="auto"/>
              <w:rPr>
                <w:rFonts w:cstheme="minorHAnsi"/>
                <w:color w:val="000000"/>
                <w:sz w:val="18"/>
                <w:szCs w:val="20"/>
              </w:rPr>
            </w:pPr>
            <w:r w:rsidRPr="000C6900">
              <w:rPr>
                <w:rFonts w:cstheme="minorHAnsi"/>
                <w:color w:val="000000"/>
                <w:sz w:val="18"/>
                <w:szCs w:val="20"/>
              </w:rPr>
              <w:t>J</w:t>
            </w:r>
          </w:p>
          <w:p w14:paraId="2438F1FC" w14:textId="77777777" w:rsidR="00BA0582" w:rsidRPr="000C6900" w:rsidRDefault="00BA0582" w:rsidP="00BA0582">
            <w:pPr>
              <w:spacing w:line="240" w:lineRule="auto"/>
              <w:rPr>
                <w:rFonts w:cstheme="minorHAnsi"/>
                <w:color w:val="000000"/>
                <w:sz w:val="18"/>
                <w:szCs w:val="20"/>
              </w:rPr>
            </w:pPr>
            <w:r w:rsidRPr="000C6900">
              <w:rPr>
                <w:rFonts w:cstheme="minorHAnsi"/>
                <w:color w:val="000000"/>
                <w:sz w:val="18"/>
                <w:szCs w:val="20"/>
              </w:rPr>
              <w:t>(Hz)</w:t>
            </w:r>
          </w:p>
        </w:tc>
        <w:tc>
          <w:tcPr>
            <w:tcW w:w="622" w:type="pct"/>
            <w:tcBorders>
              <w:top w:val="dashed" w:sz="4" w:space="0" w:color="808080" w:themeColor="background1" w:themeShade="80"/>
              <w:left w:val="nil"/>
              <w:bottom w:val="single" w:sz="12" w:space="0" w:color="auto"/>
            </w:tcBorders>
            <w:shd w:val="clear" w:color="auto" w:fill="auto"/>
            <w:noWrap/>
            <w:vAlign w:val="center"/>
            <w:hideMark/>
          </w:tcPr>
          <w:p w14:paraId="37A824C4" w14:textId="77777777" w:rsidR="00BA0582" w:rsidRPr="000C6900" w:rsidRDefault="00BA0582" w:rsidP="00BA0582">
            <w:pPr>
              <w:spacing w:line="240" w:lineRule="auto"/>
              <w:rPr>
                <w:rFonts w:cstheme="minorHAnsi"/>
                <w:color w:val="000000"/>
                <w:sz w:val="18"/>
                <w:szCs w:val="20"/>
              </w:rPr>
            </w:pPr>
            <w:r w:rsidRPr="000C6900">
              <w:rPr>
                <w:rFonts w:cstheme="minorHAnsi"/>
                <w:color w:val="000000"/>
                <w:sz w:val="18"/>
                <w:szCs w:val="20"/>
              </w:rPr>
              <w:t>Shift (ppm)</w:t>
            </w:r>
          </w:p>
        </w:tc>
      </w:tr>
      <w:tr w:rsidR="00DE200B" w:rsidRPr="000C6900" w14:paraId="69561955" w14:textId="77777777" w:rsidTr="00DE200B">
        <w:trPr>
          <w:trHeight w:val="910"/>
        </w:trPr>
        <w:tc>
          <w:tcPr>
            <w:tcW w:w="906" w:type="pct"/>
            <w:tcBorders>
              <w:top w:val="single" w:sz="12" w:space="0" w:color="auto"/>
              <w:left w:val="nil"/>
              <w:bottom w:val="single" w:sz="4" w:space="0" w:color="808080"/>
              <w:right w:val="single" w:sz="12" w:space="0" w:color="auto"/>
            </w:tcBorders>
            <w:shd w:val="clear" w:color="auto" w:fill="auto"/>
            <w:noWrap/>
            <w:vAlign w:val="center"/>
            <w:hideMark/>
          </w:tcPr>
          <w:p w14:paraId="7064E5CD" w14:textId="77777777" w:rsidR="00BA0582" w:rsidRPr="000C6900" w:rsidRDefault="00BA0582" w:rsidP="00BA0582">
            <w:pPr>
              <w:spacing w:line="240" w:lineRule="auto"/>
              <w:rPr>
                <w:rFonts w:cstheme="minorHAnsi"/>
                <w:color w:val="000000"/>
                <w:sz w:val="18"/>
                <w:szCs w:val="20"/>
              </w:rPr>
            </w:pPr>
            <w:r w:rsidRPr="000C6900">
              <w:rPr>
                <w:rFonts w:cstheme="minorHAnsi"/>
                <w:color w:val="000000"/>
                <w:sz w:val="18"/>
                <w:szCs w:val="20"/>
              </w:rPr>
              <w:t>Free ROH</w:t>
            </w:r>
          </w:p>
        </w:tc>
        <w:tc>
          <w:tcPr>
            <w:tcW w:w="597" w:type="pct"/>
            <w:gridSpan w:val="2"/>
            <w:tcBorders>
              <w:top w:val="single" w:sz="12" w:space="0" w:color="auto"/>
              <w:left w:val="single" w:sz="12" w:space="0" w:color="auto"/>
              <w:bottom w:val="single" w:sz="4" w:space="0" w:color="808080"/>
              <w:right w:val="nil"/>
            </w:tcBorders>
            <w:shd w:val="clear" w:color="auto" w:fill="auto"/>
            <w:hideMark/>
          </w:tcPr>
          <w:p w14:paraId="69D0E853" w14:textId="626B1EB0" w:rsidR="00BA0582" w:rsidRPr="000C6900" w:rsidRDefault="00630CBC" w:rsidP="00BA0582">
            <w:pPr>
              <w:spacing w:line="240" w:lineRule="auto"/>
              <w:rPr>
                <w:rFonts w:cstheme="minorHAnsi"/>
                <w:color w:val="000000"/>
                <w:sz w:val="18"/>
                <w:szCs w:val="20"/>
              </w:rPr>
            </w:pPr>
            <w:r>
              <w:rPr>
                <w:rFonts w:cstheme="minorHAnsi"/>
                <w:color w:val="000000"/>
                <w:sz w:val="18"/>
                <w:szCs w:val="20"/>
              </w:rPr>
              <w:t>3.3</w:t>
            </w:r>
            <w:r w:rsidR="00BA0582" w:rsidRPr="000C6900">
              <w:rPr>
                <w:rFonts w:cstheme="minorHAnsi"/>
                <w:color w:val="000000"/>
                <w:sz w:val="18"/>
                <w:szCs w:val="20"/>
              </w:rPr>
              <w:t xml:space="preserve"> q CH</w:t>
            </w:r>
            <w:r w:rsidR="00BA0582" w:rsidRPr="000C6900">
              <w:rPr>
                <w:rFonts w:cstheme="minorHAnsi"/>
                <w:color w:val="000000"/>
                <w:sz w:val="18"/>
                <w:szCs w:val="20"/>
                <w:vertAlign w:val="subscript"/>
              </w:rPr>
              <w:t>2</w:t>
            </w:r>
            <w:r w:rsidR="00BA0582" w:rsidRPr="000C6900">
              <w:rPr>
                <w:rFonts w:cstheme="minorHAnsi"/>
                <w:color w:val="000000"/>
                <w:sz w:val="18"/>
                <w:szCs w:val="20"/>
              </w:rPr>
              <w:t>,</w:t>
            </w:r>
          </w:p>
          <w:p w14:paraId="0E6DA5ED" w14:textId="0B1D8491" w:rsidR="00BA0582" w:rsidRPr="000C6900" w:rsidRDefault="00630CBC" w:rsidP="00BA0582">
            <w:pPr>
              <w:spacing w:line="240" w:lineRule="auto"/>
              <w:rPr>
                <w:rFonts w:cstheme="minorHAnsi"/>
                <w:color w:val="000000"/>
                <w:sz w:val="18"/>
                <w:szCs w:val="20"/>
              </w:rPr>
            </w:pPr>
            <w:r>
              <w:rPr>
                <w:rFonts w:cstheme="minorHAnsi"/>
                <w:color w:val="000000"/>
                <w:sz w:val="18"/>
                <w:szCs w:val="20"/>
              </w:rPr>
              <w:t>0.</w:t>
            </w:r>
            <w:r w:rsidR="00BA0582" w:rsidRPr="000C6900">
              <w:rPr>
                <w:rFonts w:cstheme="minorHAnsi"/>
                <w:color w:val="000000"/>
                <w:sz w:val="18"/>
                <w:szCs w:val="20"/>
              </w:rPr>
              <w:t>9 t CH</w:t>
            </w:r>
            <w:r w:rsidR="00BA0582" w:rsidRPr="000C6900">
              <w:rPr>
                <w:rFonts w:cstheme="minorHAnsi"/>
                <w:color w:val="000000"/>
                <w:sz w:val="18"/>
                <w:szCs w:val="20"/>
                <w:vertAlign w:val="subscript"/>
              </w:rPr>
              <w:t>3</w:t>
            </w:r>
          </w:p>
        </w:tc>
        <w:tc>
          <w:tcPr>
            <w:tcW w:w="352" w:type="pct"/>
            <w:tcBorders>
              <w:top w:val="single" w:sz="12" w:space="0" w:color="auto"/>
              <w:left w:val="nil"/>
              <w:bottom w:val="single" w:sz="4" w:space="0" w:color="808080"/>
              <w:right w:val="single" w:sz="4" w:space="0" w:color="808080"/>
            </w:tcBorders>
            <w:shd w:val="clear" w:color="auto" w:fill="auto"/>
            <w:noWrap/>
            <w:hideMark/>
          </w:tcPr>
          <w:p w14:paraId="1F832C8C" w14:textId="77777777" w:rsidR="00BA0582" w:rsidRPr="000C6900" w:rsidRDefault="00BA0582" w:rsidP="00BA0582">
            <w:pPr>
              <w:spacing w:line="240" w:lineRule="auto"/>
              <w:rPr>
                <w:rFonts w:cstheme="minorHAnsi"/>
                <w:color w:val="000000"/>
                <w:sz w:val="18"/>
                <w:szCs w:val="20"/>
              </w:rPr>
            </w:pPr>
            <w:r w:rsidRPr="000C6900">
              <w:rPr>
                <w:rFonts w:cstheme="minorHAnsi"/>
                <w:color w:val="000000"/>
                <w:sz w:val="18"/>
                <w:szCs w:val="20"/>
              </w:rPr>
              <w:t>6.99</w:t>
            </w:r>
          </w:p>
        </w:tc>
        <w:tc>
          <w:tcPr>
            <w:tcW w:w="596" w:type="pct"/>
            <w:tcBorders>
              <w:top w:val="single" w:sz="12" w:space="0" w:color="auto"/>
              <w:left w:val="nil"/>
              <w:bottom w:val="single" w:sz="4" w:space="0" w:color="808080"/>
              <w:right w:val="single" w:sz="4" w:space="0" w:color="808080"/>
            </w:tcBorders>
            <w:shd w:val="clear" w:color="auto" w:fill="auto"/>
            <w:hideMark/>
          </w:tcPr>
          <w:p w14:paraId="0650BA39" w14:textId="210564D7" w:rsidR="00BA0582" w:rsidRPr="000C6900" w:rsidRDefault="00FD2A1C" w:rsidP="00BA0582">
            <w:pPr>
              <w:spacing w:line="240" w:lineRule="auto"/>
              <w:rPr>
                <w:rFonts w:cstheme="minorHAnsi"/>
                <w:color w:val="000000"/>
                <w:sz w:val="18"/>
                <w:szCs w:val="20"/>
              </w:rPr>
            </w:pPr>
            <w:r>
              <w:rPr>
                <w:rFonts w:cstheme="minorHAnsi"/>
                <w:color w:val="000000"/>
                <w:sz w:val="18"/>
                <w:szCs w:val="20"/>
              </w:rPr>
              <w:t>4.3</w:t>
            </w:r>
            <w:r w:rsidR="00BA0582" w:rsidRPr="000C6900">
              <w:rPr>
                <w:rFonts w:cstheme="minorHAnsi"/>
                <w:color w:val="000000"/>
                <w:sz w:val="18"/>
                <w:szCs w:val="20"/>
              </w:rPr>
              <w:t xml:space="preserve"> s CH</w:t>
            </w:r>
            <w:r w:rsidR="00BA0582" w:rsidRPr="000C6900">
              <w:rPr>
                <w:rFonts w:cstheme="minorHAnsi"/>
                <w:color w:val="000000"/>
                <w:sz w:val="18"/>
                <w:szCs w:val="20"/>
                <w:vertAlign w:val="subscript"/>
              </w:rPr>
              <w:t>2</w:t>
            </w:r>
          </w:p>
        </w:tc>
        <w:tc>
          <w:tcPr>
            <w:tcW w:w="597" w:type="pct"/>
            <w:gridSpan w:val="2"/>
            <w:tcBorders>
              <w:top w:val="single" w:sz="12" w:space="0" w:color="auto"/>
              <w:left w:val="nil"/>
              <w:bottom w:val="single" w:sz="4" w:space="0" w:color="808080"/>
              <w:right w:val="nil"/>
            </w:tcBorders>
            <w:shd w:val="clear" w:color="auto" w:fill="auto"/>
            <w:hideMark/>
          </w:tcPr>
          <w:p w14:paraId="6204DB7F" w14:textId="12ECA3E3" w:rsidR="00BA0582" w:rsidRPr="000C6900" w:rsidRDefault="00FD2A1C" w:rsidP="00BA0582">
            <w:pPr>
              <w:spacing w:line="240" w:lineRule="auto"/>
              <w:rPr>
                <w:rFonts w:cstheme="minorHAnsi"/>
                <w:color w:val="000000"/>
                <w:sz w:val="18"/>
                <w:szCs w:val="20"/>
              </w:rPr>
            </w:pPr>
            <w:r>
              <w:rPr>
                <w:rFonts w:cstheme="minorHAnsi"/>
                <w:color w:val="000000"/>
                <w:sz w:val="18"/>
                <w:szCs w:val="20"/>
              </w:rPr>
              <w:t>4.5</w:t>
            </w:r>
            <w:r w:rsidR="00BA0582" w:rsidRPr="000C6900">
              <w:rPr>
                <w:rFonts w:cstheme="minorHAnsi"/>
                <w:color w:val="000000"/>
                <w:sz w:val="18"/>
                <w:szCs w:val="20"/>
              </w:rPr>
              <w:t xml:space="preserve"> q CH,</w:t>
            </w:r>
          </w:p>
          <w:p w14:paraId="6F657937" w14:textId="18C3D639" w:rsidR="00BA0582" w:rsidRPr="000C6900" w:rsidRDefault="00FD2A1C" w:rsidP="00BA0582">
            <w:pPr>
              <w:spacing w:line="240" w:lineRule="auto"/>
              <w:rPr>
                <w:rFonts w:cstheme="minorHAnsi"/>
                <w:color w:val="000000"/>
                <w:sz w:val="18"/>
                <w:szCs w:val="20"/>
              </w:rPr>
            </w:pPr>
            <w:r>
              <w:rPr>
                <w:rFonts w:cstheme="minorHAnsi"/>
                <w:color w:val="000000"/>
                <w:sz w:val="18"/>
                <w:szCs w:val="20"/>
              </w:rPr>
              <w:t>1.2</w:t>
            </w:r>
            <w:r w:rsidR="00BA0582" w:rsidRPr="000C6900">
              <w:rPr>
                <w:rFonts w:cstheme="minorHAnsi"/>
                <w:color w:val="000000"/>
                <w:sz w:val="18"/>
                <w:szCs w:val="20"/>
              </w:rPr>
              <w:t xml:space="preserve"> d CH</w:t>
            </w:r>
            <w:r w:rsidR="00BA0582" w:rsidRPr="000C6900">
              <w:rPr>
                <w:rFonts w:cstheme="minorHAnsi"/>
                <w:color w:val="000000"/>
                <w:sz w:val="18"/>
                <w:szCs w:val="20"/>
                <w:vertAlign w:val="subscript"/>
              </w:rPr>
              <w:t>3</w:t>
            </w:r>
          </w:p>
        </w:tc>
        <w:tc>
          <w:tcPr>
            <w:tcW w:w="345" w:type="pct"/>
            <w:tcBorders>
              <w:top w:val="single" w:sz="12" w:space="0" w:color="auto"/>
              <w:left w:val="nil"/>
              <w:bottom w:val="single" w:sz="4" w:space="0" w:color="808080"/>
              <w:right w:val="single" w:sz="4" w:space="0" w:color="808080"/>
            </w:tcBorders>
            <w:shd w:val="clear" w:color="auto" w:fill="auto"/>
            <w:noWrap/>
            <w:hideMark/>
          </w:tcPr>
          <w:p w14:paraId="22E82A45" w14:textId="77777777" w:rsidR="00BA0582" w:rsidRPr="000C6900" w:rsidRDefault="00BA0582" w:rsidP="00BA0582">
            <w:pPr>
              <w:spacing w:line="240" w:lineRule="auto"/>
              <w:rPr>
                <w:rFonts w:cstheme="minorHAnsi"/>
                <w:color w:val="000000"/>
                <w:sz w:val="18"/>
                <w:szCs w:val="20"/>
              </w:rPr>
            </w:pPr>
            <w:r w:rsidRPr="000C6900">
              <w:rPr>
                <w:rFonts w:cstheme="minorHAnsi"/>
                <w:color w:val="000000"/>
                <w:sz w:val="18"/>
                <w:szCs w:val="20"/>
              </w:rPr>
              <w:t>6.41</w:t>
            </w:r>
          </w:p>
        </w:tc>
        <w:tc>
          <w:tcPr>
            <w:tcW w:w="638" w:type="pct"/>
            <w:tcBorders>
              <w:top w:val="single" w:sz="12" w:space="0" w:color="auto"/>
              <w:left w:val="nil"/>
              <w:bottom w:val="single" w:sz="4" w:space="0" w:color="808080"/>
              <w:right w:val="nil"/>
            </w:tcBorders>
            <w:shd w:val="clear" w:color="auto" w:fill="auto"/>
            <w:hideMark/>
          </w:tcPr>
          <w:p w14:paraId="3FAA5323" w14:textId="2D3CCF94" w:rsidR="00BA0582" w:rsidRPr="000C6900" w:rsidRDefault="00FD2A1C" w:rsidP="00BA0582">
            <w:pPr>
              <w:spacing w:line="240" w:lineRule="auto"/>
              <w:rPr>
                <w:rFonts w:cstheme="minorHAnsi"/>
                <w:color w:val="000000"/>
                <w:sz w:val="18"/>
                <w:szCs w:val="20"/>
              </w:rPr>
            </w:pPr>
            <w:r>
              <w:rPr>
                <w:rFonts w:cstheme="minorHAnsi"/>
                <w:color w:val="000000"/>
                <w:sz w:val="18"/>
                <w:szCs w:val="20"/>
              </w:rPr>
              <w:t>6.4</w:t>
            </w:r>
            <w:r w:rsidR="00BA0582" w:rsidRPr="000C6900">
              <w:rPr>
                <w:rFonts w:cstheme="minorHAnsi"/>
                <w:color w:val="000000"/>
                <w:sz w:val="18"/>
                <w:szCs w:val="20"/>
              </w:rPr>
              <w:t xml:space="preserve"> d</w:t>
            </w:r>
          </w:p>
          <w:p w14:paraId="044436CB" w14:textId="77777777" w:rsidR="00BA0582" w:rsidRPr="000C6900" w:rsidRDefault="00BA0582" w:rsidP="00BA0582">
            <w:pPr>
              <w:spacing w:line="240" w:lineRule="auto"/>
              <w:rPr>
                <w:rFonts w:cstheme="minorHAnsi"/>
                <w:color w:val="000000"/>
                <w:sz w:val="18"/>
                <w:szCs w:val="20"/>
              </w:rPr>
            </w:pPr>
            <w:r w:rsidRPr="000C6900">
              <w:rPr>
                <w:rFonts w:cstheme="minorHAnsi"/>
                <w:color w:val="000000"/>
                <w:sz w:val="18"/>
                <w:szCs w:val="20"/>
              </w:rPr>
              <w:t>PhCH,</w:t>
            </w:r>
          </w:p>
          <w:p w14:paraId="47F6AB64" w14:textId="7F93D65D" w:rsidR="00BA0582" w:rsidRPr="000C6900" w:rsidRDefault="00FD2A1C" w:rsidP="00BA0582">
            <w:pPr>
              <w:spacing w:line="240" w:lineRule="auto"/>
              <w:rPr>
                <w:rFonts w:cstheme="minorHAnsi"/>
                <w:color w:val="000000"/>
                <w:sz w:val="18"/>
                <w:szCs w:val="20"/>
              </w:rPr>
            </w:pPr>
            <w:r>
              <w:rPr>
                <w:rFonts w:cstheme="minorHAnsi"/>
                <w:color w:val="000000"/>
                <w:sz w:val="18"/>
                <w:szCs w:val="20"/>
              </w:rPr>
              <w:t>6.0</w:t>
            </w:r>
            <w:r w:rsidR="00BA0582" w:rsidRPr="000C6900">
              <w:rPr>
                <w:rFonts w:cstheme="minorHAnsi"/>
                <w:color w:val="000000"/>
                <w:sz w:val="18"/>
                <w:szCs w:val="20"/>
              </w:rPr>
              <w:t xml:space="preserve"> dt</w:t>
            </w:r>
          </w:p>
          <w:p w14:paraId="5D19E428" w14:textId="77777777" w:rsidR="00BA0582" w:rsidRPr="000C6900" w:rsidRDefault="00BA0582" w:rsidP="00BA0582">
            <w:pPr>
              <w:spacing w:line="240" w:lineRule="auto"/>
              <w:rPr>
                <w:rFonts w:cstheme="minorHAnsi"/>
                <w:color w:val="000000"/>
                <w:sz w:val="18"/>
                <w:szCs w:val="20"/>
              </w:rPr>
            </w:pPr>
            <w:r w:rsidRPr="000C6900">
              <w:rPr>
                <w:rFonts w:cstheme="minorHAnsi"/>
                <w:color w:val="000000"/>
                <w:sz w:val="18"/>
                <w:szCs w:val="20"/>
              </w:rPr>
              <w:t>CH,</w:t>
            </w:r>
          </w:p>
          <w:p w14:paraId="4552C1A6" w14:textId="6C83E04B" w:rsidR="00BA0582" w:rsidRPr="000C6900" w:rsidRDefault="00FD2A1C" w:rsidP="00BA0582">
            <w:pPr>
              <w:spacing w:line="240" w:lineRule="auto"/>
              <w:rPr>
                <w:rFonts w:cstheme="minorHAnsi"/>
                <w:color w:val="000000"/>
                <w:sz w:val="18"/>
                <w:szCs w:val="20"/>
              </w:rPr>
            </w:pPr>
            <w:r>
              <w:rPr>
                <w:rFonts w:cstheme="minorHAnsi"/>
                <w:color w:val="000000"/>
                <w:sz w:val="18"/>
                <w:szCs w:val="20"/>
              </w:rPr>
              <w:t>3.9</w:t>
            </w:r>
            <w:r w:rsidR="00BA0582" w:rsidRPr="000C6900">
              <w:rPr>
                <w:rFonts w:cstheme="minorHAnsi"/>
                <w:color w:val="000000"/>
                <w:sz w:val="18"/>
                <w:szCs w:val="20"/>
              </w:rPr>
              <w:t xml:space="preserve"> d CH</w:t>
            </w:r>
            <w:r w:rsidR="00BA0582" w:rsidRPr="000C6900">
              <w:rPr>
                <w:rFonts w:cstheme="minorHAnsi"/>
                <w:color w:val="000000"/>
                <w:sz w:val="18"/>
                <w:szCs w:val="20"/>
                <w:vertAlign w:val="subscript"/>
              </w:rPr>
              <w:t>2</w:t>
            </w:r>
          </w:p>
        </w:tc>
        <w:tc>
          <w:tcPr>
            <w:tcW w:w="347" w:type="pct"/>
            <w:tcBorders>
              <w:top w:val="single" w:sz="12" w:space="0" w:color="auto"/>
              <w:left w:val="nil"/>
              <w:bottom w:val="single" w:sz="4" w:space="0" w:color="808080"/>
              <w:right w:val="single" w:sz="4" w:space="0" w:color="808080"/>
            </w:tcBorders>
            <w:shd w:val="clear" w:color="auto" w:fill="auto"/>
            <w:hideMark/>
          </w:tcPr>
          <w:p w14:paraId="12DBE575" w14:textId="77777777" w:rsidR="00BA0582" w:rsidRPr="000C6900" w:rsidRDefault="00662CEC" w:rsidP="00BA0582">
            <w:pPr>
              <w:spacing w:line="240" w:lineRule="auto"/>
              <w:rPr>
                <w:rFonts w:cstheme="minorHAnsi"/>
                <w:color w:val="000000"/>
                <w:sz w:val="18"/>
                <w:szCs w:val="20"/>
              </w:rPr>
            </w:pPr>
            <w:r>
              <w:rPr>
                <w:rFonts w:cstheme="minorHAnsi"/>
                <w:color w:val="000000"/>
                <w:sz w:val="18"/>
                <w:szCs w:val="20"/>
              </w:rPr>
              <w:t>15.94</w:t>
            </w:r>
          </w:p>
          <w:p w14:paraId="18FE7F6A" w14:textId="77777777" w:rsidR="00BA0582" w:rsidRPr="000C6900" w:rsidRDefault="00BA0582" w:rsidP="00BA0582">
            <w:pPr>
              <w:spacing w:line="240" w:lineRule="auto"/>
              <w:rPr>
                <w:rFonts w:cstheme="minorHAnsi"/>
                <w:color w:val="000000"/>
                <w:sz w:val="18"/>
                <w:szCs w:val="20"/>
              </w:rPr>
            </w:pPr>
          </w:p>
          <w:p w14:paraId="766ACB0A" w14:textId="77777777" w:rsidR="00BA0582" w:rsidRPr="000C6900" w:rsidRDefault="00BA0582" w:rsidP="00BA0582">
            <w:pPr>
              <w:spacing w:line="240" w:lineRule="auto"/>
              <w:rPr>
                <w:rFonts w:cstheme="minorHAnsi"/>
                <w:color w:val="000000"/>
                <w:sz w:val="18"/>
                <w:szCs w:val="20"/>
              </w:rPr>
            </w:pPr>
            <w:r w:rsidRPr="000C6900">
              <w:rPr>
                <w:rFonts w:cstheme="minorHAnsi"/>
                <w:color w:val="000000"/>
                <w:sz w:val="18"/>
                <w:szCs w:val="20"/>
              </w:rPr>
              <w:t>5.43</w:t>
            </w:r>
          </w:p>
        </w:tc>
        <w:tc>
          <w:tcPr>
            <w:tcW w:w="622" w:type="pct"/>
            <w:tcBorders>
              <w:top w:val="single" w:sz="12" w:space="0" w:color="auto"/>
              <w:left w:val="nil"/>
              <w:bottom w:val="single" w:sz="4" w:space="0" w:color="808080"/>
            </w:tcBorders>
            <w:shd w:val="clear" w:color="auto" w:fill="auto"/>
            <w:noWrap/>
            <w:hideMark/>
          </w:tcPr>
          <w:p w14:paraId="79FC2E0C" w14:textId="403E8439" w:rsidR="00BA0582" w:rsidRPr="000C6900" w:rsidRDefault="00FD2A1C" w:rsidP="00BA0582">
            <w:pPr>
              <w:spacing w:line="240" w:lineRule="auto"/>
              <w:rPr>
                <w:rFonts w:cstheme="minorHAnsi"/>
                <w:color w:val="000000"/>
                <w:sz w:val="18"/>
                <w:szCs w:val="20"/>
                <w:vertAlign w:val="subscript"/>
              </w:rPr>
            </w:pPr>
            <w:r>
              <w:rPr>
                <w:rFonts w:cstheme="minorHAnsi"/>
                <w:color w:val="000000"/>
                <w:sz w:val="18"/>
                <w:szCs w:val="20"/>
              </w:rPr>
              <w:t>5.5</w:t>
            </w:r>
            <w:r w:rsidR="00BA0582" w:rsidRPr="000C6900">
              <w:rPr>
                <w:rFonts w:cstheme="minorHAnsi"/>
                <w:color w:val="000000"/>
                <w:sz w:val="18"/>
                <w:szCs w:val="20"/>
              </w:rPr>
              <w:t xml:space="preserve"> s CH</w:t>
            </w:r>
            <w:r w:rsidR="00BA0582" w:rsidRPr="000C6900">
              <w:rPr>
                <w:rFonts w:cstheme="minorHAnsi"/>
                <w:color w:val="000000"/>
                <w:sz w:val="18"/>
                <w:szCs w:val="20"/>
                <w:vertAlign w:val="subscript"/>
              </w:rPr>
              <w:t>2</w:t>
            </w:r>
          </w:p>
          <w:p w14:paraId="5A7F8675" w14:textId="77777777" w:rsidR="00BA0582" w:rsidRPr="000C6900" w:rsidRDefault="00BA0582" w:rsidP="00BA0582">
            <w:pPr>
              <w:spacing w:line="240" w:lineRule="auto"/>
              <w:rPr>
                <w:rFonts w:cstheme="minorHAnsi"/>
                <w:color w:val="000000"/>
                <w:sz w:val="18"/>
                <w:szCs w:val="20"/>
              </w:rPr>
            </w:pPr>
          </w:p>
        </w:tc>
      </w:tr>
      <w:tr w:rsidR="00DE200B" w:rsidRPr="000C6900" w14:paraId="779897A6" w14:textId="77777777" w:rsidTr="00DE200B">
        <w:trPr>
          <w:trHeight w:val="910"/>
        </w:trPr>
        <w:tc>
          <w:tcPr>
            <w:tcW w:w="906" w:type="pct"/>
            <w:vMerge w:val="restart"/>
            <w:tcBorders>
              <w:top w:val="single" w:sz="4" w:space="0" w:color="808080"/>
              <w:left w:val="nil"/>
              <w:right w:val="single" w:sz="12" w:space="0" w:color="auto"/>
            </w:tcBorders>
            <w:shd w:val="clear" w:color="auto" w:fill="auto"/>
            <w:noWrap/>
            <w:vAlign w:val="center"/>
            <w:hideMark/>
          </w:tcPr>
          <w:p w14:paraId="2716C220" w14:textId="77777777" w:rsidR="00BA0582" w:rsidRPr="000C6900" w:rsidRDefault="00BA0582" w:rsidP="00BA0582">
            <w:pPr>
              <w:spacing w:line="240" w:lineRule="auto"/>
              <w:rPr>
                <w:rFonts w:cstheme="minorHAnsi"/>
                <w:color w:val="000000"/>
                <w:sz w:val="18"/>
                <w:szCs w:val="20"/>
              </w:rPr>
            </w:pPr>
            <w:r w:rsidRPr="000C6900">
              <w:rPr>
                <w:rFonts w:cstheme="minorHAnsi"/>
                <w:color w:val="000000"/>
                <w:sz w:val="18"/>
                <w:szCs w:val="20"/>
              </w:rPr>
              <w:t>With IReO</w:t>
            </w:r>
            <w:r w:rsidRPr="000C6900">
              <w:rPr>
                <w:rFonts w:cstheme="minorHAnsi"/>
                <w:color w:val="000000"/>
                <w:sz w:val="18"/>
                <w:szCs w:val="20"/>
                <w:vertAlign w:val="subscript"/>
              </w:rPr>
              <w:t>2</w:t>
            </w:r>
            <w:r w:rsidRPr="000C6900">
              <w:rPr>
                <w:rFonts w:cstheme="minorHAnsi"/>
                <w:color w:val="000000"/>
                <w:sz w:val="18"/>
                <w:szCs w:val="20"/>
              </w:rPr>
              <w:t>(PPh</w:t>
            </w:r>
            <w:r w:rsidRPr="000C6900">
              <w:rPr>
                <w:rFonts w:cstheme="minorHAnsi"/>
                <w:color w:val="000000"/>
                <w:sz w:val="18"/>
                <w:szCs w:val="20"/>
                <w:vertAlign w:val="subscript"/>
              </w:rPr>
              <w:t>3</w:t>
            </w:r>
            <w:r w:rsidRPr="000C6900">
              <w:rPr>
                <w:rFonts w:cstheme="minorHAnsi"/>
                <w:color w:val="000000"/>
                <w:sz w:val="18"/>
                <w:szCs w:val="20"/>
              </w:rPr>
              <w:t>)</w:t>
            </w:r>
            <w:r w:rsidRPr="000C6900">
              <w:rPr>
                <w:rFonts w:cstheme="minorHAnsi"/>
                <w:color w:val="000000"/>
                <w:sz w:val="18"/>
                <w:szCs w:val="20"/>
                <w:vertAlign w:val="subscript"/>
              </w:rPr>
              <w:t>2</w:t>
            </w:r>
          </w:p>
        </w:tc>
        <w:tc>
          <w:tcPr>
            <w:tcW w:w="597" w:type="pct"/>
            <w:gridSpan w:val="2"/>
            <w:tcBorders>
              <w:top w:val="single" w:sz="4" w:space="0" w:color="808080"/>
              <w:left w:val="single" w:sz="12" w:space="0" w:color="auto"/>
              <w:bottom w:val="dashed" w:sz="4" w:space="0" w:color="808080" w:themeColor="background1" w:themeShade="80"/>
              <w:right w:val="nil"/>
            </w:tcBorders>
            <w:shd w:val="clear" w:color="auto" w:fill="auto"/>
            <w:hideMark/>
          </w:tcPr>
          <w:p w14:paraId="2F21FCD9" w14:textId="15EAA86D" w:rsidR="00BA0582" w:rsidRPr="000C6900" w:rsidRDefault="00630CBC" w:rsidP="00BA0582">
            <w:pPr>
              <w:spacing w:line="240" w:lineRule="auto"/>
              <w:rPr>
                <w:rFonts w:cstheme="minorHAnsi"/>
                <w:color w:val="000000"/>
                <w:sz w:val="18"/>
                <w:szCs w:val="20"/>
              </w:rPr>
            </w:pPr>
            <w:r>
              <w:rPr>
                <w:rFonts w:cstheme="minorHAnsi"/>
                <w:color w:val="000000"/>
                <w:sz w:val="18"/>
                <w:szCs w:val="20"/>
              </w:rPr>
              <w:t>2.1</w:t>
            </w:r>
            <w:r w:rsidR="00BA0582" w:rsidRPr="000C6900">
              <w:rPr>
                <w:rFonts w:cstheme="minorHAnsi"/>
                <w:color w:val="000000"/>
                <w:sz w:val="18"/>
                <w:szCs w:val="20"/>
              </w:rPr>
              <w:t xml:space="preserve"> q CH</w:t>
            </w:r>
            <w:r w:rsidR="00BA0582" w:rsidRPr="000C6900">
              <w:rPr>
                <w:rFonts w:cstheme="minorHAnsi"/>
                <w:color w:val="000000"/>
                <w:sz w:val="18"/>
                <w:szCs w:val="20"/>
                <w:vertAlign w:val="subscript"/>
              </w:rPr>
              <w:t>2</w:t>
            </w:r>
            <w:r w:rsidR="00BA0582" w:rsidRPr="000C6900">
              <w:rPr>
                <w:rFonts w:cstheme="minorHAnsi"/>
                <w:color w:val="000000"/>
                <w:sz w:val="18"/>
                <w:szCs w:val="20"/>
              </w:rPr>
              <w:t>,</w:t>
            </w:r>
          </w:p>
          <w:p w14:paraId="45EDE5A7" w14:textId="1074095A" w:rsidR="00BA0582" w:rsidRPr="000C6900" w:rsidRDefault="00630CBC" w:rsidP="00BA0582">
            <w:pPr>
              <w:spacing w:line="240" w:lineRule="auto"/>
              <w:rPr>
                <w:rFonts w:cstheme="minorHAnsi"/>
                <w:color w:val="000000"/>
                <w:sz w:val="18"/>
                <w:szCs w:val="20"/>
              </w:rPr>
            </w:pPr>
            <w:r>
              <w:rPr>
                <w:rFonts w:cstheme="minorHAnsi"/>
                <w:color w:val="000000"/>
                <w:sz w:val="18"/>
                <w:szCs w:val="20"/>
              </w:rPr>
              <w:t>0.2</w:t>
            </w:r>
            <w:r w:rsidR="00BA0582" w:rsidRPr="000C6900">
              <w:rPr>
                <w:rFonts w:cstheme="minorHAnsi"/>
                <w:color w:val="000000"/>
                <w:sz w:val="18"/>
                <w:szCs w:val="20"/>
              </w:rPr>
              <w:t xml:space="preserve"> t CH</w:t>
            </w:r>
            <w:r w:rsidR="00BA0582" w:rsidRPr="000C6900">
              <w:rPr>
                <w:rFonts w:cstheme="minorHAnsi"/>
                <w:color w:val="000000"/>
                <w:sz w:val="18"/>
                <w:szCs w:val="20"/>
                <w:vertAlign w:val="subscript"/>
              </w:rPr>
              <w:t>3</w:t>
            </w:r>
          </w:p>
        </w:tc>
        <w:tc>
          <w:tcPr>
            <w:tcW w:w="352" w:type="pct"/>
            <w:tcBorders>
              <w:top w:val="single" w:sz="4" w:space="0" w:color="808080"/>
              <w:left w:val="nil"/>
              <w:bottom w:val="dashed" w:sz="4" w:space="0" w:color="808080" w:themeColor="background1" w:themeShade="80"/>
              <w:right w:val="single" w:sz="4" w:space="0" w:color="808080"/>
            </w:tcBorders>
            <w:shd w:val="clear" w:color="auto" w:fill="auto"/>
            <w:noWrap/>
            <w:hideMark/>
          </w:tcPr>
          <w:p w14:paraId="529002D2" w14:textId="77777777" w:rsidR="00BA0582" w:rsidRPr="000C6900" w:rsidRDefault="00BA0582" w:rsidP="00BA0582">
            <w:pPr>
              <w:spacing w:line="240" w:lineRule="auto"/>
              <w:rPr>
                <w:rFonts w:cstheme="minorHAnsi"/>
                <w:color w:val="000000"/>
                <w:sz w:val="18"/>
                <w:szCs w:val="20"/>
              </w:rPr>
            </w:pPr>
            <w:r w:rsidRPr="000C6900">
              <w:rPr>
                <w:rFonts w:cstheme="minorHAnsi"/>
                <w:color w:val="000000"/>
                <w:sz w:val="18"/>
                <w:szCs w:val="20"/>
              </w:rPr>
              <w:t>6.99</w:t>
            </w:r>
          </w:p>
        </w:tc>
        <w:tc>
          <w:tcPr>
            <w:tcW w:w="596" w:type="pct"/>
            <w:tcBorders>
              <w:top w:val="single" w:sz="4" w:space="0" w:color="808080"/>
              <w:left w:val="nil"/>
              <w:bottom w:val="dashed" w:sz="4" w:space="0" w:color="808080" w:themeColor="background1" w:themeShade="80"/>
              <w:right w:val="single" w:sz="4" w:space="0" w:color="808080"/>
            </w:tcBorders>
            <w:shd w:val="clear" w:color="auto" w:fill="auto"/>
            <w:hideMark/>
          </w:tcPr>
          <w:p w14:paraId="79C9133E" w14:textId="63C1A03A" w:rsidR="00BA0582" w:rsidRPr="000C6900" w:rsidRDefault="00FD2A1C" w:rsidP="00BA0582">
            <w:pPr>
              <w:spacing w:line="240" w:lineRule="auto"/>
              <w:rPr>
                <w:rFonts w:cstheme="minorHAnsi"/>
                <w:color w:val="000000"/>
                <w:sz w:val="18"/>
                <w:szCs w:val="20"/>
              </w:rPr>
            </w:pPr>
            <w:r>
              <w:rPr>
                <w:rFonts w:cstheme="minorHAnsi"/>
                <w:color w:val="000000"/>
                <w:sz w:val="18"/>
                <w:szCs w:val="20"/>
              </w:rPr>
              <w:t>3.6</w:t>
            </w:r>
            <w:r w:rsidR="00BA0582" w:rsidRPr="000C6900">
              <w:rPr>
                <w:rFonts w:cstheme="minorHAnsi"/>
                <w:color w:val="000000"/>
                <w:sz w:val="18"/>
                <w:szCs w:val="20"/>
              </w:rPr>
              <w:t xml:space="preserve"> s CH</w:t>
            </w:r>
            <w:r w:rsidR="00BA0582" w:rsidRPr="000C6900">
              <w:rPr>
                <w:rFonts w:cstheme="minorHAnsi"/>
                <w:color w:val="000000"/>
                <w:sz w:val="18"/>
                <w:szCs w:val="20"/>
                <w:vertAlign w:val="subscript"/>
              </w:rPr>
              <w:t>2</w:t>
            </w:r>
          </w:p>
        </w:tc>
        <w:tc>
          <w:tcPr>
            <w:tcW w:w="597" w:type="pct"/>
            <w:gridSpan w:val="2"/>
            <w:tcBorders>
              <w:top w:val="single" w:sz="4" w:space="0" w:color="808080"/>
              <w:left w:val="nil"/>
              <w:bottom w:val="dashed" w:sz="4" w:space="0" w:color="808080" w:themeColor="background1" w:themeShade="80"/>
              <w:right w:val="nil"/>
            </w:tcBorders>
            <w:shd w:val="clear" w:color="auto" w:fill="auto"/>
            <w:hideMark/>
          </w:tcPr>
          <w:p w14:paraId="31F43360" w14:textId="4CC885D4" w:rsidR="00BA0582" w:rsidRPr="000C6900" w:rsidRDefault="00FD2A1C" w:rsidP="00BA0582">
            <w:pPr>
              <w:spacing w:line="240" w:lineRule="auto"/>
              <w:rPr>
                <w:rFonts w:cstheme="minorHAnsi"/>
                <w:color w:val="000000"/>
                <w:sz w:val="18"/>
                <w:szCs w:val="20"/>
              </w:rPr>
            </w:pPr>
            <w:r>
              <w:rPr>
                <w:rFonts w:cstheme="minorHAnsi"/>
                <w:color w:val="000000"/>
                <w:sz w:val="18"/>
                <w:szCs w:val="20"/>
              </w:rPr>
              <w:t>3.6</w:t>
            </w:r>
            <w:r w:rsidR="00BA0582" w:rsidRPr="000C6900">
              <w:rPr>
                <w:rFonts w:cstheme="minorHAnsi"/>
                <w:color w:val="000000"/>
                <w:sz w:val="18"/>
                <w:szCs w:val="20"/>
              </w:rPr>
              <w:t xml:space="preserve"> q CH,</w:t>
            </w:r>
          </w:p>
          <w:p w14:paraId="0063BB7A" w14:textId="43C2EF41" w:rsidR="00BA0582" w:rsidRPr="000C6900" w:rsidRDefault="00FD2A1C" w:rsidP="00BA0582">
            <w:pPr>
              <w:spacing w:line="240" w:lineRule="auto"/>
              <w:rPr>
                <w:rFonts w:cstheme="minorHAnsi"/>
                <w:color w:val="000000"/>
                <w:sz w:val="18"/>
                <w:szCs w:val="20"/>
              </w:rPr>
            </w:pPr>
            <w:r>
              <w:rPr>
                <w:rFonts w:cstheme="minorHAnsi"/>
                <w:color w:val="000000"/>
                <w:sz w:val="18"/>
                <w:szCs w:val="20"/>
              </w:rPr>
              <w:t>-</w:t>
            </w:r>
            <w:r w:rsidR="00BA0582" w:rsidRPr="000C6900">
              <w:rPr>
                <w:rFonts w:cstheme="minorHAnsi"/>
                <w:color w:val="000000"/>
                <w:sz w:val="18"/>
                <w:szCs w:val="20"/>
              </w:rPr>
              <w:t xml:space="preserve"> d CH</w:t>
            </w:r>
            <w:r w:rsidR="00BA0582" w:rsidRPr="000C6900">
              <w:rPr>
                <w:rFonts w:cstheme="minorHAnsi"/>
                <w:color w:val="000000"/>
                <w:sz w:val="18"/>
                <w:szCs w:val="20"/>
                <w:vertAlign w:val="subscript"/>
              </w:rPr>
              <w:t>3</w:t>
            </w:r>
          </w:p>
        </w:tc>
        <w:tc>
          <w:tcPr>
            <w:tcW w:w="345" w:type="pct"/>
            <w:tcBorders>
              <w:top w:val="single" w:sz="4" w:space="0" w:color="808080"/>
              <w:left w:val="nil"/>
              <w:bottom w:val="dashed" w:sz="4" w:space="0" w:color="808080" w:themeColor="background1" w:themeShade="80"/>
              <w:right w:val="single" w:sz="4" w:space="0" w:color="808080"/>
            </w:tcBorders>
            <w:shd w:val="clear" w:color="auto" w:fill="auto"/>
            <w:noWrap/>
            <w:hideMark/>
          </w:tcPr>
          <w:p w14:paraId="0D1BE362" w14:textId="77777777" w:rsidR="00BA0582" w:rsidRPr="000C6900" w:rsidRDefault="00BA0582" w:rsidP="00BA0582">
            <w:pPr>
              <w:spacing w:line="240" w:lineRule="auto"/>
              <w:rPr>
                <w:rFonts w:cstheme="minorHAnsi"/>
                <w:color w:val="000000"/>
                <w:sz w:val="18"/>
                <w:szCs w:val="20"/>
              </w:rPr>
            </w:pPr>
            <w:r w:rsidRPr="000C6900">
              <w:rPr>
                <w:rFonts w:cstheme="minorHAnsi"/>
                <w:color w:val="000000"/>
                <w:sz w:val="18"/>
                <w:szCs w:val="20"/>
              </w:rPr>
              <w:t>6.5</w:t>
            </w:r>
          </w:p>
        </w:tc>
        <w:tc>
          <w:tcPr>
            <w:tcW w:w="638" w:type="pct"/>
            <w:tcBorders>
              <w:top w:val="single" w:sz="4" w:space="0" w:color="808080"/>
              <w:left w:val="nil"/>
              <w:bottom w:val="dashed" w:sz="4" w:space="0" w:color="808080" w:themeColor="background1" w:themeShade="80"/>
              <w:right w:val="nil"/>
            </w:tcBorders>
            <w:shd w:val="clear" w:color="auto" w:fill="auto"/>
            <w:hideMark/>
          </w:tcPr>
          <w:p w14:paraId="01EED297" w14:textId="3AF6812F" w:rsidR="00BA0582" w:rsidRPr="000C6900" w:rsidRDefault="00FD2A1C" w:rsidP="00BA0582">
            <w:pPr>
              <w:spacing w:line="240" w:lineRule="auto"/>
              <w:rPr>
                <w:rFonts w:cstheme="minorHAnsi"/>
                <w:color w:val="000000"/>
                <w:sz w:val="18"/>
                <w:szCs w:val="20"/>
              </w:rPr>
            </w:pPr>
            <w:r>
              <w:rPr>
                <w:rFonts w:cstheme="minorHAnsi"/>
                <w:color w:val="000000"/>
                <w:sz w:val="18"/>
                <w:szCs w:val="20"/>
              </w:rPr>
              <w:t>5.9</w:t>
            </w:r>
            <w:r w:rsidR="00BA0582" w:rsidRPr="000C6900">
              <w:rPr>
                <w:rFonts w:cstheme="minorHAnsi"/>
                <w:color w:val="000000"/>
                <w:sz w:val="18"/>
                <w:szCs w:val="20"/>
              </w:rPr>
              <w:t xml:space="preserve"> d PhCH,</w:t>
            </w:r>
          </w:p>
          <w:p w14:paraId="42119E3F" w14:textId="6C7D2604" w:rsidR="00BA0582" w:rsidRPr="000C6900" w:rsidRDefault="00FD2A1C" w:rsidP="00BA0582">
            <w:pPr>
              <w:spacing w:line="240" w:lineRule="auto"/>
              <w:rPr>
                <w:rFonts w:cstheme="minorHAnsi"/>
                <w:color w:val="000000"/>
                <w:sz w:val="18"/>
                <w:szCs w:val="20"/>
              </w:rPr>
            </w:pPr>
            <w:r>
              <w:rPr>
                <w:rFonts w:cstheme="minorHAnsi"/>
                <w:color w:val="000000"/>
                <w:sz w:val="18"/>
                <w:szCs w:val="20"/>
              </w:rPr>
              <w:t>5.0</w:t>
            </w:r>
            <w:r w:rsidR="00BA0582" w:rsidRPr="000C6900">
              <w:rPr>
                <w:rFonts w:cstheme="minorHAnsi"/>
                <w:color w:val="000000"/>
                <w:sz w:val="18"/>
                <w:szCs w:val="20"/>
              </w:rPr>
              <w:t xml:space="preserve"> dt CH</w:t>
            </w:r>
          </w:p>
          <w:p w14:paraId="38F0B8B3" w14:textId="5CD07B3C" w:rsidR="00BA0582" w:rsidRPr="000C6900" w:rsidRDefault="00FD2A1C" w:rsidP="00BA0582">
            <w:pPr>
              <w:spacing w:line="240" w:lineRule="auto"/>
              <w:rPr>
                <w:rFonts w:cstheme="minorHAnsi"/>
                <w:color w:val="000000"/>
                <w:sz w:val="18"/>
                <w:szCs w:val="20"/>
              </w:rPr>
            </w:pPr>
            <w:r>
              <w:rPr>
                <w:rFonts w:cstheme="minorHAnsi"/>
                <w:color w:val="000000"/>
                <w:sz w:val="18"/>
                <w:szCs w:val="20"/>
              </w:rPr>
              <w:t>2.4</w:t>
            </w:r>
            <w:r w:rsidR="00BA0582" w:rsidRPr="000C6900">
              <w:rPr>
                <w:rFonts w:cstheme="minorHAnsi"/>
                <w:color w:val="000000"/>
                <w:sz w:val="18"/>
                <w:szCs w:val="20"/>
              </w:rPr>
              <w:t xml:space="preserve"> s CH</w:t>
            </w:r>
            <w:r w:rsidR="00BA0582" w:rsidRPr="000C6900">
              <w:rPr>
                <w:rFonts w:cstheme="minorHAnsi"/>
                <w:color w:val="000000"/>
                <w:sz w:val="18"/>
                <w:szCs w:val="20"/>
                <w:vertAlign w:val="subscript"/>
              </w:rPr>
              <w:t>2</w:t>
            </w:r>
          </w:p>
        </w:tc>
        <w:tc>
          <w:tcPr>
            <w:tcW w:w="347" w:type="pct"/>
            <w:tcBorders>
              <w:top w:val="single" w:sz="4" w:space="0" w:color="808080"/>
              <w:left w:val="nil"/>
              <w:bottom w:val="dashed" w:sz="4" w:space="0" w:color="808080" w:themeColor="background1" w:themeShade="80"/>
              <w:right w:val="single" w:sz="4" w:space="0" w:color="808080"/>
            </w:tcBorders>
            <w:shd w:val="clear" w:color="auto" w:fill="auto"/>
            <w:hideMark/>
          </w:tcPr>
          <w:p w14:paraId="05EA7E80" w14:textId="77777777" w:rsidR="00BA0582" w:rsidRPr="000C6900" w:rsidRDefault="00BA0582" w:rsidP="00BA0582">
            <w:pPr>
              <w:spacing w:line="240" w:lineRule="auto"/>
              <w:rPr>
                <w:rFonts w:cstheme="minorHAnsi"/>
                <w:color w:val="000000"/>
                <w:sz w:val="18"/>
                <w:szCs w:val="20"/>
              </w:rPr>
            </w:pPr>
            <w:r w:rsidRPr="000C6900">
              <w:rPr>
                <w:rFonts w:cstheme="minorHAnsi"/>
                <w:color w:val="000000"/>
                <w:sz w:val="18"/>
                <w:szCs w:val="20"/>
              </w:rPr>
              <w:t>15.99</w:t>
            </w:r>
          </w:p>
          <w:p w14:paraId="1003B551" w14:textId="77777777" w:rsidR="00BA0582" w:rsidRPr="000C6900" w:rsidRDefault="00BA0582" w:rsidP="00BA0582">
            <w:pPr>
              <w:spacing w:line="240" w:lineRule="auto"/>
              <w:rPr>
                <w:rFonts w:cstheme="minorHAnsi"/>
                <w:color w:val="000000"/>
                <w:sz w:val="18"/>
                <w:szCs w:val="20"/>
              </w:rPr>
            </w:pPr>
          </w:p>
          <w:p w14:paraId="794F9C78" w14:textId="77777777" w:rsidR="00BA0582" w:rsidRPr="000C6900" w:rsidRDefault="00BA0582" w:rsidP="00BA0582">
            <w:pPr>
              <w:spacing w:line="240" w:lineRule="auto"/>
              <w:rPr>
                <w:rFonts w:cstheme="minorHAnsi"/>
                <w:color w:val="000000"/>
                <w:sz w:val="18"/>
                <w:szCs w:val="20"/>
              </w:rPr>
            </w:pPr>
            <w:r w:rsidRPr="000C6900">
              <w:rPr>
                <w:rFonts w:cstheme="minorHAnsi"/>
                <w:color w:val="000000"/>
                <w:sz w:val="18"/>
                <w:szCs w:val="20"/>
              </w:rPr>
              <w:t>3.91</w:t>
            </w:r>
          </w:p>
        </w:tc>
        <w:tc>
          <w:tcPr>
            <w:tcW w:w="622" w:type="pct"/>
            <w:tcBorders>
              <w:top w:val="single" w:sz="4" w:space="0" w:color="808080"/>
              <w:left w:val="nil"/>
              <w:bottom w:val="dashed" w:sz="4" w:space="0" w:color="808080" w:themeColor="background1" w:themeShade="80"/>
            </w:tcBorders>
            <w:shd w:val="clear" w:color="auto" w:fill="auto"/>
            <w:noWrap/>
          </w:tcPr>
          <w:p w14:paraId="7E32A2B3" w14:textId="77777777" w:rsidR="00BA0582" w:rsidRPr="000C6900" w:rsidRDefault="00BA0582" w:rsidP="00BA0582">
            <w:pPr>
              <w:spacing w:line="240" w:lineRule="auto"/>
              <w:rPr>
                <w:rFonts w:cstheme="minorHAnsi"/>
                <w:color w:val="000000"/>
                <w:sz w:val="18"/>
                <w:szCs w:val="20"/>
              </w:rPr>
            </w:pPr>
          </w:p>
        </w:tc>
      </w:tr>
      <w:tr w:rsidR="000C6900" w:rsidRPr="000C6900" w14:paraId="596537FC" w14:textId="77777777" w:rsidTr="00DE200B">
        <w:trPr>
          <w:trHeight w:val="660"/>
        </w:trPr>
        <w:tc>
          <w:tcPr>
            <w:tcW w:w="906" w:type="pct"/>
            <w:vMerge/>
            <w:tcBorders>
              <w:left w:val="nil"/>
              <w:right w:val="single" w:sz="12" w:space="0" w:color="auto"/>
            </w:tcBorders>
            <w:vAlign w:val="center"/>
            <w:hideMark/>
          </w:tcPr>
          <w:p w14:paraId="33FEA76D" w14:textId="77777777" w:rsidR="000C6900" w:rsidRPr="000C6900" w:rsidRDefault="000C6900" w:rsidP="00BA0582">
            <w:pPr>
              <w:spacing w:line="240" w:lineRule="auto"/>
              <w:rPr>
                <w:rFonts w:cstheme="minorHAnsi"/>
                <w:color w:val="000000"/>
                <w:sz w:val="18"/>
                <w:szCs w:val="20"/>
              </w:rPr>
            </w:pPr>
          </w:p>
        </w:tc>
        <w:tc>
          <w:tcPr>
            <w:tcW w:w="597" w:type="pct"/>
            <w:gridSpan w:val="2"/>
            <w:tcBorders>
              <w:top w:val="dashed" w:sz="4" w:space="0" w:color="808080" w:themeColor="background1" w:themeShade="80"/>
              <w:left w:val="single" w:sz="12" w:space="0" w:color="auto"/>
              <w:bottom w:val="dashed" w:sz="4" w:space="0" w:color="808080" w:themeColor="background1" w:themeShade="80"/>
              <w:right w:val="nil"/>
            </w:tcBorders>
            <w:shd w:val="clear" w:color="auto" w:fill="auto"/>
            <w:hideMark/>
          </w:tcPr>
          <w:p w14:paraId="4B69DEA2" w14:textId="0C496ECD" w:rsidR="000C6900" w:rsidRPr="000C6900" w:rsidRDefault="00630CBC" w:rsidP="00BA0582">
            <w:pPr>
              <w:spacing w:line="240" w:lineRule="auto"/>
              <w:rPr>
                <w:rFonts w:cstheme="minorHAnsi"/>
                <w:color w:val="000000"/>
                <w:sz w:val="18"/>
                <w:szCs w:val="20"/>
              </w:rPr>
            </w:pPr>
            <w:r>
              <w:rPr>
                <w:rFonts w:cstheme="minorHAnsi"/>
                <w:color w:val="000000"/>
                <w:sz w:val="18"/>
                <w:szCs w:val="20"/>
              </w:rPr>
              <w:t>1.7</w:t>
            </w:r>
            <w:r w:rsidR="000C6900" w:rsidRPr="000C6900">
              <w:rPr>
                <w:rFonts w:cstheme="minorHAnsi"/>
                <w:color w:val="000000"/>
                <w:sz w:val="18"/>
                <w:szCs w:val="20"/>
              </w:rPr>
              <w:t xml:space="preserve"> q CH</w:t>
            </w:r>
            <w:r w:rsidR="000C6900" w:rsidRPr="000C6900">
              <w:rPr>
                <w:rFonts w:cstheme="minorHAnsi"/>
                <w:color w:val="000000"/>
                <w:sz w:val="18"/>
                <w:szCs w:val="20"/>
                <w:vertAlign w:val="subscript"/>
              </w:rPr>
              <w:t>2</w:t>
            </w:r>
            <w:r w:rsidR="000C6900" w:rsidRPr="000C6900">
              <w:rPr>
                <w:rFonts w:cstheme="minorHAnsi"/>
                <w:color w:val="000000"/>
                <w:sz w:val="18"/>
                <w:szCs w:val="20"/>
              </w:rPr>
              <w:t>,</w:t>
            </w:r>
          </w:p>
          <w:p w14:paraId="378EC51E" w14:textId="0CAEBE96" w:rsidR="000C6900" w:rsidRPr="000C6900" w:rsidRDefault="00630CBC" w:rsidP="00BA0582">
            <w:pPr>
              <w:spacing w:line="240" w:lineRule="auto"/>
              <w:rPr>
                <w:rFonts w:cstheme="minorHAnsi"/>
                <w:color w:val="000000"/>
                <w:sz w:val="18"/>
                <w:szCs w:val="20"/>
              </w:rPr>
            </w:pPr>
            <w:r>
              <w:rPr>
                <w:rFonts w:cstheme="minorHAnsi"/>
                <w:color w:val="000000"/>
                <w:sz w:val="18"/>
                <w:szCs w:val="20"/>
              </w:rPr>
              <w:t>-0.2</w:t>
            </w:r>
            <w:r w:rsidR="000C6900" w:rsidRPr="000C6900">
              <w:rPr>
                <w:rFonts w:cstheme="minorHAnsi"/>
                <w:color w:val="000000"/>
                <w:sz w:val="18"/>
                <w:szCs w:val="20"/>
              </w:rPr>
              <w:t xml:space="preserve"> t CH</w:t>
            </w:r>
            <w:r w:rsidR="000C6900" w:rsidRPr="000C6900">
              <w:rPr>
                <w:rFonts w:cstheme="minorHAnsi"/>
                <w:color w:val="000000"/>
                <w:sz w:val="18"/>
                <w:szCs w:val="20"/>
                <w:vertAlign w:val="subscript"/>
              </w:rPr>
              <w:t>3</w:t>
            </w:r>
          </w:p>
        </w:tc>
        <w:tc>
          <w:tcPr>
            <w:tcW w:w="352" w:type="pct"/>
            <w:tcBorders>
              <w:top w:val="dashed" w:sz="4" w:space="0" w:color="808080" w:themeColor="background1" w:themeShade="80"/>
              <w:left w:val="nil"/>
              <w:bottom w:val="dashed" w:sz="4" w:space="0" w:color="808080" w:themeColor="background1" w:themeShade="80"/>
              <w:right w:val="single" w:sz="4" w:space="0" w:color="808080"/>
            </w:tcBorders>
            <w:shd w:val="clear" w:color="auto" w:fill="auto"/>
            <w:noWrap/>
            <w:hideMark/>
          </w:tcPr>
          <w:p w14:paraId="7B2CE8AF" w14:textId="77777777" w:rsidR="000C6900" w:rsidRPr="000C6900" w:rsidRDefault="000C6900" w:rsidP="00BA0582">
            <w:pPr>
              <w:spacing w:line="240" w:lineRule="auto"/>
              <w:rPr>
                <w:rFonts w:cstheme="minorHAnsi"/>
                <w:color w:val="000000"/>
                <w:sz w:val="18"/>
                <w:szCs w:val="20"/>
              </w:rPr>
            </w:pPr>
            <w:r w:rsidRPr="000C6900">
              <w:rPr>
                <w:rFonts w:cstheme="minorHAnsi"/>
                <w:color w:val="000000"/>
                <w:sz w:val="18"/>
                <w:szCs w:val="20"/>
              </w:rPr>
              <w:t>6.99</w:t>
            </w:r>
          </w:p>
        </w:tc>
        <w:tc>
          <w:tcPr>
            <w:tcW w:w="596" w:type="pct"/>
            <w:tcBorders>
              <w:top w:val="dashed" w:sz="4" w:space="0" w:color="808080" w:themeColor="background1" w:themeShade="80"/>
              <w:left w:val="nil"/>
              <w:bottom w:val="dashed" w:sz="4" w:space="0" w:color="808080" w:themeColor="background1" w:themeShade="80"/>
              <w:right w:val="single" w:sz="4" w:space="0" w:color="808080"/>
            </w:tcBorders>
            <w:shd w:val="clear" w:color="auto" w:fill="auto"/>
            <w:hideMark/>
          </w:tcPr>
          <w:p w14:paraId="04E78B26" w14:textId="4B2F781C" w:rsidR="000C6900" w:rsidRPr="000C6900" w:rsidRDefault="00FD2A1C" w:rsidP="00BA0582">
            <w:pPr>
              <w:spacing w:line="240" w:lineRule="auto"/>
              <w:rPr>
                <w:rFonts w:cstheme="minorHAnsi"/>
                <w:color w:val="000000"/>
                <w:sz w:val="18"/>
                <w:szCs w:val="20"/>
              </w:rPr>
            </w:pPr>
            <w:r>
              <w:rPr>
                <w:rFonts w:cstheme="minorHAnsi"/>
                <w:color w:val="000000"/>
                <w:sz w:val="18"/>
                <w:szCs w:val="20"/>
              </w:rPr>
              <w:t>2.7</w:t>
            </w:r>
            <w:r w:rsidR="000C6900" w:rsidRPr="000C6900">
              <w:rPr>
                <w:rFonts w:cstheme="minorHAnsi"/>
                <w:color w:val="000000"/>
                <w:sz w:val="18"/>
                <w:szCs w:val="20"/>
              </w:rPr>
              <w:t xml:space="preserve"> s CH</w:t>
            </w:r>
            <w:r w:rsidR="000C6900" w:rsidRPr="000C6900">
              <w:rPr>
                <w:rFonts w:cstheme="minorHAnsi"/>
                <w:color w:val="000000"/>
                <w:sz w:val="18"/>
                <w:szCs w:val="20"/>
                <w:vertAlign w:val="subscript"/>
              </w:rPr>
              <w:t>2</w:t>
            </w:r>
          </w:p>
        </w:tc>
        <w:tc>
          <w:tcPr>
            <w:tcW w:w="597" w:type="pct"/>
            <w:gridSpan w:val="2"/>
            <w:tcBorders>
              <w:top w:val="dashed" w:sz="4" w:space="0" w:color="808080" w:themeColor="background1" w:themeShade="80"/>
              <w:left w:val="nil"/>
              <w:bottom w:val="dashed" w:sz="4" w:space="0" w:color="808080" w:themeColor="background1" w:themeShade="80"/>
              <w:right w:val="nil"/>
            </w:tcBorders>
            <w:shd w:val="clear" w:color="auto" w:fill="auto"/>
            <w:hideMark/>
          </w:tcPr>
          <w:p w14:paraId="41D1D0CD" w14:textId="3E293FB3" w:rsidR="000C6900" w:rsidRPr="000C6900" w:rsidRDefault="00FD2A1C" w:rsidP="00BA0582">
            <w:pPr>
              <w:spacing w:line="240" w:lineRule="auto"/>
              <w:rPr>
                <w:rFonts w:cstheme="minorHAnsi"/>
                <w:color w:val="000000"/>
                <w:sz w:val="18"/>
                <w:szCs w:val="20"/>
              </w:rPr>
            </w:pPr>
            <w:r>
              <w:rPr>
                <w:rFonts w:cstheme="minorHAnsi"/>
                <w:color w:val="000000"/>
                <w:sz w:val="18"/>
                <w:szCs w:val="20"/>
              </w:rPr>
              <w:t>3.2</w:t>
            </w:r>
            <w:r w:rsidR="000C6900" w:rsidRPr="000C6900">
              <w:rPr>
                <w:rFonts w:cstheme="minorHAnsi"/>
                <w:color w:val="000000"/>
                <w:sz w:val="18"/>
                <w:szCs w:val="20"/>
              </w:rPr>
              <w:t xml:space="preserve"> q CH,</w:t>
            </w:r>
          </w:p>
          <w:p w14:paraId="29441174" w14:textId="4F7D8141" w:rsidR="000C6900" w:rsidRPr="000C6900" w:rsidRDefault="00FD2A1C" w:rsidP="00BA0582">
            <w:pPr>
              <w:spacing w:line="240" w:lineRule="auto"/>
              <w:rPr>
                <w:rFonts w:cstheme="minorHAnsi"/>
                <w:color w:val="000000"/>
                <w:sz w:val="18"/>
                <w:szCs w:val="20"/>
              </w:rPr>
            </w:pPr>
            <w:r>
              <w:rPr>
                <w:rFonts w:cstheme="minorHAnsi"/>
                <w:color w:val="000000"/>
                <w:sz w:val="18"/>
                <w:szCs w:val="20"/>
              </w:rPr>
              <w:t>-</w:t>
            </w:r>
            <w:r w:rsidR="000C6900" w:rsidRPr="000C6900">
              <w:rPr>
                <w:rFonts w:cstheme="minorHAnsi"/>
                <w:color w:val="000000"/>
                <w:sz w:val="18"/>
                <w:szCs w:val="20"/>
              </w:rPr>
              <w:t xml:space="preserve"> d CH</w:t>
            </w:r>
            <w:r w:rsidR="000C6900" w:rsidRPr="000C6900">
              <w:rPr>
                <w:rFonts w:cstheme="minorHAnsi"/>
                <w:color w:val="000000"/>
                <w:sz w:val="18"/>
                <w:szCs w:val="20"/>
                <w:vertAlign w:val="subscript"/>
              </w:rPr>
              <w:t>3</w:t>
            </w:r>
          </w:p>
        </w:tc>
        <w:tc>
          <w:tcPr>
            <w:tcW w:w="345" w:type="pct"/>
            <w:tcBorders>
              <w:top w:val="dashed" w:sz="4" w:space="0" w:color="808080" w:themeColor="background1" w:themeShade="80"/>
              <w:left w:val="nil"/>
              <w:bottom w:val="dashed" w:sz="4" w:space="0" w:color="808080" w:themeColor="background1" w:themeShade="80"/>
              <w:right w:val="single" w:sz="4" w:space="0" w:color="808080"/>
            </w:tcBorders>
            <w:shd w:val="clear" w:color="auto" w:fill="auto"/>
            <w:noWrap/>
            <w:hideMark/>
          </w:tcPr>
          <w:p w14:paraId="335E65D5" w14:textId="77777777" w:rsidR="000C6900" w:rsidRPr="000C6900" w:rsidRDefault="000C6900" w:rsidP="00BA0582">
            <w:pPr>
              <w:spacing w:line="240" w:lineRule="auto"/>
              <w:rPr>
                <w:rFonts w:cstheme="minorHAnsi"/>
                <w:color w:val="000000"/>
                <w:sz w:val="18"/>
                <w:szCs w:val="20"/>
              </w:rPr>
            </w:pPr>
            <w:r w:rsidRPr="000C6900">
              <w:rPr>
                <w:rFonts w:cstheme="minorHAnsi"/>
                <w:color w:val="000000"/>
                <w:sz w:val="18"/>
                <w:szCs w:val="20"/>
              </w:rPr>
              <w:t>6.85</w:t>
            </w:r>
          </w:p>
        </w:tc>
        <w:tc>
          <w:tcPr>
            <w:tcW w:w="984" w:type="pct"/>
            <w:gridSpan w:val="2"/>
            <w:tcBorders>
              <w:top w:val="dashed" w:sz="4" w:space="0" w:color="808080" w:themeColor="background1" w:themeShade="80"/>
              <w:left w:val="nil"/>
              <w:bottom w:val="dashed" w:sz="4" w:space="0" w:color="808080" w:themeColor="background1" w:themeShade="80"/>
              <w:right w:val="single" w:sz="4" w:space="0" w:color="808080"/>
            </w:tcBorders>
            <w:shd w:val="clear" w:color="auto" w:fill="auto"/>
          </w:tcPr>
          <w:p w14:paraId="47757C49" w14:textId="77777777" w:rsidR="000C6900" w:rsidRPr="000C6900" w:rsidRDefault="000C6900" w:rsidP="00BA0582">
            <w:pPr>
              <w:spacing w:line="240" w:lineRule="auto"/>
              <w:rPr>
                <w:rFonts w:cstheme="minorHAnsi"/>
                <w:color w:val="000000"/>
                <w:sz w:val="18"/>
                <w:szCs w:val="20"/>
              </w:rPr>
            </w:pPr>
          </w:p>
        </w:tc>
        <w:tc>
          <w:tcPr>
            <w:tcW w:w="622" w:type="pct"/>
            <w:tcBorders>
              <w:top w:val="dashed" w:sz="4" w:space="0" w:color="808080" w:themeColor="background1" w:themeShade="80"/>
              <w:left w:val="nil"/>
              <w:bottom w:val="dashed" w:sz="4" w:space="0" w:color="808080" w:themeColor="background1" w:themeShade="80"/>
            </w:tcBorders>
            <w:shd w:val="clear" w:color="auto" w:fill="auto"/>
            <w:noWrap/>
          </w:tcPr>
          <w:p w14:paraId="012DE98B" w14:textId="77777777" w:rsidR="000C6900" w:rsidRPr="000C6900" w:rsidRDefault="000C6900" w:rsidP="00BA0582">
            <w:pPr>
              <w:spacing w:line="240" w:lineRule="auto"/>
              <w:rPr>
                <w:rFonts w:cstheme="minorHAnsi"/>
                <w:color w:val="000000"/>
                <w:sz w:val="18"/>
                <w:szCs w:val="20"/>
              </w:rPr>
            </w:pPr>
          </w:p>
        </w:tc>
      </w:tr>
      <w:tr w:rsidR="000C6900" w:rsidRPr="000C6900" w14:paraId="7BD985C8" w14:textId="77777777" w:rsidTr="00DE200B">
        <w:trPr>
          <w:trHeight w:val="580"/>
        </w:trPr>
        <w:tc>
          <w:tcPr>
            <w:tcW w:w="906" w:type="pct"/>
            <w:vMerge/>
            <w:tcBorders>
              <w:left w:val="nil"/>
              <w:right w:val="single" w:sz="12" w:space="0" w:color="auto"/>
            </w:tcBorders>
            <w:vAlign w:val="center"/>
            <w:hideMark/>
          </w:tcPr>
          <w:p w14:paraId="1B21AB1F" w14:textId="77777777" w:rsidR="000C6900" w:rsidRPr="000C6900" w:rsidRDefault="000C6900" w:rsidP="00BA0582">
            <w:pPr>
              <w:spacing w:line="240" w:lineRule="auto"/>
              <w:rPr>
                <w:rFonts w:cstheme="minorHAnsi"/>
                <w:color w:val="000000"/>
                <w:sz w:val="18"/>
                <w:szCs w:val="20"/>
              </w:rPr>
            </w:pPr>
          </w:p>
        </w:tc>
        <w:tc>
          <w:tcPr>
            <w:tcW w:w="949" w:type="pct"/>
            <w:gridSpan w:val="3"/>
            <w:vMerge w:val="restart"/>
            <w:tcBorders>
              <w:top w:val="dashed" w:sz="4" w:space="0" w:color="808080" w:themeColor="background1" w:themeShade="80"/>
              <w:left w:val="single" w:sz="12" w:space="0" w:color="auto"/>
              <w:right w:val="single" w:sz="4" w:space="0" w:color="808080"/>
            </w:tcBorders>
            <w:shd w:val="clear" w:color="auto" w:fill="auto"/>
            <w:noWrap/>
            <w:hideMark/>
          </w:tcPr>
          <w:p w14:paraId="75AE8AC4" w14:textId="77777777" w:rsidR="000C6900" w:rsidRPr="000C6900" w:rsidRDefault="000C6900" w:rsidP="00BA0582">
            <w:pPr>
              <w:spacing w:line="240" w:lineRule="auto"/>
              <w:rPr>
                <w:rFonts w:cstheme="minorHAnsi"/>
                <w:color w:val="000000"/>
                <w:sz w:val="18"/>
                <w:szCs w:val="20"/>
              </w:rPr>
            </w:pPr>
          </w:p>
        </w:tc>
        <w:tc>
          <w:tcPr>
            <w:tcW w:w="596" w:type="pct"/>
            <w:vMerge w:val="restart"/>
            <w:tcBorders>
              <w:top w:val="dashed" w:sz="4" w:space="0" w:color="808080" w:themeColor="background1" w:themeShade="80"/>
              <w:left w:val="single" w:sz="4" w:space="0" w:color="808080"/>
              <w:right w:val="single" w:sz="4" w:space="0" w:color="808080"/>
            </w:tcBorders>
            <w:shd w:val="clear" w:color="auto" w:fill="auto"/>
            <w:noWrap/>
            <w:hideMark/>
          </w:tcPr>
          <w:p w14:paraId="440E7E7C" w14:textId="77777777" w:rsidR="000C6900" w:rsidRPr="000C6900" w:rsidRDefault="000C6900" w:rsidP="00BA0582">
            <w:pPr>
              <w:spacing w:line="240" w:lineRule="auto"/>
              <w:rPr>
                <w:rFonts w:cstheme="minorHAnsi"/>
                <w:color w:val="000000"/>
                <w:sz w:val="18"/>
                <w:szCs w:val="20"/>
              </w:rPr>
            </w:pPr>
          </w:p>
        </w:tc>
        <w:tc>
          <w:tcPr>
            <w:tcW w:w="597" w:type="pct"/>
            <w:gridSpan w:val="2"/>
            <w:tcBorders>
              <w:top w:val="dashed" w:sz="4" w:space="0" w:color="808080" w:themeColor="background1" w:themeShade="80"/>
              <w:left w:val="nil"/>
              <w:bottom w:val="dotted" w:sz="4" w:space="0" w:color="808080" w:themeColor="background1" w:themeShade="80"/>
              <w:right w:val="nil"/>
            </w:tcBorders>
            <w:shd w:val="clear" w:color="auto" w:fill="auto"/>
            <w:hideMark/>
          </w:tcPr>
          <w:p w14:paraId="7B17297E" w14:textId="1FA0BF80" w:rsidR="000C6900" w:rsidRPr="000C6900" w:rsidRDefault="00FD2A1C" w:rsidP="00BA0582">
            <w:pPr>
              <w:spacing w:line="240" w:lineRule="auto"/>
              <w:rPr>
                <w:rFonts w:cstheme="minorHAnsi"/>
                <w:color w:val="000000"/>
                <w:sz w:val="18"/>
                <w:szCs w:val="20"/>
              </w:rPr>
            </w:pPr>
            <w:r>
              <w:rPr>
                <w:rFonts w:cstheme="minorHAnsi"/>
                <w:color w:val="000000"/>
                <w:sz w:val="18"/>
                <w:szCs w:val="20"/>
              </w:rPr>
              <w:t>2.0</w:t>
            </w:r>
            <w:r w:rsidR="000C6900" w:rsidRPr="000C6900">
              <w:rPr>
                <w:rFonts w:cstheme="minorHAnsi"/>
                <w:color w:val="000000"/>
                <w:sz w:val="18"/>
                <w:szCs w:val="20"/>
              </w:rPr>
              <w:t xml:space="preserve"> s,</w:t>
            </w:r>
          </w:p>
          <w:p w14:paraId="429FCDCB" w14:textId="38F507FD" w:rsidR="000C6900" w:rsidRPr="000C6900" w:rsidRDefault="00FD2A1C" w:rsidP="00BA0582">
            <w:pPr>
              <w:spacing w:line="240" w:lineRule="auto"/>
              <w:rPr>
                <w:rFonts w:cstheme="minorHAnsi"/>
                <w:color w:val="000000"/>
                <w:sz w:val="18"/>
                <w:szCs w:val="20"/>
              </w:rPr>
            </w:pPr>
            <w:r>
              <w:rPr>
                <w:rFonts w:cstheme="minorHAnsi"/>
                <w:color w:val="000000"/>
                <w:sz w:val="18"/>
                <w:szCs w:val="20"/>
              </w:rPr>
              <w:t>6.6</w:t>
            </w:r>
            <w:r w:rsidR="000C6900" w:rsidRPr="000C6900">
              <w:rPr>
                <w:rFonts w:cstheme="minorHAnsi"/>
                <w:color w:val="000000"/>
                <w:sz w:val="18"/>
                <w:szCs w:val="20"/>
              </w:rPr>
              <w:t xml:space="preserve"> d</w:t>
            </w:r>
          </w:p>
        </w:tc>
        <w:tc>
          <w:tcPr>
            <w:tcW w:w="345" w:type="pct"/>
            <w:tcBorders>
              <w:top w:val="dashed" w:sz="4" w:space="0" w:color="808080" w:themeColor="background1" w:themeShade="80"/>
              <w:left w:val="nil"/>
              <w:bottom w:val="dotted" w:sz="4" w:space="0" w:color="808080" w:themeColor="background1" w:themeShade="80"/>
              <w:right w:val="single" w:sz="4" w:space="0" w:color="808080"/>
            </w:tcBorders>
            <w:shd w:val="clear" w:color="auto" w:fill="auto"/>
            <w:noWrap/>
            <w:hideMark/>
          </w:tcPr>
          <w:p w14:paraId="07A6CAE1" w14:textId="77777777" w:rsidR="000C6900" w:rsidRPr="000C6900" w:rsidRDefault="000C6900" w:rsidP="00BA0582">
            <w:pPr>
              <w:spacing w:line="240" w:lineRule="auto"/>
              <w:rPr>
                <w:rFonts w:cstheme="minorHAnsi"/>
                <w:color w:val="000000"/>
                <w:sz w:val="18"/>
                <w:szCs w:val="20"/>
              </w:rPr>
            </w:pPr>
            <w:r w:rsidRPr="000C6900">
              <w:rPr>
                <w:rFonts w:cstheme="minorHAnsi"/>
                <w:color w:val="000000"/>
                <w:sz w:val="18"/>
                <w:szCs w:val="20"/>
              </w:rPr>
              <w:t>7.14</w:t>
            </w:r>
          </w:p>
        </w:tc>
        <w:tc>
          <w:tcPr>
            <w:tcW w:w="984" w:type="pct"/>
            <w:gridSpan w:val="2"/>
            <w:tcBorders>
              <w:top w:val="dashed" w:sz="4" w:space="0" w:color="808080" w:themeColor="background1" w:themeShade="80"/>
              <w:left w:val="nil"/>
              <w:bottom w:val="dotted" w:sz="4" w:space="0" w:color="808080" w:themeColor="background1" w:themeShade="80"/>
              <w:right w:val="single" w:sz="4" w:space="0" w:color="808080"/>
            </w:tcBorders>
            <w:shd w:val="clear" w:color="auto" w:fill="auto"/>
            <w:noWrap/>
          </w:tcPr>
          <w:p w14:paraId="24C1BCF5" w14:textId="77777777" w:rsidR="000C6900" w:rsidRPr="000C6900" w:rsidRDefault="000C6900" w:rsidP="00BA0582">
            <w:pPr>
              <w:spacing w:line="240" w:lineRule="auto"/>
              <w:rPr>
                <w:rFonts w:cstheme="minorHAnsi"/>
                <w:color w:val="000000"/>
                <w:sz w:val="18"/>
                <w:szCs w:val="20"/>
              </w:rPr>
            </w:pPr>
          </w:p>
        </w:tc>
        <w:tc>
          <w:tcPr>
            <w:tcW w:w="622" w:type="pct"/>
            <w:tcBorders>
              <w:top w:val="dashed" w:sz="4" w:space="0" w:color="808080" w:themeColor="background1" w:themeShade="80"/>
              <w:left w:val="nil"/>
              <w:bottom w:val="dotted" w:sz="4" w:space="0" w:color="808080" w:themeColor="background1" w:themeShade="80"/>
            </w:tcBorders>
            <w:shd w:val="clear" w:color="auto" w:fill="auto"/>
            <w:noWrap/>
          </w:tcPr>
          <w:p w14:paraId="377AC4B8" w14:textId="77777777" w:rsidR="000C6900" w:rsidRPr="000C6900" w:rsidRDefault="000C6900" w:rsidP="00BA0582">
            <w:pPr>
              <w:spacing w:line="240" w:lineRule="auto"/>
              <w:rPr>
                <w:rFonts w:cstheme="minorHAnsi"/>
                <w:color w:val="000000"/>
                <w:sz w:val="18"/>
                <w:szCs w:val="20"/>
              </w:rPr>
            </w:pPr>
          </w:p>
        </w:tc>
      </w:tr>
      <w:tr w:rsidR="000C6900" w:rsidRPr="000C6900" w14:paraId="599DF335" w14:textId="77777777" w:rsidTr="00DE200B">
        <w:trPr>
          <w:trHeight w:val="1450"/>
        </w:trPr>
        <w:tc>
          <w:tcPr>
            <w:tcW w:w="906" w:type="pct"/>
            <w:vMerge/>
            <w:tcBorders>
              <w:left w:val="nil"/>
              <w:bottom w:val="nil"/>
              <w:right w:val="single" w:sz="12" w:space="0" w:color="auto"/>
            </w:tcBorders>
            <w:shd w:val="clear" w:color="auto" w:fill="auto"/>
            <w:noWrap/>
            <w:vAlign w:val="center"/>
            <w:hideMark/>
          </w:tcPr>
          <w:p w14:paraId="62EE39AC" w14:textId="77777777" w:rsidR="000C6900" w:rsidRPr="000C6900" w:rsidRDefault="000C6900" w:rsidP="00BA0582">
            <w:pPr>
              <w:spacing w:line="240" w:lineRule="auto"/>
              <w:rPr>
                <w:rFonts w:cstheme="minorHAnsi"/>
                <w:color w:val="000000"/>
                <w:sz w:val="18"/>
                <w:szCs w:val="20"/>
              </w:rPr>
            </w:pPr>
          </w:p>
        </w:tc>
        <w:tc>
          <w:tcPr>
            <w:tcW w:w="949" w:type="pct"/>
            <w:gridSpan w:val="3"/>
            <w:vMerge/>
            <w:tcBorders>
              <w:left w:val="single" w:sz="12" w:space="0" w:color="auto"/>
              <w:bottom w:val="nil"/>
              <w:right w:val="single" w:sz="4" w:space="0" w:color="808080"/>
            </w:tcBorders>
            <w:shd w:val="clear" w:color="auto" w:fill="auto"/>
            <w:noWrap/>
          </w:tcPr>
          <w:p w14:paraId="68276A9A" w14:textId="77777777" w:rsidR="000C6900" w:rsidRPr="000C6900" w:rsidRDefault="000C6900" w:rsidP="00BA0582">
            <w:pPr>
              <w:spacing w:line="240" w:lineRule="auto"/>
              <w:rPr>
                <w:rFonts w:cstheme="minorHAnsi"/>
                <w:color w:val="000000"/>
                <w:sz w:val="18"/>
                <w:szCs w:val="20"/>
              </w:rPr>
            </w:pPr>
          </w:p>
        </w:tc>
        <w:tc>
          <w:tcPr>
            <w:tcW w:w="596" w:type="pct"/>
            <w:vMerge/>
            <w:tcBorders>
              <w:left w:val="single" w:sz="4" w:space="0" w:color="808080"/>
              <w:bottom w:val="nil"/>
              <w:right w:val="single" w:sz="4" w:space="0" w:color="808080"/>
            </w:tcBorders>
            <w:shd w:val="clear" w:color="auto" w:fill="auto"/>
            <w:noWrap/>
          </w:tcPr>
          <w:p w14:paraId="4B317E18" w14:textId="77777777" w:rsidR="000C6900" w:rsidRPr="000C6900" w:rsidRDefault="000C6900" w:rsidP="00BA0582">
            <w:pPr>
              <w:spacing w:line="240" w:lineRule="auto"/>
              <w:rPr>
                <w:rFonts w:cstheme="minorHAnsi"/>
                <w:color w:val="000000"/>
                <w:sz w:val="18"/>
                <w:szCs w:val="20"/>
              </w:rPr>
            </w:pPr>
          </w:p>
        </w:tc>
        <w:tc>
          <w:tcPr>
            <w:tcW w:w="597" w:type="pct"/>
            <w:gridSpan w:val="2"/>
            <w:tcBorders>
              <w:top w:val="dotted" w:sz="4" w:space="0" w:color="808080" w:themeColor="background1" w:themeShade="80"/>
              <w:left w:val="nil"/>
              <w:bottom w:val="nil"/>
              <w:right w:val="nil"/>
            </w:tcBorders>
            <w:shd w:val="clear" w:color="auto" w:fill="auto"/>
            <w:hideMark/>
          </w:tcPr>
          <w:p w14:paraId="44BF4AFD" w14:textId="598216CE" w:rsidR="000C6900" w:rsidRPr="000C6900" w:rsidRDefault="00FD2A1C" w:rsidP="00BA0582">
            <w:pPr>
              <w:spacing w:line="240" w:lineRule="auto"/>
              <w:rPr>
                <w:rFonts w:cstheme="minorHAnsi"/>
                <w:color w:val="000000"/>
                <w:sz w:val="18"/>
                <w:szCs w:val="20"/>
              </w:rPr>
            </w:pPr>
            <w:r>
              <w:rPr>
                <w:rFonts w:cstheme="minorHAnsi"/>
                <w:color w:val="000000"/>
                <w:sz w:val="18"/>
                <w:szCs w:val="20"/>
              </w:rPr>
              <w:t>0.9</w:t>
            </w:r>
            <w:r w:rsidR="000C6900" w:rsidRPr="000C6900">
              <w:rPr>
                <w:rFonts w:cstheme="minorHAnsi"/>
                <w:color w:val="000000"/>
                <w:sz w:val="18"/>
                <w:szCs w:val="20"/>
              </w:rPr>
              <w:t xml:space="preserve"> d,</w:t>
            </w:r>
          </w:p>
          <w:p w14:paraId="79ACB7CE" w14:textId="34D08477" w:rsidR="000C6900" w:rsidRPr="000C6900" w:rsidRDefault="00FD2A1C" w:rsidP="00BA0582">
            <w:pPr>
              <w:spacing w:line="240" w:lineRule="auto"/>
              <w:rPr>
                <w:rFonts w:cstheme="minorHAnsi"/>
                <w:color w:val="000000"/>
                <w:sz w:val="18"/>
                <w:szCs w:val="20"/>
              </w:rPr>
            </w:pPr>
            <w:r>
              <w:rPr>
                <w:rFonts w:cstheme="minorHAnsi"/>
                <w:color w:val="000000"/>
                <w:sz w:val="18"/>
                <w:szCs w:val="20"/>
              </w:rPr>
              <w:t>0.7</w:t>
            </w:r>
            <w:r w:rsidR="000C6900" w:rsidRPr="000C6900">
              <w:rPr>
                <w:rFonts w:cstheme="minorHAnsi"/>
                <w:color w:val="000000"/>
                <w:sz w:val="18"/>
                <w:szCs w:val="20"/>
              </w:rPr>
              <w:t xml:space="preserve"> d</w:t>
            </w:r>
          </w:p>
          <w:p w14:paraId="72144940" w14:textId="68663AB1" w:rsidR="000C6900" w:rsidRPr="000C6900" w:rsidRDefault="00FD2A1C" w:rsidP="00BA0582">
            <w:pPr>
              <w:spacing w:line="240" w:lineRule="auto"/>
              <w:rPr>
                <w:rFonts w:cstheme="minorHAnsi"/>
                <w:color w:val="000000"/>
                <w:sz w:val="18"/>
                <w:szCs w:val="20"/>
              </w:rPr>
            </w:pPr>
            <w:r>
              <w:rPr>
                <w:rFonts w:cstheme="minorHAnsi"/>
                <w:color w:val="000000"/>
                <w:sz w:val="18"/>
                <w:szCs w:val="20"/>
              </w:rPr>
              <w:t>1.1</w:t>
            </w:r>
            <w:r w:rsidR="000C6900" w:rsidRPr="000C6900">
              <w:rPr>
                <w:rFonts w:cstheme="minorHAnsi"/>
                <w:color w:val="000000"/>
                <w:sz w:val="18"/>
                <w:szCs w:val="20"/>
              </w:rPr>
              <w:t xml:space="preserve"> d</w:t>
            </w:r>
          </w:p>
          <w:p w14:paraId="0F4B205A" w14:textId="0AEBBBC4" w:rsidR="000C6900" w:rsidRPr="000C6900" w:rsidRDefault="00FD2A1C" w:rsidP="00BA0582">
            <w:pPr>
              <w:spacing w:line="240" w:lineRule="auto"/>
              <w:rPr>
                <w:rFonts w:cstheme="minorHAnsi"/>
                <w:color w:val="000000"/>
                <w:sz w:val="18"/>
                <w:szCs w:val="20"/>
              </w:rPr>
            </w:pPr>
            <w:r>
              <w:rPr>
                <w:rFonts w:cstheme="minorHAnsi"/>
                <w:color w:val="000000"/>
                <w:sz w:val="18"/>
                <w:szCs w:val="20"/>
              </w:rPr>
              <w:t>0.2</w:t>
            </w:r>
            <w:r w:rsidR="000C6900" w:rsidRPr="000C6900">
              <w:rPr>
                <w:rFonts w:cstheme="minorHAnsi"/>
                <w:color w:val="000000"/>
                <w:sz w:val="18"/>
                <w:szCs w:val="20"/>
              </w:rPr>
              <w:t xml:space="preserve"> m,</w:t>
            </w:r>
          </w:p>
          <w:p w14:paraId="5024D929" w14:textId="5AC7304B" w:rsidR="000C6900" w:rsidRPr="000C6900" w:rsidRDefault="00FD2A1C" w:rsidP="00BA0582">
            <w:pPr>
              <w:spacing w:line="240" w:lineRule="auto"/>
              <w:rPr>
                <w:rFonts w:cstheme="minorHAnsi"/>
                <w:color w:val="000000"/>
                <w:sz w:val="18"/>
                <w:szCs w:val="20"/>
              </w:rPr>
            </w:pPr>
            <w:r>
              <w:rPr>
                <w:rFonts w:cstheme="minorHAnsi"/>
                <w:color w:val="000000"/>
                <w:sz w:val="18"/>
                <w:szCs w:val="20"/>
              </w:rPr>
              <w:t>0.5</w:t>
            </w:r>
            <w:r w:rsidR="000C6900" w:rsidRPr="000C6900">
              <w:rPr>
                <w:rFonts w:cstheme="minorHAnsi"/>
                <w:color w:val="000000"/>
                <w:sz w:val="18"/>
                <w:szCs w:val="20"/>
              </w:rPr>
              <w:t xml:space="preserve"> d</w:t>
            </w:r>
          </w:p>
        </w:tc>
        <w:tc>
          <w:tcPr>
            <w:tcW w:w="345" w:type="pct"/>
            <w:tcBorders>
              <w:top w:val="dotted" w:sz="4" w:space="0" w:color="808080" w:themeColor="background1" w:themeShade="80"/>
              <w:left w:val="nil"/>
              <w:bottom w:val="nil"/>
              <w:right w:val="single" w:sz="4" w:space="0" w:color="808080"/>
            </w:tcBorders>
            <w:shd w:val="clear" w:color="auto" w:fill="auto"/>
            <w:hideMark/>
          </w:tcPr>
          <w:p w14:paraId="30ABEA23" w14:textId="77777777" w:rsidR="000C6900" w:rsidRPr="000C6900" w:rsidRDefault="000C6900" w:rsidP="00BA0582">
            <w:pPr>
              <w:spacing w:line="240" w:lineRule="auto"/>
              <w:rPr>
                <w:rFonts w:cstheme="minorHAnsi"/>
                <w:color w:val="000000"/>
                <w:sz w:val="18"/>
                <w:szCs w:val="20"/>
              </w:rPr>
            </w:pPr>
            <w:r w:rsidRPr="000C6900">
              <w:rPr>
                <w:rFonts w:cstheme="minorHAnsi"/>
                <w:color w:val="000000"/>
                <w:sz w:val="18"/>
                <w:szCs w:val="20"/>
              </w:rPr>
              <w:t>6.60, 6.65</w:t>
            </w:r>
          </w:p>
          <w:p w14:paraId="4E421E4D" w14:textId="77777777" w:rsidR="000C6900" w:rsidRPr="000C6900" w:rsidRDefault="000C6900" w:rsidP="00BA0582">
            <w:pPr>
              <w:spacing w:line="240" w:lineRule="auto"/>
              <w:rPr>
                <w:rFonts w:cstheme="minorHAnsi"/>
                <w:color w:val="000000"/>
                <w:sz w:val="18"/>
                <w:szCs w:val="20"/>
              </w:rPr>
            </w:pPr>
            <w:r w:rsidRPr="000C6900">
              <w:rPr>
                <w:rFonts w:cstheme="minorHAnsi"/>
                <w:color w:val="000000"/>
                <w:sz w:val="18"/>
                <w:szCs w:val="20"/>
              </w:rPr>
              <w:t>1.47</w:t>
            </w:r>
          </w:p>
          <w:p w14:paraId="599144CA" w14:textId="77777777" w:rsidR="000C6900" w:rsidRPr="000C6900" w:rsidRDefault="000C6900" w:rsidP="00BA0582">
            <w:pPr>
              <w:spacing w:line="240" w:lineRule="auto"/>
              <w:rPr>
                <w:rFonts w:cstheme="minorHAnsi"/>
                <w:color w:val="000000"/>
                <w:sz w:val="18"/>
                <w:szCs w:val="20"/>
              </w:rPr>
            </w:pPr>
            <w:r w:rsidRPr="000C6900">
              <w:rPr>
                <w:rFonts w:cstheme="minorHAnsi"/>
                <w:color w:val="000000"/>
                <w:sz w:val="18"/>
                <w:szCs w:val="20"/>
              </w:rPr>
              <w:t>-10.41</w:t>
            </w:r>
          </w:p>
        </w:tc>
        <w:tc>
          <w:tcPr>
            <w:tcW w:w="638" w:type="pct"/>
            <w:tcBorders>
              <w:top w:val="dotted" w:sz="4" w:space="0" w:color="808080" w:themeColor="background1" w:themeShade="80"/>
              <w:left w:val="nil"/>
              <w:bottom w:val="nil"/>
              <w:right w:val="nil"/>
            </w:tcBorders>
            <w:shd w:val="clear" w:color="auto" w:fill="auto"/>
            <w:hideMark/>
          </w:tcPr>
          <w:p w14:paraId="3508EAE6" w14:textId="77777777" w:rsidR="000C6900" w:rsidRPr="000C6900" w:rsidRDefault="000C6900" w:rsidP="00BA0582">
            <w:pPr>
              <w:spacing w:line="240" w:lineRule="auto"/>
              <w:rPr>
                <w:rFonts w:cstheme="minorHAnsi"/>
                <w:color w:val="000000"/>
                <w:sz w:val="18"/>
                <w:szCs w:val="20"/>
              </w:rPr>
            </w:pPr>
            <w:r w:rsidRPr="000C6900">
              <w:rPr>
                <w:rFonts w:cstheme="minorHAnsi"/>
                <w:color w:val="000000"/>
                <w:sz w:val="18"/>
                <w:szCs w:val="20"/>
              </w:rPr>
              <w:t>6.10 s</w:t>
            </w:r>
          </w:p>
        </w:tc>
        <w:tc>
          <w:tcPr>
            <w:tcW w:w="347" w:type="pct"/>
            <w:tcBorders>
              <w:top w:val="dotted" w:sz="4" w:space="0" w:color="808080" w:themeColor="background1" w:themeShade="80"/>
              <w:left w:val="nil"/>
              <w:bottom w:val="nil"/>
              <w:right w:val="single" w:sz="4" w:space="0" w:color="808080"/>
            </w:tcBorders>
            <w:shd w:val="clear" w:color="auto" w:fill="auto"/>
            <w:noWrap/>
            <w:hideMark/>
          </w:tcPr>
          <w:p w14:paraId="32285A83" w14:textId="77777777" w:rsidR="000C6900" w:rsidRPr="000C6900" w:rsidRDefault="000C6900" w:rsidP="00BA0582">
            <w:pPr>
              <w:spacing w:line="240" w:lineRule="auto"/>
              <w:rPr>
                <w:rFonts w:cstheme="minorHAnsi"/>
                <w:color w:val="000000"/>
                <w:sz w:val="18"/>
                <w:szCs w:val="20"/>
              </w:rPr>
            </w:pPr>
          </w:p>
        </w:tc>
        <w:tc>
          <w:tcPr>
            <w:tcW w:w="622" w:type="pct"/>
            <w:tcBorders>
              <w:top w:val="dotted" w:sz="4" w:space="0" w:color="808080" w:themeColor="background1" w:themeShade="80"/>
              <w:left w:val="nil"/>
              <w:bottom w:val="nil"/>
            </w:tcBorders>
            <w:shd w:val="clear" w:color="auto" w:fill="auto"/>
            <w:hideMark/>
          </w:tcPr>
          <w:p w14:paraId="51252F14" w14:textId="3215325F" w:rsidR="000C6900" w:rsidRPr="000C6900" w:rsidRDefault="00FD2A1C" w:rsidP="00BA0582">
            <w:pPr>
              <w:spacing w:line="240" w:lineRule="auto"/>
              <w:rPr>
                <w:rFonts w:cstheme="minorHAnsi"/>
                <w:color w:val="000000"/>
                <w:sz w:val="18"/>
                <w:szCs w:val="20"/>
              </w:rPr>
            </w:pPr>
            <w:r>
              <w:rPr>
                <w:rFonts w:cstheme="minorHAnsi"/>
                <w:color w:val="000000"/>
                <w:sz w:val="18"/>
                <w:szCs w:val="20"/>
              </w:rPr>
              <w:t>6.3</w:t>
            </w:r>
            <w:r w:rsidR="000C6900" w:rsidRPr="000C6900">
              <w:rPr>
                <w:rFonts w:cstheme="minorHAnsi"/>
                <w:color w:val="000000"/>
                <w:sz w:val="18"/>
                <w:szCs w:val="20"/>
              </w:rPr>
              <w:t xml:space="preserve"> s,</w:t>
            </w:r>
          </w:p>
          <w:p w14:paraId="1A8BE3CA" w14:textId="3CC9D0A4" w:rsidR="000C6900" w:rsidRPr="000C6900" w:rsidRDefault="00FD2A1C" w:rsidP="00BA0582">
            <w:pPr>
              <w:spacing w:line="240" w:lineRule="auto"/>
              <w:rPr>
                <w:rFonts w:cstheme="minorHAnsi"/>
                <w:color w:val="000000"/>
                <w:sz w:val="18"/>
                <w:szCs w:val="20"/>
              </w:rPr>
            </w:pPr>
            <w:r>
              <w:rPr>
                <w:rFonts w:cstheme="minorHAnsi"/>
                <w:color w:val="000000"/>
                <w:sz w:val="18"/>
                <w:szCs w:val="20"/>
              </w:rPr>
              <w:t>4.9</w:t>
            </w:r>
            <w:r w:rsidR="000C6900" w:rsidRPr="000C6900">
              <w:rPr>
                <w:rFonts w:cstheme="minorHAnsi"/>
                <w:color w:val="000000"/>
                <w:sz w:val="18"/>
                <w:szCs w:val="20"/>
              </w:rPr>
              <w:t xml:space="preserve"> m small,</w:t>
            </w:r>
          </w:p>
          <w:p w14:paraId="03AE87D7" w14:textId="6BC8A77E" w:rsidR="000C6900" w:rsidRPr="000C6900" w:rsidRDefault="00FD2A1C" w:rsidP="00BA0582">
            <w:pPr>
              <w:spacing w:line="240" w:lineRule="auto"/>
              <w:rPr>
                <w:rFonts w:cstheme="minorHAnsi"/>
                <w:color w:val="000000"/>
                <w:sz w:val="18"/>
                <w:szCs w:val="20"/>
              </w:rPr>
            </w:pPr>
            <w:r>
              <w:rPr>
                <w:rFonts w:cstheme="minorHAnsi"/>
                <w:color w:val="000000"/>
                <w:sz w:val="18"/>
                <w:szCs w:val="20"/>
              </w:rPr>
              <w:t>1.1</w:t>
            </w:r>
            <w:r w:rsidR="000C6900" w:rsidRPr="000C6900">
              <w:rPr>
                <w:rFonts w:cstheme="minorHAnsi"/>
                <w:color w:val="000000"/>
                <w:sz w:val="18"/>
                <w:szCs w:val="20"/>
              </w:rPr>
              <w:t xml:space="preserve"> s</w:t>
            </w:r>
          </w:p>
        </w:tc>
      </w:tr>
    </w:tbl>
    <w:p w14:paraId="51B18BC8" w14:textId="77777777" w:rsidR="00BA0582" w:rsidRDefault="00BA0582" w:rsidP="00BA0582">
      <w:pPr>
        <w:spacing w:line="360" w:lineRule="auto"/>
        <w:rPr>
          <w:lang w:val="fr-FR"/>
        </w:rPr>
      </w:pPr>
    </w:p>
    <w:tbl>
      <w:tblPr>
        <w:tblStyle w:val="TableGrid"/>
        <w:tblW w:w="4820" w:type="pct"/>
        <w:tblInd w:w="270" w:type="dxa"/>
        <w:tblLook w:val="04A0" w:firstRow="1" w:lastRow="0" w:firstColumn="1" w:lastColumn="0" w:noHBand="0" w:noVBand="1"/>
      </w:tblPr>
      <w:tblGrid>
        <w:gridCol w:w="2765"/>
        <w:gridCol w:w="5425"/>
      </w:tblGrid>
      <w:tr w:rsidR="00BA0582" w:rsidRPr="00652153" w14:paraId="09FAE629" w14:textId="77777777" w:rsidTr="00B20A49">
        <w:tc>
          <w:tcPr>
            <w:tcW w:w="1688" w:type="pct"/>
            <w:tcBorders>
              <w:top w:val="nil"/>
              <w:left w:val="nil"/>
              <w:bottom w:val="single" w:sz="12" w:space="0" w:color="auto"/>
              <w:right w:val="single" w:sz="12" w:space="0" w:color="auto"/>
            </w:tcBorders>
          </w:tcPr>
          <w:p w14:paraId="234C5B63" w14:textId="77777777" w:rsidR="00BA0582" w:rsidRPr="00652153" w:rsidRDefault="00BA0582" w:rsidP="00BA0582">
            <w:pPr>
              <w:spacing w:line="360" w:lineRule="auto"/>
              <w:jc w:val="both"/>
              <w:rPr>
                <w:sz w:val="22"/>
              </w:rPr>
            </w:pPr>
            <w:r w:rsidRPr="00652153">
              <w:rPr>
                <w:sz w:val="22"/>
              </w:rPr>
              <w:t>IReO</w:t>
            </w:r>
            <w:r w:rsidRPr="00652153">
              <w:rPr>
                <w:sz w:val="22"/>
                <w:vertAlign w:val="subscript"/>
              </w:rPr>
              <w:t>2</w:t>
            </w:r>
            <w:r w:rsidRPr="00652153">
              <w:rPr>
                <w:sz w:val="22"/>
              </w:rPr>
              <w:t>(PPh</w:t>
            </w:r>
            <w:r w:rsidRPr="00652153">
              <w:rPr>
                <w:sz w:val="22"/>
                <w:vertAlign w:val="subscript"/>
              </w:rPr>
              <w:t>3</w:t>
            </w:r>
            <w:r w:rsidRPr="00652153">
              <w:rPr>
                <w:sz w:val="22"/>
              </w:rPr>
              <w:t>)</w:t>
            </w:r>
            <w:r w:rsidRPr="00652153">
              <w:rPr>
                <w:sz w:val="22"/>
                <w:vertAlign w:val="subscript"/>
              </w:rPr>
              <w:t>2</w:t>
            </w:r>
            <w:r w:rsidRPr="00652153">
              <w:rPr>
                <w:sz w:val="22"/>
              </w:rPr>
              <w:t xml:space="preserve"> with:</w:t>
            </w:r>
          </w:p>
        </w:tc>
        <w:tc>
          <w:tcPr>
            <w:tcW w:w="3312" w:type="pct"/>
            <w:tcBorders>
              <w:top w:val="nil"/>
              <w:left w:val="single" w:sz="12" w:space="0" w:color="auto"/>
              <w:bottom w:val="single" w:sz="12" w:space="0" w:color="auto"/>
              <w:right w:val="nil"/>
            </w:tcBorders>
          </w:tcPr>
          <w:p w14:paraId="435AB5BD" w14:textId="77777777" w:rsidR="00BA0582" w:rsidRPr="00652153" w:rsidRDefault="00BA0582" w:rsidP="00BA0582">
            <w:pPr>
              <w:spacing w:line="360" w:lineRule="auto"/>
              <w:jc w:val="both"/>
              <w:rPr>
                <w:sz w:val="22"/>
              </w:rPr>
            </w:pPr>
            <w:r w:rsidRPr="00652153">
              <w:rPr>
                <w:sz w:val="22"/>
                <w:vertAlign w:val="superscript"/>
              </w:rPr>
              <w:t>31</w:t>
            </w:r>
            <w:r w:rsidRPr="00652153">
              <w:rPr>
                <w:sz w:val="22"/>
              </w:rPr>
              <w:t xml:space="preserve">P NMR Signals </w:t>
            </w:r>
            <w:r w:rsidRPr="00652153">
              <w:rPr>
                <w:sz w:val="22"/>
                <w:vertAlign w:val="superscript"/>
              </w:rPr>
              <w:t>b</w:t>
            </w:r>
          </w:p>
        </w:tc>
      </w:tr>
      <w:tr w:rsidR="00BA0582" w:rsidRPr="00652153" w14:paraId="0EE92B4F" w14:textId="77777777" w:rsidTr="00B20A49">
        <w:tc>
          <w:tcPr>
            <w:tcW w:w="1688" w:type="pct"/>
            <w:tcBorders>
              <w:top w:val="single" w:sz="12" w:space="0" w:color="auto"/>
              <w:left w:val="nil"/>
              <w:right w:val="single" w:sz="12" w:space="0" w:color="auto"/>
            </w:tcBorders>
          </w:tcPr>
          <w:p w14:paraId="795C65D8" w14:textId="77777777" w:rsidR="00BA0582" w:rsidRPr="00652153" w:rsidRDefault="00BA0582" w:rsidP="00BA0582">
            <w:pPr>
              <w:spacing w:line="360" w:lineRule="auto"/>
              <w:jc w:val="both"/>
              <w:rPr>
                <w:sz w:val="22"/>
              </w:rPr>
            </w:pPr>
            <w:r w:rsidRPr="00652153">
              <w:rPr>
                <w:sz w:val="22"/>
              </w:rPr>
              <w:t>Ph</w:t>
            </w:r>
            <w:r w:rsidRPr="00652153">
              <w:rPr>
                <w:sz w:val="22"/>
                <w:vertAlign w:val="subscript"/>
              </w:rPr>
              <w:t>2</w:t>
            </w:r>
            <w:r w:rsidRPr="00652153">
              <w:rPr>
                <w:sz w:val="22"/>
              </w:rPr>
              <w:t>CHOH</w:t>
            </w:r>
            <w:r w:rsidRPr="00652153">
              <w:rPr>
                <w:sz w:val="22"/>
                <w:vertAlign w:val="superscript"/>
              </w:rPr>
              <w:t>a</w:t>
            </w:r>
          </w:p>
        </w:tc>
        <w:tc>
          <w:tcPr>
            <w:tcW w:w="3312" w:type="pct"/>
            <w:tcBorders>
              <w:top w:val="single" w:sz="12" w:space="0" w:color="auto"/>
              <w:left w:val="single" w:sz="12" w:space="0" w:color="auto"/>
              <w:right w:val="nil"/>
            </w:tcBorders>
          </w:tcPr>
          <w:p w14:paraId="68BBFD16" w14:textId="7C31D6D5" w:rsidR="00BA0582" w:rsidRPr="00652153" w:rsidRDefault="00FD2A1C" w:rsidP="00BA0582">
            <w:pPr>
              <w:spacing w:line="360" w:lineRule="auto"/>
              <w:jc w:val="both"/>
              <w:rPr>
                <w:sz w:val="22"/>
              </w:rPr>
            </w:pPr>
            <w:r>
              <w:rPr>
                <w:sz w:val="22"/>
                <w:u w:val="single"/>
              </w:rPr>
              <w:t>72.7</w:t>
            </w:r>
            <w:r w:rsidR="00BA0582" w:rsidRPr="00652153">
              <w:rPr>
                <w:sz w:val="22"/>
              </w:rPr>
              <w:t>, {</w:t>
            </w:r>
            <w:r w:rsidR="00BA0582" w:rsidRPr="00652153">
              <w:rPr>
                <w:b/>
                <w:sz w:val="22"/>
              </w:rPr>
              <w:t>49.97</w:t>
            </w:r>
            <w:r w:rsidR="00BA0582" w:rsidRPr="00652153">
              <w:rPr>
                <w:sz w:val="22"/>
              </w:rPr>
              <w:t>, d, J</w:t>
            </w:r>
            <w:r w:rsidR="00BA0582" w:rsidRPr="00652153">
              <w:rPr>
                <w:sz w:val="22"/>
                <w:vertAlign w:val="subscript"/>
              </w:rPr>
              <w:t>PP</w:t>
            </w:r>
            <w:r w:rsidR="00BA0582" w:rsidRPr="00652153">
              <w:rPr>
                <w:sz w:val="22"/>
              </w:rPr>
              <w:t xml:space="preserve">=16 Hz}, </w:t>
            </w:r>
            <w:r>
              <w:rPr>
                <w:b/>
                <w:sz w:val="22"/>
              </w:rPr>
              <w:t>25.5</w:t>
            </w:r>
            <w:r w:rsidR="00BA0582" w:rsidRPr="00652153">
              <w:rPr>
                <w:sz w:val="22"/>
              </w:rPr>
              <w:t xml:space="preserve">, </w:t>
            </w:r>
            <w:r>
              <w:rPr>
                <w:sz w:val="22"/>
                <w:u w:val="single"/>
              </w:rPr>
              <w:t>21.8</w:t>
            </w:r>
            <w:r w:rsidR="00BA0582" w:rsidRPr="00652153">
              <w:rPr>
                <w:sz w:val="22"/>
              </w:rPr>
              <w:t xml:space="preserve">, </w:t>
            </w:r>
            <w:r>
              <w:rPr>
                <w:b/>
                <w:sz w:val="22"/>
              </w:rPr>
              <w:t>-5.4</w:t>
            </w:r>
            <w:r w:rsidR="00BA0582" w:rsidRPr="00652153">
              <w:rPr>
                <w:sz w:val="22"/>
              </w:rPr>
              <w:t xml:space="preserve">, </w:t>
            </w:r>
            <w:r>
              <w:rPr>
                <w:sz w:val="22"/>
                <w:u w:val="single"/>
              </w:rPr>
              <w:t>-7.9</w:t>
            </w:r>
            <w:r w:rsidR="00BA0582" w:rsidRPr="00652153">
              <w:rPr>
                <w:sz w:val="22"/>
              </w:rPr>
              <w:t xml:space="preserve">, </w:t>
            </w:r>
            <w:r>
              <w:rPr>
                <w:sz w:val="22"/>
                <w:u w:val="single"/>
              </w:rPr>
              <w:t>-8.8</w:t>
            </w:r>
            <w:r w:rsidR="00BA0582" w:rsidRPr="00652153">
              <w:rPr>
                <w:sz w:val="22"/>
              </w:rPr>
              <w:t xml:space="preserve">, </w:t>
            </w:r>
            <w:r>
              <w:rPr>
                <w:sz w:val="22"/>
                <w:u w:val="single"/>
              </w:rPr>
              <w:t>-9.6</w:t>
            </w:r>
            <w:r w:rsidR="00BA0582" w:rsidRPr="00652153">
              <w:rPr>
                <w:sz w:val="22"/>
              </w:rPr>
              <w:t>, -</w:t>
            </w:r>
            <w:r>
              <w:rPr>
                <w:sz w:val="22"/>
                <w:u w:val="single"/>
              </w:rPr>
              <w:t>10.7</w:t>
            </w:r>
            <w:r w:rsidR="00BA0582" w:rsidRPr="00652153">
              <w:rPr>
                <w:sz w:val="22"/>
              </w:rPr>
              <w:t xml:space="preserve">, </w:t>
            </w:r>
            <w:r>
              <w:rPr>
                <w:b/>
                <w:sz w:val="22"/>
              </w:rPr>
              <w:t>-11.7</w:t>
            </w:r>
            <w:r w:rsidR="00BA0582" w:rsidRPr="00652153">
              <w:rPr>
                <w:sz w:val="22"/>
              </w:rPr>
              <w:t>, {</w:t>
            </w:r>
            <w:r w:rsidR="00BA0582" w:rsidRPr="00652153">
              <w:rPr>
                <w:b/>
                <w:sz w:val="22"/>
              </w:rPr>
              <w:t>-12.14</w:t>
            </w:r>
            <w:r w:rsidR="00BA0582" w:rsidRPr="00652153">
              <w:rPr>
                <w:sz w:val="22"/>
              </w:rPr>
              <w:t>, d, J</w:t>
            </w:r>
            <w:r w:rsidR="00BA0582" w:rsidRPr="00652153">
              <w:rPr>
                <w:sz w:val="22"/>
                <w:vertAlign w:val="subscript"/>
              </w:rPr>
              <w:t>PP</w:t>
            </w:r>
            <w:r w:rsidR="00BA0582" w:rsidRPr="00652153">
              <w:rPr>
                <w:sz w:val="22"/>
              </w:rPr>
              <w:t>=16 Hz}</w:t>
            </w:r>
          </w:p>
        </w:tc>
      </w:tr>
      <w:tr w:rsidR="00BA0582" w:rsidRPr="00652153" w14:paraId="4F26FAD0" w14:textId="77777777" w:rsidTr="00B20A49">
        <w:tc>
          <w:tcPr>
            <w:tcW w:w="1688" w:type="pct"/>
            <w:tcBorders>
              <w:left w:val="nil"/>
              <w:right w:val="single" w:sz="12" w:space="0" w:color="auto"/>
            </w:tcBorders>
          </w:tcPr>
          <w:p w14:paraId="222F21E9" w14:textId="77777777" w:rsidR="00BA0582" w:rsidRPr="00652153" w:rsidRDefault="00BA0582" w:rsidP="00BA0582">
            <w:pPr>
              <w:spacing w:line="360" w:lineRule="auto"/>
              <w:jc w:val="both"/>
              <w:rPr>
                <w:sz w:val="22"/>
              </w:rPr>
            </w:pPr>
            <w:r w:rsidRPr="00652153">
              <w:rPr>
                <w:sz w:val="22"/>
              </w:rPr>
              <w:t>PhCH(OH)CH</w:t>
            </w:r>
            <w:r w:rsidRPr="00652153">
              <w:rPr>
                <w:sz w:val="22"/>
                <w:vertAlign w:val="subscript"/>
              </w:rPr>
              <w:t>3</w:t>
            </w:r>
          </w:p>
        </w:tc>
        <w:tc>
          <w:tcPr>
            <w:tcW w:w="3312" w:type="pct"/>
            <w:tcBorders>
              <w:left w:val="single" w:sz="12" w:space="0" w:color="auto"/>
              <w:right w:val="nil"/>
            </w:tcBorders>
          </w:tcPr>
          <w:p w14:paraId="0534A191" w14:textId="30F42EAA" w:rsidR="00BA0582" w:rsidRPr="00652153" w:rsidRDefault="00FD2A1C" w:rsidP="00BA0582">
            <w:pPr>
              <w:spacing w:line="360" w:lineRule="auto"/>
              <w:jc w:val="both"/>
              <w:rPr>
                <w:sz w:val="22"/>
              </w:rPr>
            </w:pPr>
            <w:r>
              <w:rPr>
                <w:b/>
                <w:sz w:val="22"/>
                <w:u w:val="single"/>
              </w:rPr>
              <w:t>-3.9</w:t>
            </w:r>
            <w:r w:rsidR="00BA0582" w:rsidRPr="00652153">
              <w:rPr>
                <w:sz w:val="22"/>
              </w:rPr>
              <w:t xml:space="preserve">, </w:t>
            </w:r>
            <w:r>
              <w:rPr>
                <w:b/>
                <w:sz w:val="22"/>
              </w:rPr>
              <w:t>-5.4</w:t>
            </w:r>
            <w:r>
              <w:rPr>
                <w:sz w:val="22"/>
                <w:u w:val="single"/>
              </w:rPr>
              <w:t>, -7.9, -8.1, -8.8, -9.3</w:t>
            </w:r>
            <w:r w:rsidR="00BA0582" w:rsidRPr="00652153">
              <w:rPr>
                <w:sz w:val="22"/>
                <w:u w:val="single"/>
              </w:rPr>
              <w:t>,</w:t>
            </w:r>
            <w:r>
              <w:rPr>
                <w:sz w:val="22"/>
              </w:rPr>
              <w:t xml:space="preserve"> -11.7</w:t>
            </w:r>
            <w:r w:rsidR="00BA0582" w:rsidRPr="00652153">
              <w:rPr>
                <w:sz w:val="22"/>
              </w:rPr>
              <w:t xml:space="preserve">, </w:t>
            </w:r>
            <w:r>
              <w:rPr>
                <w:b/>
                <w:sz w:val="22"/>
                <w:u w:val="single"/>
              </w:rPr>
              <w:t>-14.1</w:t>
            </w:r>
          </w:p>
        </w:tc>
      </w:tr>
      <w:tr w:rsidR="00BA0582" w:rsidRPr="00652153" w14:paraId="2018C5BE" w14:textId="77777777" w:rsidTr="00B20A49">
        <w:tc>
          <w:tcPr>
            <w:tcW w:w="1688" w:type="pct"/>
            <w:tcBorders>
              <w:left w:val="nil"/>
              <w:right w:val="single" w:sz="12" w:space="0" w:color="auto"/>
            </w:tcBorders>
          </w:tcPr>
          <w:p w14:paraId="2570CDD0" w14:textId="77777777" w:rsidR="00BA0582" w:rsidRPr="00652153" w:rsidRDefault="00BA0582" w:rsidP="00BA0582">
            <w:pPr>
              <w:spacing w:line="360" w:lineRule="auto"/>
              <w:jc w:val="both"/>
              <w:rPr>
                <w:sz w:val="22"/>
              </w:rPr>
            </w:pPr>
            <w:r w:rsidRPr="00652153">
              <w:rPr>
                <w:sz w:val="22"/>
              </w:rPr>
              <w:t>PhCH</w:t>
            </w:r>
            <w:r w:rsidRPr="00652153">
              <w:rPr>
                <w:sz w:val="22"/>
                <w:vertAlign w:val="subscript"/>
              </w:rPr>
              <w:t>2</w:t>
            </w:r>
            <w:r w:rsidRPr="00652153">
              <w:rPr>
                <w:sz w:val="22"/>
              </w:rPr>
              <w:t>(OH)</w:t>
            </w:r>
          </w:p>
        </w:tc>
        <w:tc>
          <w:tcPr>
            <w:tcW w:w="3312" w:type="pct"/>
            <w:tcBorders>
              <w:left w:val="single" w:sz="12" w:space="0" w:color="auto"/>
              <w:right w:val="nil"/>
            </w:tcBorders>
          </w:tcPr>
          <w:p w14:paraId="73946CA4" w14:textId="57AC9F2D" w:rsidR="00BA0582" w:rsidRPr="00652153" w:rsidRDefault="00FD2A1C" w:rsidP="00BA0582">
            <w:pPr>
              <w:spacing w:line="360" w:lineRule="auto"/>
              <w:jc w:val="both"/>
              <w:rPr>
                <w:sz w:val="22"/>
              </w:rPr>
            </w:pPr>
            <w:r>
              <w:rPr>
                <w:b/>
                <w:sz w:val="22"/>
              </w:rPr>
              <w:t>-5.3</w:t>
            </w:r>
            <w:r w:rsidR="00BA0582" w:rsidRPr="00652153">
              <w:rPr>
                <w:sz w:val="22"/>
              </w:rPr>
              <w:t xml:space="preserve">, </w:t>
            </w:r>
            <w:r>
              <w:rPr>
                <w:b/>
                <w:sz w:val="22"/>
                <w:u w:val="single"/>
              </w:rPr>
              <w:t>-6.8</w:t>
            </w:r>
            <w:r w:rsidR="00BA0582" w:rsidRPr="00652153">
              <w:rPr>
                <w:sz w:val="22"/>
              </w:rPr>
              <w:t xml:space="preserve">, </w:t>
            </w:r>
            <w:r>
              <w:rPr>
                <w:b/>
                <w:sz w:val="22"/>
                <w:u w:val="single"/>
              </w:rPr>
              <w:t>-10.9</w:t>
            </w:r>
            <w:r>
              <w:rPr>
                <w:sz w:val="22"/>
              </w:rPr>
              <w:t>, -11.7</w:t>
            </w:r>
          </w:p>
        </w:tc>
      </w:tr>
      <w:tr w:rsidR="00BA0582" w:rsidRPr="00652153" w14:paraId="2F29F93A" w14:textId="77777777" w:rsidTr="00B20A49">
        <w:tc>
          <w:tcPr>
            <w:tcW w:w="1688" w:type="pct"/>
            <w:tcBorders>
              <w:left w:val="nil"/>
              <w:right w:val="single" w:sz="12" w:space="0" w:color="auto"/>
            </w:tcBorders>
          </w:tcPr>
          <w:p w14:paraId="7166CEBB" w14:textId="77777777" w:rsidR="00BA0582" w:rsidRPr="00652153" w:rsidRDefault="00BA0582" w:rsidP="00BA0582">
            <w:pPr>
              <w:spacing w:line="360" w:lineRule="auto"/>
              <w:jc w:val="both"/>
              <w:rPr>
                <w:sz w:val="22"/>
              </w:rPr>
            </w:pPr>
            <w:r w:rsidRPr="00652153">
              <w:rPr>
                <w:sz w:val="22"/>
              </w:rPr>
              <w:t>PhCHCHCH</w:t>
            </w:r>
            <w:r w:rsidRPr="00652153">
              <w:rPr>
                <w:sz w:val="22"/>
                <w:vertAlign w:val="subscript"/>
              </w:rPr>
              <w:t>2</w:t>
            </w:r>
            <w:r w:rsidRPr="00652153">
              <w:rPr>
                <w:sz w:val="22"/>
              </w:rPr>
              <w:t>OH</w:t>
            </w:r>
          </w:p>
        </w:tc>
        <w:tc>
          <w:tcPr>
            <w:tcW w:w="3312" w:type="pct"/>
            <w:tcBorders>
              <w:left w:val="single" w:sz="12" w:space="0" w:color="auto"/>
              <w:right w:val="nil"/>
            </w:tcBorders>
          </w:tcPr>
          <w:p w14:paraId="1015CB6E" w14:textId="7852FC83" w:rsidR="00BA0582" w:rsidRPr="00652153" w:rsidRDefault="00FD2A1C" w:rsidP="00BA0582">
            <w:pPr>
              <w:spacing w:line="360" w:lineRule="auto"/>
              <w:jc w:val="both"/>
              <w:rPr>
                <w:sz w:val="22"/>
                <w:highlight w:val="green"/>
              </w:rPr>
            </w:pPr>
            <w:r>
              <w:rPr>
                <w:b/>
                <w:sz w:val="22"/>
              </w:rPr>
              <w:t>-5.4</w:t>
            </w:r>
            <w:r w:rsidR="00BA0582" w:rsidRPr="00652153">
              <w:rPr>
                <w:sz w:val="22"/>
              </w:rPr>
              <w:t xml:space="preserve">, </w:t>
            </w:r>
            <w:r>
              <w:rPr>
                <w:sz w:val="22"/>
                <w:u w:val="single"/>
              </w:rPr>
              <w:t>-6.9</w:t>
            </w:r>
            <w:r w:rsidR="00BA0582" w:rsidRPr="00652153">
              <w:rPr>
                <w:sz w:val="22"/>
              </w:rPr>
              <w:t xml:space="preserve">, </w:t>
            </w:r>
            <w:r>
              <w:rPr>
                <w:b/>
                <w:sz w:val="22"/>
                <w:u w:val="single"/>
              </w:rPr>
              <w:t>-10.</w:t>
            </w:r>
            <w:r w:rsidR="00BA0582" w:rsidRPr="00652153">
              <w:rPr>
                <w:b/>
                <w:sz w:val="22"/>
                <w:u w:val="single"/>
              </w:rPr>
              <w:t>5</w:t>
            </w:r>
          </w:p>
        </w:tc>
      </w:tr>
      <w:tr w:rsidR="00BA0582" w:rsidRPr="00652153" w14:paraId="25838110" w14:textId="77777777" w:rsidTr="00B20A49">
        <w:tc>
          <w:tcPr>
            <w:tcW w:w="1688" w:type="pct"/>
            <w:tcBorders>
              <w:left w:val="nil"/>
              <w:bottom w:val="single" w:sz="4" w:space="0" w:color="auto"/>
              <w:right w:val="single" w:sz="12" w:space="0" w:color="auto"/>
            </w:tcBorders>
          </w:tcPr>
          <w:p w14:paraId="784AFDBC" w14:textId="77777777" w:rsidR="00BA0582" w:rsidRPr="00652153" w:rsidRDefault="00BA0582" w:rsidP="00BA0582">
            <w:pPr>
              <w:spacing w:line="360" w:lineRule="auto"/>
              <w:jc w:val="both"/>
              <w:rPr>
                <w:sz w:val="22"/>
              </w:rPr>
            </w:pPr>
            <w:r w:rsidRPr="00652153">
              <w:rPr>
                <w:sz w:val="22"/>
              </w:rPr>
              <w:t>EtOH</w:t>
            </w:r>
          </w:p>
        </w:tc>
        <w:tc>
          <w:tcPr>
            <w:tcW w:w="3312" w:type="pct"/>
            <w:tcBorders>
              <w:left w:val="single" w:sz="12" w:space="0" w:color="auto"/>
              <w:bottom w:val="single" w:sz="4" w:space="0" w:color="auto"/>
              <w:right w:val="nil"/>
            </w:tcBorders>
          </w:tcPr>
          <w:p w14:paraId="6FF50310" w14:textId="181CDEEA" w:rsidR="00BA0582" w:rsidRPr="00652153" w:rsidRDefault="00FD2A1C" w:rsidP="00BA0582">
            <w:pPr>
              <w:spacing w:line="360" w:lineRule="auto"/>
              <w:jc w:val="both"/>
              <w:rPr>
                <w:sz w:val="22"/>
              </w:rPr>
            </w:pPr>
            <w:r>
              <w:rPr>
                <w:sz w:val="22"/>
              </w:rPr>
              <w:t>25.7</w:t>
            </w:r>
            <w:r w:rsidR="00BA0582" w:rsidRPr="00652153">
              <w:rPr>
                <w:sz w:val="22"/>
              </w:rPr>
              <w:t xml:space="preserve">, </w:t>
            </w:r>
            <w:r>
              <w:rPr>
                <w:b/>
                <w:sz w:val="22"/>
              </w:rPr>
              <w:t>-5.3</w:t>
            </w:r>
            <w:r w:rsidR="00BA0582" w:rsidRPr="00652153">
              <w:rPr>
                <w:sz w:val="22"/>
              </w:rPr>
              <w:t xml:space="preserve">, </w:t>
            </w:r>
            <w:r>
              <w:rPr>
                <w:b/>
                <w:sz w:val="22"/>
                <w:u w:val="single"/>
              </w:rPr>
              <w:t>-7.</w:t>
            </w:r>
            <w:r w:rsidR="00BA0582" w:rsidRPr="00652153">
              <w:rPr>
                <w:b/>
                <w:sz w:val="22"/>
                <w:u w:val="single"/>
              </w:rPr>
              <w:t>5</w:t>
            </w:r>
            <w:r w:rsidR="00BA0582" w:rsidRPr="00652153">
              <w:rPr>
                <w:sz w:val="22"/>
              </w:rPr>
              <w:t xml:space="preserve">, </w:t>
            </w:r>
            <w:r>
              <w:rPr>
                <w:b/>
                <w:sz w:val="22"/>
                <w:u w:val="single"/>
              </w:rPr>
              <w:t>-10.7</w:t>
            </w:r>
            <w:r>
              <w:rPr>
                <w:sz w:val="22"/>
              </w:rPr>
              <w:t>, -11.7</w:t>
            </w:r>
          </w:p>
        </w:tc>
      </w:tr>
      <w:tr w:rsidR="00BA0582" w:rsidRPr="00652153" w14:paraId="772253D7" w14:textId="77777777" w:rsidTr="00B20A49">
        <w:tc>
          <w:tcPr>
            <w:tcW w:w="1688" w:type="pct"/>
            <w:tcBorders>
              <w:top w:val="double" w:sz="4" w:space="0" w:color="808080" w:themeColor="background1" w:themeShade="80"/>
              <w:left w:val="nil"/>
              <w:bottom w:val="single" w:sz="4" w:space="0" w:color="auto"/>
              <w:right w:val="single" w:sz="12" w:space="0" w:color="auto"/>
            </w:tcBorders>
          </w:tcPr>
          <w:p w14:paraId="40FB0D37" w14:textId="77777777" w:rsidR="00BA0582" w:rsidRPr="00652153" w:rsidRDefault="00BA0582" w:rsidP="00BA0582">
            <w:pPr>
              <w:spacing w:line="360" w:lineRule="auto"/>
              <w:jc w:val="both"/>
              <w:rPr>
                <w:sz w:val="22"/>
              </w:rPr>
            </w:pPr>
            <w:r w:rsidRPr="00652153">
              <w:rPr>
                <w:sz w:val="22"/>
              </w:rPr>
              <w:t>References: PPh</w:t>
            </w:r>
            <w:r w:rsidRPr="00652153">
              <w:rPr>
                <w:sz w:val="22"/>
                <w:vertAlign w:val="subscript"/>
              </w:rPr>
              <w:t>3</w:t>
            </w:r>
          </w:p>
          <w:p w14:paraId="7A36DEFA" w14:textId="77777777" w:rsidR="00BA0582" w:rsidRPr="00652153" w:rsidRDefault="00573BBE" w:rsidP="00BA0582">
            <w:pPr>
              <w:spacing w:line="360" w:lineRule="auto"/>
              <w:jc w:val="both"/>
              <w:rPr>
                <w:sz w:val="22"/>
                <w:vertAlign w:val="subscript"/>
              </w:rPr>
            </w:pPr>
            <w:r w:rsidRPr="00652153">
              <w:rPr>
                <w:sz w:val="22"/>
              </w:rPr>
              <w:t xml:space="preserve">                </w:t>
            </w:r>
            <w:r w:rsidR="00BA0582" w:rsidRPr="00652153">
              <w:rPr>
                <w:sz w:val="22"/>
              </w:rPr>
              <w:t xml:space="preserve">   O=PPh</w:t>
            </w:r>
            <w:r w:rsidR="00BA0582" w:rsidRPr="00652153">
              <w:rPr>
                <w:sz w:val="22"/>
                <w:vertAlign w:val="subscript"/>
              </w:rPr>
              <w:t>3</w:t>
            </w:r>
          </w:p>
          <w:p w14:paraId="26152185" w14:textId="77777777" w:rsidR="00BA0582" w:rsidRPr="00652153" w:rsidRDefault="00573BBE" w:rsidP="00BA0582">
            <w:pPr>
              <w:spacing w:line="360" w:lineRule="auto"/>
              <w:jc w:val="both"/>
              <w:rPr>
                <w:sz w:val="22"/>
              </w:rPr>
            </w:pPr>
            <w:r w:rsidRPr="00652153">
              <w:rPr>
                <w:sz w:val="22"/>
              </w:rPr>
              <w:t xml:space="preserve">                   </w:t>
            </w:r>
            <w:r w:rsidR="00BA0582" w:rsidRPr="00652153">
              <w:rPr>
                <w:sz w:val="22"/>
              </w:rPr>
              <w:t>IReO</w:t>
            </w:r>
            <w:r w:rsidR="00BA0582" w:rsidRPr="00652153">
              <w:rPr>
                <w:sz w:val="22"/>
                <w:vertAlign w:val="subscript"/>
              </w:rPr>
              <w:t>2</w:t>
            </w:r>
            <w:r w:rsidR="00BA0582" w:rsidRPr="00652153">
              <w:rPr>
                <w:sz w:val="22"/>
              </w:rPr>
              <w:t>(PPh</w:t>
            </w:r>
            <w:r w:rsidR="00BA0582" w:rsidRPr="00652153">
              <w:rPr>
                <w:sz w:val="22"/>
                <w:vertAlign w:val="subscript"/>
              </w:rPr>
              <w:t>3</w:t>
            </w:r>
            <w:r w:rsidR="00BA0582" w:rsidRPr="00652153">
              <w:rPr>
                <w:sz w:val="22"/>
              </w:rPr>
              <w:t>)</w:t>
            </w:r>
            <w:r w:rsidR="00BA0582" w:rsidRPr="00652153">
              <w:rPr>
                <w:sz w:val="22"/>
                <w:vertAlign w:val="subscript"/>
              </w:rPr>
              <w:t>2</w:t>
            </w:r>
          </w:p>
          <w:p w14:paraId="13B3B92C" w14:textId="77777777" w:rsidR="00BA0582" w:rsidRPr="00652153" w:rsidRDefault="00573BBE" w:rsidP="00BA0582">
            <w:pPr>
              <w:spacing w:line="360" w:lineRule="auto"/>
              <w:jc w:val="both"/>
              <w:rPr>
                <w:sz w:val="22"/>
              </w:rPr>
            </w:pPr>
            <w:r w:rsidRPr="00652153">
              <w:rPr>
                <w:sz w:val="22"/>
              </w:rPr>
              <w:t xml:space="preserve">           </w:t>
            </w:r>
            <w:r w:rsidR="00BA0582" w:rsidRPr="00652153">
              <w:rPr>
                <w:sz w:val="22"/>
              </w:rPr>
              <w:t>[IReO</w:t>
            </w:r>
            <w:r w:rsidR="00BA0582" w:rsidRPr="00652153">
              <w:rPr>
                <w:sz w:val="22"/>
                <w:vertAlign w:val="subscript"/>
              </w:rPr>
              <w:t>2</w:t>
            </w:r>
            <w:r w:rsidR="00BA0582" w:rsidRPr="00652153">
              <w:rPr>
                <w:sz w:val="22"/>
              </w:rPr>
              <w:t>PPh</w:t>
            </w:r>
            <w:r w:rsidR="00BA0582" w:rsidRPr="00652153">
              <w:rPr>
                <w:sz w:val="22"/>
                <w:vertAlign w:val="subscript"/>
              </w:rPr>
              <w:t>3</w:t>
            </w:r>
            <w:r w:rsidR="00BA0582" w:rsidRPr="00652153">
              <w:rPr>
                <w:sz w:val="22"/>
              </w:rPr>
              <w:t>+PPh</w:t>
            </w:r>
            <w:r w:rsidR="00BA0582" w:rsidRPr="00652153">
              <w:rPr>
                <w:sz w:val="22"/>
                <w:vertAlign w:val="subscript"/>
              </w:rPr>
              <w:t>3</w:t>
            </w:r>
            <w:r w:rsidR="00BA0582" w:rsidRPr="00652153">
              <w:rPr>
                <w:sz w:val="22"/>
              </w:rPr>
              <w:t>]</w:t>
            </w:r>
          </w:p>
        </w:tc>
        <w:tc>
          <w:tcPr>
            <w:tcW w:w="3312" w:type="pct"/>
            <w:tcBorders>
              <w:top w:val="double" w:sz="4" w:space="0" w:color="808080" w:themeColor="background1" w:themeShade="80"/>
              <w:left w:val="single" w:sz="12" w:space="0" w:color="auto"/>
              <w:bottom w:val="single" w:sz="4" w:space="0" w:color="auto"/>
              <w:right w:val="nil"/>
            </w:tcBorders>
          </w:tcPr>
          <w:p w14:paraId="70D375E4" w14:textId="77777777" w:rsidR="00BA0582" w:rsidRPr="00652153" w:rsidRDefault="00BA0582" w:rsidP="00BA0582">
            <w:pPr>
              <w:spacing w:line="360" w:lineRule="auto"/>
              <w:jc w:val="both"/>
              <w:rPr>
                <w:b/>
                <w:sz w:val="22"/>
              </w:rPr>
            </w:pPr>
            <w:r w:rsidRPr="00652153">
              <w:rPr>
                <w:b/>
                <w:sz w:val="22"/>
              </w:rPr>
              <w:t>-5.3</w:t>
            </w:r>
          </w:p>
          <w:p w14:paraId="7B5EB2C5" w14:textId="77777777" w:rsidR="00BA0582" w:rsidRPr="00652153" w:rsidRDefault="00BA0582" w:rsidP="00BA0582">
            <w:pPr>
              <w:spacing w:line="360" w:lineRule="auto"/>
              <w:jc w:val="both"/>
              <w:rPr>
                <w:b/>
                <w:sz w:val="22"/>
              </w:rPr>
            </w:pPr>
            <w:r w:rsidRPr="00652153">
              <w:rPr>
                <w:b/>
                <w:sz w:val="22"/>
              </w:rPr>
              <w:t>25.4</w:t>
            </w:r>
          </w:p>
          <w:p w14:paraId="7AFD3503" w14:textId="77777777" w:rsidR="00BA0582" w:rsidRPr="00652153" w:rsidRDefault="00BA0582" w:rsidP="00BA0582">
            <w:pPr>
              <w:spacing w:line="360" w:lineRule="auto"/>
              <w:jc w:val="both"/>
              <w:rPr>
                <w:b/>
                <w:sz w:val="22"/>
              </w:rPr>
            </w:pPr>
            <w:r w:rsidRPr="00652153">
              <w:rPr>
                <w:b/>
                <w:sz w:val="22"/>
              </w:rPr>
              <w:t>4.57</w:t>
            </w:r>
          </w:p>
          <w:p w14:paraId="5EE7A142" w14:textId="738ECF98" w:rsidR="00BA0582" w:rsidRPr="00652153" w:rsidRDefault="00FD2A1C" w:rsidP="00BA0582">
            <w:pPr>
              <w:spacing w:line="360" w:lineRule="auto"/>
              <w:jc w:val="both"/>
              <w:rPr>
                <w:b/>
                <w:sz w:val="22"/>
              </w:rPr>
            </w:pPr>
            <w:r>
              <w:rPr>
                <w:b/>
                <w:sz w:val="22"/>
              </w:rPr>
              <w:t>-5.4, -11.7</w:t>
            </w:r>
          </w:p>
        </w:tc>
      </w:tr>
      <w:tr w:rsidR="00BA0582" w:rsidRPr="00652153" w14:paraId="7BEE2F73" w14:textId="77777777" w:rsidTr="00B20A49">
        <w:tc>
          <w:tcPr>
            <w:tcW w:w="5000" w:type="pct"/>
            <w:gridSpan w:val="2"/>
            <w:tcBorders>
              <w:left w:val="nil"/>
              <w:bottom w:val="nil"/>
              <w:right w:val="nil"/>
            </w:tcBorders>
          </w:tcPr>
          <w:p w14:paraId="7AF74A66" w14:textId="77777777" w:rsidR="00BA0582" w:rsidRPr="00652153" w:rsidRDefault="00BA0582" w:rsidP="00BA0582">
            <w:pPr>
              <w:spacing w:line="360" w:lineRule="auto"/>
              <w:jc w:val="both"/>
              <w:rPr>
                <w:sz w:val="22"/>
              </w:rPr>
            </w:pPr>
            <w:r w:rsidRPr="00652153">
              <w:rPr>
                <w:sz w:val="22"/>
              </w:rPr>
              <w:t>a) After 3-4days at room temperature; the major signals are bolded, b) After only 16h at 50</w:t>
            </w:r>
            <w:r w:rsidRPr="00652153">
              <w:rPr>
                <w:sz w:val="22"/>
                <w:vertAlign w:val="superscript"/>
              </w:rPr>
              <w:t>o</w:t>
            </w:r>
            <w:r w:rsidRPr="00652153">
              <w:rPr>
                <w:sz w:val="22"/>
              </w:rPr>
              <w:t xml:space="preserve">C, </w:t>
            </w:r>
          </w:p>
        </w:tc>
      </w:tr>
    </w:tbl>
    <w:p w14:paraId="7B9F4D7A" w14:textId="77777777" w:rsidR="00BA0582" w:rsidRDefault="00BA0582" w:rsidP="00BA0582">
      <w:pPr>
        <w:spacing w:line="360" w:lineRule="auto"/>
      </w:pPr>
    </w:p>
    <w:p w14:paraId="163FCDD6" w14:textId="77777777" w:rsidR="00652153" w:rsidRDefault="001539C6" w:rsidP="00BA0582">
      <w:pPr>
        <w:spacing w:line="360" w:lineRule="auto"/>
        <w:jc w:val="center"/>
      </w:pPr>
      <w:r>
        <w:object w:dxaOrig="16311" w:dyaOrig="11381" w14:anchorId="6DC07826">
          <v:shape id="_x0000_i1231" type="#_x0000_t75" style="width:5in;height:248.45pt" o:ole="">
            <v:imagedata r:id="rId565" o:title=""/>
          </v:shape>
          <o:OLEObject Type="Embed" ProgID="MestReNova.Document.1" ShapeID="_x0000_i1231" DrawAspect="Content" ObjectID="_1532785052" r:id="rId566"/>
        </w:object>
      </w:r>
    </w:p>
    <w:p w14:paraId="2438C554" w14:textId="77777777" w:rsidR="00652153" w:rsidRDefault="00652153" w:rsidP="00BA0582">
      <w:pPr>
        <w:spacing w:line="360" w:lineRule="auto"/>
        <w:jc w:val="center"/>
      </w:pPr>
    </w:p>
    <w:p w14:paraId="296C4785" w14:textId="28C838D3" w:rsidR="00BA0582" w:rsidRDefault="001539C6" w:rsidP="00BA0582">
      <w:pPr>
        <w:spacing w:line="360" w:lineRule="auto"/>
        <w:jc w:val="center"/>
      </w:pPr>
      <w:r>
        <w:object w:dxaOrig="16311" w:dyaOrig="11381" w14:anchorId="0BCE473D">
          <v:shape id="_x0000_i1232" type="#_x0000_t75" style="width:5in;height:248.45pt" o:ole="">
            <v:imagedata r:id="rId567" o:title=""/>
          </v:shape>
          <o:OLEObject Type="Embed" ProgID="MestReNova.Document.1" ShapeID="_x0000_i1232" DrawAspect="Content" ObjectID="_1532785053" r:id="rId568"/>
        </w:object>
      </w:r>
    </w:p>
    <w:p w14:paraId="3A007915" w14:textId="77777777" w:rsidR="00BA0582" w:rsidRDefault="00BA0582" w:rsidP="00FE04D9">
      <w:r w:rsidRPr="00B5702F">
        <w:rPr>
          <w:vertAlign w:val="superscript"/>
        </w:rPr>
        <w:t>1</w:t>
      </w:r>
      <w:r>
        <w:t xml:space="preserve">H and </w:t>
      </w:r>
      <w:r w:rsidRPr="00B5702F">
        <w:rPr>
          <w:vertAlign w:val="superscript"/>
        </w:rPr>
        <w:t>31</w:t>
      </w:r>
      <w:r>
        <w:t>P NMR spectra of the samples H, I, J and K (from bottom to the top)</w:t>
      </w:r>
    </w:p>
    <w:p w14:paraId="3F31E435" w14:textId="77777777" w:rsidR="00DE200B" w:rsidRDefault="00DE200B" w:rsidP="00FE04D9"/>
    <w:p w14:paraId="0D63A419" w14:textId="77777777" w:rsidR="00652153" w:rsidRPr="00D469EB" w:rsidRDefault="00652153" w:rsidP="00FE04D9"/>
    <w:p w14:paraId="780CAD54" w14:textId="77777777" w:rsidR="00BA0582" w:rsidRPr="00E62A66" w:rsidRDefault="00BA0582" w:rsidP="000351A7">
      <w:pPr>
        <w:pStyle w:val="Heading3"/>
      </w:pPr>
      <w:bookmarkStart w:id="482" w:name="_Toc458938352"/>
      <w:r w:rsidRPr="00E62A66">
        <w:t>Kinetic experiment</w:t>
      </w:r>
      <w:r w:rsidR="00DE200B">
        <w:t>s</w:t>
      </w:r>
      <w:bookmarkEnd w:id="482"/>
    </w:p>
    <w:p w14:paraId="196254D2" w14:textId="77777777" w:rsidR="00BA0582" w:rsidRPr="00E62A66" w:rsidRDefault="00BA0582" w:rsidP="00B5501C">
      <w:pPr>
        <w:pStyle w:val="Heading41"/>
        <w:numPr>
          <w:ilvl w:val="0"/>
          <w:numId w:val="43"/>
        </w:numPr>
      </w:pPr>
      <w:r w:rsidRPr="00E62A66">
        <w:t>Solvent test</w:t>
      </w:r>
    </w:p>
    <w:p w14:paraId="6C5CC5F1" w14:textId="77777777" w:rsidR="00BA0582" w:rsidRPr="00C05B0F" w:rsidRDefault="00BA0582" w:rsidP="00FE04D9">
      <w:pPr>
        <w:ind w:firstLine="360"/>
        <w:jc w:val="both"/>
        <w:rPr>
          <w:sz w:val="23"/>
          <w:szCs w:val="23"/>
        </w:rPr>
      </w:pPr>
      <w:r w:rsidRPr="00C05B0F">
        <w:t xml:space="preserve">Benzhydrol (0.10 mmol, 18 mg), triphenylphosphine (0.10 mmol, 26 mg) and the catalyst </w:t>
      </w:r>
      <w:r w:rsidRPr="00C05B0F">
        <w:rPr>
          <w:b/>
        </w:rPr>
        <w:t>1</w:t>
      </w:r>
      <w:r w:rsidRPr="00C05B0F">
        <w:t xml:space="preserve"> (10 mol%, 9 mg) in PhCl (1 mL) were </w:t>
      </w:r>
      <w:r w:rsidRPr="00C05B0F">
        <w:rPr>
          <w:sz w:val="23"/>
          <w:szCs w:val="23"/>
        </w:rPr>
        <w:t>added to a thick-walled Ace glass reactor tube. A N</w:t>
      </w:r>
      <w:r w:rsidRPr="00C05B0F">
        <w:rPr>
          <w:sz w:val="16"/>
          <w:szCs w:val="16"/>
        </w:rPr>
        <w:t xml:space="preserve">2 </w:t>
      </w:r>
      <w:r w:rsidRPr="00C05B0F">
        <w:rPr>
          <w:sz w:val="23"/>
          <w:szCs w:val="23"/>
        </w:rPr>
        <w:t>stream was bubbled into the mixture for at least 60 sec before the Teflon seal was closed. The reactor was placed in an oil bath at 125</w:t>
      </w:r>
      <w:r w:rsidRPr="00C05B0F">
        <w:rPr>
          <w:szCs w:val="16"/>
          <w:vertAlign w:val="superscript"/>
        </w:rPr>
        <w:t>o</w:t>
      </w:r>
      <w:r w:rsidRPr="00C05B0F">
        <w:rPr>
          <w:sz w:val="23"/>
          <w:szCs w:val="23"/>
        </w:rPr>
        <w:t>C for 24h. After cooling to room temperature, a 100 μL aliquot of the reaction mixture was removed and added to CDCl</w:t>
      </w:r>
      <w:r w:rsidRPr="00C05B0F">
        <w:rPr>
          <w:sz w:val="16"/>
          <w:szCs w:val="16"/>
        </w:rPr>
        <w:t xml:space="preserve">3 </w:t>
      </w:r>
      <w:r w:rsidRPr="00C05B0F">
        <w:rPr>
          <w:sz w:val="23"/>
          <w:szCs w:val="23"/>
        </w:rPr>
        <w:t xml:space="preserve">and 2.0 μL DMF as internal standard for NMR analysis. 0.5 mL of the reaction was submitted for GC analysis. </w:t>
      </w:r>
    </w:p>
    <w:p w14:paraId="3E229D98" w14:textId="77777777" w:rsidR="00BA0582" w:rsidRPr="00C05B0F" w:rsidRDefault="00BA0582" w:rsidP="00FE04D9">
      <w:pPr>
        <w:jc w:val="both"/>
        <w:rPr>
          <w:sz w:val="23"/>
          <w:szCs w:val="23"/>
        </w:rPr>
      </w:pPr>
      <w:r w:rsidRPr="00C05B0F">
        <w:rPr>
          <w:sz w:val="23"/>
          <w:szCs w:val="23"/>
        </w:rPr>
        <w:t>Ph</w:t>
      </w:r>
      <w:r w:rsidRPr="00C05B0F">
        <w:rPr>
          <w:sz w:val="23"/>
          <w:szCs w:val="23"/>
          <w:vertAlign w:val="subscript"/>
        </w:rPr>
        <w:t>2</w:t>
      </w:r>
      <w:r w:rsidRPr="00C05B0F">
        <w:rPr>
          <w:sz w:val="23"/>
          <w:szCs w:val="23"/>
        </w:rPr>
        <w:t>CHCHPh</w:t>
      </w:r>
      <w:r w:rsidRPr="00C05B0F">
        <w:rPr>
          <w:sz w:val="23"/>
          <w:szCs w:val="23"/>
          <w:vertAlign w:val="subscript"/>
        </w:rPr>
        <w:t>2</w:t>
      </w:r>
      <w:r w:rsidRPr="00C05B0F">
        <w:rPr>
          <w:sz w:val="23"/>
          <w:szCs w:val="23"/>
        </w:rPr>
        <w:t xml:space="preserve"> </w:t>
      </w:r>
      <w:r w:rsidRPr="00C05B0F">
        <w:rPr>
          <w:sz w:val="23"/>
          <w:szCs w:val="23"/>
          <w:vertAlign w:val="superscript"/>
        </w:rPr>
        <w:t>1</w:t>
      </w:r>
      <w:r w:rsidRPr="00C05B0F">
        <w:rPr>
          <w:sz w:val="23"/>
          <w:szCs w:val="23"/>
        </w:rPr>
        <w:t>H NMR (400MHz, CDCl</w:t>
      </w:r>
      <w:r w:rsidRPr="00C05B0F">
        <w:rPr>
          <w:sz w:val="23"/>
          <w:szCs w:val="23"/>
          <w:vertAlign w:val="subscript"/>
        </w:rPr>
        <w:t>3</w:t>
      </w:r>
      <w:r w:rsidRPr="00C05B0F">
        <w:rPr>
          <w:sz w:val="23"/>
          <w:szCs w:val="23"/>
        </w:rPr>
        <w:t>): 7.5-7.1 (m, 20H, Ar), 4.7 (s, 2H, C</w:t>
      </w:r>
      <w:r w:rsidRPr="00C05B0F">
        <w:rPr>
          <w:i/>
          <w:sz w:val="23"/>
          <w:szCs w:val="23"/>
        </w:rPr>
        <w:t>H</w:t>
      </w:r>
      <w:r w:rsidRPr="00C05B0F">
        <w:rPr>
          <w:sz w:val="23"/>
          <w:szCs w:val="23"/>
        </w:rPr>
        <w:t>)</w:t>
      </w:r>
    </w:p>
    <w:p w14:paraId="5104B18D" w14:textId="74640D18" w:rsidR="00BA0582" w:rsidRPr="00E62A66" w:rsidRDefault="001539C6" w:rsidP="00FE04D9">
      <w:pPr>
        <w:jc w:val="both"/>
      </w:pPr>
      <w:r>
        <w:rPr>
          <w:noProof/>
        </w:rPr>
        <w:object w:dxaOrig="0" w:dyaOrig="0" w14:anchorId="038FA556">
          <v:shape id="_x0000_s1550" type="#_x0000_t75" style="position:absolute;left:0;text-align:left;margin-left:258.15pt;margin-top:110.75pt;width:32.5pt;height:10.25pt;z-index:251702784">
            <v:imagedata r:id="rId569" o:title=""/>
          </v:shape>
          <o:OLEObject Type="Embed" ProgID="ChemDraw.Document.6.0" ShapeID="_x0000_s1550" DrawAspect="Content" ObjectID="_1532785089" r:id="rId570"/>
        </w:object>
      </w:r>
      <w:r>
        <w:rPr>
          <w:noProof/>
        </w:rPr>
        <w:object w:dxaOrig="0" w:dyaOrig="0" w14:anchorId="38C6943B">
          <v:shape id="_x0000_s1551" type="#_x0000_t75" style="position:absolute;left:0;text-align:left;margin-left:254.6pt;margin-top:125pt;width:12.05pt;height:22.4pt;z-index:251703808">
            <v:imagedata r:id="rId571" o:title=""/>
          </v:shape>
          <o:OLEObject Type="Embed" ProgID="ChemDraw.Document.6.0" ShapeID="_x0000_s1551" DrawAspect="Content" ObjectID="_1532785090" r:id="rId572"/>
        </w:object>
      </w:r>
      <w:r>
        <w:rPr>
          <w:noProof/>
        </w:rPr>
        <w:object w:dxaOrig="0" w:dyaOrig="0" w14:anchorId="353179EB">
          <v:shape id="_x0000_s1546" type="#_x0000_t75" style="position:absolute;left:0;text-align:left;margin-left:240.95pt;margin-top:6.45pt;width:31.7pt;height:22.9pt;z-index:251698688">
            <v:imagedata r:id="rId573" o:title=""/>
          </v:shape>
          <o:OLEObject Type="Embed" ProgID="ChemDraw.Document.6.0" ShapeID="_x0000_s1546" DrawAspect="Content" ObjectID="_1532785091" r:id="rId574"/>
        </w:object>
      </w:r>
      <w:r>
        <w:rPr>
          <w:noProof/>
        </w:rPr>
        <w:object w:dxaOrig="0" w:dyaOrig="0" w14:anchorId="461F0815">
          <v:shape id="_x0000_s1548" type="#_x0000_t75" style="position:absolute;left:0;text-align:left;margin-left:223.95pt;margin-top:18.55pt;width:18.05pt;height:33.5pt;z-index:251700736">
            <v:imagedata r:id="rId571" o:title=""/>
          </v:shape>
          <o:OLEObject Type="Embed" ProgID="ChemDraw.Document.6.0" ShapeID="_x0000_s1548" DrawAspect="Content" ObjectID="_1532785092" r:id="rId575"/>
        </w:object>
      </w:r>
      <w:r>
        <w:rPr>
          <w:noProof/>
        </w:rPr>
        <w:object w:dxaOrig="0" w:dyaOrig="0" w14:anchorId="40F0A28A">
          <v:shape id="_x0000_s1549" type="#_x0000_t75" style="position:absolute;left:0;text-align:left;margin-left:185.15pt;margin-top:128.35pt;width:11.7pt;height:21.65pt;z-index:251701760">
            <v:imagedata r:id="rId576" o:title=""/>
          </v:shape>
          <o:OLEObject Type="Embed" ProgID="ChemDraw.Document.6.0" ShapeID="_x0000_s1549" DrawAspect="Content" ObjectID="_1532785094" r:id="rId577"/>
        </w:object>
      </w:r>
      <w:r>
        <w:rPr>
          <w:noProof/>
        </w:rPr>
        <w:object w:dxaOrig="0" w:dyaOrig="0" w14:anchorId="2F85F40F">
          <v:shape id="_x0000_s1547" type="#_x0000_t75" style="position:absolute;left:0;text-align:left;margin-left:157.9pt;margin-top:101.25pt;width:32pt;height:22.85pt;z-index:251699712">
            <v:imagedata r:id="rId578" o:title=""/>
          </v:shape>
          <o:OLEObject Type="Embed" ProgID="ChemDraw.Document.6.0" ShapeID="_x0000_s1547" DrawAspect="Content" ObjectID="_1532785093" r:id="rId579"/>
        </w:object>
      </w:r>
      <w:r w:rsidR="00BA0582" w:rsidRPr="00E62A66">
        <w:rPr>
          <w:vertAlign w:val="superscript"/>
        </w:rPr>
        <w:t>1</w:t>
      </w:r>
      <w:r>
        <w:t>H NMR</w:t>
      </w:r>
      <w:r>
        <w:tab/>
      </w:r>
      <w:r w:rsidR="00BA0582" w:rsidRPr="00E62A66">
        <w:rPr>
          <w:noProof/>
          <w:lang w:bidi="ar-SA"/>
        </w:rPr>
        <w:drawing>
          <wp:inline distT="0" distB="0" distL="0" distR="0" wp14:anchorId="6A985FB9" wp14:editId="10405363">
            <wp:extent cx="4114800" cy="2511798"/>
            <wp:effectExtent l="0" t="0" r="0" b="317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8"/>
                    <pic:cNvPicPr>
                      <a:picLocks noChangeAspect="1" noChangeArrowheads="1"/>
                    </pic:cNvPicPr>
                  </pic:nvPicPr>
                  <pic:blipFill rotWithShape="1">
                    <a:blip r:embed="rId580" cstate="print">
                      <a:extLst>
                        <a:ext uri="{28A0092B-C50C-407E-A947-70E740481C1C}">
                          <a14:useLocalDpi xmlns:a14="http://schemas.microsoft.com/office/drawing/2010/main" val="0"/>
                        </a:ext>
                      </a:extLst>
                    </a:blip>
                    <a:srcRect t="8073" b="12506"/>
                    <a:stretch/>
                  </pic:blipFill>
                  <pic:spPr bwMode="auto">
                    <a:xfrm>
                      <a:off x="0" y="0"/>
                      <a:ext cx="4114800" cy="2511798"/>
                    </a:xfrm>
                    <a:prstGeom prst="rect">
                      <a:avLst/>
                    </a:prstGeom>
                    <a:noFill/>
                    <a:ln>
                      <a:noFill/>
                    </a:ln>
                    <a:extLst>
                      <a:ext uri="{53640926-AAD7-44D8-BBD7-CCE9431645EC}">
                        <a14:shadowObscured xmlns:a14="http://schemas.microsoft.com/office/drawing/2010/main"/>
                      </a:ext>
                    </a:extLst>
                  </pic:spPr>
                </pic:pic>
              </a:graphicData>
            </a:graphic>
          </wp:inline>
        </w:drawing>
      </w:r>
    </w:p>
    <w:p w14:paraId="3C1C4630" w14:textId="77777777" w:rsidR="00BA0582" w:rsidRPr="00E62A66" w:rsidRDefault="00BA0582" w:rsidP="00FE04D9">
      <w:pPr>
        <w:jc w:val="both"/>
      </w:pPr>
    </w:p>
    <w:p w14:paraId="23BD82B8" w14:textId="77777777" w:rsidR="00BA0582" w:rsidRPr="00E62A66" w:rsidRDefault="00BA0582" w:rsidP="000351A7">
      <w:pPr>
        <w:pStyle w:val="Heading41"/>
      </w:pPr>
      <w:r w:rsidRPr="00E62A66">
        <w:t>Internal standard test</w:t>
      </w:r>
    </w:p>
    <w:p w14:paraId="384C9A2C" w14:textId="77777777" w:rsidR="00BA0582" w:rsidRPr="00C05B0F" w:rsidRDefault="00BA0582" w:rsidP="00FE04D9">
      <w:pPr>
        <w:ind w:firstLine="360"/>
        <w:jc w:val="both"/>
        <w:rPr>
          <w:sz w:val="23"/>
          <w:szCs w:val="23"/>
        </w:rPr>
      </w:pPr>
      <w:r w:rsidRPr="00C05B0F">
        <w:t xml:space="preserve">Benzhydrol (0.05 mmol, 9 mg), triphenylphosphine (0.05 mmol, 13 mg) and the catalyst </w:t>
      </w:r>
      <w:r w:rsidRPr="00C05B0F">
        <w:rPr>
          <w:b/>
        </w:rPr>
        <w:t>1</w:t>
      </w:r>
      <w:r w:rsidRPr="00C05B0F">
        <w:t xml:space="preserve"> (10 mol%, 9 mg) in </w:t>
      </w:r>
      <w:r w:rsidRPr="00C05B0F">
        <w:rPr>
          <w:i/>
        </w:rPr>
        <w:t>d</w:t>
      </w:r>
      <w:r w:rsidRPr="00C05B0F">
        <w:rPr>
          <w:i/>
          <w:vertAlign w:val="superscript"/>
        </w:rPr>
        <w:t>6</w:t>
      </w:r>
      <w:r w:rsidRPr="00C05B0F">
        <w:t xml:space="preserve">-benzene (0.50 mL) were </w:t>
      </w:r>
      <w:r w:rsidRPr="00C05B0F">
        <w:rPr>
          <w:sz w:val="23"/>
          <w:szCs w:val="23"/>
        </w:rPr>
        <w:t>added to a NMR tube along with an internal standard of hexamethylbenzene (3 mg) or cyclooctane (2 µL)]. The NMR tube was flushed with N</w:t>
      </w:r>
      <w:r w:rsidRPr="00C05B0F">
        <w:rPr>
          <w:sz w:val="16"/>
          <w:szCs w:val="16"/>
        </w:rPr>
        <w:t xml:space="preserve">2 </w:t>
      </w:r>
      <w:r w:rsidRPr="00C05B0F">
        <w:rPr>
          <w:sz w:val="23"/>
          <w:szCs w:val="23"/>
        </w:rPr>
        <w:t>for at least 60 sec before being closed. The NMR tube was placed in an oil bath at 125</w:t>
      </w:r>
      <w:r w:rsidRPr="00C05B0F">
        <w:rPr>
          <w:szCs w:val="16"/>
          <w:vertAlign w:val="superscript"/>
        </w:rPr>
        <w:t>o</w:t>
      </w:r>
      <w:r w:rsidRPr="00C05B0F">
        <w:rPr>
          <w:sz w:val="23"/>
          <w:szCs w:val="23"/>
        </w:rPr>
        <w:t>C for 24h. After cooling to room temperature, the NMR tube was wiped with hexanes on a towel and analyzed.</w:t>
      </w:r>
    </w:p>
    <w:p w14:paraId="6DC34ED7" w14:textId="77777777" w:rsidR="00BA0582" w:rsidRPr="00E62A66" w:rsidRDefault="00BA0582" w:rsidP="00FE04D9">
      <w:pPr>
        <w:jc w:val="both"/>
      </w:pPr>
    </w:p>
    <w:p w14:paraId="78B48B88" w14:textId="77777777" w:rsidR="00BA0582" w:rsidRPr="00E62A66" w:rsidRDefault="00BA0582" w:rsidP="000351A7">
      <w:pPr>
        <w:pStyle w:val="Heading41"/>
      </w:pPr>
      <w:r w:rsidRPr="00E62A66">
        <w:t>Kinetic samples preparation</w:t>
      </w:r>
    </w:p>
    <w:p w14:paraId="4159E34E" w14:textId="77777777" w:rsidR="00BA0582" w:rsidRDefault="00BA0582" w:rsidP="00FE04D9">
      <w:pPr>
        <w:ind w:firstLine="360"/>
        <w:jc w:val="both"/>
      </w:pPr>
      <w:r w:rsidRPr="00C05B0F">
        <w:t xml:space="preserve">In a 1 dram vial </w:t>
      </w:r>
      <w:r w:rsidRPr="00C05B0F">
        <w:rPr>
          <w:b/>
        </w:rPr>
        <w:t>1</w:t>
      </w:r>
      <w:r w:rsidRPr="00C05B0F">
        <w:t>, benzhydrol and triphenylphosphine (quantities in the table below) were mixed with 0.9 mL of distilled chlorobenzene (stored over molecular sieves 4Å) and 0.1 mL of hexamethyl benzene (0.1 M) was added. The vial was caped and mixed on the vortexer for 20 seconds. The sample was then immediately split into 10 NMR tubes (0.10 mL in each tube). After capping the tubes they were placed in a preheated oil bath, 125</w:t>
      </w:r>
      <w:r w:rsidRPr="00C05B0F">
        <w:rPr>
          <w:vertAlign w:val="superscript"/>
        </w:rPr>
        <w:t>o</w:t>
      </w:r>
      <w:r w:rsidRPr="00C05B0F">
        <w:t>C and a timer was started. An NMR tube was removed from the oil bath every minute starting at 2 minutes. As soon as the tube was removed it was placed in an ice bath and 0.5 mL of CDCl</w:t>
      </w:r>
      <w:r w:rsidRPr="00C05B0F">
        <w:rPr>
          <w:vertAlign w:val="subscript"/>
        </w:rPr>
        <w:t>3</w:t>
      </w:r>
      <w:r w:rsidRPr="00C05B0F">
        <w:t xml:space="preserve"> was added. The tubes were wiped with hexane on a towel to </w:t>
      </w:r>
      <w:r w:rsidRPr="00E62A66">
        <w:t>remove the oil. The NMR tubes remained in ice or in the freezer until the NMR spectra were acquired.</w:t>
      </w:r>
    </w:p>
    <w:p w14:paraId="6FC1A623" w14:textId="77777777" w:rsidR="00267CB2" w:rsidRDefault="00267CB2" w:rsidP="00FE04D9">
      <w:pPr>
        <w:ind w:firstLine="360"/>
        <w:jc w:val="both"/>
      </w:pPr>
    </w:p>
    <w:p w14:paraId="730F7FBA" w14:textId="77777777" w:rsidR="00267CB2" w:rsidRDefault="00267CB2" w:rsidP="00FE04D9">
      <w:pPr>
        <w:ind w:firstLine="360"/>
        <w:jc w:val="both"/>
      </w:pPr>
    </w:p>
    <w:p w14:paraId="34A3FBE1" w14:textId="77777777" w:rsidR="00267CB2" w:rsidRDefault="00267CB2" w:rsidP="00FE04D9">
      <w:pPr>
        <w:ind w:firstLine="360"/>
        <w:jc w:val="both"/>
      </w:pPr>
    </w:p>
    <w:p w14:paraId="1202C394" w14:textId="77777777" w:rsidR="00267CB2" w:rsidRDefault="00267CB2" w:rsidP="00FE04D9">
      <w:pPr>
        <w:ind w:firstLine="360"/>
        <w:jc w:val="both"/>
      </w:pPr>
    </w:p>
    <w:p w14:paraId="0F15BA45" w14:textId="77777777" w:rsidR="00267CB2" w:rsidRDefault="00267CB2" w:rsidP="00FE04D9">
      <w:pPr>
        <w:ind w:firstLine="360"/>
        <w:jc w:val="both"/>
      </w:pPr>
    </w:p>
    <w:p w14:paraId="4F9790B4" w14:textId="77777777" w:rsidR="00267CB2" w:rsidRDefault="00267CB2" w:rsidP="00FE04D9">
      <w:pPr>
        <w:ind w:firstLine="360"/>
        <w:jc w:val="both"/>
      </w:pPr>
    </w:p>
    <w:p w14:paraId="0497269B" w14:textId="77777777" w:rsidR="00267CB2" w:rsidRDefault="00267CB2" w:rsidP="00FE04D9">
      <w:pPr>
        <w:ind w:firstLine="360"/>
        <w:jc w:val="both"/>
      </w:pPr>
    </w:p>
    <w:p w14:paraId="35B0BA49" w14:textId="77777777" w:rsidR="00267CB2" w:rsidRDefault="00267CB2" w:rsidP="00FE04D9">
      <w:pPr>
        <w:ind w:firstLine="360"/>
        <w:jc w:val="both"/>
      </w:pPr>
    </w:p>
    <w:p w14:paraId="57E76247" w14:textId="77777777" w:rsidR="00267CB2" w:rsidRPr="00E62A66" w:rsidRDefault="00267CB2" w:rsidP="00FE04D9">
      <w:pPr>
        <w:ind w:firstLine="360"/>
        <w:jc w:val="both"/>
      </w:pPr>
    </w:p>
    <w:tbl>
      <w:tblPr>
        <w:tblW w:w="6393" w:type="dxa"/>
        <w:jc w:val="center"/>
        <w:tblLayout w:type="fixed"/>
        <w:tblLook w:val="04A0" w:firstRow="1" w:lastRow="0" w:firstColumn="1" w:lastColumn="0" w:noHBand="0" w:noVBand="1"/>
      </w:tblPr>
      <w:tblGrid>
        <w:gridCol w:w="1368"/>
        <w:gridCol w:w="840"/>
        <w:gridCol w:w="845"/>
        <w:gridCol w:w="835"/>
        <w:gridCol w:w="835"/>
        <w:gridCol w:w="835"/>
        <w:gridCol w:w="835"/>
      </w:tblGrid>
      <w:tr w:rsidR="00BA0582" w:rsidRPr="000351A7" w14:paraId="598DB56D" w14:textId="77777777" w:rsidTr="00BA0582">
        <w:trPr>
          <w:trHeight w:val="298"/>
          <w:jc w:val="center"/>
        </w:trPr>
        <w:tc>
          <w:tcPr>
            <w:tcW w:w="1368" w:type="dxa"/>
            <w:vMerge w:val="restart"/>
            <w:tcBorders>
              <w:top w:val="nil"/>
              <w:left w:val="nil"/>
              <w:right w:val="single" w:sz="12" w:space="0" w:color="auto"/>
            </w:tcBorders>
            <w:shd w:val="clear" w:color="auto" w:fill="auto"/>
            <w:noWrap/>
            <w:vAlign w:val="center"/>
            <w:hideMark/>
          </w:tcPr>
          <w:p w14:paraId="30720DC4" w14:textId="77777777" w:rsidR="00BA0582" w:rsidRPr="000351A7" w:rsidRDefault="00BA0582" w:rsidP="00BA0582">
            <w:pPr>
              <w:spacing w:line="240" w:lineRule="auto"/>
              <w:jc w:val="center"/>
              <w:rPr>
                <w:rFonts w:ascii="Calibri" w:hAnsi="Calibri"/>
                <w:color w:val="000000"/>
                <w:sz w:val="20"/>
              </w:rPr>
            </w:pPr>
            <w:r w:rsidRPr="000351A7">
              <w:rPr>
                <w:rFonts w:ascii="Calibri" w:hAnsi="Calibri"/>
                <w:color w:val="000000"/>
                <w:sz w:val="20"/>
              </w:rPr>
              <w:t xml:space="preserve">Sample </w:t>
            </w:r>
            <w:r w:rsidRPr="000351A7">
              <w:rPr>
                <w:rFonts w:ascii="Calibri" w:hAnsi="Calibri"/>
                <w:color w:val="000000"/>
                <w:sz w:val="20"/>
                <w:vertAlign w:val="superscript"/>
              </w:rPr>
              <w:t>a</w:t>
            </w:r>
          </w:p>
        </w:tc>
        <w:tc>
          <w:tcPr>
            <w:tcW w:w="1685" w:type="dxa"/>
            <w:gridSpan w:val="2"/>
            <w:tcBorders>
              <w:top w:val="nil"/>
              <w:left w:val="nil"/>
              <w:bottom w:val="dashed" w:sz="4" w:space="0" w:color="808080" w:themeColor="background1" w:themeShade="80"/>
              <w:right w:val="single" w:sz="2" w:space="0" w:color="808080" w:themeColor="background1" w:themeShade="80"/>
            </w:tcBorders>
            <w:shd w:val="clear" w:color="auto" w:fill="auto"/>
            <w:vAlign w:val="center"/>
          </w:tcPr>
          <w:p w14:paraId="2286D74B" w14:textId="77777777" w:rsidR="00BA0582" w:rsidRPr="000351A7" w:rsidRDefault="00BA0582" w:rsidP="00BA0582">
            <w:pPr>
              <w:spacing w:line="240" w:lineRule="auto"/>
              <w:jc w:val="center"/>
              <w:rPr>
                <w:rFonts w:ascii="Calibri" w:hAnsi="Calibri"/>
                <w:color w:val="000000"/>
                <w:sz w:val="20"/>
              </w:rPr>
            </w:pPr>
            <w:r w:rsidRPr="000351A7">
              <w:rPr>
                <w:rFonts w:ascii="Calibri" w:hAnsi="Calibri"/>
                <w:color w:val="000000"/>
                <w:sz w:val="20"/>
              </w:rPr>
              <w:t>IReO</w:t>
            </w:r>
            <w:r w:rsidRPr="000351A7">
              <w:rPr>
                <w:rFonts w:ascii="Calibri" w:hAnsi="Calibri"/>
                <w:color w:val="000000"/>
                <w:sz w:val="20"/>
                <w:vertAlign w:val="subscript"/>
              </w:rPr>
              <w:t>2</w:t>
            </w:r>
            <w:r w:rsidRPr="000351A7">
              <w:rPr>
                <w:rFonts w:ascii="Calibri" w:hAnsi="Calibri"/>
                <w:color w:val="000000"/>
                <w:sz w:val="20"/>
              </w:rPr>
              <w:t>(PPh</w:t>
            </w:r>
            <w:r w:rsidRPr="000351A7">
              <w:rPr>
                <w:rFonts w:ascii="Calibri" w:hAnsi="Calibri"/>
                <w:color w:val="000000"/>
                <w:sz w:val="20"/>
                <w:vertAlign w:val="subscript"/>
              </w:rPr>
              <w:t>3</w:t>
            </w:r>
            <w:r w:rsidRPr="000351A7">
              <w:rPr>
                <w:rFonts w:ascii="Calibri" w:hAnsi="Calibri"/>
                <w:color w:val="000000"/>
                <w:sz w:val="20"/>
              </w:rPr>
              <w:t>)</w:t>
            </w:r>
            <w:r w:rsidRPr="000351A7">
              <w:rPr>
                <w:rFonts w:ascii="Calibri" w:hAnsi="Calibri"/>
                <w:color w:val="000000"/>
                <w:sz w:val="20"/>
                <w:vertAlign w:val="subscript"/>
              </w:rPr>
              <w:t>2</w:t>
            </w:r>
          </w:p>
        </w:tc>
        <w:tc>
          <w:tcPr>
            <w:tcW w:w="1670" w:type="dxa"/>
            <w:gridSpan w:val="2"/>
            <w:tcBorders>
              <w:top w:val="nil"/>
              <w:left w:val="single" w:sz="2" w:space="0" w:color="808080" w:themeColor="background1" w:themeShade="80"/>
              <w:bottom w:val="dashed" w:sz="4" w:space="0" w:color="808080" w:themeColor="background1" w:themeShade="80"/>
              <w:right w:val="single" w:sz="2" w:space="0" w:color="808080" w:themeColor="background1" w:themeShade="80"/>
            </w:tcBorders>
            <w:vAlign w:val="center"/>
          </w:tcPr>
          <w:p w14:paraId="29FE2FD7" w14:textId="77777777" w:rsidR="00BA0582" w:rsidRPr="000351A7" w:rsidRDefault="00BA0582" w:rsidP="00BA0582">
            <w:pPr>
              <w:spacing w:line="240" w:lineRule="auto"/>
              <w:jc w:val="center"/>
              <w:rPr>
                <w:rFonts w:ascii="Calibri" w:hAnsi="Calibri"/>
                <w:color w:val="000000"/>
                <w:sz w:val="20"/>
              </w:rPr>
            </w:pPr>
            <w:r w:rsidRPr="000351A7">
              <w:rPr>
                <w:rFonts w:ascii="Calibri" w:hAnsi="Calibri"/>
                <w:color w:val="000000"/>
                <w:sz w:val="20"/>
              </w:rPr>
              <w:t>Ph</w:t>
            </w:r>
            <w:r w:rsidRPr="000351A7">
              <w:rPr>
                <w:rFonts w:ascii="Calibri" w:hAnsi="Calibri"/>
                <w:color w:val="000000"/>
                <w:sz w:val="20"/>
                <w:vertAlign w:val="subscript"/>
              </w:rPr>
              <w:t>2</w:t>
            </w:r>
            <w:r w:rsidRPr="000351A7">
              <w:rPr>
                <w:rFonts w:ascii="Calibri" w:hAnsi="Calibri"/>
                <w:color w:val="000000"/>
                <w:sz w:val="20"/>
              </w:rPr>
              <w:t>CH(OH)</w:t>
            </w:r>
          </w:p>
        </w:tc>
        <w:tc>
          <w:tcPr>
            <w:tcW w:w="1670" w:type="dxa"/>
            <w:gridSpan w:val="2"/>
            <w:tcBorders>
              <w:top w:val="nil"/>
              <w:left w:val="single" w:sz="2" w:space="0" w:color="808080" w:themeColor="background1" w:themeShade="80"/>
              <w:bottom w:val="dashed" w:sz="4" w:space="0" w:color="808080" w:themeColor="background1" w:themeShade="80"/>
            </w:tcBorders>
            <w:shd w:val="clear" w:color="auto" w:fill="auto"/>
            <w:vAlign w:val="center"/>
          </w:tcPr>
          <w:p w14:paraId="177E0B8C" w14:textId="77777777" w:rsidR="00BA0582" w:rsidRPr="000351A7" w:rsidRDefault="00BA0582" w:rsidP="00BA0582">
            <w:pPr>
              <w:spacing w:line="240" w:lineRule="auto"/>
              <w:jc w:val="center"/>
              <w:rPr>
                <w:rFonts w:ascii="Calibri" w:hAnsi="Calibri"/>
                <w:color w:val="000000"/>
                <w:sz w:val="20"/>
              </w:rPr>
            </w:pPr>
            <w:r w:rsidRPr="000351A7">
              <w:rPr>
                <w:rFonts w:ascii="Calibri" w:hAnsi="Calibri"/>
                <w:color w:val="000000"/>
                <w:sz w:val="20"/>
              </w:rPr>
              <w:t>PPh</w:t>
            </w:r>
            <w:r w:rsidRPr="000351A7">
              <w:rPr>
                <w:rFonts w:ascii="Calibri" w:hAnsi="Calibri"/>
                <w:color w:val="000000"/>
                <w:sz w:val="20"/>
                <w:vertAlign w:val="subscript"/>
              </w:rPr>
              <w:t>3</w:t>
            </w:r>
          </w:p>
        </w:tc>
      </w:tr>
      <w:tr w:rsidR="00BA0582" w:rsidRPr="000351A7" w14:paraId="1B093474" w14:textId="77777777" w:rsidTr="00BA0582">
        <w:trPr>
          <w:trHeight w:val="297"/>
          <w:jc w:val="center"/>
        </w:trPr>
        <w:tc>
          <w:tcPr>
            <w:tcW w:w="1368" w:type="dxa"/>
            <w:vMerge/>
            <w:tcBorders>
              <w:left w:val="nil"/>
              <w:bottom w:val="single" w:sz="12" w:space="0" w:color="auto"/>
              <w:right w:val="single" w:sz="12" w:space="0" w:color="auto"/>
            </w:tcBorders>
            <w:shd w:val="clear" w:color="auto" w:fill="auto"/>
            <w:noWrap/>
            <w:vAlign w:val="center"/>
          </w:tcPr>
          <w:p w14:paraId="2C75FFF3" w14:textId="77777777" w:rsidR="00BA0582" w:rsidRPr="000351A7" w:rsidRDefault="00BA0582" w:rsidP="00BA0582">
            <w:pPr>
              <w:spacing w:line="240" w:lineRule="auto"/>
              <w:jc w:val="center"/>
              <w:rPr>
                <w:rFonts w:ascii="Calibri" w:hAnsi="Calibri"/>
                <w:color w:val="000000"/>
                <w:sz w:val="20"/>
              </w:rPr>
            </w:pPr>
          </w:p>
        </w:tc>
        <w:tc>
          <w:tcPr>
            <w:tcW w:w="840" w:type="dxa"/>
            <w:tcBorders>
              <w:top w:val="dashed" w:sz="4" w:space="0" w:color="808080" w:themeColor="background1" w:themeShade="80"/>
              <w:left w:val="nil"/>
              <w:bottom w:val="single" w:sz="12" w:space="0" w:color="auto"/>
              <w:right w:val="dashed" w:sz="4" w:space="0" w:color="808080" w:themeColor="background1" w:themeShade="80"/>
            </w:tcBorders>
            <w:shd w:val="clear" w:color="auto" w:fill="auto"/>
            <w:vAlign w:val="center"/>
          </w:tcPr>
          <w:p w14:paraId="45E8CF97" w14:textId="77777777" w:rsidR="00BA0582" w:rsidRPr="000351A7" w:rsidRDefault="00BA0582" w:rsidP="00BA0582">
            <w:pPr>
              <w:spacing w:line="240" w:lineRule="auto"/>
              <w:jc w:val="center"/>
              <w:rPr>
                <w:rFonts w:ascii="Calibri" w:hAnsi="Calibri"/>
                <w:color w:val="000000"/>
                <w:sz w:val="20"/>
              </w:rPr>
            </w:pPr>
            <w:r w:rsidRPr="000351A7">
              <w:rPr>
                <w:rFonts w:ascii="Calibri" w:hAnsi="Calibri"/>
                <w:color w:val="000000"/>
                <w:sz w:val="20"/>
              </w:rPr>
              <w:t>mmol</w:t>
            </w:r>
          </w:p>
        </w:tc>
        <w:tc>
          <w:tcPr>
            <w:tcW w:w="845" w:type="dxa"/>
            <w:tcBorders>
              <w:top w:val="dashed" w:sz="4" w:space="0" w:color="808080" w:themeColor="background1" w:themeShade="80"/>
              <w:left w:val="dashed" w:sz="4" w:space="0" w:color="808080" w:themeColor="background1" w:themeShade="80"/>
              <w:bottom w:val="single" w:sz="12" w:space="0" w:color="auto"/>
              <w:right w:val="single" w:sz="2" w:space="0" w:color="808080" w:themeColor="background1" w:themeShade="80"/>
            </w:tcBorders>
            <w:shd w:val="clear" w:color="auto" w:fill="auto"/>
            <w:vAlign w:val="center"/>
          </w:tcPr>
          <w:p w14:paraId="0F70A42F" w14:textId="77777777" w:rsidR="00BA0582" w:rsidRPr="000351A7" w:rsidRDefault="00BA0582" w:rsidP="00BA0582">
            <w:pPr>
              <w:spacing w:line="240" w:lineRule="auto"/>
              <w:jc w:val="center"/>
              <w:rPr>
                <w:rFonts w:ascii="Calibri" w:hAnsi="Calibri"/>
                <w:color w:val="000000"/>
                <w:sz w:val="20"/>
              </w:rPr>
            </w:pPr>
            <w:r w:rsidRPr="000351A7">
              <w:rPr>
                <w:rFonts w:ascii="Calibri" w:hAnsi="Calibri"/>
                <w:color w:val="000000"/>
                <w:sz w:val="20"/>
              </w:rPr>
              <w:t>mg</w:t>
            </w:r>
          </w:p>
        </w:tc>
        <w:tc>
          <w:tcPr>
            <w:tcW w:w="835" w:type="dxa"/>
            <w:tcBorders>
              <w:top w:val="dashed" w:sz="4" w:space="0" w:color="808080" w:themeColor="background1" w:themeShade="80"/>
              <w:left w:val="single" w:sz="2" w:space="0" w:color="808080" w:themeColor="background1" w:themeShade="80"/>
              <w:bottom w:val="single" w:sz="12" w:space="0" w:color="auto"/>
              <w:right w:val="dashed" w:sz="4" w:space="0" w:color="808080" w:themeColor="background1" w:themeShade="80"/>
            </w:tcBorders>
            <w:shd w:val="clear" w:color="auto" w:fill="auto"/>
            <w:vAlign w:val="center"/>
          </w:tcPr>
          <w:p w14:paraId="6F5747C2" w14:textId="77777777" w:rsidR="00BA0582" w:rsidRPr="000351A7" w:rsidRDefault="00BA0582" w:rsidP="00BA0582">
            <w:pPr>
              <w:spacing w:line="240" w:lineRule="auto"/>
              <w:jc w:val="center"/>
              <w:rPr>
                <w:rFonts w:ascii="Calibri" w:hAnsi="Calibri"/>
                <w:color w:val="000000"/>
                <w:sz w:val="20"/>
              </w:rPr>
            </w:pPr>
            <w:r w:rsidRPr="000351A7">
              <w:rPr>
                <w:rFonts w:ascii="Calibri" w:hAnsi="Calibri"/>
                <w:color w:val="000000"/>
                <w:sz w:val="20"/>
              </w:rPr>
              <w:t>mmol</w:t>
            </w:r>
          </w:p>
        </w:tc>
        <w:tc>
          <w:tcPr>
            <w:tcW w:w="835" w:type="dxa"/>
            <w:tcBorders>
              <w:top w:val="dashed" w:sz="4" w:space="0" w:color="808080" w:themeColor="background1" w:themeShade="80"/>
              <w:left w:val="dashed" w:sz="4" w:space="0" w:color="808080" w:themeColor="background1" w:themeShade="80"/>
              <w:bottom w:val="single" w:sz="12" w:space="0" w:color="auto"/>
              <w:right w:val="single" w:sz="2" w:space="0" w:color="808080" w:themeColor="background1" w:themeShade="80"/>
            </w:tcBorders>
            <w:vAlign w:val="center"/>
          </w:tcPr>
          <w:p w14:paraId="0268CF86" w14:textId="77777777" w:rsidR="00BA0582" w:rsidRPr="000351A7" w:rsidRDefault="00BA0582" w:rsidP="00BA0582">
            <w:pPr>
              <w:spacing w:line="240" w:lineRule="auto"/>
              <w:jc w:val="center"/>
              <w:rPr>
                <w:rFonts w:ascii="Calibri" w:hAnsi="Calibri"/>
                <w:color w:val="000000"/>
                <w:sz w:val="20"/>
              </w:rPr>
            </w:pPr>
            <w:r w:rsidRPr="000351A7">
              <w:rPr>
                <w:rFonts w:ascii="Calibri" w:hAnsi="Calibri"/>
                <w:color w:val="000000"/>
                <w:sz w:val="20"/>
              </w:rPr>
              <w:t>mg</w:t>
            </w:r>
          </w:p>
        </w:tc>
        <w:tc>
          <w:tcPr>
            <w:tcW w:w="835" w:type="dxa"/>
            <w:tcBorders>
              <w:top w:val="dashed" w:sz="4" w:space="0" w:color="808080" w:themeColor="background1" w:themeShade="80"/>
              <w:left w:val="single" w:sz="2" w:space="0" w:color="808080" w:themeColor="background1" w:themeShade="80"/>
              <w:bottom w:val="single" w:sz="12" w:space="0" w:color="auto"/>
              <w:right w:val="dashed" w:sz="4" w:space="0" w:color="808080" w:themeColor="background1" w:themeShade="80"/>
            </w:tcBorders>
            <w:shd w:val="clear" w:color="auto" w:fill="auto"/>
            <w:vAlign w:val="center"/>
          </w:tcPr>
          <w:p w14:paraId="09EDE67B" w14:textId="77777777" w:rsidR="00BA0582" w:rsidRPr="000351A7" w:rsidRDefault="00BA0582" w:rsidP="00BA0582">
            <w:pPr>
              <w:spacing w:line="240" w:lineRule="auto"/>
              <w:jc w:val="center"/>
              <w:rPr>
                <w:rFonts w:ascii="Calibri" w:hAnsi="Calibri"/>
                <w:color w:val="000000"/>
                <w:sz w:val="20"/>
              </w:rPr>
            </w:pPr>
            <w:r w:rsidRPr="000351A7">
              <w:rPr>
                <w:rFonts w:ascii="Calibri" w:hAnsi="Calibri"/>
                <w:color w:val="000000"/>
                <w:sz w:val="20"/>
              </w:rPr>
              <w:t>mmol</w:t>
            </w:r>
          </w:p>
        </w:tc>
        <w:tc>
          <w:tcPr>
            <w:tcW w:w="835" w:type="dxa"/>
            <w:tcBorders>
              <w:top w:val="dashed" w:sz="4" w:space="0" w:color="808080" w:themeColor="background1" w:themeShade="80"/>
              <w:left w:val="dashed" w:sz="4" w:space="0" w:color="808080" w:themeColor="background1" w:themeShade="80"/>
              <w:bottom w:val="single" w:sz="12" w:space="0" w:color="auto"/>
            </w:tcBorders>
            <w:shd w:val="clear" w:color="auto" w:fill="auto"/>
            <w:vAlign w:val="center"/>
          </w:tcPr>
          <w:p w14:paraId="06AFA2E7" w14:textId="77777777" w:rsidR="00BA0582" w:rsidRPr="000351A7" w:rsidRDefault="00BA0582" w:rsidP="00BA0582">
            <w:pPr>
              <w:spacing w:line="240" w:lineRule="auto"/>
              <w:jc w:val="center"/>
              <w:rPr>
                <w:rFonts w:ascii="Calibri" w:hAnsi="Calibri"/>
                <w:color w:val="000000"/>
                <w:sz w:val="20"/>
              </w:rPr>
            </w:pPr>
            <w:r w:rsidRPr="000351A7">
              <w:rPr>
                <w:rFonts w:ascii="Calibri" w:hAnsi="Calibri"/>
                <w:color w:val="000000"/>
                <w:sz w:val="20"/>
              </w:rPr>
              <w:t>mg</w:t>
            </w:r>
          </w:p>
        </w:tc>
      </w:tr>
      <w:tr w:rsidR="00BA0582" w:rsidRPr="000351A7" w14:paraId="2CC8DFC7" w14:textId="77777777" w:rsidTr="00BA0582">
        <w:trPr>
          <w:trHeight w:val="317"/>
          <w:jc w:val="center"/>
        </w:trPr>
        <w:tc>
          <w:tcPr>
            <w:tcW w:w="1368" w:type="dxa"/>
            <w:tcBorders>
              <w:top w:val="single" w:sz="12" w:space="0" w:color="auto"/>
              <w:left w:val="nil"/>
              <w:bottom w:val="single" w:sz="2" w:space="0" w:color="808080" w:themeColor="background1" w:themeShade="80"/>
              <w:right w:val="single" w:sz="12" w:space="0" w:color="auto"/>
            </w:tcBorders>
            <w:shd w:val="clear" w:color="auto" w:fill="auto"/>
            <w:noWrap/>
            <w:vAlign w:val="center"/>
            <w:hideMark/>
          </w:tcPr>
          <w:p w14:paraId="4B2E07BB" w14:textId="77777777" w:rsidR="00BA0582" w:rsidRPr="000351A7" w:rsidRDefault="00BA0582" w:rsidP="00BA0582">
            <w:pPr>
              <w:spacing w:line="240" w:lineRule="auto"/>
              <w:jc w:val="center"/>
              <w:rPr>
                <w:rFonts w:ascii="Calibri" w:hAnsi="Calibri"/>
                <w:color w:val="000000"/>
                <w:sz w:val="20"/>
              </w:rPr>
            </w:pPr>
            <w:r w:rsidRPr="000351A7">
              <w:rPr>
                <w:rFonts w:ascii="Calibri" w:hAnsi="Calibri"/>
                <w:color w:val="000000"/>
                <w:sz w:val="20"/>
              </w:rPr>
              <w:t>a</w:t>
            </w:r>
            <w:r w:rsidRPr="000351A7">
              <w:rPr>
                <w:rFonts w:ascii="Calibri" w:hAnsi="Calibri"/>
                <w:color w:val="000000"/>
                <w:sz w:val="20"/>
                <w:vertAlign w:val="superscript"/>
              </w:rPr>
              <w:t>b</w:t>
            </w:r>
            <w:r w:rsidRPr="000351A7">
              <w:rPr>
                <w:rFonts w:ascii="Calibri" w:hAnsi="Calibri"/>
                <w:color w:val="000000"/>
                <w:sz w:val="20"/>
              </w:rPr>
              <w:t>, a’’</w:t>
            </w:r>
            <w:r w:rsidRPr="000351A7">
              <w:rPr>
                <w:rFonts w:ascii="Calibri" w:hAnsi="Calibri"/>
                <w:color w:val="000000"/>
                <w:sz w:val="20"/>
                <w:vertAlign w:val="superscript"/>
              </w:rPr>
              <w:t>c</w:t>
            </w:r>
            <w:r w:rsidRPr="000351A7">
              <w:rPr>
                <w:rFonts w:ascii="Calibri" w:hAnsi="Calibri"/>
                <w:color w:val="000000"/>
                <w:sz w:val="20"/>
              </w:rPr>
              <w:t>, a’’’</w:t>
            </w:r>
          </w:p>
        </w:tc>
        <w:tc>
          <w:tcPr>
            <w:tcW w:w="840" w:type="dxa"/>
            <w:tcBorders>
              <w:top w:val="single" w:sz="12" w:space="0" w:color="auto"/>
              <w:left w:val="single" w:sz="12" w:space="0" w:color="auto"/>
              <w:bottom w:val="single" w:sz="2" w:space="0" w:color="808080" w:themeColor="background1" w:themeShade="80"/>
              <w:right w:val="dashed" w:sz="4" w:space="0" w:color="808080" w:themeColor="background1" w:themeShade="80"/>
            </w:tcBorders>
            <w:shd w:val="clear" w:color="auto" w:fill="auto"/>
            <w:noWrap/>
            <w:vAlign w:val="center"/>
            <w:hideMark/>
          </w:tcPr>
          <w:p w14:paraId="3FEB6FB8"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0.01</w:t>
            </w:r>
          </w:p>
        </w:tc>
        <w:tc>
          <w:tcPr>
            <w:tcW w:w="845" w:type="dxa"/>
            <w:tcBorders>
              <w:top w:val="single" w:sz="12" w:space="0" w:color="auto"/>
              <w:left w:val="dashed" w:sz="4"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tcPr>
          <w:p w14:paraId="4629B711"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8.7</w:t>
            </w:r>
          </w:p>
        </w:tc>
        <w:tc>
          <w:tcPr>
            <w:tcW w:w="835" w:type="dxa"/>
            <w:tcBorders>
              <w:top w:val="single" w:sz="12" w:space="0" w:color="auto"/>
              <w:left w:val="single" w:sz="2"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hideMark/>
          </w:tcPr>
          <w:p w14:paraId="4960DD1E"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0.10</w:t>
            </w:r>
          </w:p>
        </w:tc>
        <w:tc>
          <w:tcPr>
            <w:tcW w:w="835" w:type="dxa"/>
            <w:tcBorders>
              <w:top w:val="single" w:sz="12" w:space="0" w:color="auto"/>
              <w:left w:val="dashed" w:sz="4" w:space="0" w:color="808080" w:themeColor="background1" w:themeShade="80"/>
              <w:bottom w:val="single" w:sz="2" w:space="0" w:color="808080" w:themeColor="background1" w:themeShade="80"/>
              <w:right w:val="single" w:sz="2" w:space="0" w:color="808080" w:themeColor="background1" w:themeShade="80"/>
            </w:tcBorders>
            <w:vAlign w:val="center"/>
          </w:tcPr>
          <w:p w14:paraId="240FAEDA"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18.4</w:t>
            </w:r>
          </w:p>
        </w:tc>
        <w:tc>
          <w:tcPr>
            <w:tcW w:w="835" w:type="dxa"/>
            <w:tcBorders>
              <w:top w:val="single" w:sz="12" w:space="0" w:color="auto"/>
              <w:left w:val="single" w:sz="2"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hideMark/>
          </w:tcPr>
          <w:p w14:paraId="08B3AAB4"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0.10</w:t>
            </w:r>
          </w:p>
        </w:tc>
        <w:tc>
          <w:tcPr>
            <w:tcW w:w="835" w:type="dxa"/>
            <w:tcBorders>
              <w:top w:val="single" w:sz="12" w:space="0" w:color="auto"/>
              <w:left w:val="dashed" w:sz="4" w:space="0" w:color="808080" w:themeColor="background1" w:themeShade="80"/>
              <w:bottom w:val="single" w:sz="2" w:space="0" w:color="808080" w:themeColor="background1" w:themeShade="80"/>
              <w:right w:val="nil"/>
            </w:tcBorders>
            <w:vAlign w:val="center"/>
          </w:tcPr>
          <w:p w14:paraId="6FA87622"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26.3</w:t>
            </w:r>
          </w:p>
        </w:tc>
      </w:tr>
      <w:tr w:rsidR="00BA0582" w:rsidRPr="000351A7" w14:paraId="6E926E1C" w14:textId="77777777" w:rsidTr="00BA0582">
        <w:trPr>
          <w:trHeight w:val="317"/>
          <w:jc w:val="center"/>
        </w:trPr>
        <w:tc>
          <w:tcPr>
            <w:tcW w:w="1368" w:type="dxa"/>
            <w:tcBorders>
              <w:top w:val="single" w:sz="2" w:space="0" w:color="808080" w:themeColor="background1" w:themeShade="80"/>
              <w:left w:val="nil"/>
              <w:bottom w:val="single" w:sz="2" w:space="0" w:color="808080" w:themeColor="background1" w:themeShade="80"/>
              <w:right w:val="single" w:sz="12" w:space="0" w:color="auto"/>
            </w:tcBorders>
            <w:shd w:val="clear" w:color="auto" w:fill="auto"/>
            <w:noWrap/>
            <w:vAlign w:val="center"/>
            <w:hideMark/>
          </w:tcPr>
          <w:p w14:paraId="313D9EA6" w14:textId="77777777" w:rsidR="00BA0582" w:rsidRPr="000351A7" w:rsidRDefault="00BA0582" w:rsidP="00BA0582">
            <w:pPr>
              <w:spacing w:line="240" w:lineRule="auto"/>
              <w:jc w:val="center"/>
              <w:rPr>
                <w:rFonts w:ascii="Calibri" w:hAnsi="Calibri"/>
                <w:color w:val="000000"/>
                <w:sz w:val="20"/>
              </w:rPr>
            </w:pPr>
            <w:r w:rsidRPr="000351A7">
              <w:rPr>
                <w:rFonts w:ascii="Calibri" w:hAnsi="Calibri"/>
                <w:color w:val="000000"/>
                <w:sz w:val="20"/>
              </w:rPr>
              <w:t>b</w:t>
            </w:r>
            <w:r w:rsidRPr="000351A7">
              <w:rPr>
                <w:rFonts w:ascii="Calibri" w:hAnsi="Calibri"/>
                <w:color w:val="000000"/>
                <w:sz w:val="20"/>
                <w:vertAlign w:val="superscript"/>
              </w:rPr>
              <w:t>c</w:t>
            </w:r>
            <w:r w:rsidRPr="000351A7">
              <w:rPr>
                <w:rFonts w:ascii="Calibri" w:hAnsi="Calibri"/>
                <w:color w:val="000000"/>
                <w:sz w:val="20"/>
              </w:rPr>
              <w:t>, b’</w:t>
            </w:r>
          </w:p>
        </w:tc>
        <w:tc>
          <w:tcPr>
            <w:tcW w:w="840" w:type="dxa"/>
            <w:tcBorders>
              <w:top w:val="single" w:sz="2" w:space="0" w:color="808080" w:themeColor="background1" w:themeShade="80"/>
              <w:left w:val="single" w:sz="12" w:space="0" w:color="auto"/>
              <w:bottom w:val="single" w:sz="2" w:space="0" w:color="808080" w:themeColor="background1" w:themeShade="80"/>
              <w:right w:val="dashed" w:sz="4" w:space="0" w:color="808080" w:themeColor="background1" w:themeShade="80"/>
            </w:tcBorders>
            <w:shd w:val="clear" w:color="auto" w:fill="auto"/>
            <w:noWrap/>
            <w:vAlign w:val="center"/>
            <w:hideMark/>
          </w:tcPr>
          <w:p w14:paraId="23FC197A"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0.005</w:t>
            </w:r>
          </w:p>
        </w:tc>
        <w:tc>
          <w:tcPr>
            <w:tcW w:w="845" w:type="dxa"/>
            <w:tcBorders>
              <w:top w:val="single" w:sz="2" w:space="0" w:color="808080" w:themeColor="background1" w:themeShade="80"/>
              <w:left w:val="dashed" w:sz="4"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tcPr>
          <w:p w14:paraId="196A28A0"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4.35</w:t>
            </w:r>
          </w:p>
        </w:tc>
        <w:tc>
          <w:tcPr>
            <w:tcW w:w="835" w:type="dxa"/>
            <w:tcBorders>
              <w:top w:val="single" w:sz="2" w:space="0" w:color="808080" w:themeColor="background1" w:themeShade="80"/>
              <w:left w:val="single" w:sz="2"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hideMark/>
          </w:tcPr>
          <w:p w14:paraId="18A54AA9"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0.10</w:t>
            </w:r>
          </w:p>
        </w:tc>
        <w:tc>
          <w:tcPr>
            <w:tcW w:w="835" w:type="dxa"/>
            <w:tcBorders>
              <w:top w:val="single" w:sz="2" w:space="0" w:color="808080" w:themeColor="background1" w:themeShade="80"/>
              <w:left w:val="dashed" w:sz="4" w:space="0" w:color="808080" w:themeColor="background1" w:themeShade="80"/>
              <w:bottom w:val="single" w:sz="2" w:space="0" w:color="808080" w:themeColor="background1" w:themeShade="80"/>
              <w:right w:val="single" w:sz="2" w:space="0" w:color="808080" w:themeColor="background1" w:themeShade="80"/>
            </w:tcBorders>
            <w:vAlign w:val="center"/>
          </w:tcPr>
          <w:p w14:paraId="182DE248"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18.4</w:t>
            </w:r>
          </w:p>
        </w:tc>
        <w:tc>
          <w:tcPr>
            <w:tcW w:w="835" w:type="dxa"/>
            <w:tcBorders>
              <w:top w:val="single" w:sz="2" w:space="0" w:color="808080" w:themeColor="background1" w:themeShade="80"/>
              <w:left w:val="single" w:sz="2"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hideMark/>
          </w:tcPr>
          <w:p w14:paraId="334E9011"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0.10</w:t>
            </w:r>
          </w:p>
        </w:tc>
        <w:tc>
          <w:tcPr>
            <w:tcW w:w="835" w:type="dxa"/>
            <w:tcBorders>
              <w:top w:val="single" w:sz="2" w:space="0" w:color="808080" w:themeColor="background1" w:themeShade="80"/>
              <w:left w:val="dashed" w:sz="4" w:space="0" w:color="808080" w:themeColor="background1" w:themeShade="80"/>
              <w:bottom w:val="single" w:sz="2" w:space="0" w:color="808080" w:themeColor="background1" w:themeShade="80"/>
              <w:right w:val="nil"/>
            </w:tcBorders>
            <w:vAlign w:val="center"/>
          </w:tcPr>
          <w:p w14:paraId="67F9A095"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26.3</w:t>
            </w:r>
          </w:p>
        </w:tc>
      </w:tr>
      <w:tr w:rsidR="00BA0582" w:rsidRPr="000351A7" w14:paraId="5556E269" w14:textId="77777777" w:rsidTr="00BA0582">
        <w:trPr>
          <w:trHeight w:val="317"/>
          <w:jc w:val="center"/>
        </w:trPr>
        <w:tc>
          <w:tcPr>
            <w:tcW w:w="1368" w:type="dxa"/>
            <w:tcBorders>
              <w:top w:val="single" w:sz="2" w:space="0" w:color="808080" w:themeColor="background1" w:themeShade="80"/>
              <w:left w:val="nil"/>
              <w:bottom w:val="single" w:sz="2" w:space="0" w:color="808080" w:themeColor="background1" w:themeShade="80"/>
              <w:right w:val="single" w:sz="12" w:space="0" w:color="auto"/>
            </w:tcBorders>
            <w:shd w:val="clear" w:color="auto" w:fill="auto"/>
            <w:noWrap/>
            <w:vAlign w:val="center"/>
            <w:hideMark/>
          </w:tcPr>
          <w:p w14:paraId="02971D4A" w14:textId="77777777" w:rsidR="00BA0582" w:rsidRPr="000351A7" w:rsidRDefault="00BA0582" w:rsidP="00BA0582">
            <w:pPr>
              <w:spacing w:line="240" w:lineRule="auto"/>
              <w:jc w:val="center"/>
              <w:rPr>
                <w:rFonts w:ascii="Calibri" w:hAnsi="Calibri"/>
                <w:color w:val="000000"/>
                <w:sz w:val="20"/>
              </w:rPr>
            </w:pPr>
            <w:r w:rsidRPr="000351A7">
              <w:rPr>
                <w:rFonts w:ascii="Calibri" w:hAnsi="Calibri"/>
                <w:color w:val="000000"/>
                <w:sz w:val="20"/>
              </w:rPr>
              <w:t>c</w:t>
            </w:r>
          </w:p>
        </w:tc>
        <w:tc>
          <w:tcPr>
            <w:tcW w:w="840" w:type="dxa"/>
            <w:tcBorders>
              <w:top w:val="single" w:sz="2" w:space="0" w:color="808080" w:themeColor="background1" w:themeShade="80"/>
              <w:left w:val="single" w:sz="12" w:space="0" w:color="auto"/>
              <w:bottom w:val="single" w:sz="2" w:space="0" w:color="808080" w:themeColor="background1" w:themeShade="80"/>
              <w:right w:val="dashed" w:sz="4" w:space="0" w:color="808080" w:themeColor="background1" w:themeShade="80"/>
            </w:tcBorders>
            <w:shd w:val="clear" w:color="auto" w:fill="auto"/>
            <w:noWrap/>
            <w:vAlign w:val="center"/>
            <w:hideMark/>
          </w:tcPr>
          <w:p w14:paraId="7A4B4FC2"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0.001</w:t>
            </w:r>
          </w:p>
        </w:tc>
        <w:tc>
          <w:tcPr>
            <w:tcW w:w="845" w:type="dxa"/>
            <w:tcBorders>
              <w:top w:val="single" w:sz="2" w:space="0" w:color="808080" w:themeColor="background1" w:themeShade="80"/>
              <w:left w:val="dashed" w:sz="4"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tcPr>
          <w:p w14:paraId="363FC84E"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0.87</w:t>
            </w:r>
          </w:p>
        </w:tc>
        <w:tc>
          <w:tcPr>
            <w:tcW w:w="835" w:type="dxa"/>
            <w:tcBorders>
              <w:top w:val="single" w:sz="2" w:space="0" w:color="808080" w:themeColor="background1" w:themeShade="80"/>
              <w:left w:val="single" w:sz="2"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hideMark/>
          </w:tcPr>
          <w:p w14:paraId="47F4286F"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0.10</w:t>
            </w:r>
          </w:p>
        </w:tc>
        <w:tc>
          <w:tcPr>
            <w:tcW w:w="835" w:type="dxa"/>
            <w:tcBorders>
              <w:top w:val="single" w:sz="2" w:space="0" w:color="808080" w:themeColor="background1" w:themeShade="80"/>
              <w:left w:val="dashed" w:sz="4" w:space="0" w:color="808080" w:themeColor="background1" w:themeShade="80"/>
              <w:bottom w:val="single" w:sz="2" w:space="0" w:color="808080" w:themeColor="background1" w:themeShade="80"/>
              <w:right w:val="single" w:sz="2" w:space="0" w:color="808080" w:themeColor="background1" w:themeShade="80"/>
            </w:tcBorders>
            <w:vAlign w:val="center"/>
          </w:tcPr>
          <w:p w14:paraId="7CC00AD4"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18.4</w:t>
            </w:r>
          </w:p>
        </w:tc>
        <w:tc>
          <w:tcPr>
            <w:tcW w:w="835" w:type="dxa"/>
            <w:tcBorders>
              <w:top w:val="single" w:sz="2" w:space="0" w:color="808080" w:themeColor="background1" w:themeShade="80"/>
              <w:left w:val="single" w:sz="2"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hideMark/>
          </w:tcPr>
          <w:p w14:paraId="6E6C656B"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0.10</w:t>
            </w:r>
          </w:p>
        </w:tc>
        <w:tc>
          <w:tcPr>
            <w:tcW w:w="835" w:type="dxa"/>
            <w:tcBorders>
              <w:top w:val="single" w:sz="2" w:space="0" w:color="808080" w:themeColor="background1" w:themeShade="80"/>
              <w:left w:val="dashed" w:sz="4" w:space="0" w:color="808080" w:themeColor="background1" w:themeShade="80"/>
              <w:bottom w:val="single" w:sz="2" w:space="0" w:color="808080" w:themeColor="background1" w:themeShade="80"/>
              <w:right w:val="nil"/>
            </w:tcBorders>
            <w:vAlign w:val="center"/>
          </w:tcPr>
          <w:p w14:paraId="4F7BA432"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26.3</w:t>
            </w:r>
          </w:p>
        </w:tc>
      </w:tr>
      <w:tr w:rsidR="00BA0582" w:rsidRPr="000351A7" w14:paraId="6A7DB1C1" w14:textId="77777777" w:rsidTr="00BA0582">
        <w:trPr>
          <w:trHeight w:val="317"/>
          <w:jc w:val="center"/>
        </w:trPr>
        <w:tc>
          <w:tcPr>
            <w:tcW w:w="1368" w:type="dxa"/>
            <w:tcBorders>
              <w:top w:val="single" w:sz="2" w:space="0" w:color="808080" w:themeColor="background1" w:themeShade="80"/>
              <w:left w:val="nil"/>
              <w:bottom w:val="single" w:sz="2" w:space="0" w:color="808080" w:themeColor="background1" w:themeShade="80"/>
              <w:right w:val="single" w:sz="12" w:space="0" w:color="auto"/>
            </w:tcBorders>
            <w:shd w:val="clear" w:color="auto" w:fill="auto"/>
            <w:noWrap/>
            <w:vAlign w:val="center"/>
            <w:hideMark/>
          </w:tcPr>
          <w:p w14:paraId="0138C498" w14:textId="77777777" w:rsidR="00BA0582" w:rsidRPr="000351A7" w:rsidRDefault="00BA0582" w:rsidP="00BA0582">
            <w:pPr>
              <w:spacing w:line="240" w:lineRule="auto"/>
              <w:jc w:val="center"/>
              <w:rPr>
                <w:rFonts w:ascii="Calibri" w:hAnsi="Calibri"/>
                <w:color w:val="000000"/>
                <w:sz w:val="20"/>
              </w:rPr>
            </w:pPr>
            <w:r w:rsidRPr="000351A7">
              <w:rPr>
                <w:rFonts w:ascii="Calibri" w:hAnsi="Calibri"/>
                <w:color w:val="000000"/>
                <w:sz w:val="20"/>
              </w:rPr>
              <w:t>d</w:t>
            </w:r>
          </w:p>
        </w:tc>
        <w:tc>
          <w:tcPr>
            <w:tcW w:w="840" w:type="dxa"/>
            <w:tcBorders>
              <w:top w:val="single" w:sz="2" w:space="0" w:color="808080" w:themeColor="background1" w:themeShade="80"/>
              <w:left w:val="single" w:sz="12" w:space="0" w:color="auto"/>
              <w:bottom w:val="single" w:sz="2" w:space="0" w:color="808080" w:themeColor="background1" w:themeShade="80"/>
              <w:right w:val="dashed" w:sz="4" w:space="0" w:color="808080" w:themeColor="background1" w:themeShade="80"/>
            </w:tcBorders>
            <w:shd w:val="clear" w:color="auto" w:fill="auto"/>
            <w:noWrap/>
            <w:vAlign w:val="center"/>
            <w:hideMark/>
          </w:tcPr>
          <w:p w14:paraId="79DAA4A7"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0.01</w:t>
            </w:r>
          </w:p>
        </w:tc>
        <w:tc>
          <w:tcPr>
            <w:tcW w:w="845" w:type="dxa"/>
            <w:tcBorders>
              <w:top w:val="single" w:sz="2" w:space="0" w:color="808080" w:themeColor="background1" w:themeShade="80"/>
              <w:left w:val="dashed" w:sz="4"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tcPr>
          <w:p w14:paraId="53EB85AA"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8.7</w:t>
            </w:r>
          </w:p>
        </w:tc>
        <w:tc>
          <w:tcPr>
            <w:tcW w:w="835" w:type="dxa"/>
            <w:tcBorders>
              <w:top w:val="single" w:sz="2" w:space="0" w:color="808080" w:themeColor="background1" w:themeShade="80"/>
              <w:left w:val="single" w:sz="2"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hideMark/>
          </w:tcPr>
          <w:p w14:paraId="0D73BED3"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0.20</w:t>
            </w:r>
          </w:p>
        </w:tc>
        <w:tc>
          <w:tcPr>
            <w:tcW w:w="835" w:type="dxa"/>
            <w:tcBorders>
              <w:top w:val="single" w:sz="2" w:space="0" w:color="808080" w:themeColor="background1" w:themeShade="80"/>
              <w:left w:val="dashed" w:sz="4" w:space="0" w:color="808080" w:themeColor="background1" w:themeShade="80"/>
              <w:bottom w:val="single" w:sz="2" w:space="0" w:color="808080" w:themeColor="background1" w:themeShade="80"/>
              <w:right w:val="single" w:sz="2" w:space="0" w:color="808080" w:themeColor="background1" w:themeShade="80"/>
            </w:tcBorders>
            <w:vAlign w:val="center"/>
          </w:tcPr>
          <w:p w14:paraId="2C6C65FE"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36.8</w:t>
            </w:r>
          </w:p>
        </w:tc>
        <w:tc>
          <w:tcPr>
            <w:tcW w:w="835" w:type="dxa"/>
            <w:tcBorders>
              <w:top w:val="single" w:sz="2" w:space="0" w:color="808080" w:themeColor="background1" w:themeShade="80"/>
              <w:left w:val="single" w:sz="2"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hideMark/>
          </w:tcPr>
          <w:p w14:paraId="559183BC"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0.10</w:t>
            </w:r>
          </w:p>
        </w:tc>
        <w:tc>
          <w:tcPr>
            <w:tcW w:w="835" w:type="dxa"/>
            <w:tcBorders>
              <w:top w:val="single" w:sz="2" w:space="0" w:color="808080" w:themeColor="background1" w:themeShade="80"/>
              <w:left w:val="dashed" w:sz="4" w:space="0" w:color="808080" w:themeColor="background1" w:themeShade="80"/>
              <w:bottom w:val="single" w:sz="2" w:space="0" w:color="808080" w:themeColor="background1" w:themeShade="80"/>
              <w:right w:val="nil"/>
            </w:tcBorders>
            <w:vAlign w:val="center"/>
          </w:tcPr>
          <w:p w14:paraId="4A77A18E"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26.3</w:t>
            </w:r>
          </w:p>
        </w:tc>
      </w:tr>
      <w:tr w:rsidR="00BA0582" w:rsidRPr="000351A7" w14:paraId="01A239BA" w14:textId="77777777" w:rsidTr="00BA0582">
        <w:trPr>
          <w:trHeight w:val="317"/>
          <w:jc w:val="center"/>
        </w:trPr>
        <w:tc>
          <w:tcPr>
            <w:tcW w:w="1368" w:type="dxa"/>
            <w:tcBorders>
              <w:top w:val="single" w:sz="2" w:space="0" w:color="808080" w:themeColor="background1" w:themeShade="80"/>
              <w:left w:val="nil"/>
              <w:bottom w:val="single" w:sz="2" w:space="0" w:color="808080" w:themeColor="background1" w:themeShade="80"/>
              <w:right w:val="single" w:sz="12" w:space="0" w:color="auto"/>
            </w:tcBorders>
            <w:shd w:val="clear" w:color="auto" w:fill="auto"/>
            <w:noWrap/>
            <w:vAlign w:val="center"/>
            <w:hideMark/>
          </w:tcPr>
          <w:p w14:paraId="73192BE7" w14:textId="77777777" w:rsidR="00BA0582" w:rsidRPr="000351A7" w:rsidRDefault="00BA0582" w:rsidP="00BA0582">
            <w:pPr>
              <w:spacing w:line="240" w:lineRule="auto"/>
              <w:jc w:val="center"/>
              <w:rPr>
                <w:rFonts w:ascii="Calibri" w:hAnsi="Calibri"/>
                <w:color w:val="000000"/>
                <w:sz w:val="20"/>
              </w:rPr>
            </w:pPr>
            <w:r w:rsidRPr="000351A7">
              <w:rPr>
                <w:rFonts w:ascii="Calibri" w:hAnsi="Calibri"/>
                <w:color w:val="000000"/>
                <w:sz w:val="20"/>
              </w:rPr>
              <w:t>e</w:t>
            </w:r>
          </w:p>
        </w:tc>
        <w:tc>
          <w:tcPr>
            <w:tcW w:w="840" w:type="dxa"/>
            <w:tcBorders>
              <w:top w:val="single" w:sz="2" w:space="0" w:color="808080" w:themeColor="background1" w:themeShade="80"/>
              <w:left w:val="single" w:sz="12" w:space="0" w:color="auto"/>
              <w:bottom w:val="single" w:sz="2" w:space="0" w:color="808080" w:themeColor="background1" w:themeShade="80"/>
              <w:right w:val="dashed" w:sz="4" w:space="0" w:color="808080" w:themeColor="background1" w:themeShade="80"/>
            </w:tcBorders>
            <w:shd w:val="clear" w:color="auto" w:fill="auto"/>
            <w:noWrap/>
            <w:vAlign w:val="center"/>
            <w:hideMark/>
          </w:tcPr>
          <w:p w14:paraId="27B62140"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0.01</w:t>
            </w:r>
          </w:p>
        </w:tc>
        <w:tc>
          <w:tcPr>
            <w:tcW w:w="845" w:type="dxa"/>
            <w:tcBorders>
              <w:top w:val="single" w:sz="2" w:space="0" w:color="808080" w:themeColor="background1" w:themeShade="80"/>
              <w:left w:val="dashed" w:sz="4" w:space="0" w:color="808080" w:themeColor="background1" w:themeShade="80"/>
              <w:bottom w:val="single" w:sz="2" w:space="0" w:color="808080" w:themeColor="background1" w:themeShade="80"/>
              <w:right w:val="single" w:sz="4" w:space="0" w:color="808080" w:themeColor="background1" w:themeShade="80"/>
            </w:tcBorders>
            <w:shd w:val="clear" w:color="auto" w:fill="auto"/>
            <w:vAlign w:val="center"/>
          </w:tcPr>
          <w:p w14:paraId="1126501F"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8.7</w:t>
            </w:r>
          </w:p>
        </w:tc>
        <w:tc>
          <w:tcPr>
            <w:tcW w:w="835" w:type="dxa"/>
            <w:tcBorders>
              <w:top w:val="single" w:sz="2" w:space="0" w:color="808080" w:themeColor="background1" w:themeShade="80"/>
              <w:left w:val="single" w:sz="4"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hideMark/>
          </w:tcPr>
          <w:p w14:paraId="05DC6DC3"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0.05</w:t>
            </w:r>
          </w:p>
        </w:tc>
        <w:tc>
          <w:tcPr>
            <w:tcW w:w="835" w:type="dxa"/>
            <w:tcBorders>
              <w:top w:val="single" w:sz="2" w:space="0" w:color="808080" w:themeColor="background1" w:themeShade="80"/>
              <w:left w:val="dashed" w:sz="4" w:space="0" w:color="808080" w:themeColor="background1" w:themeShade="80"/>
              <w:bottom w:val="single" w:sz="2" w:space="0" w:color="808080" w:themeColor="background1" w:themeShade="80"/>
              <w:right w:val="single" w:sz="2" w:space="0" w:color="808080" w:themeColor="background1" w:themeShade="80"/>
            </w:tcBorders>
            <w:vAlign w:val="center"/>
          </w:tcPr>
          <w:p w14:paraId="746B83AA"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9.2</w:t>
            </w:r>
          </w:p>
        </w:tc>
        <w:tc>
          <w:tcPr>
            <w:tcW w:w="835" w:type="dxa"/>
            <w:tcBorders>
              <w:top w:val="single" w:sz="2" w:space="0" w:color="808080" w:themeColor="background1" w:themeShade="80"/>
              <w:left w:val="single" w:sz="2"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hideMark/>
          </w:tcPr>
          <w:p w14:paraId="5BA708F1"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0.10</w:t>
            </w:r>
          </w:p>
        </w:tc>
        <w:tc>
          <w:tcPr>
            <w:tcW w:w="835" w:type="dxa"/>
            <w:tcBorders>
              <w:top w:val="single" w:sz="2" w:space="0" w:color="808080" w:themeColor="background1" w:themeShade="80"/>
              <w:left w:val="dashed" w:sz="4" w:space="0" w:color="808080" w:themeColor="background1" w:themeShade="80"/>
              <w:bottom w:val="single" w:sz="2" w:space="0" w:color="808080" w:themeColor="background1" w:themeShade="80"/>
              <w:right w:val="nil"/>
            </w:tcBorders>
            <w:vAlign w:val="center"/>
          </w:tcPr>
          <w:p w14:paraId="320EECE1"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26.3</w:t>
            </w:r>
          </w:p>
        </w:tc>
      </w:tr>
      <w:tr w:rsidR="00BA0582" w:rsidRPr="000351A7" w14:paraId="57FA8AC4" w14:textId="77777777" w:rsidTr="00BA0582">
        <w:trPr>
          <w:trHeight w:val="317"/>
          <w:jc w:val="center"/>
        </w:trPr>
        <w:tc>
          <w:tcPr>
            <w:tcW w:w="1368" w:type="dxa"/>
            <w:tcBorders>
              <w:top w:val="single" w:sz="2" w:space="0" w:color="808080" w:themeColor="background1" w:themeShade="80"/>
              <w:left w:val="nil"/>
              <w:bottom w:val="single" w:sz="2" w:space="0" w:color="808080" w:themeColor="background1" w:themeShade="80"/>
              <w:right w:val="single" w:sz="12" w:space="0" w:color="auto"/>
            </w:tcBorders>
            <w:shd w:val="clear" w:color="auto" w:fill="auto"/>
            <w:noWrap/>
            <w:vAlign w:val="center"/>
            <w:hideMark/>
          </w:tcPr>
          <w:p w14:paraId="478D3AB5" w14:textId="77777777" w:rsidR="00BA0582" w:rsidRPr="000351A7" w:rsidRDefault="00BA0582" w:rsidP="00BA0582">
            <w:pPr>
              <w:spacing w:line="240" w:lineRule="auto"/>
              <w:jc w:val="center"/>
              <w:rPr>
                <w:rFonts w:ascii="Calibri" w:hAnsi="Calibri"/>
                <w:color w:val="000000"/>
                <w:sz w:val="20"/>
              </w:rPr>
            </w:pPr>
            <w:r w:rsidRPr="000351A7">
              <w:rPr>
                <w:rFonts w:ascii="Calibri" w:hAnsi="Calibri"/>
                <w:color w:val="000000"/>
                <w:sz w:val="20"/>
              </w:rPr>
              <w:t>f</w:t>
            </w:r>
          </w:p>
        </w:tc>
        <w:tc>
          <w:tcPr>
            <w:tcW w:w="840" w:type="dxa"/>
            <w:tcBorders>
              <w:top w:val="single" w:sz="2" w:space="0" w:color="808080" w:themeColor="background1" w:themeShade="80"/>
              <w:left w:val="single" w:sz="12" w:space="0" w:color="auto"/>
              <w:bottom w:val="single" w:sz="2" w:space="0" w:color="808080" w:themeColor="background1" w:themeShade="80"/>
              <w:right w:val="dashed" w:sz="4" w:space="0" w:color="808080" w:themeColor="background1" w:themeShade="80"/>
            </w:tcBorders>
            <w:shd w:val="clear" w:color="auto" w:fill="auto"/>
            <w:noWrap/>
            <w:vAlign w:val="center"/>
            <w:hideMark/>
          </w:tcPr>
          <w:p w14:paraId="10121D0E"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0.01</w:t>
            </w:r>
          </w:p>
        </w:tc>
        <w:tc>
          <w:tcPr>
            <w:tcW w:w="845" w:type="dxa"/>
            <w:tcBorders>
              <w:top w:val="single" w:sz="2" w:space="0" w:color="808080" w:themeColor="background1" w:themeShade="80"/>
              <w:left w:val="dashed" w:sz="4"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tcPr>
          <w:p w14:paraId="21F16539"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8.7</w:t>
            </w:r>
          </w:p>
        </w:tc>
        <w:tc>
          <w:tcPr>
            <w:tcW w:w="835" w:type="dxa"/>
            <w:tcBorders>
              <w:top w:val="single" w:sz="2" w:space="0" w:color="808080" w:themeColor="background1" w:themeShade="80"/>
              <w:left w:val="single" w:sz="2"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hideMark/>
          </w:tcPr>
          <w:p w14:paraId="44C50BF5"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0.10</w:t>
            </w:r>
          </w:p>
        </w:tc>
        <w:tc>
          <w:tcPr>
            <w:tcW w:w="835" w:type="dxa"/>
            <w:tcBorders>
              <w:top w:val="single" w:sz="2" w:space="0" w:color="808080" w:themeColor="background1" w:themeShade="80"/>
              <w:left w:val="dashed" w:sz="4" w:space="0" w:color="808080" w:themeColor="background1" w:themeShade="80"/>
              <w:bottom w:val="single" w:sz="2" w:space="0" w:color="808080" w:themeColor="background1" w:themeShade="80"/>
              <w:right w:val="single" w:sz="2" w:space="0" w:color="808080" w:themeColor="background1" w:themeShade="80"/>
            </w:tcBorders>
            <w:vAlign w:val="center"/>
          </w:tcPr>
          <w:p w14:paraId="56687E15"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18.4</w:t>
            </w:r>
          </w:p>
        </w:tc>
        <w:tc>
          <w:tcPr>
            <w:tcW w:w="835" w:type="dxa"/>
            <w:tcBorders>
              <w:top w:val="single" w:sz="2" w:space="0" w:color="808080" w:themeColor="background1" w:themeShade="80"/>
              <w:left w:val="single" w:sz="2"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hideMark/>
          </w:tcPr>
          <w:p w14:paraId="01B9E1CC"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0.05</w:t>
            </w:r>
          </w:p>
        </w:tc>
        <w:tc>
          <w:tcPr>
            <w:tcW w:w="835" w:type="dxa"/>
            <w:tcBorders>
              <w:top w:val="single" w:sz="2" w:space="0" w:color="808080" w:themeColor="background1" w:themeShade="80"/>
              <w:left w:val="dashed" w:sz="4" w:space="0" w:color="808080" w:themeColor="background1" w:themeShade="80"/>
              <w:bottom w:val="single" w:sz="2" w:space="0" w:color="808080" w:themeColor="background1" w:themeShade="80"/>
              <w:right w:val="nil"/>
            </w:tcBorders>
            <w:vAlign w:val="center"/>
          </w:tcPr>
          <w:p w14:paraId="5317ED61"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13.1</w:t>
            </w:r>
          </w:p>
        </w:tc>
      </w:tr>
      <w:tr w:rsidR="00BA0582" w:rsidRPr="000351A7" w14:paraId="5523FCC5" w14:textId="77777777" w:rsidTr="00BA0582">
        <w:trPr>
          <w:trHeight w:val="317"/>
          <w:jc w:val="center"/>
        </w:trPr>
        <w:tc>
          <w:tcPr>
            <w:tcW w:w="1368" w:type="dxa"/>
            <w:tcBorders>
              <w:top w:val="single" w:sz="2" w:space="0" w:color="808080" w:themeColor="background1" w:themeShade="80"/>
              <w:left w:val="nil"/>
              <w:bottom w:val="single" w:sz="2" w:space="0" w:color="808080" w:themeColor="background1" w:themeShade="80"/>
              <w:right w:val="single" w:sz="12" w:space="0" w:color="auto"/>
            </w:tcBorders>
            <w:shd w:val="clear" w:color="auto" w:fill="auto"/>
            <w:noWrap/>
            <w:vAlign w:val="center"/>
            <w:hideMark/>
          </w:tcPr>
          <w:p w14:paraId="41AA5A98" w14:textId="77777777" w:rsidR="00BA0582" w:rsidRPr="000351A7" w:rsidRDefault="00BA0582" w:rsidP="00BA0582">
            <w:pPr>
              <w:spacing w:line="240" w:lineRule="auto"/>
              <w:jc w:val="center"/>
              <w:rPr>
                <w:rFonts w:ascii="Calibri" w:hAnsi="Calibri"/>
                <w:color w:val="000000"/>
                <w:sz w:val="20"/>
              </w:rPr>
            </w:pPr>
            <w:r w:rsidRPr="000351A7">
              <w:rPr>
                <w:rFonts w:ascii="Calibri" w:hAnsi="Calibri"/>
                <w:color w:val="000000"/>
                <w:sz w:val="20"/>
              </w:rPr>
              <w:t>g</w:t>
            </w:r>
          </w:p>
        </w:tc>
        <w:tc>
          <w:tcPr>
            <w:tcW w:w="840" w:type="dxa"/>
            <w:tcBorders>
              <w:top w:val="single" w:sz="2" w:space="0" w:color="808080" w:themeColor="background1" w:themeShade="80"/>
              <w:left w:val="single" w:sz="12" w:space="0" w:color="auto"/>
              <w:bottom w:val="single" w:sz="2" w:space="0" w:color="808080" w:themeColor="background1" w:themeShade="80"/>
              <w:right w:val="dashed" w:sz="4" w:space="0" w:color="808080" w:themeColor="background1" w:themeShade="80"/>
            </w:tcBorders>
            <w:shd w:val="clear" w:color="auto" w:fill="auto"/>
            <w:noWrap/>
            <w:vAlign w:val="center"/>
            <w:hideMark/>
          </w:tcPr>
          <w:p w14:paraId="3F624772"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0.01</w:t>
            </w:r>
          </w:p>
        </w:tc>
        <w:tc>
          <w:tcPr>
            <w:tcW w:w="845" w:type="dxa"/>
            <w:tcBorders>
              <w:top w:val="single" w:sz="2" w:space="0" w:color="808080" w:themeColor="background1" w:themeShade="80"/>
              <w:left w:val="dashed" w:sz="4"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tcPr>
          <w:p w14:paraId="385BAC2B"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8.7</w:t>
            </w:r>
          </w:p>
        </w:tc>
        <w:tc>
          <w:tcPr>
            <w:tcW w:w="835" w:type="dxa"/>
            <w:tcBorders>
              <w:top w:val="single" w:sz="2" w:space="0" w:color="808080" w:themeColor="background1" w:themeShade="80"/>
              <w:left w:val="single" w:sz="2"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hideMark/>
          </w:tcPr>
          <w:p w14:paraId="2FE8B99A"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0.10</w:t>
            </w:r>
          </w:p>
        </w:tc>
        <w:tc>
          <w:tcPr>
            <w:tcW w:w="835" w:type="dxa"/>
            <w:tcBorders>
              <w:top w:val="single" w:sz="2" w:space="0" w:color="808080" w:themeColor="background1" w:themeShade="80"/>
              <w:left w:val="dashed" w:sz="4" w:space="0" w:color="808080" w:themeColor="background1" w:themeShade="80"/>
              <w:bottom w:val="single" w:sz="2" w:space="0" w:color="808080" w:themeColor="background1" w:themeShade="80"/>
              <w:right w:val="single" w:sz="2" w:space="0" w:color="808080" w:themeColor="background1" w:themeShade="80"/>
            </w:tcBorders>
            <w:vAlign w:val="center"/>
          </w:tcPr>
          <w:p w14:paraId="0E250378"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18.4</w:t>
            </w:r>
          </w:p>
        </w:tc>
        <w:tc>
          <w:tcPr>
            <w:tcW w:w="835" w:type="dxa"/>
            <w:tcBorders>
              <w:top w:val="single" w:sz="2" w:space="0" w:color="808080" w:themeColor="background1" w:themeShade="80"/>
              <w:left w:val="single" w:sz="2"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hideMark/>
          </w:tcPr>
          <w:p w14:paraId="3D02C0C0"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0.20</w:t>
            </w:r>
          </w:p>
        </w:tc>
        <w:tc>
          <w:tcPr>
            <w:tcW w:w="835" w:type="dxa"/>
            <w:tcBorders>
              <w:top w:val="single" w:sz="2" w:space="0" w:color="808080" w:themeColor="background1" w:themeShade="80"/>
              <w:left w:val="dashed" w:sz="4" w:space="0" w:color="808080" w:themeColor="background1" w:themeShade="80"/>
              <w:bottom w:val="single" w:sz="2" w:space="0" w:color="808080" w:themeColor="background1" w:themeShade="80"/>
              <w:right w:val="nil"/>
            </w:tcBorders>
            <w:vAlign w:val="center"/>
          </w:tcPr>
          <w:p w14:paraId="2DA95B65"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52.6</w:t>
            </w:r>
          </w:p>
        </w:tc>
      </w:tr>
      <w:tr w:rsidR="00BA0582" w:rsidRPr="000351A7" w14:paraId="4151C3AE" w14:textId="77777777" w:rsidTr="00BA0582">
        <w:trPr>
          <w:trHeight w:val="317"/>
          <w:jc w:val="center"/>
        </w:trPr>
        <w:tc>
          <w:tcPr>
            <w:tcW w:w="1368" w:type="dxa"/>
            <w:tcBorders>
              <w:top w:val="single" w:sz="2" w:space="0" w:color="808080" w:themeColor="background1" w:themeShade="80"/>
              <w:left w:val="nil"/>
              <w:bottom w:val="single" w:sz="2" w:space="0" w:color="808080" w:themeColor="background1" w:themeShade="80"/>
              <w:right w:val="single" w:sz="12" w:space="0" w:color="auto"/>
            </w:tcBorders>
            <w:shd w:val="clear" w:color="auto" w:fill="auto"/>
            <w:noWrap/>
            <w:vAlign w:val="center"/>
            <w:hideMark/>
          </w:tcPr>
          <w:p w14:paraId="60A4EB8E" w14:textId="77777777" w:rsidR="00BA0582" w:rsidRPr="000351A7" w:rsidRDefault="00BA0582" w:rsidP="00BA0582">
            <w:pPr>
              <w:spacing w:line="240" w:lineRule="auto"/>
              <w:jc w:val="center"/>
              <w:rPr>
                <w:rFonts w:ascii="Calibri" w:hAnsi="Calibri"/>
                <w:color w:val="000000"/>
                <w:sz w:val="20"/>
              </w:rPr>
            </w:pPr>
            <w:r w:rsidRPr="000351A7">
              <w:rPr>
                <w:rFonts w:ascii="Calibri" w:hAnsi="Calibri"/>
                <w:color w:val="000000"/>
                <w:sz w:val="20"/>
              </w:rPr>
              <w:t>h</w:t>
            </w:r>
          </w:p>
        </w:tc>
        <w:tc>
          <w:tcPr>
            <w:tcW w:w="840" w:type="dxa"/>
            <w:tcBorders>
              <w:top w:val="single" w:sz="2" w:space="0" w:color="808080" w:themeColor="background1" w:themeShade="80"/>
              <w:left w:val="single" w:sz="12" w:space="0" w:color="auto"/>
              <w:bottom w:val="single" w:sz="2" w:space="0" w:color="808080" w:themeColor="background1" w:themeShade="80"/>
              <w:right w:val="dashed" w:sz="4" w:space="0" w:color="808080" w:themeColor="background1" w:themeShade="80"/>
            </w:tcBorders>
            <w:shd w:val="clear" w:color="auto" w:fill="auto"/>
            <w:noWrap/>
            <w:vAlign w:val="center"/>
            <w:hideMark/>
          </w:tcPr>
          <w:p w14:paraId="31ED8632"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0.01</w:t>
            </w:r>
          </w:p>
        </w:tc>
        <w:tc>
          <w:tcPr>
            <w:tcW w:w="845" w:type="dxa"/>
            <w:tcBorders>
              <w:top w:val="single" w:sz="2" w:space="0" w:color="808080" w:themeColor="background1" w:themeShade="80"/>
              <w:left w:val="dashed" w:sz="4"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tcPr>
          <w:p w14:paraId="0041FD51"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8.7</w:t>
            </w:r>
          </w:p>
        </w:tc>
        <w:tc>
          <w:tcPr>
            <w:tcW w:w="835" w:type="dxa"/>
            <w:tcBorders>
              <w:top w:val="single" w:sz="2" w:space="0" w:color="808080" w:themeColor="background1" w:themeShade="80"/>
              <w:left w:val="single" w:sz="2"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hideMark/>
          </w:tcPr>
          <w:p w14:paraId="7E9FB509"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0.50</w:t>
            </w:r>
          </w:p>
        </w:tc>
        <w:tc>
          <w:tcPr>
            <w:tcW w:w="835" w:type="dxa"/>
            <w:tcBorders>
              <w:top w:val="single" w:sz="2" w:space="0" w:color="808080" w:themeColor="background1" w:themeShade="80"/>
              <w:left w:val="dashed" w:sz="4" w:space="0" w:color="808080" w:themeColor="background1" w:themeShade="80"/>
              <w:bottom w:val="single" w:sz="2" w:space="0" w:color="808080" w:themeColor="background1" w:themeShade="80"/>
              <w:right w:val="single" w:sz="2" w:space="0" w:color="808080" w:themeColor="background1" w:themeShade="80"/>
            </w:tcBorders>
            <w:vAlign w:val="center"/>
          </w:tcPr>
          <w:p w14:paraId="4FF10558"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92.0</w:t>
            </w:r>
          </w:p>
        </w:tc>
        <w:tc>
          <w:tcPr>
            <w:tcW w:w="835" w:type="dxa"/>
            <w:tcBorders>
              <w:top w:val="single" w:sz="2" w:space="0" w:color="808080" w:themeColor="background1" w:themeShade="80"/>
              <w:left w:val="single" w:sz="2"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hideMark/>
          </w:tcPr>
          <w:p w14:paraId="6C66D88F"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0.10</w:t>
            </w:r>
          </w:p>
        </w:tc>
        <w:tc>
          <w:tcPr>
            <w:tcW w:w="835" w:type="dxa"/>
            <w:tcBorders>
              <w:top w:val="single" w:sz="2" w:space="0" w:color="808080" w:themeColor="background1" w:themeShade="80"/>
              <w:left w:val="dashed" w:sz="4" w:space="0" w:color="808080" w:themeColor="background1" w:themeShade="80"/>
              <w:bottom w:val="single" w:sz="2" w:space="0" w:color="808080" w:themeColor="background1" w:themeShade="80"/>
              <w:right w:val="nil"/>
            </w:tcBorders>
            <w:vAlign w:val="center"/>
          </w:tcPr>
          <w:p w14:paraId="408ECCC0"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26.3</w:t>
            </w:r>
          </w:p>
        </w:tc>
      </w:tr>
      <w:tr w:rsidR="00BA0582" w:rsidRPr="000351A7" w14:paraId="08CF5B77" w14:textId="77777777" w:rsidTr="00BA0582">
        <w:trPr>
          <w:trHeight w:val="317"/>
          <w:jc w:val="center"/>
        </w:trPr>
        <w:tc>
          <w:tcPr>
            <w:tcW w:w="1368" w:type="dxa"/>
            <w:tcBorders>
              <w:top w:val="single" w:sz="2" w:space="0" w:color="808080" w:themeColor="background1" w:themeShade="80"/>
              <w:left w:val="nil"/>
              <w:bottom w:val="single" w:sz="2" w:space="0" w:color="808080" w:themeColor="background1" w:themeShade="80"/>
              <w:right w:val="single" w:sz="12" w:space="0" w:color="auto"/>
            </w:tcBorders>
            <w:shd w:val="clear" w:color="auto" w:fill="auto"/>
            <w:noWrap/>
            <w:vAlign w:val="center"/>
            <w:hideMark/>
          </w:tcPr>
          <w:p w14:paraId="78CCD38F" w14:textId="77777777" w:rsidR="00BA0582" w:rsidRPr="000351A7" w:rsidRDefault="00BA0582" w:rsidP="00BA0582">
            <w:pPr>
              <w:spacing w:line="240" w:lineRule="auto"/>
              <w:jc w:val="center"/>
              <w:rPr>
                <w:rFonts w:ascii="Calibri" w:hAnsi="Calibri"/>
                <w:color w:val="000000"/>
                <w:sz w:val="20"/>
              </w:rPr>
            </w:pPr>
            <w:r w:rsidRPr="000351A7">
              <w:rPr>
                <w:rFonts w:ascii="Calibri" w:hAnsi="Calibri"/>
                <w:color w:val="000000"/>
                <w:sz w:val="20"/>
              </w:rPr>
              <w:t>i</w:t>
            </w:r>
          </w:p>
        </w:tc>
        <w:tc>
          <w:tcPr>
            <w:tcW w:w="840" w:type="dxa"/>
            <w:tcBorders>
              <w:top w:val="single" w:sz="2" w:space="0" w:color="808080" w:themeColor="background1" w:themeShade="80"/>
              <w:left w:val="single" w:sz="12" w:space="0" w:color="auto"/>
              <w:bottom w:val="single" w:sz="2" w:space="0" w:color="808080" w:themeColor="background1" w:themeShade="80"/>
              <w:right w:val="dashed" w:sz="4" w:space="0" w:color="808080" w:themeColor="background1" w:themeShade="80"/>
            </w:tcBorders>
            <w:shd w:val="clear" w:color="auto" w:fill="auto"/>
            <w:noWrap/>
            <w:vAlign w:val="center"/>
            <w:hideMark/>
          </w:tcPr>
          <w:p w14:paraId="64DCFD9F"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0.01</w:t>
            </w:r>
          </w:p>
        </w:tc>
        <w:tc>
          <w:tcPr>
            <w:tcW w:w="845" w:type="dxa"/>
            <w:tcBorders>
              <w:top w:val="single" w:sz="2" w:space="0" w:color="808080" w:themeColor="background1" w:themeShade="80"/>
              <w:left w:val="dashed" w:sz="4"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tcPr>
          <w:p w14:paraId="0CFAB387"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8.7</w:t>
            </w:r>
          </w:p>
        </w:tc>
        <w:tc>
          <w:tcPr>
            <w:tcW w:w="835" w:type="dxa"/>
            <w:tcBorders>
              <w:top w:val="single" w:sz="2" w:space="0" w:color="808080" w:themeColor="background1" w:themeShade="80"/>
              <w:left w:val="single" w:sz="2"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hideMark/>
          </w:tcPr>
          <w:p w14:paraId="08C5F1B3"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0.10</w:t>
            </w:r>
          </w:p>
        </w:tc>
        <w:tc>
          <w:tcPr>
            <w:tcW w:w="835" w:type="dxa"/>
            <w:tcBorders>
              <w:top w:val="single" w:sz="2" w:space="0" w:color="808080" w:themeColor="background1" w:themeShade="80"/>
              <w:left w:val="dashed" w:sz="4" w:space="0" w:color="808080" w:themeColor="background1" w:themeShade="80"/>
              <w:bottom w:val="single" w:sz="2" w:space="0" w:color="808080" w:themeColor="background1" w:themeShade="80"/>
              <w:right w:val="single" w:sz="2" w:space="0" w:color="808080" w:themeColor="background1" w:themeShade="80"/>
            </w:tcBorders>
            <w:vAlign w:val="center"/>
          </w:tcPr>
          <w:p w14:paraId="2CD62796"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18.4</w:t>
            </w:r>
          </w:p>
        </w:tc>
        <w:tc>
          <w:tcPr>
            <w:tcW w:w="835" w:type="dxa"/>
            <w:tcBorders>
              <w:top w:val="single" w:sz="2" w:space="0" w:color="808080" w:themeColor="background1" w:themeShade="80"/>
              <w:left w:val="single" w:sz="2"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hideMark/>
          </w:tcPr>
          <w:p w14:paraId="2EB96AE1"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0.50</w:t>
            </w:r>
          </w:p>
        </w:tc>
        <w:tc>
          <w:tcPr>
            <w:tcW w:w="835" w:type="dxa"/>
            <w:tcBorders>
              <w:top w:val="single" w:sz="2" w:space="0" w:color="808080" w:themeColor="background1" w:themeShade="80"/>
              <w:left w:val="dashed" w:sz="4" w:space="0" w:color="808080" w:themeColor="background1" w:themeShade="80"/>
              <w:bottom w:val="single" w:sz="2" w:space="0" w:color="808080" w:themeColor="background1" w:themeShade="80"/>
              <w:right w:val="nil"/>
            </w:tcBorders>
            <w:vAlign w:val="center"/>
          </w:tcPr>
          <w:p w14:paraId="1A45F4DC"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131.5</w:t>
            </w:r>
          </w:p>
        </w:tc>
      </w:tr>
      <w:tr w:rsidR="00BA0582" w:rsidRPr="000351A7" w14:paraId="2A4C4906" w14:textId="77777777" w:rsidTr="00BA0582">
        <w:trPr>
          <w:trHeight w:val="317"/>
          <w:jc w:val="center"/>
        </w:trPr>
        <w:tc>
          <w:tcPr>
            <w:tcW w:w="1368" w:type="dxa"/>
            <w:tcBorders>
              <w:top w:val="single" w:sz="2" w:space="0" w:color="808080" w:themeColor="background1" w:themeShade="80"/>
              <w:left w:val="nil"/>
              <w:bottom w:val="single" w:sz="2" w:space="0" w:color="808080" w:themeColor="background1" w:themeShade="80"/>
              <w:right w:val="single" w:sz="12" w:space="0" w:color="auto"/>
            </w:tcBorders>
            <w:shd w:val="clear" w:color="auto" w:fill="auto"/>
            <w:noWrap/>
            <w:vAlign w:val="center"/>
            <w:hideMark/>
          </w:tcPr>
          <w:p w14:paraId="15F498E8" w14:textId="77777777" w:rsidR="00BA0582" w:rsidRPr="000351A7" w:rsidRDefault="00BA0582" w:rsidP="00BA0582">
            <w:pPr>
              <w:spacing w:line="240" w:lineRule="auto"/>
              <w:jc w:val="center"/>
              <w:rPr>
                <w:rFonts w:ascii="Calibri" w:hAnsi="Calibri"/>
                <w:color w:val="000000"/>
                <w:sz w:val="20"/>
              </w:rPr>
            </w:pPr>
            <w:r w:rsidRPr="000351A7">
              <w:rPr>
                <w:rFonts w:ascii="Calibri" w:hAnsi="Calibri"/>
                <w:color w:val="000000"/>
                <w:sz w:val="20"/>
              </w:rPr>
              <w:t>j</w:t>
            </w:r>
          </w:p>
        </w:tc>
        <w:tc>
          <w:tcPr>
            <w:tcW w:w="840" w:type="dxa"/>
            <w:tcBorders>
              <w:top w:val="single" w:sz="2" w:space="0" w:color="808080" w:themeColor="background1" w:themeShade="80"/>
              <w:left w:val="single" w:sz="12" w:space="0" w:color="auto"/>
              <w:bottom w:val="single" w:sz="2" w:space="0" w:color="808080" w:themeColor="background1" w:themeShade="80"/>
              <w:right w:val="dashed" w:sz="4" w:space="0" w:color="808080" w:themeColor="background1" w:themeShade="80"/>
            </w:tcBorders>
            <w:shd w:val="clear" w:color="auto" w:fill="auto"/>
            <w:noWrap/>
            <w:vAlign w:val="center"/>
            <w:hideMark/>
          </w:tcPr>
          <w:p w14:paraId="639ACA5B"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0.01</w:t>
            </w:r>
          </w:p>
        </w:tc>
        <w:tc>
          <w:tcPr>
            <w:tcW w:w="845" w:type="dxa"/>
            <w:tcBorders>
              <w:top w:val="single" w:sz="2" w:space="0" w:color="808080" w:themeColor="background1" w:themeShade="80"/>
              <w:left w:val="dashed" w:sz="4"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tcPr>
          <w:p w14:paraId="4451E93D"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8.7</w:t>
            </w:r>
          </w:p>
        </w:tc>
        <w:tc>
          <w:tcPr>
            <w:tcW w:w="835" w:type="dxa"/>
            <w:tcBorders>
              <w:top w:val="single" w:sz="2" w:space="0" w:color="808080" w:themeColor="background1" w:themeShade="80"/>
              <w:left w:val="single" w:sz="2"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hideMark/>
          </w:tcPr>
          <w:p w14:paraId="156D9D62"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0.05</w:t>
            </w:r>
          </w:p>
        </w:tc>
        <w:tc>
          <w:tcPr>
            <w:tcW w:w="835" w:type="dxa"/>
            <w:tcBorders>
              <w:top w:val="single" w:sz="2" w:space="0" w:color="808080" w:themeColor="background1" w:themeShade="80"/>
              <w:left w:val="dashed" w:sz="4" w:space="0" w:color="808080" w:themeColor="background1" w:themeShade="80"/>
              <w:bottom w:val="single" w:sz="2" w:space="0" w:color="808080" w:themeColor="background1" w:themeShade="80"/>
              <w:right w:val="single" w:sz="2" w:space="0" w:color="808080" w:themeColor="background1" w:themeShade="80"/>
            </w:tcBorders>
            <w:vAlign w:val="center"/>
          </w:tcPr>
          <w:p w14:paraId="293B725F"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9.2</w:t>
            </w:r>
          </w:p>
        </w:tc>
        <w:tc>
          <w:tcPr>
            <w:tcW w:w="835" w:type="dxa"/>
            <w:tcBorders>
              <w:top w:val="single" w:sz="2" w:space="0" w:color="808080" w:themeColor="background1" w:themeShade="80"/>
              <w:left w:val="single" w:sz="2"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hideMark/>
          </w:tcPr>
          <w:p w14:paraId="689F8212"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0.05</w:t>
            </w:r>
          </w:p>
        </w:tc>
        <w:tc>
          <w:tcPr>
            <w:tcW w:w="835" w:type="dxa"/>
            <w:tcBorders>
              <w:top w:val="single" w:sz="2" w:space="0" w:color="808080" w:themeColor="background1" w:themeShade="80"/>
              <w:left w:val="dashed" w:sz="4" w:space="0" w:color="808080" w:themeColor="background1" w:themeShade="80"/>
              <w:bottom w:val="single" w:sz="2" w:space="0" w:color="808080" w:themeColor="background1" w:themeShade="80"/>
              <w:right w:val="nil"/>
            </w:tcBorders>
            <w:vAlign w:val="center"/>
          </w:tcPr>
          <w:p w14:paraId="4A4DEB64"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13.1</w:t>
            </w:r>
          </w:p>
        </w:tc>
      </w:tr>
      <w:tr w:rsidR="00BA0582" w:rsidRPr="000351A7" w14:paraId="3627CE4D" w14:textId="77777777" w:rsidTr="00BA0582">
        <w:trPr>
          <w:trHeight w:val="317"/>
          <w:jc w:val="center"/>
        </w:trPr>
        <w:tc>
          <w:tcPr>
            <w:tcW w:w="1368" w:type="dxa"/>
            <w:tcBorders>
              <w:top w:val="single" w:sz="2" w:space="0" w:color="808080" w:themeColor="background1" w:themeShade="80"/>
              <w:left w:val="nil"/>
              <w:bottom w:val="single" w:sz="2" w:space="0" w:color="808080" w:themeColor="background1" w:themeShade="80"/>
              <w:right w:val="single" w:sz="12" w:space="0" w:color="auto"/>
            </w:tcBorders>
            <w:shd w:val="clear" w:color="auto" w:fill="auto"/>
            <w:noWrap/>
            <w:vAlign w:val="center"/>
            <w:hideMark/>
          </w:tcPr>
          <w:p w14:paraId="4B9A4205" w14:textId="77777777" w:rsidR="00BA0582" w:rsidRPr="000351A7" w:rsidRDefault="00BA0582" w:rsidP="00BA0582">
            <w:pPr>
              <w:spacing w:line="240" w:lineRule="auto"/>
              <w:jc w:val="center"/>
              <w:rPr>
                <w:rFonts w:ascii="Calibri" w:hAnsi="Calibri"/>
                <w:color w:val="000000"/>
                <w:sz w:val="20"/>
              </w:rPr>
            </w:pPr>
            <w:r w:rsidRPr="000351A7">
              <w:rPr>
                <w:rFonts w:ascii="Calibri" w:hAnsi="Calibri"/>
                <w:color w:val="000000"/>
                <w:sz w:val="20"/>
              </w:rPr>
              <w:t>k</w:t>
            </w:r>
          </w:p>
        </w:tc>
        <w:tc>
          <w:tcPr>
            <w:tcW w:w="840" w:type="dxa"/>
            <w:tcBorders>
              <w:top w:val="single" w:sz="2" w:space="0" w:color="808080" w:themeColor="background1" w:themeShade="80"/>
              <w:left w:val="single" w:sz="12" w:space="0" w:color="auto"/>
              <w:bottom w:val="single" w:sz="2" w:space="0" w:color="808080" w:themeColor="background1" w:themeShade="80"/>
              <w:right w:val="dashed" w:sz="4" w:space="0" w:color="808080" w:themeColor="background1" w:themeShade="80"/>
            </w:tcBorders>
            <w:shd w:val="clear" w:color="auto" w:fill="auto"/>
            <w:noWrap/>
            <w:vAlign w:val="center"/>
            <w:hideMark/>
          </w:tcPr>
          <w:p w14:paraId="77E3A7A8"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0.01</w:t>
            </w:r>
          </w:p>
        </w:tc>
        <w:tc>
          <w:tcPr>
            <w:tcW w:w="845" w:type="dxa"/>
            <w:tcBorders>
              <w:top w:val="single" w:sz="2" w:space="0" w:color="808080" w:themeColor="background1" w:themeShade="80"/>
              <w:left w:val="dashed" w:sz="4"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tcPr>
          <w:p w14:paraId="73A3E32C"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8.7</w:t>
            </w:r>
          </w:p>
        </w:tc>
        <w:tc>
          <w:tcPr>
            <w:tcW w:w="835" w:type="dxa"/>
            <w:tcBorders>
              <w:top w:val="single" w:sz="2" w:space="0" w:color="808080" w:themeColor="background1" w:themeShade="80"/>
              <w:left w:val="single" w:sz="2"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hideMark/>
          </w:tcPr>
          <w:p w14:paraId="714EF4A9"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0.05</w:t>
            </w:r>
          </w:p>
        </w:tc>
        <w:tc>
          <w:tcPr>
            <w:tcW w:w="835" w:type="dxa"/>
            <w:tcBorders>
              <w:top w:val="single" w:sz="2" w:space="0" w:color="808080" w:themeColor="background1" w:themeShade="80"/>
              <w:left w:val="dashed" w:sz="4" w:space="0" w:color="808080" w:themeColor="background1" w:themeShade="80"/>
              <w:bottom w:val="single" w:sz="2" w:space="0" w:color="808080" w:themeColor="background1" w:themeShade="80"/>
              <w:right w:val="single" w:sz="2" w:space="0" w:color="808080" w:themeColor="background1" w:themeShade="80"/>
            </w:tcBorders>
            <w:vAlign w:val="center"/>
          </w:tcPr>
          <w:p w14:paraId="7D0CE3F6"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9.2</w:t>
            </w:r>
          </w:p>
        </w:tc>
        <w:tc>
          <w:tcPr>
            <w:tcW w:w="835" w:type="dxa"/>
            <w:tcBorders>
              <w:top w:val="single" w:sz="2" w:space="0" w:color="808080" w:themeColor="background1" w:themeShade="80"/>
              <w:left w:val="single" w:sz="2"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hideMark/>
          </w:tcPr>
          <w:p w14:paraId="72925C36"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0.20</w:t>
            </w:r>
          </w:p>
        </w:tc>
        <w:tc>
          <w:tcPr>
            <w:tcW w:w="835" w:type="dxa"/>
            <w:tcBorders>
              <w:top w:val="single" w:sz="2" w:space="0" w:color="808080" w:themeColor="background1" w:themeShade="80"/>
              <w:left w:val="dashed" w:sz="4" w:space="0" w:color="808080" w:themeColor="background1" w:themeShade="80"/>
              <w:bottom w:val="single" w:sz="2" w:space="0" w:color="808080" w:themeColor="background1" w:themeShade="80"/>
              <w:right w:val="nil"/>
            </w:tcBorders>
            <w:vAlign w:val="center"/>
          </w:tcPr>
          <w:p w14:paraId="73E86997"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52.6</w:t>
            </w:r>
          </w:p>
        </w:tc>
      </w:tr>
      <w:tr w:rsidR="00BA0582" w:rsidRPr="000351A7" w14:paraId="7B5C668A" w14:textId="77777777" w:rsidTr="00BA0582">
        <w:trPr>
          <w:trHeight w:val="317"/>
          <w:jc w:val="center"/>
        </w:trPr>
        <w:tc>
          <w:tcPr>
            <w:tcW w:w="1368" w:type="dxa"/>
            <w:tcBorders>
              <w:top w:val="single" w:sz="2" w:space="0" w:color="808080" w:themeColor="background1" w:themeShade="80"/>
              <w:left w:val="nil"/>
              <w:bottom w:val="single" w:sz="2" w:space="0" w:color="808080" w:themeColor="background1" w:themeShade="80"/>
              <w:right w:val="single" w:sz="12" w:space="0" w:color="auto"/>
            </w:tcBorders>
            <w:shd w:val="clear" w:color="auto" w:fill="auto"/>
            <w:noWrap/>
            <w:vAlign w:val="center"/>
            <w:hideMark/>
          </w:tcPr>
          <w:p w14:paraId="302230F9" w14:textId="77777777" w:rsidR="00BA0582" w:rsidRPr="000351A7" w:rsidRDefault="00BA0582" w:rsidP="00BA0582">
            <w:pPr>
              <w:spacing w:line="240" w:lineRule="auto"/>
              <w:jc w:val="center"/>
              <w:rPr>
                <w:rFonts w:ascii="Calibri" w:hAnsi="Calibri"/>
                <w:color w:val="000000"/>
                <w:sz w:val="20"/>
              </w:rPr>
            </w:pPr>
            <w:r w:rsidRPr="000351A7">
              <w:rPr>
                <w:rFonts w:ascii="Calibri" w:hAnsi="Calibri"/>
                <w:color w:val="000000"/>
                <w:sz w:val="20"/>
              </w:rPr>
              <w:t>l</w:t>
            </w:r>
          </w:p>
        </w:tc>
        <w:tc>
          <w:tcPr>
            <w:tcW w:w="840" w:type="dxa"/>
            <w:tcBorders>
              <w:top w:val="single" w:sz="2" w:space="0" w:color="808080" w:themeColor="background1" w:themeShade="80"/>
              <w:left w:val="single" w:sz="12" w:space="0" w:color="auto"/>
              <w:bottom w:val="single" w:sz="2" w:space="0" w:color="808080" w:themeColor="background1" w:themeShade="80"/>
              <w:right w:val="dashed" w:sz="4" w:space="0" w:color="808080" w:themeColor="background1" w:themeShade="80"/>
            </w:tcBorders>
            <w:shd w:val="clear" w:color="auto" w:fill="auto"/>
            <w:noWrap/>
            <w:vAlign w:val="center"/>
            <w:hideMark/>
          </w:tcPr>
          <w:p w14:paraId="2ABD817F"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0.01</w:t>
            </w:r>
          </w:p>
        </w:tc>
        <w:tc>
          <w:tcPr>
            <w:tcW w:w="845" w:type="dxa"/>
            <w:tcBorders>
              <w:top w:val="single" w:sz="2" w:space="0" w:color="808080" w:themeColor="background1" w:themeShade="80"/>
              <w:left w:val="dashed" w:sz="4"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tcPr>
          <w:p w14:paraId="431DB217"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8.7</w:t>
            </w:r>
          </w:p>
        </w:tc>
        <w:tc>
          <w:tcPr>
            <w:tcW w:w="835" w:type="dxa"/>
            <w:tcBorders>
              <w:top w:val="single" w:sz="2" w:space="0" w:color="808080" w:themeColor="background1" w:themeShade="80"/>
              <w:left w:val="single" w:sz="2"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hideMark/>
          </w:tcPr>
          <w:p w14:paraId="6545E4BC"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0.20</w:t>
            </w:r>
          </w:p>
        </w:tc>
        <w:tc>
          <w:tcPr>
            <w:tcW w:w="835" w:type="dxa"/>
            <w:tcBorders>
              <w:top w:val="single" w:sz="2" w:space="0" w:color="808080" w:themeColor="background1" w:themeShade="80"/>
              <w:left w:val="dashed" w:sz="4" w:space="0" w:color="808080" w:themeColor="background1" w:themeShade="80"/>
              <w:bottom w:val="single" w:sz="2" w:space="0" w:color="808080" w:themeColor="background1" w:themeShade="80"/>
              <w:right w:val="single" w:sz="2" w:space="0" w:color="808080" w:themeColor="background1" w:themeShade="80"/>
            </w:tcBorders>
            <w:vAlign w:val="center"/>
          </w:tcPr>
          <w:p w14:paraId="4564EBF8"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36.8</w:t>
            </w:r>
          </w:p>
        </w:tc>
        <w:tc>
          <w:tcPr>
            <w:tcW w:w="835" w:type="dxa"/>
            <w:tcBorders>
              <w:top w:val="single" w:sz="2" w:space="0" w:color="808080" w:themeColor="background1" w:themeShade="80"/>
              <w:left w:val="single" w:sz="2"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hideMark/>
          </w:tcPr>
          <w:p w14:paraId="4BBD639B"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0.05</w:t>
            </w:r>
          </w:p>
        </w:tc>
        <w:tc>
          <w:tcPr>
            <w:tcW w:w="835" w:type="dxa"/>
            <w:tcBorders>
              <w:top w:val="single" w:sz="2" w:space="0" w:color="808080" w:themeColor="background1" w:themeShade="80"/>
              <w:left w:val="dashed" w:sz="4" w:space="0" w:color="808080" w:themeColor="background1" w:themeShade="80"/>
              <w:bottom w:val="single" w:sz="2" w:space="0" w:color="808080" w:themeColor="background1" w:themeShade="80"/>
              <w:right w:val="nil"/>
            </w:tcBorders>
            <w:vAlign w:val="center"/>
          </w:tcPr>
          <w:p w14:paraId="3BA31B55"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13.1</w:t>
            </w:r>
          </w:p>
        </w:tc>
      </w:tr>
      <w:tr w:rsidR="00BA0582" w:rsidRPr="000351A7" w14:paraId="25049D13" w14:textId="77777777" w:rsidTr="00BA0582">
        <w:trPr>
          <w:trHeight w:val="317"/>
          <w:jc w:val="center"/>
        </w:trPr>
        <w:tc>
          <w:tcPr>
            <w:tcW w:w="1368" w:type="dxa"/>
            <w:tcBorders>
              <w:top w:val="single" w:sz="2" w:space="0" w:color="808080" w:themeColor="background1" w:themeShade="80"/>
              <w:left w:val="nil"/>
              <w:bottom w:val="single" w:sz="2" w:space="0" w:color="808080" w:themeColor="background1" w:themeShade="80"/>
              <w:right w:val="single" w:sz="12" w:space="0" w:color="auto"/>
            </w:tcBorders>
            <w:shd w:val="clear" w:color="auto" w:fill="auto"/>
            <w:noWrap/>
            <w:vAlign w:val="center"/>
            <w:hideMark/>
          </w:tcPr>
          <w:p w14:paraId="22D6B418" w14:textId="77777777" w:rsidR="00BA0582" w:rsidRPr="000351A7" w:rsidRDefault="00BA0582" w:rsidP="00BA0582">
            <w:pPr>
              <w:spacing w:line="240" w:lineRule="auto"/>
              <w:jc w:val="center"/>
              <w:rPr>
                <w:rFonts w:ascii="Calibri" w:hAnsi="Calibri"/>
                <w:color w:val="000000"/>
                <w:sz w:val="20"/>
              </w:rPr>
            </w:pPr>
            <w:r w:rsidRPr="000351A7">
              <w:rPr>
                <w:rFonts w:ascii="Calibri" w:hAnsi="Calibri"/>
                <w:color w:val="000000"/>
                <w:sz w:val="20"/>
              </w:rPr>
              <w:t>m</w:t>
            </w:r>
          </w:p>
        </w:tc>
        <w:tc>
          <w:tcPr>
            <w:tcW w:w="840" w:type="dxa"/>
            <w:tcBorders>
              <w:top w:val="single" w:sz="2" w:space="0" w:color="808080" w:themeColor="background1" w:themeShade="80"/>
              <w:left w:val="single" w:sz="12" w:space="0" w:color="auto"/>
              <w:bottom w:val="single" w:sz="2" w:space="0" w:color="808080" w:themeColor="background1" w:themeShade="80"/>
              <w:right w:val="dashed" w:sz="4" w:space="0" w:color="808080" w:themeColor="background1" w:themeShade="80"/>
            </w:tcBorders>
            <w:shd w:val="clear" w:color="auto" w:fill="auto"/>
            <w:noWrap/>
            <w:vAlign w:val="center"/>
            <w:hideMark/>
          </w:tcPr>
          <w:p w14:paraId="21C7CF38"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0.01</w:t>
            </w:r>
          </w:p>
        </w:tc>
        <w:tc>
          <w:tcPr>
            <w:tcW w:w="845" w:type="dxa"/>
            <w:tcBorders>
              <w:top w:val="single" w:sz="2" w:space="0" w:color="808080" w:themeColor="background1" w:themeShade="80"/>
              <w:left w:val="dashed" w:sz="4"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tcPr>
          <w:p w14:paraId="09654A4C"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8.7</w:t>
            </w:r>
          </w:p>
        </w:tc>
        <w:tc>
          <w:tcPr>
            <w:tcW w:w="835" w:type="dxa"/>
            <w:tcBorders>
              <w:top w:val="single" w:sz="2" w:space="0" w:color="808080" w:themeColor="background1" w:themeShade="80"/>
              <w:left w:val="single" w:sz="2"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hideMark/>
          </w:tcPr>
          <w:p w14:paraId="0DE00CDF"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0.20</w:t>
            </w:r>
          </w:p>
        </w:tc>
        <w:tc>
          <w:tcPr>
            <w:tcW w:w="835" w:type="dxa"/>
            <w:tcBorders>
              <w:top w:val="single" w:sz="2" w:space="0" w:color="808080" w:themeColor="background1" w:themeShade="80"/>
              <w:left w:val="dashed" w:sz="4" w:space="0" w:color="808080" w:themeColor="background1" w:themeShade="80"/>
              <w:bottom w:val="single" w:sz="2" w:space="0" w:color="808080" w:themeColor="background1" w:themeShade="80"/>
              <w:right w:val="single" w:sz="2" w:space="0" w:color="808080" w:themeColor="background1" w:themeShade="80"/>
            </w:tcBorders>
            <w:vAlign w:val="center"/>
          </w:tcPr>
          <w:p w14:paraId="675A7085"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36.8</w:t>
            </w:r>
          </w:p>
        </w:tc>
        <w:tc>
          <w:tcPr>
            <w:tcW w:w="835" w:type="dxa"/>
            <w:tcBorders>
              <w:top w:val="single" w:sz="2" w:space="0" w:color="808080" w:themeColor="background1" w:themeShade="80"/>
              <w:left w:val="single" w:sz="2"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hideMark/>
          </w:tcPr>
          <w:p w14:paraId="139B9049"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0.20</w:t>
            </w:r>
          </w:p>
        </w:tc>
        <w:tc>
          <w:tcPr>
            <w:tcW w:w="835" w:type="dxa"/>
            <w:tcBorders>
              <w:top w:val="single" w:sz="2" w:space="0" w:color="808080" w:themeColor="background1" w:themeShade="80"/>
              <w:left w:val="dashed" w:sz="4" w:space="0" w:color="808080" w:themeColor="background1" w:themeShade="80"/>
              <w:bottom w:val="single" w:sz="2" w:space="0" w:color="808080" w:themeColor="background1" w:themeShade="80"/>
              <w:right w:val="nil"/>
            </w:tcBorders>
            <w:vAlign w:val="center"/>
          </w:tcPr>
          <w:p w14:paraId="51FAFE8F"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52.6</w:t>
            </w:r>
          </w:p>
        </w:tc>
      </w:tr>
      <w:tr w:rsidR="00BA0582" w:rsidRPr="000351A7" w14:paraId="38CB7F39" w14:textId="77777777" w:rsidTr="00BA0582">
        <w:trPr>
          <w:trHeight w:val="317"/>
          <w:jc w:val="center"/>
        </w:trPr>
        <w:tc>
          <w:tcPr>
            <w:tcW w:w="1368" w:type="dxa"/>
            <w:tcBorders>
              <w:top w:val="single" w:sz="2" w:space="0" w:color="808080" w:themeColor="background1" w:themeShade="80"/>
              <w:left w:val="nil"/>
              <w:bottom w:val="single" w:sz="2" w:space="0" w:color="808080" w:themeColor="background1" w:themeShade="80"/>
              <w:right w:val="single" w:sz="12" w:space="0" w:color="auto"/>
            </w:tcBorders>
            <w:shd w:val="clear" w:color="auto" w:fill="auto"/>
            <w:noWrap/>
            <w:vAlign w:val="center"/>
            <w:hideMark/>
          </w:tcPr>
          <w:p w14:paraId="3D0AB5AC" w14:textId="77777777" w:rsidR="00BA0582" w:rsidRPr="000351A7" w:rsidRDefault="00BA0582" w:rsidP="00BA0582">
            <w:pPr>
              <w:spacing w:line="240" w:lineRule="auto"/>
              <w:jc w:val="center"/>
              <w:rPr>
                <w:rFonts w:ascii="Calibri" w:hAnsi="Calibri"/>
                <w:color w:val="000000"/>
                <w:sz w:val="20"/>
              </w:rPr>
            </w:pPr>
            <w:r w:rsidRPr="000351A7">
              <w:rPr>
                <w:rFonts w:ascii="Calibri" w:hAnsi="Calibri"/>
                <w:color w:val="000000"/>
                <w:sz w:val="20"/>
              </w:rPr>
              <w:t>n</w:t>
            </w:r>
            <w:r w:rsidRPr="000351A7">
              <w:rPr>
                <w:rFonts w:ascii="Calibri" w:hAnsi="Calibri"/>
                <w:color w:val="000000"/>
                <w:sz w:val="20"/>
                <w:vertAlign w:val="superscript"/>
              </w:rPr>
              <w:t>d</w:t>
            </w:r>
          </w:p>
        </w:tc>
        <w:tc>
          <w:tcPr>
            <w:tcW w:w="840" w:type="dxa"/>
            <w:tcBorders>
              <w:top w:val="single" w:sz="2" w:space="0" w:color="808080" w:themeColor="background1" w:themeShade="80"/>
              <w:left w:val="single" w:sz="12" w:space="0" w:color="auto"/>
              <w:bottom w:val="single" w:sz="2" w:space="0" w:color="808080" w:themeColor="background1" w:themeShade="80"/>
              <w:right w:val="dashed" w:sz="4" w:space="0" w:color="808080" w:themeColor="background1" w:themeShade="80"/>
            </w:tcBorders>
            <w:shd w:val="clear" w:color="auto" w:fill="auto"/>
            <w:noWrap/>
            <w:vAlign w:val="center"/>
            <w:hideMark/>
          </w:tcPr>
          <w:p w14:paraId="5EE8642B"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0.01</w:t>
            </w:r>
          </w:p>
        </w:tc>
        <w:tc>
          <w:tcPr>
            <w:tcW w:w="845" w:type="dxa"/>
            <w:tcBorders>
              <w:top w:val="single" w:sz="2" w:space="0" w:color="808080" w:themeColor="background1" w:themeShade="80"/>
              <w:left w:val="dashed" w:sz="4"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tcPr>
          <w:p w14:paraId="1457B9EA"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8.7</w:t>
            </w:r>
          </w:p>
        </w:tc>
        <w:tc>
          <w:tcPr>
            <w:tcW w:w="835" w:type="dxa"/>
            <w:tcBorders>
              <w:top w:val="single" w:sz="2" w:space="0" w:color="808080" w:themeColor="background1" w:themeShade="80"/>
              <w:left w:val="single" w:sz="2"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hideMark/>
          </w:tcPr>
          <w:p w14:paraId="0483F5E4"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0.1</w:t>
            </w:r>
          </w:p>
        </w:tc>
        <w:tc>
          <w:tcPr>
            <w:tcW w:w="835" w:type="dxa"/>
            <w:tcBorders>
              <w:top w:val="single" w:sz="2" w:space="0" w:color="808080" w:themeColor="background1" w:themeShade="80"/>
              <w:left w:val="dashed" w:sz="4" w:space="0" w:color="808080" w:themeColor="background1" w:themeShade="80"/>
              <w:bottom w:val="single" w:sz="2" w:space="0" w:color="808080" w:themeColor="background1" w:themeShade="80"/>
              <w:right w:val="single" w:sz="2" w:space="0" w:color="808080" w:themeColor="background1" w:themeShade="80"/>
            </w:tcBorders>
            <w:vAlign w:val="center"/>
          </w:tcPr>
          <w:p w14:paraId="557CE1ED"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18.4</w:t>
            </w:r>
          </w:p>
        </w:tc>
        <w:tc>
          <w:tcPr>
            <w:tcW w:w="835" w:type="dxa"/>
            <w:tcBorders>
              <w:top w:val="single" w:sz="2" w:space="0" w:color="808080" w:themeColor="background1" w:themeShade="80"/>
              <w:left w:val="single" w:sz="2" w:space="0" w:color="808080" w:themeColor="background1" w:themeShade="80"/>
              <w:bottom w:val="single" w:sz="2" w:space="0" w:color="808080" w:themeColor="background1" w:themeShade="80"/>
              <w:right w:val="dashed" w:sz="4" w:space="0" w:color="808080" w:themeColor="background1" w:themeShade="80"/>
            </w:tcBorders>
            <w:shd w:val="clear" w:color="auto" w:fill="auto"/>
            <w:noWrap/>
            <w:vAlign w:val="center"/>
            <w:hideMark/>
          </w:tcPr>
          <w:p w14:paraId="32F4207C"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0.1</w:t>
            </w:r>
          </w:p>
        </w:tc>
        <w:tc>
          <w:tcPr>
            <w:tcW w:w="835" w:type="dxa"/>
            <w:tcBorders>
              <w:top w:val="single" w:sz="2" w:space="0" w:color="808080" w:themeColor="background1" w:themeShade="80"/>
              <w:left w:val="dashed" w:sz="4" w:space="0" w:color="808080" w:themeColor="background1" w:themeShade="80"/>
              <w:bottom w:val="single" w:sz="2" w:space="0" w:color="808080" w:themeColor="background1" w:themeShade="80"/>
              <w:right w:val="nil"/>
            </w:tcBorders>
            <w:vAlign w:val="center"/>
          </w:tcPr>
          <w:p w14:paraId="5A8EF14A" w14:textId="77777777" w:rsidR="00BA0582" w:rsidRPr="000351A7" w:rsidRDefault="00BA0582" w:rsidP="00BA0582">
            <w:pPr>
              <w:spacing w:line="240" w:lineRule="auto"/>
              <w:jc w:val="right"/>
              <w:rPr>
                <w:rFonts w:ascii="Calibri" w:hAnsi="Calibri"/>
                <w:color w:val="000000"/>
                <w:sz w:val="20"/>
              </w:rPr>
            </w:pPr>
            <w:r w:rsidRPr="000351A7">
              <w:rPr>
                <w:rFonts w:ascii="Calibri" w:hAnsi="Calibri"/>
                <w:color w:val="000000"/>
                <w:sz w:val="20"/>
              </w:rPr>
              <w:t>26.3</w:t>
            </w:r>
          </w:p>
        </w:tc>
      </w:tr>
      <w:tr w:rsidR="00BA0582" w:rsidRPr="000351A7" w14:paraId="30F31DF1" w14:textId="77777777" w:rsidTr="00BA0582">
        <w:trPr>
          <w:trHeight w:val="317"/>
          <w:jc w:val="center"/>
        </w:trPr>
        <w:tc>
          <w:tcPr>
            <w:tcW w:w="6393" w:type="dxa"/>
            <w:gridSpan w:val="7"/>
            <w:tcBorders>
              <w:top w:val="single" w:sz="2" w:space="0" w:color="808080" w:themeColor="background1" w:themeShade="80"/>
              <w:left w:val="nil"/>
              <w:bottom w:val="nil"/>
            </w:tcBorders>
            <w:shd w:val="clear" w:color="auto" w:fill="auto"/>
            <w:noWrap/>
            <w:vAlign w:val="center"/>
          </w:tcPr>
          <w:p w14:paraId="71DC714A" w14:textId="77777777" w:rsidR="00BA0582" w:rsidRPr="000351A7" w:rsidRDefault="00BA0582" w:rsidP="00BA0582">
            <w:pPr>
              <w:spacing w:line="276" w:lineRule="auto"/>
              <w:ind w:left="-108"/>
              <w:jc w:val="both"/>
              <w:rPr>
                <w:sz w:val="20"/>
              </w:rPr>
            </w:pPr>
            <w:r w:rsidRPr="000351A7">
              <w:rPr>
                <w:rFonts w:ascii="Calibri" w:hAnsi="Calibri"/>
                <w:sz w:val="20"/>
              </w:rPr>
              <w:t>a) in [0.9 mL PhCl + 0.1 mL Me</w:t>
            </w:r>
            <w:r w:rsidRPr="000351A7">
              <w:rPr>
                <w:rFonts w:ascii="Calibri" w:hAnsi="Calibri"/>
                <w:sz w:val="20"/>
                <w:vertAlign w:val="subscript"/>
              </w:rPr>
              <w:t>6</w:t>
            </w:r>
            <w:r w:rsidRPr="000351A7">
              <w:rPr>
                <w:rFonts w:ascii="Calibri" w:hAnsi="Calibri"/>
                <w:sz w:val="20"/>
              </w:rPr>
              <w:t>Ph (0.16 M in PhCl)]; b) 150</w:t>
            </w:r>
            <w:r w:rsidRPr="000351A7">
              <w:rPr>
                <w:rFonts w:ascii="Calibri" w:hAnsi="Calibri"/>
                <w:sz w:val="20"/>
                <w:vertAlign w:val="superscript"/>
              </w:rPr>
              <w:t>o</w:t>
            </w:r>
            <w:r w:rsidRPr="000351A7">
              <w:rPr>
                <w:rFonts w:ascii="Calibri" w:hAnsi="Calibri"/>
                <w:sz w:val="20"/>
              </w:rPr>
              <w:t>C, sample every 10 min; c) 125</w:t>
            </w:r>
            <w:r w:rsidRPr="000351A7">
              <w:rPr>
                <w:rFonts w:ascii="Calibri" w:hAnsi="Calibri"/>
                <w:sz w:val="20"/>
                <w:vertAlign w:val="superscript"/>
              </w:rPr>
              <w:t>o</w:t>
            </w:r>
            <w:r w:rsidRPr="000351A7">
              <w:rPr>
                <w:rFonts w:ascii="Calibri" w:hAnsi="Calibri"/>
                <w:sz w:val="20"/>
              </w:rPr>
              <w:t>C, sample every 5 min; d) with OPPh</w:t>
            </w:r>
            <w:r w:rsidRPr="000351A7">
              <w:rPr>
                <w:rFonts w:ascii="Calibri" w:hAnsi="Calibri"/>
                <w:sz w:val="20"/>
                <w:vertAlign w:val="subscript"/>
              </w:rPr>
              <w:t>3</w:t>
            </w:r>
            <w:r w:rsidRPr="000351A7">
              <w:rPr>
                <w:rFonts w:ascii="Calibri" w:hAnsi="Calibri"/>
                <w:sz w:val="20"/>
              </w:rPr>
              <w:t xml:space="preserve"> (0.50 mmol, 136 mg)</w:t>
            </w:r>
          </w:p>
        </w:tc>
      </w:tr>
    </w:tbl>
    <w:p w14:paraId="79D07C57" w14:textId="77777777" w:rsidR="00BA0582" w:rsidRDefault="00BA0582" w:rsidP="00267CB2">
      <w:pPr>
        <w:spacing w:line="240" w:lineRule="auto"/>
      </w:pPr>
    </w:p>
    <w:p w14:paraId="4E3F14FC" w14:textId="65692CD8" w:rsidR="00BA0582" w:rsidRDefault="001539C6" w:rsidP="00FE04D9">
      <w:pPr>
        <w:jc w:val="center"/>
      </w:pPr>
      <w:r>
        <w:object w:dxaOrig="16310" w:dyaOrig="6920" w14:anchorId="1154E5A9">
          <v:shape id="_x0000_i1239" type="#_x0000_t75" style="width:5in;height:154.3pt" o:ole="">
            <v:imagedata r:id="rId581" o:title=""/>
          </v:shape>
          <o:OLEObject Type="Embed" ProgID="MestReNova.Document.1" ShapeID="_x0000_i1239" DrawAspect="Content" ObjectID="_1532785054" r:id="rId582"/>
        </w:object>
      </w:r>
      <w:r>
        <w:object w:dxaOrig="16311" w:dyaOrig="6791" w14:anchorId="00FB4776">
          <v:shape id="_x0000_i1240" type="#_x0000_t75" style="width:5in;height:146.35pt" o:ole="">
            <v:imagedata r:id="rId583" o:title=""/>
          </v:shape>
          <o:OLEObject Type="Embed" ProgID="MestReNova.Document.1" ShapeID="_x0000_i1240" DrawAspect="Content" ObjectID="_1532785055" r:id="rId584"/>
        </w:object>
      </w:r>
    </w:p>
    <w:p w14:paraId="14700C8F" w14:textId="62B21CE0" w:rsidR="00267CB2" w:rsidRPr="001C786C" w:rsidRDefault="00BA0582" w:rsidP="00FE04D9">
      <w:pPr>
        <w:rPr>
          <w:i/>
        </w:rPr>
      </w:pPr>
      <w:r w:rsidRPr="001C786C">
        <w:rPr>
          <w:i/>
        </w:rPr>
        <w:t xml:space="preserve">Representative </w:t>
      </w:r>
      <w:r w:rsidRPr="001C786C">
        <w:rPr>
          <w:i/>
          <w:vertAlign w:val="superscript"/>
        </w:rPr>
        <w:t>1</w:t>
      </w:r>
      <w:r w:rsidRPr="001C786C">
        <w:rPr>
          <w:i/>
        </w:rPr>
        <w:t xml:space="preserve">H and </w:t>
      </w:r>
      <w:r w:rsidRPr="001C786C">
        <w:rPr>
          <w:i/>
          <w:vertAlign w:val="superscript"/>
        </w:rPr>
        <w:t>31</w:t>
      </w:r>
      <w:r w:rsidRPr="001C786C">
        <w:rPr>
          <w:i/>
        </w:rPr>
        <w:t xml:space="preserve">P NMR spectra of the samples taken overtime </w:t>
      </w:r>
      <w:r>
        <w:rPr>
          <w:i/>
        </w:rPr>
        <w:t>(a’’)</w:t>
      </w:r>
    </w:p>
    <w:p w14:paraId="6BE0F29A" w14:textId="77777777" w:rsidR="00BA0582" w:rsidRPr="00E62A66" w:rsidRDefault="00BA0582" w:rsidP="000351A7">
      <w:pPr>
        <w:pStyle w:val="Heading3"/>
      </w:pPr>
      <w:bookmarkStart w:id="483" w:name="_Toc458938353"/>
      <w:r w:rsidRPr="00E62A66">
        <w:t>IR sampling</w:t>
      </w:r>
      <w:bookmarkEnd w:id="483"/>
    </w:p>
    <w:p w14:paraId="241224B6" w14:textId="7818F025" w:rsidR="00DE200B" w:rsidRPr="00C05B0F" w:rsidRDefault="00BA0582" w:rsidP="00FE04D9">
      <w:pPr>
        <w:jc w:val="both"/>
      </w:pPr>
      <w:r w:rsidRPr="00C05B0F">
        <w:t xml:space="preserve">IR spectra were acquired with a liquid cell on a Bruker FT-IR instrument. The background was done </w:t>
      </w:r>
      <w:r w:rsidR="00DE200B">
        <w:t>with</w:t>
      </w:r>
      <w:r w:rsidRPr="00C05B0F">
        <w:t xml:space="preserve"> the atmosphere and an IR spectrum of the solvent benzene was collected in order to overlap with the sample solution spectra.  Samples from the stoichiometric NMR experiments (A, B, E) were used to collect IR spectra. Authentic samples were prepared by dissolving the reference compound in similar concentrations (</w:t>
      </w:r>
      <w:r w:rsidRPr="00C05B0F">
        <w:rPr>
          <w:b/>
        </w:rPr>
        <w:t>1</w:t>
      </w:r>
      <w:r w:rsidRPr="00C05B0F">
        <w:t>, benzhydrol, triphenylphosphine, and triphenylphosphine oxide.</w:t>
      </w:r>
    </w:p>
    <w:p w14:paraId="6717298A" w14:textId="77777777" w:rsidR="00BA0582" w:rsidRPr="00E62A66" w:rsidRDefault="00BA0582" w:rsidP="000351A7">
      <w:pPr>
        <w:pStyle w:val="Heading3"/>
      </w:pPr>
      <w:bookmarkStart w:id="484" w:name="_Toc458938354"/>
      <w:r w:rsidRPr="00E62A66">
        <w:t>MS sampling</w:t>
      </w:r>
      <w:bookmarkEnd w:id="484"/>
    </w:p>
    <w:p w14:paraId="7EA181A6" w14:textId="77777777" w:rsidR="00BA0582" w:rsidRPr="00E62A66" w:rsidRDefault="00BA0582" w:rsidP="00FE04D9">
      <w:pPr>
        <w:ind w:firstLine="360"/>
      </w:pPr>
      <w:r w:rsidRPr="00E62A66">
        <w:t xml:space="preserve">Sample E from the stoichiometric NMR experiments was submitted for ESI+ and ESI-. Sample B from the stoichiometric NMR experiments was </w:t>
      </w:r>
      <w:r>
        <w:t xml:space="preserve">submitted for APCI+ and APCI-. </w:t>
      </w:r>
    </w:p>
    <w:p w14:paraId="14F7BA70" w14:textId="77777777" w:rsidR="00BA0582" w:rsidRPr="00E62A66" w:rsidRDefault="00BA0582" w:rsidP="00FE04D9">
      <w:r w:rsidRPr="00E62A66">
        <w:br w:type="page"/>
      </w:r>
    </w:p>
    <w:p w14:paraId="7EB81B59" w14:textId="77777777" w:rsidR="00216D29" w:rsidRPr="00C92D9A" w:rsidRDefault="00216D29" w:rsidP="0025796D">
      <w:pPr>
        <w:pStyle w:val="Style1"/>
        <w:tabs>
          <w:tab w:val="left" w:pos="0"/>
          <w:tab w:val="left" w:pos="720"/>
        </w:tabs>
        <w:ind w:left="0"/>
      </w:pPr>
      <w:r w:rsidRPr="00C92D9A">
        <w:t>References</w:t>
      </w:r>
    </w:p>
    <w:p w14:paraId="77FE1C2A" w14:textId="77777777" w:rsidR="00A074C8" w:rsidRDefault="00216D29" w:rsidP="00A074C8">
      <w:pPr>
        <w:pStyle w:val="Bibliography"/>
        <w:rPr>
          <w:rFonts w:ascii="Times New Roman" w:hAnsi="Times New Roman"/>
        </w:rPr>
      </w:pPr>
      <w:r w:rsidRPr="00F76147">
        <w:fldChar w:fldCharType="begin"/>
      </w:r>
      <w:r w:rsidR="00A074C8">
        <w:instrText xml:space="preserve"> ADDIN ZOTERO_BIBL {"custom":[[["http://zotero.org/users/1624234/items/2DQSU3WD"],"56.\\tab{}Hills, L., Moyano, R., Montilla, F., Pastor, A., Galindo, A., Alvarez, E., Machetti, F. &amp; Pettinari, C., Dioxomolybdenum(VI) Complexes with Acylpyrazolonate Ligands: Synthesis, Structures, and Catalytic Properties. \\i Eur. J. Inorg. Chem.\\i0{} \\b 2013,\\b0{} 3352\\uc0\\u8211{}3361 (2013)."],[["http://zotero.org/users/1624234/items/8QH5AAB6"],"12.\\tab{}Yan, N., Zhao, C., Luo, C., Dyson, P., Liu, H. &amp; Kou, Y., One-Step Conversion of Cellobiose to C6-Alcohols Using a Ruthenium Nanocluster Catalyst. \\i J. Am. Chem. Soc.\\i0{} \\b 128,\\b0{} 8714\\uc0\\u8211{}8715 (2006)."],[["http://zotero.org/users/1624234/items/8TBVX4RN"],"47.\\tab{}Liu, S., Senocak, A., Smeltz, J., Yang, L., Wegenhart, B., Yi, J., Kenttamaa, H., Ison, E. &amp; Abu-Omar M. M. Mechanism of MTO-Catalyzed Deoxydehydration of Diols to Alkenes Using Sacrificial Alcohols. \\i Organometallics\\i0{} \\b 32,\\b0{} 3210\\uc0\\u8211{}3219 (2013)."],[["http://zotero.org/users/1624234/items/4XQPTWRE"],"69.\\tab{}Zhang, H., Li, X., Ang, E., Zhang, Y. &amp; Zhao, H., Production of Adipic Acid from Sugar Beet Residue by Combined Biological and Chemical Catalysis. \\i ChemCatChem\\i0{} n/a\\uc0\\u8211{}n/a (2016). doi:10.1002/cctc.201600069"],[["http://zotero.org/users/1624234/items/UKF52XT6"],"26.\\tab{}Raju, S., Jastrzebski, J., Lutz, M., Witteman, L., Dethlefsen, J., Fristrup, P., Moret, M. &amp; Gebbink, R. Spectroscopic Characterization of a Monomeric, Cyclopentadienyl-Based Rhenium(V) Dioxo Complex. Inorg. Chem. 54, 11031\\uc0\\u8211{}11036 (2015)."],[["http://zotero.org/users/1624234/items/QZA55VEF"],"38.\\tab{}Xu, Z., Zhou, M., Drees, M., Chaffrey-Millar, H., Herdtweck, W. &amp; K\\uc0\\u252{}hn, F. Mono- and Bis- Methyltrioxorhenium(VII) Complexes with Salen Ligands: Synthesis, Properties, Applications. \\i Inorg. Chem.\\i0{} \\b 48,\\b0{} 6812\\uc0\\u8211{}6822 (2009)."],[["http://zotero.org/users/1624234/items/G8WRKX4E"],"39.\\tab{}Rietveld, M. H. P., Nagelholt, L., Grove, D., Veldman, N., Spek, A., Rauch, M., Herrmann, W. &amp; van Koten G., Synthesis of methyltrioxorhenium(VII) arylamine complexes and mono- and bis(ortho)-chelated arylaminorhenium(VII) trioxides. \\i J. Organomet. Chem.\\i0{} \\b 530,\\b0{} 159\\uc0\\u8211{}167 (1997)."]]} CSL_BIBLIOGRAPHY </w:instrText>
      </w:r>
      <w:r w:rsidRPr="00F76147">
        <w:fldChar w:fldCharType="separate"/>
      </w:r>
      <w:r w:rsidR="00A074C8">
        <w:rPr>
          <w:rFonts w:ascii="Times New Roman" w:hAnsi="Times New Roman"/>
        </w:rPr>
        <w:t>1.</w:t>
      </w:r>
      <w:r w:rsidR="00A074C8">
        <w:rPr>
          <w:rFonts w:ascii="Times New Roman" w:hAnsi="Times New Roman"/>
        </w:rPr>
        <w:tab/>
        <w:t xml:space="preserve">Corma, A., Iborra, S. &amp; Velty, A. Chemical Routes for the Transformation of Biomass into Chemicals. </w:t>
      </w:r>
      <w:r w:rsidR="00A074C8">
        <w:rPr>
          <w:rFonts w:ascii="Times New Roman" w:hAnsi="Times New Roman"/>
          <w:i/>
          <w:iCs/>
        </w:rPr>
        <w:t>Chem. Rev.</w:t>
      </w:r>
      <w:r w:rsidR="00A074C8">
        <w:rPr>
          <w:rFonts w:ascii="Times New Roman" w:hAnsi="Times New Roman"/>
        </w:rPr>
        <w:t xml:space="preserve"> </w:t>
      </w:r>
      <w:r w:rsidR="00A074C8">
        <w:rPr>
          <w:rFonts w:ascii="Times New Roman" w:hAnsi="Times New Roman"/>
          <w:b/>
          <w:bCs/>
        </w:rPr>
        <w:t>107,</w:t>
      </w:r>
      <w:r w:rsidR="00A074C8">
        <w:rPr>
          <w:rFonts w:ascii="Times New Roman" w:hAnsi="Times New Roman"/>
        </w:rPr>
        <w:t xml:space="preserve"> 2411–2502 (2007).</w:t>
      </w:r>
    </w:p>
    <w:p w14:paraId="6A8B7AC1" w14:textId="77777777" w:rsidR="00A074C8" w:rsidRDefault="00A074C8" w:rsidP="00A074C8">
      <w:pPr>
        <w:pStyle w:val="Bibliography"/>
        <w:rPr>
          <w:rFonts w:ascii="Times New Roman" w:hAnsi="Times New Roman"/>
        </w:rPr>
      </w:pPr>
      <w:r>
        <w:rPr>
          <w:rFonts w:ascii="Times New Roman" w:hAnsi="Times New Roman"/>
        </w:rPr>
        <w:t>2.</w:t>
      </w:r>
      <w:r>
        <w:rPr>
          <w:rFonts w:ascii="Times New Roman" w:hAnsi="Times New Roman"/>
        </w:rPr>
        <w:tab/>
        <w:t xml:space="preserve">Huber, G. W., Iborra, S. &amp; Corma, A. Synthesis of Transportation Fuels from Biomass:  Chemistry, Catalysts, and Engineering. </w:t>
      </w:r>
      <w:r>
        <w:rPr>
          <w:rFonts w:ascii="Times New Roman" w:hAnsi="Times New Roman"/>
          <w:i/>
          <w:iCs/>
        </w:rPr>
        <w:t>Chem. Rev.</w:t>
      </w:r>
      <w:r>
        <w:rPr>
          <w:rFonts w:ascii="Times New Roman" w:hAnsi="Times New Roman"/>
        </w:rPr>
        <w:t xml:space="preserve"> </w:t>
      </w:r>
      <w:r>
        <w:rPr>
          <w:rFonts w:ascii="Times New Roman" w:hAnsi="Times New Roman"/>
          <w:b/>
          <w:bCs/>
        </w:rPr>
        <w:t>106,</w:t>
      </w:r>
      <w:r>
        <w:rPr>
          <w:rFonts w:ascii="Times New Roman" w:hAnsi="Times New Roman"/>
        </w:rPr>
        <w:t xml:space="preserve"> 4044–4098 (2006).</w:t>
      </w:r>
    </w:p>
    <w:p w14:paraId="03F135ED" w14:textId="77777777" w:rsidR="00A074C8" w:rsidRDefault="00A074C8" w:rsidP="00A074C8">
      <w:pPr>
        <w:pStyle w:val="Bibliography"/>
        <w:rPr>
          <w:rFonts w:ascii="Times New Roman" w:hAnsi="Times New Roman"/>
        </w:rPr>
      </w:pPr>
      <w:r>
        <w:rPr>
          <w:rFonts w:ascii="Times New Roman" w:hAnsi="Times New Roman"/>
        </w:rPr>
        <w:t>3.</w:t>
      </w:r>
      <w:r>
        <w:rPr>
          <w:rFonts w:ascii="Times New Roman" w:hAnsi="Times New Roman"/>
        </w:rPr>
        <w:tab/>
        <w:t xml:space="preserve">Chheda, J. N., Huber, G. W. &amp; Dumesic, J. A. Liquid-Phase Catalytic Processing of Biomass-Derived Oxygenated Hydrocarbons to Fuels and Chemicals. </w:t>
      </w:r>
      <w:r>
        <w:rPr>
          <w:rFonts w:ascii="Times New Roman" w:hAnsi="Times New Roman"/>
          <w:i/>
          <w:iCs/>
        </w:rPr>
        <w:t>Angew. Chem. Int. Ed.</w:t>
      </w:r>
      <w:r>
        <w:rPr>
          <w:rFonts w:ascii="Times New Roman" w:hAnsi="Times New Roman"/>
        </w:rPr>
        <w:t xml:space="preserve"> </w:t>
      </w:r>
      <w:r>
        <w:rPr>
          <w:rFonts w:ascii="Times New Roman" w:hAnsi="Times New Roman"/>
          <w:b/>
          <w:bCs/>
        </w:rPr>
        <w:t>46,</w:t>
      </w:r>
      <w:r>
        <w:rPr>
          <w:rFonts w:ascii="Times New Roman" w:hAnsi="Times New Roman"/>
        </w:rPr>
        <w:t xml:space="preserve"> 7164–7183 (2007).</w:t>
      </w:r>
    </w:p>
    <w:p w14:paraId="57AE8995" w14:textId="77777777" w:rsidR="00A074C8" w:rsidRDefault="00A074C8" w:rsidP="00A074C8">
      <w:pPr>
        <w:pStyle w:val="Bibliography"/>
        <w:rPr>
          <w:rFonts w:ascii="Times New Roman" w:hAnsi="Times New Roman"/>
        </w:rPr>
      </w:pPr>
      <w:r>
        <w:rPr>
          <w:rFonts w:ascii="Times New Roman" w:hAnsi="Times New Roman"/>
        </w:rPr>
        <w:t>4.</w:t>
      </w:r>
      <w:r>
        <w:rPr>
          <w:rFonts w:ascii="Times New Roman" w:hAnsi="Times New Roman"/>
        </w:rPr>
        <w:tab/>
        <w:t>Top Value Added Chemicals from Biomass: Volume I - Results of Screening for Potential Candidates from Sugars and Synthesis Gas.</w:t>
      </w:r>
    </w:p>
    <w:p w14:paraId="5DE0F3B7" w14:textId="77777777" w:rsidR="00A074C8" w:rsidRDefault="00A074C8" w:rsidP="00A074C8">
      <w:pPr>
        <w:pStyle w:val="Bibliography"/>
        <w:rPr>
          <w:rFonts w:ascii="Times New Roman" w:hAnsi="Times New Roman"/>
        </w:rPr>
      </w:pPr>
      <w:r>
        <w:rPr>
          <w:rFonts w:ascii="Times New Roman" w:hAnsi="Times New Roman"/>
        </w:rPr>
        <w:t>5.</w:t>
      </w:r>
      <w:r>
        <w:rPr>
          <w:rFonts w:ascii="Times New Roman" w:hAnsi="Times New Roman"/>
        </w:rPr>
        <w:tab/>
        <w:t xml:space="preserve">Agirrezabal-Telleria, I., Gandarias, I. &amp; Arias, P. L. Heterogeneous acid-catalysts for the production of furan-derived compounds (furfural and hydroxymethylfurfural) from renewable carbohydrates: A review. </w:t>
      </w:r>
      <w:r>
        <w:rPr>
          <w:rFonts w:ascii="Times New Roman" w:hAnsi="Times New Roman"/>
          <w:i/>
          <w:iCs/>
        </w:rPr>
        <w:t>Catal. Today</w:t>
      </w:r>
      <w:r>
        <w:rPr>
          <w:rFonts w:ascii="Times New Roman" w:hAnsi="Times New Roman"/>
        </w:rPr>
        <w:t xml:space="preserve"> </w:t>
      </w:r>
      <w:r>
        <w:rPr>
          <w:rFonts w:ascii="Times New Roman" w:hAnsi="Times New Roman"/>
          <w:b/>
          <w:bCs/>
        </w:rPr>
        <w:t>234,</w:t>
      </w:r>
      <w:r>
        <w:rPr>
          <w:rFonts w:ascii="Times New Roman" w:hAnsi="Times New Roman"/>
        </w:rPr>
        <w:t xml:space="preserve"> 42–58 (2014).</w:t>
      </w:r>
    </w:p>
    <w:p w14:paraId="19F2A47A" w14:textId="77777777" w:rsidR="00A074C8" w:rsidRDefault="00A074C8" w:rsidP="00A074C8">
      <w:pPr>
        <w:pStyle w:val="Bibliography"/>
        <w:rPr>
          <w:rFonts w:ascii="Times New Roman" w:hAnsi="Times New Roman"/>
        </w:rPr>
      </w:pPr>
      <w:r>
        <w:rPr>
          <w:rFonts w:ascii="Times New Roman" w:hAnsi="Times New Roman"/>
        </w:rPr>
        <w:t>6.</w:t>
      </w:r>
      <w:r>
        <w:rPr>
          <w:rFonts w:ascii="Times New Roman" w:hAnsi="Times New Roman"/>
        </w:rPr>
        <w:tab/>
        <w:t xml:space="preserve">Mascal, M. &amp; Nikitin, E. B. Towards the Efficient, Total Glycan Utilization of Biomass. </w:t>
      </w:r>
      <w:r>
        <w:rPr>
          <w:rFonts w:ascii="Times New Roman" w:hAnsi="Times New Roman"/>
          <w:i/>
          <w:iCs/>
        </w:rPr>
        <w:t>ChemSusChem</w:t>
      </w:r>
      <w:r>
        <w:rPr>
          <w:rFonts w:ascii="Times New Roman" w:hAnsi="Times New Roman"/>
        </w:rPr>
        <w:t xml:space="preserve"> </w:t>
      </w:r>
      <w:r>
        <w:rPr>
          <w:rFonts w:ascii="Times New Roman" w:hAnsi="Times New Roman"/>
          <w:b/>
          <w:bCs/>
        </w:rPr>
        <w:t>2,</w:t>
      </w:r>
      <w:r>
        <w:rPr>
          <w:rFonts w:ascii="Times New Roman" w:hAnsi="Times New Roman"/>
        </w:rPr>
        <w:t xml:space="preserve"> 423–426 (2009).</w:t>
      </w:r>
    </w:p>
    <w:p w14:paraId="0C9C8C81" w14:textId="77777777" w:rsidR="00A074C8" w:rsidRDefault="00A074C8" w:rsidP="00A074C8">
      <w:pPr>
        <w:pStyle w:val="Bibliography"/>
        <w:rPr>
          <w:rFonts w:ascii="Times New Roman" w:hAnsi="Times New Roman"/>
        </w:rPr>
      </w:pPr>
      <w:r>
        <w:rPr>
          <w:rFonts w:ascii="Times New Roman" w:hAnsi="Times New Roman"/>
        </w:rPr>
        <w:t>7.</w:t>
      </w:r>
      <w:r>
        <w:rPr>
          <w:rFonts w:ascii="Times New Roman" w:hAnsi="Times New Roman"/>
        </w:rPr>
        <w:tab/>
        <w:t xml:space="preserve">Yang, W. &amp; Sen, A. One-Step Catalytic Transformation of Carbohydrates and Cellulosic Biomass to 2,5-Dimethyltetrahydrofuran for Liquid Fuels. </w:t>
      </w:r>
      <w:r>
        <w:rPr>
          <w:rFonts w:ascii="Times New Roman" w:hAnsi="Times New Roman"/>
          <w:i/>
          <w:iCs/>
        </w:rPr>
        <w:t>ChemSusChem</w:t>
      </w:r>
      <w:r>
        <w:rPr>
          <w:rFonts w:ascii="Times New Roman" w:hAnsi="Times New Roman"/>
        </w:rPr>
        <w:t xml:space="preserve"> </w:t>
      </w:r>
      <w:r>
        <w:rPr>
          <w:rFonts w:ascii="Times New Roman" w:hAnsi="Times New Roman"/>
          <w:b/>
          <w:bCs/>
        </w:rPr>
        <w:t>3,</w:t>
      </w:r>
      <w:r>
        <w:rPr>
          <w:rFonts w:ascii="Times New Roman" w:hAnsi="Times New Roman"/>
        </w:rPr>
        <w:t xml:space="preserve"> 597–603 (2010).</w:t>
      </w:r>
    </w:p>
    <w:p w14:paraId="6CC6DC78" w14:textId="77777777" w:rsidR="00A074C8" w:rsidRDefault="00A074C8" w:rsidP="00A074C8">
      <w:pPr>
        <w:pStyle w:val="Bibliography"/>
        <w:rPr>
          <w:rFonts w:ascii="Times New Roman" w:hAnsi="Times New Roman"/>
        </w:rPr>
      </w:pPr>
      <w:r>
        <w:rPr>
          <w:rFonts w:ascii="Times New Roman" w:hAnsi="Times New Roman"/>
        </w:rPr>
        <w:t>8.</w:t>
      </w:r>
      <w:r>
        <w:rPr>
          <w:rFonts w:ascii="Times New Roman" w:hAnsi="Times New Roman"/>
        </w:rPr>
        <w:tab/>
        <w:t xml:space="preserve">Mascal, M. &amp; Nikitin, E. B. Dramatic Advancements in the Saccharide to 5-(Chloromethyl)furfural Conversion Reaction. </w:t>
      </w:r>
      <w:r>
        <w:rPr>
          <w:rFonts w:ascii="Times New Roman" w:hAnsi="Times New Roman"/>
          <w:i/>
          <w:iCs/>
        </w:rPr>
        <w:t>ChemSusChem</w:t>
      </w:r>
      <w:r>
        <w:rPr>
          <w:rFonts w:ascii="Times New Roman" w:hAnsi="Times New Roman"/>
        </w:rPr>
        <w:t xml:space="preserve"> </w:t>
      </w:r>
      <w:r>
        <w:rPr>
          <w:rFonts w:ascii="Times New Roman" w:hAnsi="Times New Roman"/>
          <w:b/>
          <w:bCs/>
        </w:rPr>
        <w:t>2,</w:t>
      </w:r>
      <w:r>
        <w:rPr>
          <w:rFonts w:ascii="Times New Roman" w:hAnsi="Times New Roman"/>
        </w:rPr>
        <w:t xml:space="preserve"> 859–861 (2009).</w:t>
      </w:r>
    </w:p>
    <w:p w14:paraId="2404DCDC" w14:textId="77777777" w:rsidR="00A074C8" w:rsidRDefault="00A074C8" w:rsidP="00A074C8">
      <w:pPr>
        <w:pStyle w:val="Bibliography"/>
        <w:rPr>
          <w:rFonts w:ascii="Times New Roman" w:hAnsi="Times New Roman"/>
        </w:rPr>
      </w:pPr>
      <w:r>
        <w:rPr>
          <w:rFonts w:ascii="Times New Roman" w:hAnsi="Times New Roman"/>
        </w:rPr>
        <w:t>9.</w:t>
      </w:r>
      <w:r>
        <w:rPr>
          <w:rFonts w:ascii="Times New Roman" w:hAnsi="Times New Roman"/>
        </w:rPr>
        <w:tab/>
        <w:t xml:space="preserve">Binder, J. B. &amp; Raines, R. T. Simple Chemical Transformation of Lignocellulosic Biomass into Furans for Fuels and Chemicals. </w:t>
      </w:r>
      <w:r>
        <w:rPr>
          <w:rFonts w:ascii="Times New Roman" w:hAnsi="Times New Roman"/>
          <w:i/>
          <w:iCs/>
        </w:rPr>
        <w:t>J. Am. Chem. Soc.</w:t>
      </w:r>
      <w:r>
        <w:rPr>
          <w:rFonts w:ascii="Times New Roman" w:hAnsi="Times New Roman"/>
        </w:rPr>
        <w:t xml:space="preserve"> </w:t>
      </w:r>
      <w:r>
        <w:rPr>
          <w:rFonts w:ascii="Times New Roman" w:hAnsi="Times New Roman"/>
          <w:b/>
          <w:bCs/>
        </w:rPr>
        <w:t>131,</w:t>
      </w:r>
      <w:r>
        <w:rPr>
          <w:rFonts w:ascii="Times New Roman" w:hAnsi="Times New Roman"/>
        </w:rPr>
        <w:t xml:space="preserve"> 1979–1985 (2009).</w:t>
      </w:r>
    </w:p>
    <w:p w14:paraId="6999A1BC" w14:textId="77777777" w:rsidR="00A074C8" w:rsidRDefault="00A074C8" w:rsidP="00A074C8">
      <w:pPr>
        <w:pStyle w:val="Bibliography"/>
        <w:rPr>
          <w:rFonts w:ascii="Times New Roman" w:hAnsi="Times New Roman"/>
        </w:rPr>
      </w:pPr>
      <w:r>
        <w:rPr>
          <w:rFonts w:ascii="Times New Roman" w:hAnsi="Times New Roman"/>
        </w:rPr>
        <w:t>10.</w:t>
      </w:r>
      <w:r>
        <w:rPr>
          <w:rFonts w:ascii="Times New Roman" w:hAnsi="Times New Roman"/>
        </w:rPr>
        <w:tab/>
        <w:t xml:space="preserve">Ruppert, A. M., Weinberg, K. &amp; Palkovits, R. Hydrogenolysis Goes Bio: From Carbohydrates and Sugar Alcohols to Platform Chemicals. </w:t>
      </w:r>
      <w:r>
        <w:rPr>
          <w:rFonts w:ascii="Times New Roman" w:hAnsi="Times New Roman"/>
          <w:i/>
          <w:iCs/>
        </w:rPr>
        <w:t>Angew. Chem. Int. Ed.</w:t>
      </w:r>
      <w:r>
        <w:rPr>
          <w:rFonts w:ascii="Times New Roman" w:hAnsi="Times New Roman"/>
        </w:rPr>
        <w:t xml:space="preserve"> </w:t>
      </w:r>
      <w:r>
        <w:rPr>
          <w:rFonts w:ascii="Times New Roman" w:hAnsi="Times New Roman"/>
          <w:b/>
          <w:bCs/>
        </w:rPr>
        <w:t>51,</w:t>
      </w:r>
      <w:r>
        <w:rPr>
          <w:rFonts w:ascii="Times New Roman" w:hAnsi="Times New Roman"/>
        </w:rPr>
        <w:t xml:space="preserve"> 2564–2601 (2012).</w:t>
      </w:r>
    </w:p>
    <w:p w14:paraId="45DEA3E1" w14:textId="77777777" w:rsidR="00A074C8" w:rsidRDefault="00A074C8" w:rsidP="00A074C8">
      <w:pPr>
        <w:pStyle w:val="Bibliography"/>
        <w:rPr>
          <w:rFonts w:ascii="Times New Roman" w:hAnsi="Times New Roman"/>
        </w:rPr>
      </w:pPr>
      <w:r>
        <w:rPr>
          <w:rFonts w:ascii="Times New Roman" w:hAnsi="Times New Roman"/>
        </w:rPr>
        <w:t>11.</w:t>
      </w:r>
      <w:r>
        <w:rPr>
          <w:rFonts w:ascii="Times New Roman" w:hAnsi="Times New Roman"/>
        </w:rPr>
        <w:tab/>
        <w:t xml:space="preserve">Deng, W., Tan, X., Fang, W., Zhang, Q. &amp; Wang, Y. Conversion of Cellulose into Sorbitol over Carbon Nanotube-Supported Ruthenium Catalyst. </w:t>
      </w:r>
      <w:r>
        <w:rPr>
          <w:rFonts w:ascii="Times New Roman" w:hAnsi="Times New Roman"/>
          <w:i/>
          <w:iCs/>
        </w:rPr>
        <w:t>Catal. Lett.</w:t>
      </w:r>
      <w:r>
        <w:rPr>
          <w:rFonts w:ascii="Times New Roman" w:hAnsi="Times New Roman"/>
        </w:rPr>
        <w:t xml:space="preserve"> </w:t>
      </w:r>
      <w:r>
        <w:rPr>
          <w:rFonts w:ascii="Times New Roman" w:hAnsi="Times New Roman"/>
          <w:b/>
          <w:bCs/>
        </w:rPr>
        <w:t>133,</w:t>
      </w:r>
      <w:r>
        <w:rPr>
          <w:rFonts w:ascii="Times New Roman" w:hAnsi="Times New Roman"/>
        </w:rPr>
        <w:t xml:space="preserve"> 167–174 (2009).</w:t>
      </w:r>
    </w:p>
    <w:p w14:paraId="0941CEE0" w14:textId="77777777" w:rsidR="00A074C8" w:rsidRDefault="00A074C8" w:rsidP="00A074C8">
      <w:pPr>
        <w:pStyle w:val="Bibliography"/>
        <w:rPr>
          <w:rFonts w:ascii="Times New Roman" w:hAnsi="Times New Roman"/>
        </w:rPr>
      </w:pPr>
      <w:r>
        <w:rPr>
          <w:rFonts w:ascii="Times New Roman" w:hAnsi="Times New Roman"/>
        </w:rPr>
        <w:t>12.</w:t>
      </w:r>
      <w:r>
        <w:rPr>
          <w:rFonts w:ascii="Times New Roman" w:hAnsi="Times New Roman"/>
        </w:rPr>
        <w:tab/>
        <w:t xml:space="preserve">Yan, N., Zhao, C., Luo, C., Dyson, P., Liu, H. &amp; Kou, Y., One-Step Conversion of Cellobiose to C6-Alcohols Using a Ruthenium Nanocluster Catalyst. </w:t>
      </w:r>
      <w:r>
        <w:rPr>
          <w:rFonts w:ascii="Times New Roman" w:hAnsi="Times New Roman"/>
          <w:i/>
          <w:iCs/>
        </w:rPr>
        <w:t>J. Am. Chem. Soc.</w:t>
      </w:r>
      <w:r>
        <w:rPr>
          <w:rFonts w:ascii="Times New Roman" w:hAnsi="Times New Roman"/>
        </w:rPr>
        <w:t xml:space="preserve"> </w:t>
      </w:r>
      <w:r>
        <w:rPr>
          <w:rFonts w:ascii="Times New Roman" w:hAnsi="Times New Roman"/>
          <w:b/>
          <w:bCs/>
        </w:rPr>
        <w:t>128,</w:t>
      </w:r>
      <w:r>
        <w:rPr>
          <w:rFonts w:ascii="Times New Roman" w:hAnsi="Times New Roman"/>
        </w:rPr>
        <w:t xml:space="preserve"> 8714–8715 (2006).</w:t>
      </w:r>
    </w:p>
    <w:p w14:paraId="3CAA1C93" w14:textId="77777777" w:rsidR="00A074C8" w:rsidRDefault="00A074C8" w:rsidP="00A074C8">
      <w:pPr>
        <w:pStyle w:val="Bibliography"/>
        <w:rPr>
          <w:rFonts w:ascii="Times New Roman" w:hAnsi="Times New Roman"/>
        </w:rPr>
      </w:pPr>
      <w:r>
        <w:rPr>
          <w:rFonts w:ascii="Times New Roman" w:hAnsi="Times New Roman"/>
        </w:rPr>
        <w:t>13.</w:t>
      </w:r>
      <w:r>
        <w:rPr>
          <w:rFonts w:ascii="Times New Roman" w:hAnsi="Times New Roman"/>
        </w:rPr>
        <w:tab/>
        <w:t xml:space="preserve">Schlaf, M., Ghosh, P., Fagan, P. J., Hauptman, E. &amp; Bullock, R. M. Catalytic Deoxygenation of 1,2-Propanediol to Give n-Propanol. </w:t>
      </w:r>
      <w:r>
        <w:rPr>
          <w:rFonts w:ascii="Times New Roman" w:hAnsi="Times New Roman"/>
          <w:i/>
          <w:iCs/>
        </w:rPr>
        <w:t>Adv. Synth. Catal.</w:t>
      </w:r>
      <w:r>
        <w:rPr>
          <w:rFonts w:ascii="Times New Roman" w:hAnsi="Times New Roman"/>
        </w:rPr>
        <w:t xml:space="preserve"> </w:t>
      </w:r>
      <w:r>
        <w:rPr>
          <w:rFonts w:ascii="Times New Roman" w:hAnsi="Times New Roman"/>
          <w:b/>
          <w:bCs/>
        </w:rPr>
        <w:t>351,</w:t>
      </w:r>
      <w:r>
        <w:rPr>
          <w:rFonts w:ascii="Times New Roman" w:hAnsi="Times New Roman"/>
        </w:rPr>
        <w:t xml:space="preserve"> 789–800 (2009).</w:t>
      </w:r>
    </w:p>
    <w:p w14:paraId="65170BE4" w14:textId="77777777" w:rsidR="00A074C8" w:rsidRDefault="00A074C8" w:rsidP="00A074C8">
      <w:pPr>
        <w:pStyle w:val="Bibliography"/>
        <w:rPr>
          <w:rFonts w:ascii="Times New Roman" w:hAnsi="Times New Roman"/>
        </w:rPr>
      </w:pPr>
      <w:r>
        <w:rPr>
          <w:rFonts w:ascii="Times New Roman" w:hAnsi="Times New Roman"/>
        </w:rPr>
        <w:t>14.</w:t>
      </w:r>
      <w:r>
        <w:rPr>
          <w:rFonts w:ascii="Times New Roman" w:hAnsi="Times New Roman"/>
        </w:rPr>
        <w:tab/>
        <w:t xml:space="preserve">Metzger, J. O. Catalytic Deoxygenation of Carbohydrate Renewable Resources. </w:t>
      </w:r>
      <w:r>
        <w:rPr>
          <w:rFonts w:ascii="Times New Roman" w:hAnsi="Times New Roman"/>
          <w:i/>
          <w:iCs/>
        </w:rPr>
        <w:t>ChemCatChem</w:t>
      </w:r>
      <w:r>
        <w:rPr>
          <w:rFonts w:ascii="Times New Roman" w:hAnsi="Times New Roman"/>
        </w:rPr>
        <w:t xml:space="preserve"> </w:t>
      </w:r>
      <w:r>
        <w:rPr>
          <w:rFonts w:ascii="Times New Roman" w:hAnsi="Times New Roman"/>
          <w:b/>
          <w:bCs/>
        </w:rPr>
        <w:t>5,</w:t>
      </w:r>
      <w:r>
        <w:rPr>
          <w:rFonts w:ascii="Times New Roman" w:hAnsi="Times New Roman"/>
        </w:rPr>
        <w:t xml:space="preserve"> 680–682 (2013).</w:t>
      </w:r>
    </w:p>
    <w:p w14:paraId="40301786" w14:textId="77777777" w:rsidR="00A074C8" w:rsidRDefault="00A074C8" w:rsidP="00A074C8">
      <w:pPr>
        <w:pStyle w:val="Bibliography"/>
        <w:rPr>
          <w:rFonts w:ascii="Times New Roman" w:hAnsi="Times New Roman"/>
        </w:rPr>
      </w:pPr>
      <w:r>
        <w:rPr>
          <w:rFonts w:ascii="Times New Roman" w:hAnsi="Times New Roman"/>
        </w:rPr>
        <w:t>15.</w:t>
      </w:r>
      <w:r>
        <w:rPr>
          <w:rFonts w:ascii="Times New Roman" w:hAnsi="Times New Roman"/>
        </w:rPr>
        <w:tab/>
        <w:t xml:space="preserve">Boucher-Jacobs, C. &amp; Nicholas, K. M. in </w:t>
      </w:r>
      <w:r>
        <w:rPr>
          <w:rFonts w:ascii="Times New Roman" w:hAnsi="Times New Roman"/>
          <w:i/>
          <w:iCs/>
        </w:rPr>
        <w:t>Selective Catalysis for Renewable Feedstocks and Chemicals</w:t>
      </w:r>
      <w:r>
        <w:rPr>
          <w:rFonts w:ascii="Times New Roman" w:hAnsi="Times New Roman"/>
        </w:rPr>
        <w:t xml:space="preserve"> (ed. Nicholas, K. M.) 163–184 (Springer International Publishing, 2014).</w:t>
      </w:r>
    </w:p>
    <w:p w14:paraId="10034686" w14:textId="77777777" w:rsidR="00A074C8" w:rsidRDefault="00A074C8" w:rsidP="00A074C8">
      <w:pPr>
        <w:pStyle w:val="Bibliography"/>
        <w:rPr>
          <w:rFonts w:ascii="Times New Roman" w:hAnsi="Times New Roman"/>
        </w:rPr>
      </w:pPr>
      <w:r>
        <w:rPr>
          <w:rFonts w:ascii="Times New Roman" w:hAnsi="Times New Roman"/>
        </w:rPr>
        <w:t>16.</w:t>
      </w:r>
      <w:r>
        <w:rPr>
          <w:rFonts w:ascii="Times New Roman" w:hAnsi="Times New Roman"/>
        </w:rPr>
        <w:tab/>
        <w:t xml:space="preserve">Dethlefsen, J. R. &amp; Fristrup, P. Rhenium-Catalyzed Deoxydehydration of Diols and Polyols. </w:t>
      </w:r>
      <w:r>
        <w:rPr>
          <w:rFonts w:ascii="Times New Roman" w:hAnsi="Times New Roman"/>
          <w:i/>
          <w:iCs/>
        </w:rPr>
        <w:t>ChemSusChem</w:t>
      </w:r>
      <w:r>
        <w:rPr>
          <w:rFonts w:ascii="Times New Roman" w:hAnsi="Times New Roman"/>
        </w:rPr>
        <w:t xml:space="preserve"> </w:t>
      </w:r>
      <w:r>
        <w:rPr>
          <w:rFonts w:ascii="Times New Roman" w:hAnsi="Times New Roman"/>
          <w:b/>
          <w:bCs/>
        </w:rPr>
        <w:t>8,</w:t>
      </w:r>
      <w:r>
        <w:rPr>
          <w:rFonts w:ascii="Times New Roman" w:hAnsi="Times New Roman"/>
        </w:rPr>
        <w:t xml:space="preserve"> 767–775 (2015).</w:t>
      </w:r>
    </w:p>
    <w:p w14:paraId="68B54A29" w14:textId="77777777" w:rsidR="00A074C8" w:rsidRDefault="00A074C8" w:rsidP="00A074C8">
      <w:pPr>
        <w:pStyle w:val="Bibliography"/>
        <w:rPr>
          <w:rFonts w:ascii="Times New Roman" w:hAnsi="Times New Roman"/>
        </w:rPr>
      </w:pPr>
      <w:r>
        <w:rPr>
          <w:rFonts w:ascii="Times New Roman" w:hAnsi="Times New Roman"/>
        </w:rPr>
        <w:t>17.</w:t>
      </w:r>
      <w:r>
        <w:rPr>
          <w:rFonts w:ascii="Times New Roman" w:hAnsi="Times New Roman"/>
        </w:rPr>
        <w:tab/>
        <w:t xml:space="preserve">Raju, S., Moret, M.-E. &amp; Klein Gebbink, R. J. M. Rhenium-Catalyzed Dehydration and Deoxydehydration of Alcohols and Polyols: Opportunities for the Formation of Olefins from Biomass. </w:t>
      </w:r>
      <w:r>
        <w:rPr>
          <w:rFonts w:ascii="Times New Roman" w:hAnsi="Times New Roman"/>
          <w:i/>
          <w:iCs/>
        </w:rPr>
        <w:t>ACS Catal.</w:t>
      </w:r>
      <w:r>
        <w:rPr>
          <w:rFonts w:ascii="Times New Roman" w:hAnsi="Times New Roman"/>
        </w:rPr>
        <w:t xml:space="preserve"> </w:t>
      </w:r>
      <w:r>
        <w:rPr>
          <w:rFonts w:ascii="Times New Roman" w:hAnsi="Times New Roman"/>
          <w:b/>
          <w:bCs/>
        </w:rPr>
        <w:t>5,</w:t>
      </w:r>
      <w:r>
        <w:rPr>
          <w:rFonts w:ascii="Times New Roman" w:hAnsi="Times New Roman"/>
        </w:rPr>
        <w:t xml:space="preserve"> 281–300 (2015).</w:t>
      </w:r>
    </w:p>
    <w:p w14:paraId="0DEAEBAD" w14:textId="77777777" w:rsidR="00A074C8" w:rsidRDefault="00A074C8" w:rsidP="00A074C8">
      <w:pPr>
        <w:pStyle w:val="Bibliography"/>
        <w:rPr>
          <w:rFonts w:ascii="Times New Roman" w:hAnsi="Times New Roman"/>
        </w:rPr>
      </w:pPr>
      <w:r>
        <w:rPr>
          <w:rFonts w:ascii="Times New Roman" w:hAnsi="Times New Roman"/>
        </w:rPr>
        <w:t>18.</w:t>
      </w:r>
      <w:r>
        <w:rPr>
          <w:rFonts w:ascii="Times New Roman" w:hAnsi="Times New Roman"/>
        </w:rPr>
        <w:tab/>
        <w:t xml:space="preserve">Liu, S., Yi, J. &amp; Abu-Omar, M. M. in </w:t>
      </w:r>
      <w:r>
        <w:rPr>
          <w:rFonts w:ascii="Times New Roman" w:hAnsi="Times New Roman"/>
          <w:i/>
          <w:iCs/>
        </w:rPr>
        <w:t>Reaction Pathways and Mechanisms in Thermocatalytic Biomass Conversion II</w:t>
      </w:r>
      <w:r>
        <w:rPr>
          <w:rFonts w:ascii="Times New Roman" w:hAnsi="Times New Roman"/>
        </w:rPr>
        <w:t xml:space="preserve"> (eds. Schlaf, M. &amp; Zhang, Z. C.) 1–11 (Springer Singapore, 2016).</w:t>
      </w:r>
    </w:p>
    <w:p w14:paraId="08600B17" w14:textId="77777777" w:rsidR="00A074C8" w:rsidRDefault="00A074C8" w:rsidP="00A074C8">
      <w:pPr>
        <w:pStyle w:val="Bibliography"/>
        <w:rPr>
          <w:rFonts w:ascii="Times New Roman" w:hAnsi="Times New Roman"/>
        </w:rPr>
      </w:pPr>
      <w:r>
        <w:rPr>
          <w:rFonts w:ascii="Times New Roman" w:hAnsi="Times New Roman"/>
        </w:rPr>
        <w:t>19.</w:t>
      </w:r>
      <w:r>
        <w:rPr>
          <w:rFonts w:ascii="Times New Roman" w:hAnsi="Times New Roman"/>
        </w:rPr>
        <w:tab/>
        <w:t xml:space="preserve">Crank, G. &amp; Eastwood, F. Derivatives of orthoacids. II. The preparation of olefins from 1,2-diols. </w:t>
      </w:r>
      <w:r>
        <w:rPr>
          <w:rFonts w:ascii="Times New Roman" w:hAnsi="Times New Roman"/>
          <w:i/>
          <w:iCs/>
        </w:rPr>
        <w:t>Aust. J. Chem.</w:t>
      </w:r>
      <w:r>
        <w:rPr>
          <w:rFonts w:ascii="Times New Roman" w:hAnsi="Times New Roman"/>
        </w:rPr>
        <w:t xml:space="preserve"> </w:t>
      </w:r>
      <w:r>
        <w:rPr>
          <w:rFonts w:ascii="Times New Roman" w:hAnsi="Times New Roman"/>
          <w:b/>
          <w:bCs/>
        </w:rPr>
        <w:t>17,</w:t>
      </w:r>
      <w:r>
        <w:rPr>
          <w:rFonts w:ascii="Times New Roman" w:hAnsi="Times New Roman"/>
        </w:rPr>
        <w:t xml:space="preserve"> 1392–1398 (1964).</w:t>
      </w:r>
    </w:p>
    <w:p w14:paraId="67963085" w14:textId="77777777" w:rsidR="00A074C8" w:rsidRDefault="00A074C8" w:rsidP="00A074C8">
      <w:pPr>
        <w:pStyle w:val="Bibliography"/>
        <w:rPr>
          <w:rFonts w:ascii="Times New Roman" w:hAnsi="Times New Roman"/>
        </w:rPr>
      </w:pPr>
      <w:r>
        <w:rPr>
          <w:rFonts w:ascii="Times New Roman" w:hAnsi="Times New Roman"/>
        </w:rPr>
        <w:t>20.</w:t>
      </w:r>
      <w:r>
        <w:rPr>
          <w:rFonts w:ascii="Times New Roman" w:hAnsi="Times New Roman"/>
        </w:rPr>
        <w:tab/>
        <w:t xml:space="preserve">Ando, M., Ohhara, H. &amp; Takase, K. A Mild and Stereospecific Conversion of Vicinal Diols into Olefins Via 2-Methoxy-1,3-Dioxolane Derivatives. </w:t>
      </w:r>
      <w:r>
        <w:rPr>
          <w:rFonts w:ascii="Times New Roman" w:hAnsi="Times New Roman"/>
          <w:i/>
          <w:iCs/>
        </w:rPr>
        <w:t>Chem. Lett.</w:t>
      </w:r>
      <w:r>
        <w:rPr>
          <w:rFonts w:ascii="Times New Roman" w:hAnsi="Times New Roman"/>
        </w:rPr>
        <w:t xml:space="preserve"> </w:t>
      </w:r>
      <w:r>
        <w:rPr>
          <w:rFonts w:ascii="Times New Roman" w:hAnsi="Times New Roman"/>
          <w:b/>
          <w:bCs/>
        </w:rPr>
        <w:t>15,</w:t>
      </w:r>
      <w:r>
        <w:rPr>
          <w:rFonts w:ascii="Times New Roman" w:hAnsi="Times New Roman"/>
        </w:rPr>
        <w:t xml:space="preserve"> 879–882 (1986).</w:t>
      </w:r>
    </w:p>
    <w:p w14:paraId="07D03CE1" w14:textId="77777777" w:rsidR="00A074C8" w:rsidRDefault="00A074C8" w:rsidP="00A074C8">
      <w:pPr>
        <w:pStyle w:val="Bibliography"/>
        <w:rPr>
          <w:rFonts w:ascii="Times New Roman" w:hAnsi="Times New Roman"/>
        </w:rPr>
      </w:pPr>
      <w:r>
        <w:rPr>
          <w:rFonts w:ascii="Times New Roman" w:hAnsi="Times New Roman"/>
        </w:rPr>
        <w:t>21.</w:t>
      </w:r>
      <w:r>
        <w:rPr>
          <w:rFonts w:ascii="Times New Roman" w:hAnsi="Times New Roman"/>
        </w:rPr>
        <w:tab/>
        <w:t>Bergman, R. G., Ellman, J. A., Arceo Rebollo, E. &amp; Marsden, P. C. Method of Converting a Polyol to an Olefin. (2009).</w:t>
      </w:r>
    </w:p>
    <w:p w14:paraId="5ABC400E" w14:textId="77777777" w:rsidR="00A074C8" w:rsidRDefault="00A074C8" w:rsidP="00A074C8">
      <w:pPr>
        <w:pStyle w:val="Bibliography"/>
        <w:rPr>
          <w:rFonts w:ascii="Times New Roman" w:hAnsi="Times New Roman"/>
        </w:rPr>
      </w:pPr>
      <w:r>
        <w:rPr>
          <w:rFonts w:ascii="Times New Roman" w:hAnsi="Times New Roman"/>
        </w:rPr>
        <w:t>22.</w:t>
      </w:r>
      <w:r>
        <w:rPr>
          <w:rFonts w:ascii="Times New Roman" w:hAnsi="Times New Roman"/>
        </w:rPr>
        <w:tab/>
        <w:t xml:space="preserve">Arceo, E., Marsden, P., Bergman, R. G. &amp; Ellman, J. A. An efficient didehydroxylation method for the biomass-derived polyols glycerol and erythritol. Mechanistic studies of a formic acid-mediated deoxygenation. </w:t>
      </w:r>
      <w:r>
        <w:rPr>
          <w:rFonts w:ascii="Times New Roman" w:hAnsi="Times New Roman"/>
          <w:i/>
          <w:iCs/>
        </w:rPr>
        <w:t>Chem. Commun.</w:t>
      </w:r>
      <w:r>
        <w:rPr>
          <w:rFonts w:ascii="Times New Roman" w:hAnsi="Times New Roman"/>
        </w:rPr>
        <w:t xml:space="preserve"> 3357 (2009). doi:10.1039/b907746d</w:t>
      </w:r>
    </w:p>
    <w:p w14:paraId="02F23B65" w14:textId="77777777" w:rsidR="00A074C8" w:rsidRDefault="00A074C8" w:rsidP="00A074C8">
      <w:pPr>
        <w:pStyle w:val="Bibliography"/>
        <w:rPr>
          <w:rFonts w:ascii="Times New Roman" w:hAnsi="Times New Roman"/>
        </w:rPr>
      </w:pPr>
      <w:r>
        <w:rPr>
          <w:rFonts w:ascii="Times New Roman" w:hAnsi="Times New Roman"/>
        </w:rPr>
        <w:t>23.</w:t>
      </w:r>
      <w:r>
        <w:rPr>
          <w:rFonts w:ascii="Times New Roman" w:hAnsi="Times New Roman"/>
        </w:rPr>
        <w:tab/>
        <w:t xml:space="preserve">Cook, G. K. &amp; Andrews, M. A. Toward Nonoxidative Routes to Oxygenated Organics:  Stereospecific Deoxydehydration of Diols and Polyols to Alkenes and Allylic Alcohols Catalyzed by the Metal Oxo Complex (C5Me5)ReO3. </w:t>
      </w:r>
      <w:r>
        <w:rPr>
          <w:rFonts w:ascii="Times New Roman" w:hAnsi="Times New Roman"/>
          <w:i/>
          <w:iCs/>
        </w:rPr>
        <w:t>J. Am. Chem. Soc.</w:t>
      </w:r>
      <w:r>
        <w:rPr>
          <w:rFonts w:ascii="Times New Roman" w:hAnsi="Times New Roman"/>
        </w:rPr>
        <w:t xml:space="preserve"> </w:t>
      </w:r>
      <w:r>
        <w:rPr>
          <w:rFonts w:ascii="Times New Roman" w:hAnsi="Times New Roman"/>
          <w:b/>
          <w:bCs/>
        </w:rPr>
        <w:t>118,</w:t>
      </w:r>
      <w:r>
        <w:rPr>
          <w:rFonts w:ascii="Times New Roman" w:hAnsi="Times New Roman"/>
        </w:rPr>
        <w:t xml:space="preserve"> 9448–9449 (1996).</w:t>
      </w:r>
    </w:p>
    <w:p w14:paraId="21DD5128" w14:textId="77777777" w:rsidR="00A074C8" w:rsidRDefault="00A074C8" w:rsidP="00A074C8">
      <w:pPr>
        <w:pStyle w:val="Bibliography"/>
        <w:rPr>
          <w:rFonts w:ascii="Times New Roman" w:hAnsi="Times New Roman"/>
        </w:rPr>
      </w:pPr>
      <w:r>
        <w:rPr>
          <w:rFonts w:ascii="Times New Roman" w:hAnsi="Times New Roman"/>
        </w:rPr>
        <w:t>24.</w:t>
      </w:r>
      <w:r>
        <w:rPr>
          <w:rFonts w:ascii="Times New Roman" w:hAnsi="Times New Roman"/>
        </w:rPr>
        <w:tab/>
        <w:t xml:space="preserve">Gable K. P. &amp; Ross B. in </w:t>
      </w:r>
      <w:r>
        <w:rPr>
          <w:rFonts w:ascii="Times New Roman" w:hAnsi="Times New Roman"/>
          <w:i/>
          <w:iCs/>
        </w:rPr>
        <w:t>Feedstocks for the Future</w:t>
      </w:r>
      <w:r>
        <w:rPr>
          <w:rFonts w:ascii="Times New Roman" w:hAnsi="Times New Roman"/>
        </w:rPr>
        <w:t xml:space="preserve"> </w:t>
      </w:r>
      <w:r>
        <w:rPr>
          <w:rFonts w:ascii="Times New Roman" w:hAnsi="Times New Roman"/>
          <w:b/>
          <w:bCs/>
        </w:rPr>
        <w:t>921,</w:t>
      </w:r>
      <w:r>
        <w:rPr>
          <w:rFonts w:ascii="Times New Roman" w:hAnsi="Times New Roman"/>
        </w:rPr>
        <w:t xml:space="preserve"> 143–155 (American Chemical Society, 2006).</w:t>
      </w:r>
    </w:p>
    <w:p w14:paraId="427F3F9A" w14:textId="77777777" w:rsidR="00A074C8" w:rsidRDefault="00A074C8" w:rsidP="00A074C8">
      <w:pPr>
        <w:pStyle w:val="Bibliography"/>
        <w:rPr>
          <w:rFonts w:ascii="Times New Roman" w:hAnsi="Times New Roman"/>
        </w:rPr>
      </w:pPr>
      <w:r>
        <w:rPr>
          <w:rFonts w:ascii="Times New Roman" w:hAnsi="Times New Roman"/>
        </w:rPr>
        <w:t>25.</w:t>
      </w:r>
      <w:r>
        <w:rPr>
          <w:rFonts w:ascii="Times New Roman" w:hAnsi="Times New Roman"/>
        </w:rPr>
        <w:tab/>
        <w:t xml:space="preserve">Raju, S., Jastrzebski, J. T. B. H., Lutz, M. &amp; Klein Gebbink, R. J. M. Catalytic Deoxydehydration of Diols to Olefins by using a Bulky Cyclopentadiene-based Trioxorhenium Catalyst. </w:t>
      </w:r>
      <w:r>
        <w:rPr>
          <w:rFonts w:ascii="Times New Roman" w:hAnsi="Times New Roman"/>
          <w:i/>
          <w:iCs/>
        </w:rPr>
        <w:t>ChemSusChem</w:t>
      </w:r>
      <w:r>
        <w:rPr>
          <w:rFonts w:ascii="Times New Roman" w:hAnsi="Times New Roman"/>
        </w:rPr>
        <w:t xml:space="preserve"> </w:t>
      </w:r>
      <w:r>
        <w:rPr>
          <w:rFonts w:ascii="Times New Roman" w:hAnsi="Times New Roman"/>
          <w:b/>
          <w:bCs/>
        </w:rPr>
        <w:t>6,</w:t>
      </w:r>
      <w:r>
        <w:rPr>
          <w:rFonts w:ascii="Times New Roman" w:hAnsi="Times New Roman"/>
        </w:rPr>
        <w:t xml:space="preserve"> 1673–1680 (2013).</w:t>
      </w:r>
    </w:p>
    <w:p w14:paraId="26B7E026" w14:textId="77777777" w:rsidR="00A074C8" w:rsidRDefault="00A074C8" w:rsidP="00A074C8">
      <w:pPr>
        <w:pStyle w:val="Bibliography"/>
        <w:rPr>
          <w:rFonts w:ascii="Times New Roman" w:hAnsi="Times New Roman"/>
        </w:rPr>
      </w:pPr>
      <w:r>
        <w:rPr>
          <w:rFonts w:ascii="Times New Roman" w:hAnsi="Times New Roman"/>
        </w:rPr>
        <w:t>26.</w:t>
      </w:r>
      <w:r>
        <w:rPr>
          <w:rFonts w:ascii="Times New Roman" w:hAnsi="Times New Roman"/>
        </w:rPr>
        <w:tab/>
        <w:t>Raju, S., Jastrzebski, J., Lutz, M., Witteman, L., Dethlefsen, J., Fristrup, P., Moret, M. &amp; Gebbink, R. Spectroscopic Characterization of a Monomeric, Cyclopentadienyl-Based Rhenium(V) Dioxo Complex. Inorg. Chem. 54, 11031–11036 (2015).</w:t>
      </w:r>
    </w:p>
    <w:p w14:paraId="771EC62D" w14:textId="77777777" w:rsidR="00A074C8" w:rsidRDefault="00A074C8" w:rsidP="00A074C8">
      <w:pPr>
        <w:pStyle w:val="Bibliography"/>
        <w:rPr>
          <w:rFonts w:ascii="Times New Roman" w:hAnsi="Times New Roman"/>
        </w:rPr>
      </w:pPr>
      <w:r>
        <w:rPr>
          <w:rFonts w:ascii="Times New Roman" w:hAnsi="Times New Roman"/>
        </w:rPr>
        <w:t>27.</w:t>
      </w:r>
      <w:r>
        <w:rPr>
          <w:rFonts w:ascii="Times New Roman" w:hAnsi="Times New Roman"/>
        </w:rPr>
        <w:tab/>
        <w:t xml:space="preserve">Gable, K. P. &amp; Phan, T. N. Extrusion of Alkenes from Rhenium(V) Diolates: Energetics and Mechanism. </w:t>
      </w:r>
      <w:r>
        <w:rPr>
          <w:rFonts w:ascii="Times New Roman" w:hAnsi="Times New Roman"/>
          <w:i/>
          <w:iCs/>
        </w:rPr>
        <w:t>J. Am. Chem. Soc.</w:t>
      </w:r>
      <w:r>
        <w:rPr>
          <w:rFonts w:ascii="Times New Roman" w:hAnsi="Times New Roman"/>
        </w:rPr>
        <w:t xml:space="preserve"> </w:t>
      </w:r>
      <w:r>
        <w:rPr>
          <w:rFonts w:ascii="Times New Roman" w:hAnsi="Times New Roman"/>
          <w:b/>
          <w:bCs/>
        </w:rPr>
        <w:t>116,</w:t>
      </w:r>
      <w:r>
        <w:rPr>
          <w:rFonts w:ascii="Times New Roman" w:hAnsi="Times New Roman"/>
        </w:rPr>
        <w:t xml:space="preserve"> 833–839 (1994).</w:t>
      </w:r>
    </w:p>
    <w:p w14:paraId="72A5AB46" w14:textId="77777777" w:rsidR="00A074C8" w:rsidRDefault="00A074C8" w:rsidP="00A074C8">
      <w:pPr>
        <w:pStyle w:val="Bibliography"/>
        <w:rPr>
          <w:rFonts w:ascii="Times New Roman" w:hAnsi="Times New Roman"/>
        </w:rPr>
      </w:pPr>
      <w:r>
        <w:rPr>
          <w:rFonts w:ascii="Times New Roman" w:hAnsi="Times New Roman"/>
        </w:rPr>
        <w:t>28.</w:t>
      </w:r>
      <w:r>
        <w:rPr>
          <w:rFonts w:ascii="Times New Roman" w:hAnsi="Times New Roman"/>
        </w:rPr>
        <w:tab/>
        <w:t xml:space="preserve">Gable, K. P. &amp; Juliette, J. J. J. Extrusion of Alkenes from Rhenium(V) Diolates: The Effect of Substitution and Conformation. </w:t>
      </w:r>
      <w:r>
        <w:rPr>
          <w:rFonts w:ascii="Times New Roman" w:hAnsi="Times New Roman"/>
          <w:i/>
          <w:iCs/>
        </w:rPr>
        <w:t>J. Am. Chem. Soc.</w:t>
      </w:r>
      <w:r>
        <w:rPr>
          <w:rFonts w:ascii="Times New Roman" w:hAnsi="Times New Roman"/>
        </w:rPr>
        <w:t xml:space="preserve"> </w:t>
      </w:r>
      <w:r>
        <w:rPr>
          <w:rFonts w:ascii="Times New Roman" w:hAnsi="Times New Roman"/>
          <w:b/>
          <w:bCs/>
        </w:rPr>
        <w:t>117,</w:t>
      </w:r>
      <w:r>
        <w:rPr>
          <w:rFonts w:ascii="Times New Roman" w:hAnsi="Times New Roman"/>
        </w:rPr>
        <w:t xml:space="preserve"> 955–962 (1995).</w:t>
      </w:r>
    </w:p>
    <w:p w14:paraId="58A8913E" w14:textId="77777777" w:rsidR="00A074C8" w:rsidRDefault="00A074C8" w:rsidP="00A074C8">
      <w:pPr>
        <w:pStyle w:val="Bibliography"/>
        <w:rPr>
          <w:rFonts w:ascii="Times New Roman" w:hAnsi="Times New Roman"/>
        </w:rPr>
      </w:pPr>
      <w:r>
        <w:rPr>
          <w:rFonts w:ascii="Times New Roman" w:hAnsi="Times New Roman"/>
        </w:rPr>
        <w:t>29.</w:t>
      </w:r>
      <w:r>
        <w:rPr>
          <w:rFonts w:ascii="Times New Roman" w:hAnsi="Times New Roman"/>
        </w:rPr>
        <w:tab/>
        <w:t xml:space="preserve">Gable, K. P. &amp; Juliette, J. J. J. Hammett Studies on Alkene Extrusion from Rhenium(V) Diolates and an MO Description of Metal Alkoxide−Alkyl Metal Oxo Interconversion. </w:t>
      </w:r>
      <w:r>
        <w:rPr>
          <w:rFonts w:ascii="Times New Roman" w:hAnsi="Times New Roman"/>
          <w:i/>
          <w:iCs/>
        </w:rPr>
        <w:t>J. Am. Chem. Soc.</w:t>
      </w:r>
      <w:r>
        <w:rPr>
          <w:rFonts w:ascii="Times New Roman" w:hAnsi="Times New Roman"/>
        </w:rPr>
        <w:t xml:space="preserve"> </w:t>
      </w:r>
      <w:r>
        <w:rPr>
          <w:rFonts w:ascii="Times New Roman" w:hAnsi="Times New Roman"/>
          <w:b/>
          <w:bCs/>
        </w:rPr>
        <w:t>118,</w:t>
      </w:r>
      <w:r>
        <w:rPr>
          <w:rFonts w:ascii="Times New Roman" w:hAnsi="Times New Roman"/>
        </w:rPr>
        <w:t xml:space="preserve"> 2625–2633 (1996).</w:t>
      </w:r>
    </w:p>
    <w:p w14:paraId="55D8D841" w14:textId="77777777" w:rsidR="00A074C8" w:rsidRDefault="00A074C8" w:rsidP="00A074C8">
      <w:pPr>
        <w:pStyle w:val="Bibliography"/>
        <w:rPr>
          <w:rFonts w:ascii="Times New Roman" w:hAnsi="Times New Roman"/>
        </w:rPr>
      </w:pPr>
      <w:r>
        <w:rPr>
          <w:rFonts w:ascii="Times New Roman" w:hAnsi="Times New Roman"/>
        </w:rPr>
        <w:t>30.</w:t>
      </w:r>
      <w:r>
        <w:rPr>
          <w:rFonts w:ascii="Times New Roman" w:hAnsi="Times New Roman"/>
        </w:rPr>
        <w:tab/>
        <w:t xml:space="preserve">Gable, K. P., AbuBaker, A., Zientara, K. &amp; Wainwright, A. M. Cycloreversion of Rhenium(V) Diolates Containing the Hydridotris(3,5-dimethylpyrazolyl)borate Ancillary Ligand. </w:t>
      </w:r>
      <w:r>
        <w:rPr>
          <w:rFonts w:ascii="Times New Roman" w:hAnsi="Times New Roman"/>
          <w:i/>
          <w:iCs/>
        </w:rPr>
        <w:t>Organometallics</w:t>
      </w:r>
      <w:r>
        <w:rPr>
          <w:rFonts w:ascii="Times New Roman" w:hAnsi="Times New Roman"/>
        </w:rPr>
        <w:t xml:space="preserve"> </w:t>
      </w:r>
      <w:r>
        <w:rPr>
          <w:rFonts w:ascii="Times New Roman" w:hAnsi="Times New Roman"/>
          <w:b/>
          <w:bCs/>
        </w:rPr>
        <w:t>18,</w:t>
      </w:r>
      <w:r>
        <w:rPr>
          <w:rFonts w:ascii="Times New Roman" w:hAnsi="Times New Roman"/>
        </w:rPr>
        <w:t xml:space="preserve"> 173–179 (1999).</w:t>
      </w:r>
    </w:p>
    <w:p w14:paraId="7AED228E" w14:textId="77777777" w:rsidR="00A074C8" w:rsidRDefault="00A074C8" w:rsidP="00A074C8">
      <w:pPr>
        <w:pStyle w:val="Bibliography"/>
        <w:rPr>
          <w:rFonts w:ascii="Times New Roman" w:hAnsi="Times New Roman"/>
        </w:rPr>
      </w:pPr>
      <w:r>
        <w:rPr>
          <w:rFonts w:ascii="Times New Roman" w:hAnsi="Times New Roman"/>
        </w:rPr>
        <w:t>31.</w:t>
      </w:r>
      <w:r>
        <w:rPr>
          <w:rFonts w:ascii="Times New Roman" w:hAnsi="Times New Roman"/>
        </w:rPr>
        <w:tab/>
        <w:t xml:space="preserve">Gable, K. P. &amp; Zhuravlev, F. A. Kinetic Isotope Effects in Cycloreversion of Rhenium (V) Diolates. </w:t>
      </w:r>
      <w:r>
        <w:rPr>
          <w:rFonts w:ascii="Times New Roman" w:hAnsi="Times New Roman"/>
          <w:i/>
          <w:iCs/>
        </w:rPr>
        <w:t>J. Am. Chem. Soc.</w:t>
      </w:r>
      <w:r>
        <w:rPr>
          <w:rFonts w:ascii="Times New Roman" w:hAnsi="Times New Roman"/>
        </w:rPr>
        <w:t xml:space="preserve"> </w:t>
      </w:r>
      <w:r>
        <w:rPr>
          <w:rFonts w:ascii="Times New Roman" w:hAnsi="Times New Roman"/>
          <w:b/>
          <w:bCs/>
        </w:rPr>
        <w:t>124,</w:t>
      </w:r>
      <w:r>
        <w:rPr>
          <w:rFonts w:ascii="Times New Roman" w:hAnsi="Times New Roman"/>
        </w:rPr>
        <w:t xml:space="preserve"> 3970–3979 (2002).</w:t>
      </w:r>
    </w:p>
    <w:p w14:paraId="7653A5D5" w14:textId="77777777" w:rsidR="00A074C8" w:rsidRDefault="00A074C8" w:rsidP="00A074C8">
      <w:pPr>
        <w:pStyle w:val="Bibliography"/>
        <w:rPr>
          <w:rFonts w:ascii="Times New Roman" w:hAnsi="Times New Roman"/>
        </w:rPr>
      </w:pPr>
      <w:r>
        <w:rPr>
          <w:rFonts w:ascii="Times New Roman" w:hAnsi="Times New Roman"/>
        </w:rPr>
        <w:t>32.</w:t>
      </w:r>
      <w:r>
        <w:rPr>
          <w:rFonts w:ascii="Times New Roman" w:hAnsi="Times New Roman"/>
        </w:rPr>
        <w:tab/>
        <w:t xml:space="preserve">Nakagiri, T., Murai, M. &amp; Takai, K. Stereospecific Deoxygenation of Aliphatic Epoxides to Alkenes under Rhenium Catalysis. </w:t>
      </w:r>
      <w:r>
        <w:rPr>
          <w:rFonts w:ascii="Times New Roman" w:hAnsi="Times New Roman"/>
          <w:i/>
          <w:iCs/>
        </w:rPr>
        <w:t>Org. Lett.</w:t>
      </w:r>
      <w:r>
        <w:rPr>
          <w:rFonts w:ascii="Times New Roman" w:hAnsi="Times New Roman"/>
        </w:rPr>
        <w:t xml:space="preserve"> </w:t>
      </w:r>
      <w:r>
        <w:rPr>
          <w:rFonts w:ascii="Times New Roman" w:hAnsi="Times New Roman"/>
          <w:b/>
          <w:bCs/>
        </w:rPr>
        <w:t>17,</w:t>
      </w:r>
      <w:r>
        <w:rPr>
          <w:rFonts w:ascii="Times New Roman" w:hAnsi="Times New Roman"/>
        </w:rPr>
        <w:t xml:space="preserve"> 3346–3349 (2015).</w:t>
      </w:r>
    </w:p>
    <w:p w14:paraId="020DCD26" w14:textId="77777777" w:rsidR="00A074C8" w:rsidRDefault="00A074C8" w:rsidP="00A074C8">
      <w:pPr>
        <w:pStyle w:val="Bibliography"/>
        <w:rPr>
          <w:rFonts w:ascii="Times New Roman" w:hAnsi="Times New Roman"/>
        </w:rPr>
      </w:pPr>
      <w:r>
        <w:rPr>
          <w:rFonts w:ascii="Times New Roman" w:hAnsi="Times New Roman"/>
        </w:rPr>
        <w:t>33.</w:t>
      </w:r>
      <w:r>
        <w:rPr>
          <w:rFonts w:ascii="Times New Roman" w:hAnsi="Times New Roman"/>
        </w:rPr>
        <w:tab/>
        <w:t xml:space="preserve">Ziegler, J. E., Zdilla, M. J., Evans, A. J. &amp; Abu-Omar, M. M. H </w:t>
      </w:r>
      <w:r>
        <w:rPr>
          <w:rFonts w:ascii="Times New Roman" w:hAnsi="Times New Roman"/>
          <w:vertAlign w:val="subscript"/>
        </w:rPr>
        <w:t>2</w:t>
      </w:r>
      <w:r>
        <w:rPr>
          <w:rFonts w:ascii="Times New Roman" w:hAnsi="Times New Roman"/>
        </w:rPr>
        <w:t xml:space="preserve"> -Driven Deoxygenation of Epoxides and Diols to Alkenes Catalyzed by Methyltrioxorhenium. </w:t>
      </w:r>
      <w:r>
        <w:rPr>
          <w:rFonts w:ascii="Times New Roman" w:hAnsi="Times New Roman"/>
          <w:i/>
          <w:iCs/>
        </w:rPr>
        <w:t>Inorg. Chem.</w:t>
      </w:r>
      <w:r>
        <w:rPr>
          <w:rFonts w:ascii="Times New Roman" w:hAnsi="Times New Roman"/>
        </w:rPr>
        <w:t xml:space="preserve"> </w:t>
      </w:r>
      <w:r>
        <w:rPr>
          <w:rFonts w:ascii="Times New Roman" w:hAnsi="Times New Roman"/>
          <w:b/>
          <w:bCs/>
        </w:rPr>
        <w:t>48,</w:t>
      </w:r>
      <w:r>
        <w:rPr>
          <w:rFonts w:ascii="Times New Roman" w:hAnsi="Times New Roman"/>
        </w:rPr>
        <w:t xml:space="preserve"> 9998–10000 (2009).</w:t>
      </w:r>
    </w:p>
    <w:p w14:paraId="6683EC84" w14:textId="77777777" w:rsidR="00A074C8" w:rsidRDefault="00A074C8" w:rsidP="00A074C8">
      <w:pPr>
        <w:pStyle w:val="Bibliography"/>
        <w:rPr>
          <w:rFonts w:ascii="Times New Roman" w:hAnsi="Times New Roman"/>
        </w:rPr>
      </w:pPr>
      <w:r>
        <w:rPr>
          <w:rFonts w:ascii="Times New Roman" w:hAnsi="Times New Roman"/>
        </w:rPr>
        <w:t>34.</w:t>
      </w:r>
      <w:r>
        <w:rPr>
          <w:rFonts w:ascii="Times New Roman" w:hAnsi="Times New Roman"/>
        </w:rPr>
        <w:tab/>
        <w:t xml:space="preserve">Bi, S., Wang, J., Liu, L., Li, P. &amp; Lin, Z. Mechanism of the MeReO </w:t>
      </w:r>
      <w:r>
        <w:rPr>
          <w:rFonts w:ascii="Times New Roman" w:hAnsi="Times New Roman"/>
          <w:vertAlign w:val="subscript"/>
        </w:rPr>
        <w:t>3</w:t>
      </w:r>
      <w:r>
        <w:rPr>
          <w:rFonts w:ascii="Times New Roman" w:hAnsi="Times New Roman"/>
        </w:rPr>
        <w:t xml:space="preserve"> -Catalyzed Deoxygenation of Epoxides. </w:t>
      </w:r>
      <w:r>
        <w:rPr>
          <w:rFonts w:ascii="Times New Roman" w:hAnsi="Times New Roman"/>
          <w:i/>
          <w:iCs/>
        </w:rPr>
        <w:t>Organometallics</w:t>
      </w:r>
      <w:r>
        <w:rPr>
          <w:rFonts w:ascii="Times New Roman" w:hAnsi="Times New Roman"/>
        </w:rPr>
        <w:t xml:space="preserve"> </w:t>
      </w:r>
      <w:r>
        <w:rPr>
          <w:rFonts w:ascii="Times New Roman" w:hAnsi="Times New Roman"/>
          <w:b/>
          <w:bCs/>
        </w:rPr>
        <w:t>31,</w:t>
      </w:r>
      <w:r>
        <w:rPr>
          <w:rFonts w:ascii="Times New Roman" w:hAnsi="Times New Roman"/>
        </w:rPr>
        <w:t xml:space="preserve"> 6139–6147 (2012).</w:t>
      </w:r>
    </w:p>
    <w:p w14:paraId="6E156942" w14:textId="77777777" w:rsidR="00A074C8" w:rsidRDefault="00A074C8" w:rsidP="00A074C8">
      <w:pPr>
        <w:pStyle w:val="Bibliography"/>
        <w:rPr>
          <w:rFonts w:ascii="Times New Roman" w:hAnsi="Times New Roman"/>
        </w:rPr>
      </w:pPr>
      <w:r>
        <w:rPr>
          <w:rFonts w:ascii="Times New Roman" w:hAnsi="Times New Roman"/>
        </w:rPr>
        <w:t>35.</w:t>
      </w:r>
      <w:r>
        <w:rPr>
          <w:rFonts w:ascii="Times New Roman" w:hAnsi="Times New Roman"/>
        </w:rPr>
        <w:tab/>
        <w:t xml:space="preserve">Ahmad, I., Chapman, G. &amp; Nicholas, K. M. Sulfite-Driven, Oxorhenium-Catalyzed Deoxydehydration of Glycols. </w:t>
      </w:r>
      <w:r>
        <w:rPr>
          <w:rFonts w:ascii="Times New Roman" w:hAnsi="Times New Roman"/>
          <w:i/>
          <w:iCs/>
        </w:rPr>
        <w:t>Organometallics</w:t>
      </w:r>
      <w:r>
        <w:rPr>
          <w:rFonts w:ascii="Times New Roman" w:hAnsi="Times New Roman"/>
        </w:rPr>
        <w:t xml:space="preserve"> </w:t>
      </w:r>
      <w:r>
        <w:rPr>
          <w:rFonts w:ascii="Times New Roman" w:hAnsi="Times New Roman"/>
          <w:b/>
          <w:bCs/>
        </w:rPr>
        <w:t>30,</w:t>
      </w:r>
      <w:r>
        <w:rPr>
          <w:rFonts w:ascii="Times New Roman" w:hAnsi="Times New Roman"/>
        </w:rPr>
        <w:t xml:space="preserve"> 2810–2818 (2011).</w:t>
      </w:r>
    </w:p>
    <w:p w14:paraId="4673E9A2" w14:textId="77777777" w:rsidR="00A074C8" w:rsidRDefault="00A074C8" w:rsidP="00A074C8">
      <w:pPr>
        <w:pStyle w:val="Bibliography"/>
        <w:rPr>
          <w:rFonts w:ascii="Times New Roman" w:hAnsi="Times New Roman"/>
        </w:rPr>
      </w:pPr>
      <w:r>
        <w:rPr>
          <w:rFonts w:ascii="Times New Roman" w:hAnsi="Times New Roman"/>
        </w:rPr>
        <w:t>36.</w:t>
      </w:r>
      <w:r>
        <w:rPr>
          <w:rFonts w:ascii="Times New Roman" w:hAnsi="Times New Roman"/>
        </w:rPr>
        <w:tab/>
        <w:t xml:space="preserve">Vkuturi, S., Chapman, G., Ahmad, I. &amp; Nicholas, K. M. Rhenium-Catalyzed Deoxydehydration of Glycols by Sulfite. </w:t>
      </w:r>
      <w:r>
        <w:rPr>
          <w:rFonts w:ascii="Times New Roman" w:hAnsi="Times New Roman"/>
          <w:i/>
          <w:iCs/>
        </w:rPr>
        <w:t>Inorg. Chem.</w:t>
      </w:r>
      <w:r>
        <w:rPr>
          <w:rFonts w:ascii="Times New Roman" w:hAnsi="Times New Roman"/>
        </w:rPr>
        <w:t xml:space="preserve"> </w:t>
      </w:r>
      <w:r>
        <w:rPr>
          <w:rFonts w:ascii="Times New Roman" w:hAnsi="Times New Roman"/>
          <w:b/>
          <w:bCs/>
        </w:rPr>
        <w:t>49,</w:t>
      </w:r>
      <w:r>
        <w:rPr>
          <w:rFonts w:ascii="Times New Roman" w:hAnsi="Times New Roman"/>
        </w:rPr>
        <w:t xml:space="preserve"> 4744–4746 (2010).</w:t>
      </w:r>
    </w:p>
    <w:p w14:paraId="67D6D1FA" w14:textId="77777777" w:rsidR="00A074C8" w:rsidRDefault="00A074C8" w:rsidP="00A074C8">
      <w:pPr>
        <w:pStyle w:val="Bibliography"/>
        <w:rPr>
          <w:rFonts w:ascii="Times New Roman" w:hAnsi="Times New Roman"/>
        </w:rPr>
      </w:pPr>
      <w:r>
        <w:rPr>
          <w:rFonts w:ascii="Times New Roman" w:hAnsi="Times New Roman"/>
        </w:rPr>
        <w:t>37.</w:t>
      </w:r>
      <w:r>
        <w:rPr>
          <w:rFonts w:ascii="Times New Roman" w:hAnsi="Times New Roman"/>
        </w:rPr>
        <w:tab/>
        <w:t xml:space="preserve">Al-Ajlouni, A. M., Günyar, A., Zhou, M.-D., Baxter, P. N. W. &amp; Kühn, F. E. Adduct Formation of Dichloridodioxidomolybdenum(VI) and Methyltrioxidorhenium(VII) with a Series of Bidentate Nitrogen Donor Ligands. </w:t>
      </w:r>
      <w:r>
        <w:rPr>
          <w:rFonts w:ascii="Times New Roman" w:hAnsi="Times New Roman"/>
          <w:i/>
          <w:iCs/>
        </w:rPr>
        <w:t>Eur. J. Inorg. Chem.</w:t>
      </w:r>
      <w:r>
        <w:rPr>
          <w:rFonts w:ascii="Times New Roman" w:hAnsi="Times New Roman"/>
        </w:rPr>
        <w:t xml:space="preserve"> </w:t>
      </w:r>
      <w:r>
        <w:rPr>
          <w:rFonts w:ascii="Times New Roman" w:hAnsi="Times New Roman"/>
          <w:b/>
          <w:bCs/>
        </w:rPr>
        <w:t>2009,</w:t>
      </w:r>
      <w:r>
        <w:rPr>
          <w:rFonts w:ascii="Times New Roman" w:hAnsi="Times New Roman"/>
        </w:rPr>
        <w:t xml:space="preserve"> 1019–1026 (2009).</w:t>
      </w:r>
    </w:p>
    <w:p w14:paraId="374253C4" w14:textId="77777777" w:rsidR="00A074C8" w:rsidRDefault="00A074C8" w:rsidP="00A074C8">
      <w:pPr>
        <w:pStyle w:val="Bibliography"/>
        <w:rPr>
          <w:rFonts w:ascii="Times New Roman" w:hAnsi="Times New Roman"/>
        </w:rPr>
      </w:pPr>
      <w:r>
        <w:rPr>
          <w:rFonts w:ascii="Times New Roman" w:hAnsi="Times New Roman"/>
        </w:rPr>
        <w:t>38.</w:t>
      </w:r>
      <w:r>
        <w:rPr>
          <w:rFonts w:ascii="Times New Roman" w:hAnsi="Times New Roman"/>
        </w:rPr>
        <w:tab/>
        <w:t xml:space="preserve">Xu, Z., Zhou, M., Drees, M., Chaffrey-Millar, H., Herdtweck, W. &amp; Kühn, F. Mono- and Bis- Methyltrioxorhenium(VII) Complexes with Salen Ligands: Synthesis, Properties, Applications. </w:t>
      </w:r>
      <w:r>
        <w:rPr>
          <w:rFonts w:ascii="Times New Roman" w:hAnsi="Times New Roman"/>
          <w:i/>
          <w:iCs/>
        </w:rPr>
        <w:t>Inorg. Chem.</w:t>
      </w:r>
      <w:r>
        <w:rPr>
          <w:rFonts w:ascii="Times New Roman" w:hAnsi="Times New Roman"/>
        </w:rPr>
        <w:t xml:space="preserve"> </w:t>
      </w:r>
      <w:r>
        <w:rPr>
          <w:rFonts w:ascii="Times New Roman" w:hAnsi="Times New Roman"/>
          <w:b/>
          <w:bCs/>
        </w:rPr>
        <w:t>48,</w:t>
      </w:r>
      <w:r>
        <w:rPr>
          <w:rFonts w:ascii="Times New Roman" w:hAnsi="Times New Roman"/>
        </w:rPr>
        <w:t xml:space="preserve"> 6812–6822 (2009).</w:t>
      </w:r>
    </w:p>
    <w:p w14:paraId="069447EB" w14:textId="77777777" w:rsidR="00A074C8" w:rsidRDefault="00A074C8" w:rsidP="00A074C8">
      <w:pPr>
        <w:pStyle w:val="Bibliography"/>
        <w:rPr>
          <w:rFonts w:ascii="Times New Roman" w:hAnsi="Times New Roman"/>
        </w:rPr>
      </w:pPr>
      <w:r>
        <w:rPr>
          <w:rFonts w:ascii="Times New Roman" w:hAnsi="Times New Roman"/>
        </w:rPr>
        <w:t>39.</w:t>
      </w:r>
      <w:r>
        <w:rPr>
          <w:rFonts w:ascii="Times New Roman" w:hAnsi="Times New Roman"/>
        </w:rPr>
        <w:tab/>
        <w:t xml:space="preserve">Rietveld, M. H. P., Nagelholt, L., Grove, D., Veldman, N., Spek, A., Rauch, M., Herrmann, W. &amp; van Koten G., Synthesis of methyltrioxorhenium(VII) arylamine complexes and mono- and bis(ortho)-chelated arylaminorhenium(VII) trioxides. </w:t>
      </w:r>
      <w:r>
        <w:rPr>
          <w:rFonts w:ascii="Times New Roman" w:hAnsi="Times New Roman"/>
          <w:i/>
          <w:iCs/>
        </w:rPr>
        <w:t>J. Organomet. Chem.</w:t>
      </w:r>
      <w:r>
        <w:rPr>
          <w:rFonts w:ascii="Times New Roman" w:hAnsi="Times New Roman"/>
        </w:rPr>
        <w:t xml:space="preserve"> </w:t>
      </w:r>
      <w:r>
        <w:rPr>
          <w:rFonts w:ascii="Times New Roman" w:hAnsi="Times New Roman"/>
          <w:b/>
          <w:bCs/>
        </w:rPr>
        <w:t>530,</w:t>
      </w:r>
      <w:r>
        <w:rPr>
          <w:rFonts w:ascii="Times New Roman" w:hAnsi="Times New Roman"/>
        </w:rPr>
        <w:t xml:space="preserve"> 159–167 (1997).</w:t>
      </w:r>
    </w:p>
    <w:p w14:paraId="0197C151" w14:textId="77777777" w:rsidR="00A074C8" w:rsidRDefault="00A074C8" w:rsidP="00A074C8">
      <w:pPr>
        <w:pStyle w:val="Bibliography"/>
        <w:rPr>
          <w:rFonts w:ascii="Times New Roman" w:hAnsi="Times New Roman"/>
        </w:rPr>
      </w:pPr>
      <w:r>
        <w:rPr>
          <w:rFonts w:ascii="Times New Roman" w:hAnsi="Times New Roman"/>
        </w:rPr>
        <w:t>40.</w:t>
      </w:r>
      <w:r>
        <w:rPr>
          <w:rFonts w:ascii="Times New Roman" w:hAnsi="Times New Roman"/>
        </w:rPr>
        <w:tab/>
        <w:t xml:space="preserve">Liu, P. &amp; Nicholas, K. M. Mechanism of Sulfite-Driven, MeReO </w:t>
      </w:r>
      <w:r>
        <w:rPr>
          <w:rFonts w:ascii="Times New Roman" w:hAnsi="Times New Roman"/>
          <w:vertAlign w:val="subscript"/>
        </w:rPr>
        <w:t>3</w:t>
      </w:r>
      <w:r>
        <w:rPr>
          <w:rFonts w:ascii="Times New Roman" w:hAnsi="Times New Roman"/>
        </w:rPr>
        <w:t xml:space="preserve"> -Catalyzed Deoxydehydration of Glycols. </w:t>
      </w:r>
      <w:r>
        <w:rPr>
          <w:rFonts w:ascii="Times New Roman" w:hAnsi="Times New Roman"/>
          <w:i/>
          <w:iCs/>
        </w:rPr>
        <w:t>Organometallics</w:t>
      </w:r>
      <w:r>
        <w:rPr>
          <w:rFonts w:ascii="Times New Roman" w:hAnsi="Times New Roman"/>
        </w:rPr>
        <w:t xml:space="preserve"> </w:t>
      </w:r>
      <w:r>
        <w:rPr>
          <w:rFonts w:ascii="Times New Roman" w:hAnsi="Times New Roman"/>
          <w:b/>
          <w:bCs/>
        </w:rPr>
        <w:t>32,</w:t>
      </w:r>
      <w:r>
        <w:rPr>
          <w:rFonts w:ascii="Times New Roman" w:hAnsi="Times New Roman"/>
        </w:rPr>
        <w:t xml:space="preserve"> 1821–1831 (2013).</w:t>
      </w:r>
    </w:p>
    <w:p w14:paraId="35DFE3B8" w14:textId="77777777" w:rsidR="00A074C8" w:rsidRDefault="00A074C8" w:rsidP="00A074C8">
      <w:pPr>
        <w:pStyle w:val="Bibliography"/>
        <w:rPr>
          <w:rFonts w:ascii="Times New Roman" w:hAnsi="Times New Roman"/>
        </w:rPr>
      </w:pPr>
      <w:r>
        <w:rPr>
          <w:rFonts w:ascii="Times New Roman" w:hAnsi="Times New Roman"/>
        </w:rPr>
        <w:t>41.</w:t>
      </w:r>
      <w:r>
        <w:rPr>
          <w:rFonts w:ascii="Times New Roman" w:hAnsi="Times New Roman"/>
        </w:rPr>
        <w:tab/>
        <w:t xml:space="preserve">Arceo, E., Ellman, J. A. &amp; Bergman, R. G. Rhenium-Catalyzed Didehydroxylation of Vicinal Diols to Alkenes Using a Simple Alcohol as a Reducing Agent. </w:t>
      </w:r>
      <w:r>
        <w:rPr>
          <w:rFonts w:ascii="Times New Roman" w:hAnsi="Times New Roman"/>
          <w:i/>
          <w:iCs/>
        </w:rPr>
        <w:t>J. Am. Chem. Soc.</w:t>
      </w:r>
      <w:r>
        <w:rPr>
          <w:rFonts w:ascii="Times New Roman" w:hAnsi="Times New Roman"/>
        </w:rPr>
        <w:t xml:space="preserve"> </w:t>
      </w:r>
      <w:r>
        <w:rPr>
          <w:rFonts w:ascii="Times New Roman" w:hAnsi="Times New Roman"/>
          <w:b/>
          <w:bCs/>
        </w:rPr>
        <w:t>132,</w:t>
      </w:r>
      <w:r>
        <w:rPr>
          <w:rFonts w:ascii="Times New Roman" w:hAnsi="Times New Roman"/>
        </w:rPr>
        <w:t xml:space="preserve"> 11408–11409 (2010).</w:t>
      </w:r>
    </w:p>
    <w:p w14:paraId="692FD286" w14:textId="77777777" w:rsidR="00A074C8" w:rsidRDefault="00A074C8" w:rsidP="00A074C8">
      <w:pPr>
        <w:pStyle w:val="Bibliography"/>
        <w:rPr>
          <w:rFonts w:ascii="Times New Roman" w:hAnsi="Times New Roman"/>
        </w:rPr>
      </w:pPr>
      <w:r>
        <w:rPr>
          <w:rFonts w:ascii="Times New Roman" w:hAnsi="Times New Roman"/>
        </w:rPr>
        <w:t>42.</w:t>
      </w:r>
      <w:r>
        <w:rPr>
          <w:rFonts w:ascii="Times New Roman" w:hAnsi="Times New Roman"/>
        </w:rPr>
        <w:tab/>
        <w:t xml:space="preserve">Yi, J., Liu, S. &amp; Abu-Omar, M. M. Rhenium-Catalyzed Transfer Hydrogenation and Deoxygenation of Biomass-Derived Polyols to Small and Useful Organics. </w:t>
      </w:r>
      <w:r>
        <w:rPr>
          <w:rFonts w:ascii="Times New Roman" w:hAnsi="Times New Roman"/>
          <w:i/>
          <w:iCs/>
        </w:rPr>
        <w:t>ChemSusChem</w:t>
      </w:r>
      <w:r>
        <w:rPr>
          <w:rFonts w:ascii="Times New Roman" w:hAnsi="Times New Roman"/>
        </w:rPr>
        <w:t xml:space="preserve"> </w:t>
      </w:r>
      <w:r>
        <w:rPr>
          <w:rFonts w:ascii="Times New Roman" w:hAnsi="Times New Roman"/>
          <w:b/>
          <w:bCs/>
        </w:rPr>
        <w:t>5,</w:t>
      </w:r>
      <w:r>
        <w:rPr>
          <w:rFonts w:ascii="Times New Roman" w:hAnsi="Times New Roman"/>
        </w:rPr>
        <w:t xml:space="preserve"> 1401–1404 (2012).</w:t>
      </w:r>
    </w:p>
    <w:p w14:paraId="6AAC4B53" w14:textId="77777777" w:rsidR="00A074C8" w:rsidRDefault="00A074C8" w:rsidP="00A074C8">
      <w:pPr>
        <w:pStyle w:val="Bibliography"/>
        <w:rPr>
          <w:rFonts w:ascii="Times New Roman" w:hAnsi="Times New Roman"/>
        </w:rPr>
      </w:pPr>
      <w:r>
        <w:rPr>
          <w:rFonts w:ascii="Times New Roman" w:hAnsi="Times New Roman"/>
        </w:rPr>
        <w:t>43.</w:t>
      </w:r>
      <w:r>
        <w:rPr>
          <w:rFonts w:ascii="Times New Roman" w:hAnsi="Times New Roman"/>
        </w:rPr>
        <w:tab/>
        <w:t xml:space="preserve">Canale, V., Tonucci, L., Bressan, M. &amp; d’Alessandro, N. Deoxydehydration of glycerol to allyl alcohol catalyzed by rhenium derivatives. </w:t>
      </w:r>
      <w:r>
        <w:rPr>
          <w:rFonts w:ascii="Times New Roman" w:hAnsi="Times New Roman"/>
          <w:i/>
          <w:iCs/>
        </w:rPr>
        <w:t>Catal. Sci. Technol.</w:t>
      </w:r>
      <w:r>
        <w:rPr>
          <w:rFonts w:ascii="Times New Roman" w:hAnsi="Times New Roman"/>
        </w:rPr>
        <w:t xml:space="preserve"> </w:t>
      </w:r>
      <w:r>
        <w:rPr>
          <w:rFonts w:ascii="Times New Roman" w:hAnsi="Times New Roman"/>
          <w:b/>
          <w:bCs/>
        </w:rPr>
        <w:t>4,</w:t>
      </w:r>
      <w:r>
        <w:rPr>
          <w:rFonts w:ascii="Times New Roman" w:hAnsi="Times New Roman"/>
        </w:rPr>
        <w:t xml:space="preserve"> 3697–3704 (2014).</w:t>
      </w:r>
    </w:p>
    <w:p w14:paraId="6ED29786" w14:textId="77777777" w:rsidR="00A074C8" w:rsidRDefault="00A074C8" w:rsidP="00A074C8">
      <w:pPr>
        <w:pStyle w:val="Bibliography"/>
        <w:rPr>
          <w:rFonts w:ascii="Times New Roman" w:hAnsi="Times New Roman"/>
        </w:rPr>
      </w:pPr>
      <w:r>
        <w:rPr>
          <w:rFonts w:ascii="Times New Roman" w:hAnsi="Times New Roman"/>
        </w:rPr>
        <w:t>44.</w:t>
      </w:r>
      <w:r>
        <w:rPr>
          <w:rFonts w:ascii="Times New Roman" w:hAnsi="Times New Roman"/>
        </w:rPr>
        <w:tab/>
        <w:t xml:space="preserve">Shiramizu, M. &amp; Toste, F. D. Deoxygenation of Biomass-Derived Feedstocks: Oxorhenium-Catalyzed Deoxydehydration of Sugars and Sugar Alcohols. </w:t>
      </w:r>
      <w:r>
        <w:rPr>
          <w:rFonts w:ascii="Times New Roman" w:hAnsi="Times New Roman"/>
          <w:i/>
          <w:iCs/>
        </w:rPr>
        <w:t>Angew. Chem. Int. Ed.</w:t>
      </w:r>
      <w:r>
        <w:rPr>
          <w:rFonts w:ascii="Times New Roman" w:hAnsi="Times New Roman"/>
        </w:rPr>
        <w:t xml:space="preserve"> </w:t>
      </w:r>
      <w:r>
        <w:rPr>
          <w:rFonts w:ascii="Times New Roman" w:hAnsi="Times New Roman"/>
          <w:b/>
          <w:bCs/>
        </w:rPr>
        <w:t>51,</w:t>
      </w:r>
      <w:r>
        <w:rPr>
          <w:rFonts w:ascii="Times New Roman" w:hAnsi="Times New Roman"/>
        </w:rPr>
        <w:t xml:space="preserve"> 8082–8086 (2012).</w:t>
      </w:r>
    </w:p>
    <w:p w14:paraId="200BF0DC" w14:textId="77777777" w:rsidR="00A074C8" w:rsidRDefault="00A074C8" w:rsidP="00A074C8">
      <w:pPr>
        <w:pStyle w:val="Bibliography"/>
        <w:rPr>
          <w:rFonts w:ascii="Times New Roman" w:hAnsi="Times New Roman"/>
        </w:rPr>
      </w:pPr>
      <w:r>
        <w:rPr>
          <w:rFonts w:ascii="Times New Roman" w:hAnsi="Times New Roman"/>
        </w:rPr>
        <w:t>45.</w:t>
      </w:r>
      <w:r>
        <w:rPr>
          <w:rFonts w:ascii="Times New Roman" w:hAnsi="Times New Roman"/>
        </w:rPr>
        <w:tab/>
        <w:t xml:space="preserve">Shiramizu, M. &amp; Toste, F. D. Expanding the Scope of Biomass-Derived Chemicals through Tandem Reactions Based on Oxorhenium-Catalyzed Deoxydehydration. </w:t>
      </w:r>
      <w:r>
        <w:rPr>
          <w:rFonts w:ascii="Times New Roman" w:hAnsi="Times New Roman"/>
          <w:i/>
          <w:iCs/>
        </w:rPr>
        <w:t>Angew. Chem. Int. Ed.</w:t>
      </w:r>
      <w:r>
        <w:rPr>
          <w:rFonts w:ascii="Times New Roman" w:hAnsi="Times New Roman"/>
        </w:rPr>
        <w:t xml:space="preserve"> </w:t>
      </w:r>
      <w:r>
        <w:rPr>
          <w:rFonts w:ascii="Times New Roman" w:hAnsi="Times New Roman"/>
          <w:b/>
          <w:bCs/>
        </w:rPr>
        <w:t>52,</w:t>
      </w:r>
      <w:r>
        <w:rPr>
          <w:rFonts w:ascii="Times New Roman" w:hAnsi="Times New Roman"/>
        </w:rPr>
        <w:t xml:space="preserve"> 12905–12909 (2013).</w:t>
      </w:r>
    </w:p>
    <w:p w14:paraId="0523E119" w14:textId="77777777" w:rsidR="00A074C8" w:rsidRDefault="00A074C8" w:rsidP="00A074C8">
      <w:pPr>
        <w:pStyle w:val="Bibliography"/>
        <w:rPr>
          <w:rFonts w:ascii="Times New Roman" w:hAnsi="Times New Roman"/>
        </w:rPr>
      </w:pPr>
      <w:r>
        <w:rPr>
          <w:rFonts w:ascii="Times New Roman" w:hAnsi="Times New Roman"/>
        </w:rPr>
        <w:t>46.</w:t>
      </w:r>
      <w:r>
        <w:rPr>
          <w:rFonts w:ascii="Times New Roman" w:hAnsi="Times New Roman"/>
        </w:rPr>
        <w:tab/>
        <w:t xml:space="preserve">Boucher-Jacobs, C. &amp; Nicholas, K. M. Catalytic Deoxydehydration of Glycols with Alcohol Reductants. </w:t>
      </w:r>
      <w:r>
        <w:rPr>
          <w:rFonts w:ascii="Times New Roman" w:hAnsi="Times New Roman"/>
          <w:i/>
          <w:iCs/>
        </w:rPr>
        <w:t>ChemSusChem</w:t>
      </w:r>
      <w:r>
        <w:rPr>
          <w:rFonts w:ascii="Times New Roman" w:hAnsi="Times New Roman"/>
        </w:rPr>
        <w:t xml:space="preserve"> </w:t>
      </w:r>
      <w:r>
        <w:rPr>
          <w:rFonts w:ascii="Times New Roman" w:hAnsi="Times New Roman"/>
          <w:b/>
          <w:bCs/>
        </w:rPr>
        <w:t>6,</w:t>
      </w:r>
      <w:r>
        <w:rPr>
          <w:rFonts w:ascii="Times New Roman" w:hAnsi="Times New Roman"/>
        </w:rPr>
        <w:t xml:space="preserve"> 597–599 (2013).</w:t>
      </w:r>
    </w:p>
    <w:p w14:paraId="4C7F1FE6" w14:textId="77777777" w:rsidR="00A074C8" w:rsidRDefault="00A074C8" w:rsidP="00A074C8">
      <w:pPr>
        <w:pStyle w:val="Bibliography"/>
        <w:rPr>
          <w:rFonts w:ascii="Times New Roman" w:hAnsi="Times New Roman"/>
        </w:rPr>
      </w:pPr>
      <w:r>
        <w:rPr>
          <w:rFonts w:ascii="Times New Roman" w:hAnsi="Times New Roman"/>
        </w:rPr>
        <w:t>47.</w:t>
      </w:r>
      <w:r>
        <w:rPr>
          <w:rFonts w:ascii="Times New Roman" w:hAnsi="Times New Roman"/>
        </w:rPr>
        <w:tab/>
        <w:t xml:space="preserve">Liu, S., Senocak, A., Smeltz, J., Yang, L., Wegenhart, B., Yi, J., Kenttamaa, H., Ison, E. &amp; Abu-Omar M. M. Mechanism of MTO-Catalyzed Deoxydehydration of Diols to Alkenes Using Sacrificial Alcohols. </w:t>
      </w:r>
      <w:r>
        <w:rPr>
          <w:rFonts w:ascii="Times New Roman" w:hAnsi="Times New Roman"/>
          <w:i/>
          <w:iCs/>
        </w:rPr>
        <w:t>Organometallics</w:t>
      </w:r>
      <w:r>
        <w:rPr>
          <w:rFonts w:ascii="Times New Roman" w:hAnsi="Times New Roman"/>
        </w:rPr>
        <w:t xml:space="preserve"> </w:t>
      </w:r>
      <w:r>
        <w:rPr>
          <w:rFonts w:ascii="Times New Roman" w:hAnsi="Times New Roman"/>
          <w:b/>
          <w:bCs/>
        </w:rPr>
        <w:t>32,</w:t>
      </w:r>
      <w:r>
        <w:rPr>
          <w:rFonts w:ascii="Times New Roman" w:hAnsi="Times New Roman"/>
        </w:rPr>
        <w:t xml:space="preserve"> 3210–3219 (2013).</w:t>
      </w:r>
    </w:p>
    <w:p w14:paraId="43F78DA6" w14:textId="77777777" w:rsidR="00A074C8" w:rsidRDefault="00A074C8" w:rsidP="00A074C8">
      <w:pPr>
        <w:pStyle w:val="Bibliography"/>
        <w:rPr>
          <w:rFonts w:ascii="Times New Roman" w:hAnsi="Times New Roman"/>
        </w:rPr>
      </w:pPr>
      <w:r>
        <w:rPr>
          <w:rFonts w:ascii="Times New Roman" w:hAnsi="Times New Roman"/>
        </w:rPr>
        <w:t>48.</w:t>
      </w:r>
      <w:r>
        <w:rPr>
          <w:rFonts w:ascii="Times New Roman" w:hAnsi="Times New Roman"/>
        </w:rPr>
        <w:tab/>
        <w:t xml:space="preserve">Qu, S., Dang, Y., Wen, M. &amp; Wang, Z.-X. Mechanism of the Methyltrioxorhenium-Catalyzed Deoxydehydration of Polyols: A New Pathway Revealed. </w:t>
      </w:r>
      <w:r>
        <w:rPr>
          <w:rFonts w:ascii="Times New Roman" w:hAnsi="Times New Roman"/>
          <w:i/>
          <w:iCs/>
        </w:rPr>
        <w:t>Chem. – Eur. J.</w:t>
      </w:r>
      <w:r>
        <w:rPr>
          <w:rFonts w:ascii="Times New Roman" w:hAnsi="Times New Roman"/>
        </w:rPr>
        <w:t xml:space="preserve"> </w:t>
      </w:r>
      <w:r>
        <w:rPr>
          <w:rFonts w:ascii="Times New Roman" w:hAnsi="Times New Roman"/>
          <w:b/>
          <w:bCs/>
        </w:rPr>
        <w:t>19,</w:t>
      </w:r>
      <w:r>
        <w:rPr>
          <w:rFonts w:ascii="Times New Roman" w:hAnsi="Times New Roman"/>
        </w:rPr>
        <w:t xml:space="preserve"> 3827–3832 (2013).</w:t>
      </w:r>
    </w:p>
    <w:p w14:paraId="0B020402" w14:textId="77777777" w:rsidR="00A074C8" w:rsidRDefault="00A074C8" w:rsidP="00A074C8">
      <w:pPr>
        <w:pStyle w:val="Bibliography"/>
        <w:rPr>
          <w:rFonts w:ascii="Times New Roman" w:hAnsi="Times New Roman"/>
        </w:rPr>
      </w:pPr>
      <w:r>
        <w:rPr>
          <w:rFonts w:ascii="Times New Roman" w:hAnsi="Times New Roman"/>
        </w:rPr>
        <w:t>49.</w:t>
      </w:r>
      <w:r>
        <w:rPr>
          <w:rFonts w:ascii="Times New Roman" w:hAnsi="Times New Roman"/>
        </w:rPr>
        <w:tab/>
        <w:t xml:space="preserve">Dethlefsen, J. R. &amp; Fristrup, P. In Situ Spectroscopic Investigation of the Rhenium-Catalyzed Deoxydehydration of Vicinal Diols. </w:t>
      </w:r>
      <w:r>
        <w:rPr>
          <w:rFonts w:ascii="Times New Roman" w:hAnsi="Times New Roman"/>
          <w:i/>
          <w:iCs/>
        </w:rPr>
        <w:t>ChemCatChem</w:t>
      </w:r>
      <w:r>
        <w:rPr>
          <w:rFonts w:ascii="Times New Roman" w:hAnsi="Times New Roman"/>
        </w:rPr>
        <w:t xml:space="preserve"> </w:t>
      </w:r>
      <w:r>
        <w:rPr>
          <w:rFonts w:ascii="Times New Roman" w:hAnsi="Times New Roman"/>
          <w:b/>
          <w:bCs/>
        </w:rPr>
        <w:t>7,</w:t>
      </w:r>
      <w:r>
        <w:rPr>
          <w:rFonts w:ascii="Times New Roman" w:hAnsi="Times New Roman"/>
        </w:rPr>
        <w:t xml:space="preserve"> 1184–1196 (2015).</w:t>
      </w:r>
    </w:p>
    <w:p w14:paraId="67606703" w14:textId="77777777" w:rsidR="00A074C8" w:rsidRDefault="00A074C8" w:rsidP="00A074C8">
      <w:pPr>
        <w:pStyle w:val="Bibliography"/>
        <w:rPr>
          <w:rFonts w:ascii="Times New Roman" w:hAnsi="Times New Roman"/>
        </w:rPr>
      </w:pPr>
      <w:r>
        <w:rPr>
          <w:rFonts w:ascii="Times New Roman" w:hAnsi="Times New Roman"/>
        </w:rPr>
        <w:t>50.</w:t>
      </w:r>
      <w:r>
        <w:rPr>
          <w:rFonts w:ascii="Times New Roman" w:hAnsi="Times New Roman"/>
        </w:rPr>
        <w:tab/>
        <w:t xml:space="preserve">Wu, D., Zhang, Y. &amp; Su, H. Mechanistic Study on Oxorhenium-Catalyzed Deoxydehydration and Allylic Alcohol Isomerization. </w:t>
      </w:r>
      <w:r>
        <w:rPr>
          <w:rFonts w:ascii="Times New Roman" w:hAnsi="Times New Roman"/>
          <w:i/>
          <w:iCs/>
        </w:rPr>
        <w:t>Chem. – Asian J.</w:t>
      </w:r>
      <w:r>
        <w:rPr>
          <w:rFonts w:ascii="Times New Roman" w:hAnsi="Times New Roman"/>
        </w:rPr>
        <w:t xml:space="preserve"> n/a-n/a (2016). doi:10.1002/asia.201600118</w:t>
      </w:r>
    </w:p>
    <w:p w14:paraId="785CD752" w14:textId="77777777" w:rsidR="00A074C8" w:rsidRDefault="00A074C8" w:rsidP="00A074C8">
      <w:pPr>
        <w:pStyle w:val="Bibliography"/>
        <w:rPr>
          <w:rFonts w:ascii="Times New Roman" w:hAnsi="Times New Roman"/>
        </w:rPr>
      </w:pPr>
      <w:r>
        <w:rPr>
          <w:rFonts w:ascii="Times New Roman" w:hAnsi="Times New Roman"/>
        </w:rPr>
        <w:t>51.</w:t>
      </w:r>
      <w:r>
        <w:rPr>
          <w:rFonts w:ascii="Times New Roman" w:hAnsi="Times New Roman"/>
        </w:rPr>
        <w:tab/>
        <w:t xml:space="preserve">Michael McClain, J. &amp; Nicholas, K. M. Elemental Reductants for the Deoxydehydration of Glycols. </w:t>
      </w:r>
      <w:r>
        <w:rPr>
          <w:rFonts w:ascii="Times New Roman" w:hAnsi="Times New Roman"/>
          <w:i/>
          <w:iCs/>
        </w:rPr>
        <w:t>ACS Catal.</w:t>
      </w:r>
      <w:r>
        <w:rPr>
          <w:rFonts w:ascii="Times New Roman" w:hAnsi="Times New Roman"/>
        </w:rPr>
        <w:t xml:space="preserve"> </w:t>
      </w:r>
      <w:r>
        <w:rPr>
          <w:rFonts w:ascii="Times New Roman" w:hAnsi="Times New Roman"/>
          <w:b/>
          <w:bCs/>
        </w:rPr>
        <w:t>4,</w:t>
      </w:r>
      <w:r>
        <w:rPr>
          <w:rFonts w:ascii="Times New Roman" w:hAnsi="Times New Roman"/>
        </w:rPr>
        <w:t xml:space="preserve"> 2109–2112 (2014).</w:t>
      </w:r>
    </w:p>
    <w:p w14:paraId="1CBD60F3" w14:textId="77777777" w:rsidR="00A074C8" w:rsidRDefault="00A074C8" w:rsidP="00A074C8">
      <w:pPr>
        <w:pStyle w:val="Bibliography"/>
        <w:rPr>
          <w:rFonts w:ascii="Times New Roman" w:hAnsi="Times New Roman"/>
        </w:rPr>
      </w:pPr>
      <w:r>
        <w:rPr>
          <w:rFonts w:ascii="Times New Roman" w:hAnsi="Times New Roman"/>
        </w:rPr>
        <w:t>52.</w:t>
      </w:r>
      <w:r>
        <w:rPr>
          <w:rFonts w:ascii="Times New Roman" w:hAnsi="Times New Roman"/>
        </w:rPr>
        <w:tab/>
        <w:t xml:space="preserve">Denning, A. L., Dang, H., Liu, Z., Nicholas, K. M. &amp; Jentoft, F. C. Deoxydehydration of Glycols Catalyzed by Carbon-Supported Perrhenate. </w:t>
      </w:r>
      <w:r>
        <w:rPr>
          <w:rFonts w:ascii="Times New Roman" w:hAnsi="Times New Roman"/>
          <w:i/>
          <w:iCs/>
        </w:rPr>
        <w:t>ChemCatChem</w:t>
      </w:r>
      <w:r>
        <w:rPr>
          <w:rFonts w:ascii="Times New Roman" w:hAnsi="Times New Roman"/>
        </w:rPr>
        <w:t xml:space="preserve"> </w:t>
      </w:r>
      <w:r>
        <w:rPr>
          <w:rFonts w:ascii="Times New Roman" w:hAnsi="Times New Roman"/>
          <w:b/>
          <w:bCs/>
        </w:rPr>
        <w:t>5,</w:t>
      </w:r>
      <w:r>
        <w:rPr>
          <w:rFonts w:ascii="Times New Roman" w:hAnsi="Times New Roman"/>
        </w:rPr>
        <w:t xml:space="preserve"> 3567–3570 (2013).</w:t>
      </w:r>
    </w:p>
    <w:p w14:paraId="283CFD01" w14:textId="77777777" w:rsidR="00A074C8" w:rsidRDefault="00A074C8" w:rsidP="00A074C8">
      <w:pPr>
        <w:pStyle w:val="Bibliography"/>
        <w:rPr>
          <w:rFonts w:ascii="Times New Roman" w:hAnsi="Times New Roman"/>
        </w:rPr>
      </w:pPr>
      <w:r>
        <w:rPr>
          <w:rFonts w:ascii="Times New Roman" w:hAnsi="Times New Roman"/>
        </w:rPr>
        <w:t>53.</w:t>
      </w:r>
      <w:r>
        <w:rPr>
          <w:rFonts w:ascii="Times New Roman" w:hAnsi="Times New Roman"/>
        </w:rPr>
        <w:tab/>
        <w:t xml:space="preserve">Sandbrink, L., Klindtworth, E., Islam, H.-U., Beale, A. M. &amp; Palkovits, R. ReOx/TiO2: A Recyclable Solid Catalyst for Deoxydehydration. </w:t>
      </w:r>
      <w:r>
        <w:rPr>
          <w:rFonts w:ascii="Times New Roman" w:hAnsi="Times New Roman"/>
          <w:i/>
          <w:iCs/>
        </w:rPr>
        <w:t>ACS Catal.</w:t>
      </w:r>
      <w:r>
        <w:rPr>
          <w:rFonts w:ascii="Times New Roman" w:hAnsi="Times New Roman"/>
        </w:rPr>
        <w:t xml:space="preserve"> </w:t>
      </w:r>
      <w:r>
        <w:rPr>
          <w:rFonts w:ascii="Times New Roman" w:hAnsi="Times New Roman"/>
          <w:b/>
          <w:bCs/>
        </w:rPr>
        <w:t>6,</w:t>
      </w:r>
      <w:r>
        <w:rPr>
          <w:rFonts w:ascii="Times New Roman" w:hAnsi="Times New Roman"/>
        </w:rPr>
        <w:t xml:space="preserve"> 677–680 (2016).</w:t>
      </w:r>
    </w:p>
    <w:p w14:paraId="46C2E814" w14:textId="77777777" w:rsidR="00A074C8" w:rsidRDefault="00A074C8" w:rsidP="00A074C8">
      <w:pPr>
        <w:pStyle w:val="Bibliography"/>
        <w:rPr>
          <w:rFonts w:ascii="Times New Roman" w:hAnsi="Times New Roman"/>
        </w:rPr>
      </w:pPr>
      <w:r>
        <w:rPr>
          <w:rFonts w:ascii="Times New Roman" w:hAnsi="Times New Roman"/>
        </w:rPr>
        <w:t>54.</w:t>
      </w:r>
      <w:r>
        <w:rPr>
          <w:rFonts w:ascii="Times New Roman" w:hAnsi="Times New Roman"/>
        </w:rPr>
        <w:tab/>
        <w:t xml:space="preserve">Emsley, J. </w:t>
      </w:r>
      <w:r>
        <w:rPr>
          <w:rFonts w:ascii="Times New Roman" w:hAnsi="Times New Roman"/>
          <w:i/>
          <w:iCs/>
        </w:rPr>
        <w:t>Rhenium is one of the rarest elements in the Earth’s crust with an average concentration of ca. 7 parts per billion by weight, making it the 77th most abundant element in Earth’s crust. Nature’s Building Blocks: An A-Z Guide to the Elements</w:t>
      </w:r>
      <w:r>
        <w:rPr>
          <w:rFonts w:ascii="Times New Roman" w:hAnsi="Times New Roman"/>
        </w:rPr>
        <w:t>. (Oxford University Press, 2011).</w:t>
      </w:r>
    </w:p>
    <w:p w14:paraId="3E4E2381" w14:textId="77777777" w:rsidR="00A074C8" w:rsidRDefault="00A074C8" w:rsidP="00A074C8">
      <w:pPr>
        <w:pStyle w:val="Bibliography"/>
        <w:rPr>
          <w:rFonts w:ascii="Times New Roman" w:hAnsi="Times New Roman"/>
        </w:rPr>
      </w:pPr>
      <w:r>
        <w:rPr>
          <w:rFonts w:ascii="Times New Roman" w:hAnsi="Times New Roman"/>
        </w:rPr>
        <w:t>55.</w:t>
      </w:r>
      <w:r>
        <w:rPr>
          <w:rFonts w:ascii="Times New Roman" w:hAnsi="Times New Roman"/>
        </w:rPr>
        <w:tab/>
      </w:r>
      <w:r>
        <w:rPr>
          <w:rFonts w:ascii="Times New Roman" w:hAnsi="Times New Roman"/>
          <w:i/>
          <w:iCs/>
        </w:rPr>
        <w:t>Molybdenum’s abundance in the earth’s crust is 1.2 parts per million by weight. Concise Encyclopedia Chemistry</w:t>
      </w:r>
      <w:r>
        <w:rPr>
          <w:rFonts w:ascii="Times New Roman" w:hAnsi="Times New Roman"/>
        </w:rPr>
        <w:t>. (De Gruyter, 1994).</w:t>
      </w:r>
    </w:p>
    <w:p w14:paraId="56B4D657" w14:textId="77777777" w:rsidR="00A074C8" w:rsidRDefault="00A074C8" w:rsidP="00A074C8">
      <w:pPr>
        <w:pStyle w:val="Bibliography"/>
        <w:rPr>
          <w:rFonts w:ascii="Times New Roman" w:hAnsi="Times New Roman"/>
        </w:rPr>
      </w:pPr>
      <w:r>
        <w:rPr>
          <w:rFonts w:ascii="Times New Roman" w:hAnsi="Times New Roman"/>
        </w:rPr>
        <w:t>56.</w:t>
      </w:r>
      <w:r>
        <w:rPr>
          <w:rFonts w:ascii="Times New Roman" w:hAnsi="Times New Roman"/>
        </w:rPr>
        <w:tab/>
        <w:t xml:space="preserve">Hills, L., Moyano, R., Montilla, F., Pastor, A., Galindo, A., Alvarez, E., Machetti, F. &amp; Pettinari, C., Dioxomolybdenum(VI) Complexes with Acylpyrazolonate Ligands: Synthesis, Structures, and Catalytic Properties. </w:t>
      </w:r>
      <w:r>
        <w:rPr>
          <w:rFonts w:ascii="Times New Roman" w:hAnsi="Times New Roman"/>
          <w:i/>
          <w:iCs/>
        </w:rPr>
        <w:t>Eur. J. Inorg. Chem.</w:t>
      </w:r>
      <w:r>
        <w:rPr>
          <w:rFonts w:ascii="Times New Roman" w:hAnsi="Times New Roman"/>
        </w:rPr>
        <w:t xml:space="preserve"> </w:t>
      </w:r>
      <w:r>
        <w:rPr>
          <w:rFonts w:ascii="Times New Roman" w:hAnsi="Times New Roman"/>
          <w:b/>
          <w:bCs/>
        </w:rPr>
        <w:t>2013,</w:t>
      </w:r>
      <w:r>
        <w:rPr>
          <w:rFonts w:ascii="Times New Roman" w:hAnsi="Times New Roman"/>
        </w:rPr>
        <w:t xml:space="preserve"> 3352–3361 (2013).</w:t>
      </w:r>
    </w:p>
    <w:p w14:paraId="728FB692" w14:textId="77777777" w:rsidR="00A074C8" w:rsidRDefault="00A074C8" w:rsidP="00A074C8">
      <w:pPr>
        <w:pStyle w:val="Bibliography"/>
        <w:rPr>
          <w:rFonts w:ascii="Times New Roman" w:hAnsi="Times New Roman"/>
        </w:rPr>
      </w:pPr>
      <w:r>
        <w:rPr>
          <w:rFonts w:ascii="Times New Roman" w:hAnsi="Times New Roman"/>
        </w:rPr>
        <w:t>57.</w:t>
      </w:r>
      <w:r>
        <w:rPr>
          <w:rFonts w:ascii="Times New Roman" w:hAnsi="Times New Roman"/>
        </w:rPr>
        <w:tab/>
        <w:t xml:space="preserve">Dethlefsen, J. R., Lupp, D., Oh, B.-C. &amp; Fristrup, P. Molybdenum-Catalyzed Deoxydehydration of Vicinal Diols. </w:t>
      </w:r>
      <w:r>
        <w:rPr>
          <w:rFonts w:ascii="Times New Roman" w:hAnsi="Times New Roman"/>
          <w:i/>
          <w:iCs/>
        </w:rPr>
        <w:t>ChemSusChem</w:t>
      </w:r>
      <w:r>
        <w:rPr>
          <w:rFonts w:ascii="Times New Roman" w:hAnsi="Times New Roman"/>
        </w:rPr>
        <w:t xml:space="preserve"> </w:t>
      </w:r>
      <w:r>
        <w:rPr>
          <w:rFonts w:ascii="Times New Roman" w:hAnsi="Times New Roman"/>
          <w:b/>
          <w:bCs/>
        </w:rPr>
        <w:t>7,</w:t>
      </w:r>
      <w:r>
        <w:rPr>
          <w:rFonts w:ascii="Times New Roman" w:hAnsi="Times New Roman"/>
        </w:rPr>
        <w:t xml:space="preserve"> 425–428 (2014).</w:t>
      </w:r>
    </w:p>
    <w:p w14:paraId="0E5BFF9F" w14:textId="77777777" w:rsidR="00A074C8" w:rsidRDefault="00A074C8" w:rsidP="00A074C8">
      <w:pPr>
        <w:pStyle w:val="Bibliography"/>
        <w:rPr>
          <w:rFonts w:ascii="Times New Roman" w:hAnsi="Times New Roman"/>
        </w:rPr>
      </w:pPr>
      <w:r>
        <w:rPr>
          <w:rFonts w:ascii="Times New Roman" w:hAnsi="Times New Roman"/>
        </w:rPr>
        <w:t>58.</w:t>
      </w:r>
      <w:r>
        <w:rPr>
          <w:rFonts w:ascii="Times New Roman" w:hAnsi="Times New Roman"/>
        </w:rPr>
        <w:tab/>
        <w:t>Maradur, S. &amp; Nicholas, K. M. unpublished results, 2012. (2012).</w:t>
      </w:r>
    </w:p>
    <w:p w14:paraId="7A6A1E8C" w14:textId="77777777" w:rsidR="00A074C8" w:rsidRDefault="00A074C8" w:rsidP="00A074C8">
      <w:pPr>
        <w:pStyle w:val="Bibliography"/>
        <w:rPr>
          <w:rFonts w:ascii="Times New Roman" w:hAnsi="Times New Roman"/>
        </w:rPr>
      </w:pPr>
      <w:r>
        <w:rPr>
          <w:rFonts w:ascii="Times New Roman" w:hAnsi="Times New Roman"/>
        </w:rPr>
        <w:t>59.</w:t>
      </w:r>
      <w:r>
        <w:rPr>
          <w:rFonts w:ascii="Times New Roman" w:hAnsi="Times New Roman"/>
        </w:rPr>
        <w:tab/>
        <w:t xml:space="preserve">Lupp, D., Christensen, N. J., Dethlefsen, J. R. &amp; Fristrup, P. DFT Study of the Molybdenum-Catalyzed Deoxydehydration of Vicinal Diols. </w:t>
      </w:r>
      <w:r>
        <w:rPr>
          <w:rFonts w:ascii="Times New Roman" w:hAnsi="Times New Roman"/>
          <w:i/>
          <w:iCs/>
        </w:rPr>
        <w:t>Chem. – Eur. J.</w:t>
      </w:r>
      <w:r>
        <w:rPr>
          <w:rFonts w:ascii="Times New Roman" w:hAnsi="Times New Roman"/>
        </w:rPr>
        <w:t xml:space="preserve"> </w:t>
      </w:r>
      <w:r>
        <w:rPr>
          <w:rFonts w:ascii="Times New Roman" w:hAnsi="Times New Roman"/>
          <w:b/>
          <w:bCs/>
        </w:rPr>
        <w:t>21,</w:t>
      </w:r>
      <w:r>
        <w:rPr>
          <w:rFonts w:ascii="Times New Roman" w:hAnsi="Times New Roman"/>
        </w:rPr>
        <w:t xml:space="preserve"> 3435–3442 (2015).</w:t>
      </w:r>
    </w:p>
    <w:p w14:paraId="5422CC02" w14:textId="77777777" w:rsidR="00A074C8" w:rsidRDefault="00A074C8" w:rsidP="00A074C8">
      <w:pPr>
        <w:pStyle w:val="Bibliography"/>
        <w:rPr>
          <w:rFonts w:ascii="Times New Roman" w:hAnsi="Times New Roman"/>
        </w:rPr>
      </w:pPr>
      <w:r>
        <w:rPr>
          <w:rFonts w:ascii="Times New Roman" w:hAnsi="Times New Roman"/>
        </w:rPr>
        <w:t>60.</w:t>
      </w:r>
      <w:r>
        <w:rPr>
          <w:rFonts w:ascii="Times New Roman" w:hAnsi="Times New Roman"/>
        </w:rPr>
        <w:tab/>
        <w:t xml:space="preserve">Dethlefsen, J. R., Lupp, D., Teshome, A., Nielsen, L. B. &amp; Fristrup, P. Molybdenum-Catalyzed Conversion of Diols and Biomass-Derived Polyols to Alkenes Using Isopropyl Alcohol as Reductant and Solvent. </w:t>
      </w:r>
      <w:r>
        <w:rPr>
          <w:rFonts w:ascii="Times New Roman" w:hAnsi="Times New Roman"/>
          <w:i/>
          <w:iCs/>
        </w:rPr>
        <w:t>ACS Catal.</w:t>
      </w:r>
      <w:r>
        <w:rPr>
          <w:rFonts w:ascii="Times New Roman" w:hAnsi="Times New Roman"/>
        </w:rPr>
        <w:t xml:space="preserve"> </w:t>
      </w:r>
      <w:r>
        <w:rPr>
          <w:rFonts w:ascii="Times New Roman" w:hAnsi="Times New Roman"/>
          <w:b/>
          <w:bCs/>
        </w:rPr>
        <w:t>5,</w:t>
      </w:r>
      <w:r>
        <w:rPr>
          <w:rFonts w:ascii="Times New Roman" w:hAnsi="Times New Roman"/>
        </w:rPr>
        <w:t xml:space="preserve"> 3638–3647 (2015).</w:t>
      </w:r>
    </w:p>
    <w:p w14:paraId="55F938F9" w14:textId="77777777" w:rsidR="00A074C8" w:rsidRDefault="00A074C8" w:rsidP="00A074C8">
      <w:pPr>
        <w:pStyle w:val="Bibliography"/>
        <w:rPr>
          <w:rFonts w:ascii="Times New Roman" w:hAnsi="Times New Roman"/>
        </w:rPr>
      </w:pPr>
      <w:r>
        <w:rPr>
          <w:rFonts w:ascii="Times New Roman" w:hAnsi="Times New Roman"/>
        </w:rPr>
        <w:t>61.</w:t>
      </w:r>
      <w:r>
        <w:rPr>
          <w:rFonts w:ascii="Times New Roman" w:hAnsi="Times New Roman"/>
        </w:rPr>
        <w:tab/>
        <w:t xml:space="preserve">Beckerle, K., Sauer, A., Spaniol, T. P. &amp; Okuda, J. Bis(phenolato)molybdenum Complexes as Catalyst Precursors for the Deoxydehydration of Biomass-Derived Polyols. </w:t>
      </w:r>
      <w:r>
        <w:rPr>
          <w:rFonts w:ascii="Times New Roman" w:hAnsi="Times New Roman"/>
          <w:i/>
          <w:iCs/>
        </w:rPr>
        <w:t>Polyhedron</w:t>
      </w:r>
      <w:r>
        <w:rPr>
          <w:rFonts w:ascii="Times New Roman" w:hAnsi="Times New Roman"/>
        </w:rPr>
        <w:t xml:space="preserve"> doi:10.1016/j.poly.2016.03.053</w:t>
      </w:r>
    </w:p>
    <w:p w14:paraId="550B96E6" w14:textId="77777777" w:rsidR="00A074C8" w:rsidRDefault="00A074C8" w:rsidP="00A074C8">
      <w:pPr>
        <w:pStyle w:val="Bibliography"/>
        <w:rPr>
          <w:rFonts w:ascii="Times New Roman" w:hAnsi="Times New Roman"/>
        </w:rPr>
      </w:pPr>
      <w:r>
        <w:rPr>
          <w:rFonts w:ascii="Times New Roman" w:hAnsi="Times New Roman"/>
        </w:rPr>
        <w:t>62.</w:t>
      </w:r>
      <w:r>
        <w:rPr>
          <w:rFonts w:ascii="Times New Roman" w:hAnsi="Times New Roman"/>
        </w:rPr>
        <w:tab/>
        <w:t xml:space="preserve">Emsley, J. </w:t>
      </w:r>
      <w:r>
        <w:rPr>
          <w:rFonts w:ascii="Times New Roman" w:hAnsi="Times New Roman"/>
          <w:i/>
          <w:iCs/>
        </w:rPr>
        <w:t>Vanadium’s abundance in the earth’s crust is 120 parts per million by weight. Nature’s Building Blocks: An A-Z Guide to the Elements</w:t>
      </w:r>
      <w:r>
        <w:rPr>
          <w:rFonts w:ascii="Times New Roman" w:hAnsi="Times New Roman"/>
        </w:rPr>
        <w:t>. (Oxford University Press, 2011).</w:t>
      </w:r>
    </w:p>
    <w:p w14:paraId="38A8EBB8" w14:textId="77777777" w:rsidR="00A074C8" w:rsidRDefault="00A074C8" w:rsidP="00A074C8">
      <w:pPr>
        <w:pStyle w:val="Bibliography"/>
        <w:rPr>
          <w:rFonts w:ascii="Times New Roman" w:hAnsi="Times New Roman"/>
        </w:rPr>
      </w:pPr>
      <w:r>
        <w:rPr>
          <w:rFonts w:ascii="Times New Roman" w:hAnsi="Times New Roman"/>
        </w:rPr>
        <w:t>63.</w:t>
      </w:r>
      <w:r>
        <w:rPr>
          <w:rFonts w:ascii="Times New Roman" w:hAnsi="Times New Roman"/>
        </w:rPr>
        <w:tab/>
        <w:t xml:space="preserve">Chapman, G. &amp; Nicholas, K. M. Vanadium-catalyzed deoxydehydration of glycols. </w:t>
      </w:r>
      <w:r>
        <w:rPr>
          <w:rFonts w:ascii="Times New Roman" w:hAnsi="Times New Roman"/>
          <w:i/>
          <w:iCs/>
        </w:rPr>
        <w:t>Chem. Commun.</w:t>
      </w:r>
      <w:r>
        <w:rPr>
          <w:rFonts w:ascii="Times New Roman" w:hAnsi="Times New Roman"/>
        </w:rPr>
        <w:t xml:space="preserve"> </w:t>
      </w:r>
      <w:r>
        <w:rPr>
          <w:rFonts w:ascii="Times New Roman" w:hAnsi="Times New Roman"/>
          <w:b/>
          <w:bCs/>
        </w:rPr>
        <w:t>49,</w:t>
      </w:r>
      <w:r>
        <w:rPr>
          <w:rFonts w:ascii="Times New Roman" w:hAnsi="Times New Roman"/>
        </w:rPr>
        <w:t xml:space="preserve"> 8199 (2013).</w:t>
      </w:r>
    </w:p>
    <w:p w14:paraId="4367B67A" w14:textId="77777777" w:rsidR="00A074C8" w:rsidRDefault="00A074C8" w:rsidP="00A074C8">
      <w:pPr>
        <w:pStyle w:val="Bibliography"/>
        <w:rPr>
          <w:rFonts w:ascii="Times New Roman" w:hAnsi="Times New Roman"/>
        </w:rPr>
      </w:pPr>
      <w:r>
        <w:rPr>
          <w:rFonts w:ascii="Times New Roman" w:hAnsi="Times New Roman"/>
        </w:rPr>
        <w:t>64.</w:t>
      </w:r>
      <w:r>
        <w:rPr>
          <w:rFonts w:ascii="Times New Roman" w:hAnsi="Times New Roman"/>
        </w:rPr>
        <w:tab/>
        <w:t>Chapman, G. &amp; Nicholas, K. M. unpublished results. (2014).</w:t>
      </w:r>
    </w:p>
    <w:p w14:paraId="7CD04ED8" w14:textId="77777777" w:rsidR="00A074C8" w:rsidRDefault="00A074C8" w:rsidP="00A074C8">
      <w:pPr>
        <w:pStyle w:val="Bibliography"/>
        <w:rPr>
          <w:rFonts w:ascii="Times New Roman" w:hAnsi="Times New Roman"/>
        </w:rPr>
      </w:pPr>
      <w:r>
        <w:rPr>
          <w:rFonts w:ascii="Times New Roman" w:hAnsi="Times New Roman"/>
        </w:rPr>
        <w:t>65.</w:t>
      </w:r>
      <w:r>
        <w:rPr>
          <w:rFonts w:ascii="Times New Roman" w:hAnsi="Times New Roman"/>
        </w:rPr>
        <w:tab/>
        <w:t xml:space="preserve">Galindo, A. DFT Studies on the Mechanism of the Vanadium-Catalyzed Deoxydehydration of Diols. </w:t>
      </w:r>
      <w:r>
        <w:rPr>
          <w:rFonts w:ascii="Times New Roman" w:hAnsi="Times New Roman"/>
          <w:i/>
          <w:iCs/>
        </w:rPr>
        <w:t>Inorg. Chem.</w:t>
      </w:r>
      <w:r>
        <w:rPr>
          <w:rFonts w:ascii="Times New Roman" w:hAnsi="Times New Roman"/>
        </w:rPr>
        <w:t xml:space="preserve"> </w:t>
      </w:r>
      <w:r>
        <w:rPr>
          <w:rFonts w:ascii="Times New Roman" w:hAnsi="Times New Roman"/>
          <w:b/>
          <w:bCs/>
        </w:rPr>
        <w:t>55,</w:t>
      </w:r>
      <w:r>
        <w:rPr>
          <w:rFonts w:ascii="Times New Roman" w:hAnsi="Times New Roman"/>
        </w:rPr>
        <w:t xml:space="preserve"> 2284–2289 (2016).</w:t>
      </w:r>
    </w:p>
    <w:p w14:paraId="5E6D9D38" w14:textId="77777777" w:rsidR="00A074C8" w:rsidRDefault="00A074C8" w:rsidP="00A074C8">
      <w:pPr>
        <w:pStyle w:val="Bibliography"/>
        <w:rPr>
          <w:rFonts w:ascii="Times New Roman" w:hAnsi="Times New Roman"/>
        </w:rPr>
      </w:pPr>
      <w:r>
        <w:rPr>
          <w:rFonts w:ascii="Times New Roman" w:hAnsi="Times New Roman"/>
        </w:rPr>
        <w:t>66.</w:t>
      </w:r>
      <w:r>
        <w:rPr>
          <w:rFonts w:ascii="Times New Roman" w:hAnsi="Times New Roman"/>
        </w:rPr>
        <w:tab/>
        <w:t xml:space="preserve">Gopaladasu, T. V. &amp; Nicholas, K. M. Carbon Monoxide (CO)- and Hydrogen-Driven, Vanadium-Catalyzed Deoxydehydration of Glycols. </w:t>
      </w:r>
      <w:r>
        <w:rPr>
          <w:rFonts w:ascii="Times New Roman" w:hAnsi="Times New Roman"/>
          <w:i/>
          <w:iCs/>
        </w:rPr>
        <w:t>ACS Catal.</w:t>
      </w:r>
      <w:r>
        <w:rPr>
          <w:rFonts w:ascii="Times New Roman" w:hAnsi="Times New Roman"/>
        </w:rPr>
        <w:t xml:space="preserve"> </w:t>
      </w:r>
      <w:r>
        <w:rPr>
          <w:rFonts w:ascii="Times New Roman" w:hAnsi="Times New Roman"/>
          <w:b/>
          <w:bCs/>
        </w:rPr>
        <w:t>6,</w:t>
      </w:r>
      <w:r>
        <w:rPr>
          <w:rFonts w:ascii="Times New Roman" w:hAnsi="Times New Roman"/>
        </w:rPr>
        <w:t xml:space="preserve"> 1901–1904 (2016).</w:t>
      </w:r>
    </w:p>
    <w:p w14:paraId="2E3544C9" w14:textId="77777777" w:rsidR="00A074C8" w:rsidRDefault="00A074C8" w:rsidP="00A074C8">
      <w:pPr>
        <w:pStyle w:val="Bibliography"/>
        <w:rPr>
          <w:rFonts w:ascii="Times New Roman" w:hAnsi="Times New Roman"/>
        </w:rPr>
      </w:pPr>
      <w:r>
        <w:rPr>
          <w:rFonts w:ascii="Times New Roman" w:hAnsi="Times New Roman"/>
        </w:rPr>
        <w:t>67.</w:t>
      </w:r>
      <w:r>
        <w:rPr>
          <w:rFonts w:ascii="Times New Roman" w:hAnsi="Times New Roman"/>
        </w:rPr>
        <w:tab/>
        <w:t>Zhang, Y. &amp; LI, X. Chemical process to convert mucic acid to adipic acid. (2015).</w:t>
      </w:r>
    </w:p>
    <w:p w14:paraId="4C9CABE2" w14:textId="77777777" w:rsidR="00A074C8" w:rsidRDefault="00A074C8" w:rsidP="00A074C8">
      <w:pPr>
        <w:pStyle w:val="Bibliography"/>
        <w:rPr>
          <w:rFonts w:ascii="Times New Roman" w:hAnsi="Times New Roman"/>
        </w:rPr>
      </w:pPr>
      <w:r>
        <w:rPr>
          <w:rFonts w:ascii="Times New Roman" w:hAnsi="Times New Roman"/>
        </w:rPr>
        <w:t>68.</w:t>
      </w:r>
      <w:r>
        <w:rPr>
          <w:rFonts w:ascii="Times New Roman" w:hAnsi="Times New Roman"/>
        </w:rPr>
        <w:tab/>
        <w:t xml:space="preserve">Li, X. </w:t>
      </w:r>
      <w:r>
        <w:rPr>
          <w:rFonts w:ascii="Times New Roman" w:hAnsi="Times New Roman"/>
          <w:i/>
          <w:iCs/>
        </w:rPr>
        <w:t>et al.</w:t>
      </w:r>
      <w:r>
        <w:rPr>
          <w:rFonts w:ascii="Times New Roman" w:hAnsi="Times New Roman"/>
        </w:rPr>
        <w:t xml:space="preserve"> Highly Efficient Chemical Process To Convert Mucic Acid into Adipic Acid and DFT Studies of the Mechanism of the Rhenium-Catalyzed Deoxydehydration. </w:t>
      </w:r>
      <w:r>
        <w:rPr>
          <w:rFonts w:ascii="Times New Roman" w:hAnsi="Times New Roman"/>
          <w:i/>
          <w:iCs/>
        </w:rPr>
        <w:t>Angew. Chem. Int. Ed.</w:t>
      </w:r>
      <w:r>
        <w:rPr>
          <w:rFonts w:ascii="Times New Roman" w:hAnsi="Times New Roman"/>
        </w:rPr>
        <w:t xml:space="preserve"> </w:t>
      </w:r>
      <w:r>
        <w:rPr>
          <w:rFonts w:ascii="Times New Roman" w:hAnsi="Times New Roman"/>
          <w:b/>
          <w:bCs/>
        </w:rPr>
        <w:t>53,</w:t>
      </w:r>
      <w:r>
        <w:rPr>
          <w:rFonts w:ascii="Times New Roman" w:hAnsi="Times New Roman"/>
        </w:rPr>
        <w:t xml:space="preserve"> 4200–4204 (2014).</w:t>
      </w:r>
    </w:p>
    <w:p w14:paraId="317AE747" w14:textId="77777777" w:rsidR="00A074C8" w:rsidRDefault="00A074C8" w:rsidP="00A074C8">
      <w:pPr>
        <w:pStyle w:val="Bibliography"/>
        <w:rPr>
          <w:rFonts w:ascii="Times New Roman" w:hAnsi="Times New Roman"/>
        </w:rPr>
      </w:pPr>
      <w:r>
        <w:rPr>
          <w:rFonts w:ascii="Times New Roman" w:hAnsi="Times New Roman"/>
        </w:rPr>
        <w:t>69.</w:t>
      </w:r>
      <w:r>
        <w:rPr>
          <w:rFonts w:ascii="Times New Roman" w:hAnsi="Times New Roman"/>
        </w:rPr>
        <w:tab/>
        <w:t xml:space="preserve">Zhang, H., Li, X., Ang, E., Zhang, Y. &amp; Zhao, H., Production of Adipic Acid from Sugar Beet Residue by Combined Biological and Chemical Catalysis. </w:t>
      </w:r>
      <w:r>
        <w:rPr>
          <w:rFonts w:ascii="Times New Roman" w:hAnsi="Times New Roman"/>
          <w:i/>
          <w:iCs/>
        </w:rPr>
        <w:t>ChemCatChem</w:t>
      </w:r>
      <w:r>
        <w:rPr>
          <w:rFonts w:ascii="Times New Roman" w:hAnsi="Times New Roman"/>
        </w:rPr>
        <w:t xml:space="preserve"> n/a–n/a (2016). doi:10.1002/cctc.201600069</w:t>
      </w:r>
    </w:p>
    <w:p w14:paraId="53075107" w14:textId="77777777" w:rsidR="00A074C8" w:rsidRDefault="00A074C8" w:rsidP="00A074C8">
      <w:pPr>
        <w:pStyle w:val="Bibliography"/>
        <w:rPr>
          <w:rFonts w:ascii="Times New Roman" w:hAnsi="Times New Roman"/>
        </w:rPr>
      </w:pPr>
      <w:r>
        <w:rPr>
          <w:rFonts w:ascii="Times New Roman" w:hAnsi="Times New Roman"/>
        </w:rPr>
        <w:t>70.</w:t>
      </w:r>
      <w:r>
        <w:rPr>
          <w:rFonts w:ascii="Times New Roman" w:hAnsi="Times New Roman"/>
        </w:rPr>
        <w:tab/>
        <w:t xml:space="preserve">Ota, N., Tamura, M., Nakagawa, Y., Okumura, K. &amp; Tomishige, K. Performance, Structure, and Mechanism of ReOx–Pd/CeO2 Catalyst for Simultaneous Removal of Vicinal OH Groups with H2. </w:t>
      </w:r>
      <w:r>
        <w:rPr>
          <w:rFonts w:ascii="Times New Roman" w:hAnsi="Times New Roman"/>
          <w:i/>
          <w:iCs/>
        </w:rPr>
        <w:t>ACS Catal.</w:t>
      </w:r>
      <w:r>
        <w:rPr>
          <w:rFonts w:ascii="Times New Roman" w:hAnsi="Times New Roman"/>
        </w:rPr>
        <w:t xml:space="preserve"> 3213–3226 (2016). doi:10.1021/acscatal.6b00491</w:t>
      </w:r>
    </w:p>
    <w:p w14:paraId="5ABC6942" w14:textId="77777777" w:rsidR="00A074C8" w:rsidRDefault="00A074C8" w:rsidP="00A074C8">
      <w:pPr>
        <w:pStyle w:val="Bibliography"/>
        <w:rPr>
          <w:rFonts w:ascii="Times New Roman" w:hAnsi="Times New Roman"/>
        </w:rPr>
      </w:pPr>
      <w:r>
        <w:rPr>
          <w:rFonts w:ascii="Times New Roman" w:hAnsi="Times New Roman"/>
        </w:rPr>
        <w:t>71.</w:t>
      </w:r>
      <w:r>
        <w:rPr>
          <w:rFonts w:ascii="Times New Roman" w:hAnsi="Times New Roman"/>
        </w:rPr>
        <w:tab/>
        <w:t xml:space="preserve">Ota, N., Tamura, M., Nakagawa, Y., Okumura, K. &amp; Tomishige, K. Hydrodeoxygenation of Vicinal OH Groups over Heterogeneous Rhenium Catalyst Promoted by Palladium and Ceria Support. </w:t>
      </w:r>
      <w:r>
        <w:rPr>
          <w:rFonts w:ascii="Times New Roman" w:hAnsi="Times New Roman"/>
          <w:i/>
          <w:iCs/>
        </w:rPr>
        <w:t>Angew. Chem. Int. Ed.</w:t>
      </w:r>
      <w:r>
        <w:rPr>
          <w:rFonts w:ascii="Times New Roman" w:hAnsi="Times New Roman"/>
        </w:rPr>
        <w:t xml:space="preserve"> </w:t>
      </w:r>
      <w:r>
        <w:rPr>
          <w:rFonts w:ascii="Times New Roman" w:hAnsi="Times New Roman"/>
          <w:b/>
          <w:bCs/>
        </w:rPr>
        <w:t>54,</w:t>
      </w:r>
      <w:r>
        <w:rPr>
          <w:rFonts w:ascii="Times New Roman" w:hAnsi="Times New Roman"/>
        </w:rPr>
        <w:t xml:space="preserve"> 1897–1900 (2015).</w:t>
      </w:r>
    </w:p>
    <w:p w14:paraId="091F0284" w14:textId="77777777" w:rsidR="00A074C8" w:rsidRDefault="00A074C8" w:rsidP="00A074C8">
      <w:pPr>
        <w:pStyle w:val="Bibliography"/>
        <w:rPr>
          <w:rFonts w:ascii="Times New Roman" w:hAnsi="Times New Roman"/>
        </w:rPr>
      </w:pPr>
      <w:r>
        <w:rPr>
          <w:rFonts w:ascii="Times New Roman" w:hAnsi="Times New Roman"/>
        </w:rPr>
        <w:t>72.</w:t>
      </w:r>
      <w:r>
        <w:rPr>
          <w:rFonts w:ascii="Times New Roman" w:hAnsi="Times New Roman"/>
        </w:rPr>
        <w:tab/>
        <w:t xml:space="preserve">Geary, L. M., Chen, T.-Y., Montgomery, T. P. &amp; Krische, M. J. Benzannulation via Ruthenium-Catalyzed Diol–Diene [4+2] Cycloaddition: One- and Two-Directional Syntheses of Fluoranthenes and Acenes. </w:t>
      </w:r>
      <w:r>
        <w:rPr>
          <w:rFonts w:ascii="Times New Roman" w:hAnsi="Times New Roman"/>
          <w:i/>
          <w:iCs/>
        </w:rPr>
        <w:t>J. Am. Chem. Soc.</w:t>
      </w:r>
      <w:r>
        <w:rPr>
          <w:rFonts w:ascii="Times New Roman" w:hAnsi="Times New Roman"/>
        </w:rPr>
        <w:t xml:space="preserve"> </w:t>
      </w:r>
      <w:r>
        <w:rPr>
          <w:rFonts w:ascii="Times New Roman" w:hAnsi="Times New Roman"/>
          <w:b/>
          <w:bCs/>
        </w:rPr>
        <w:t>136,</w:t>
      </w:r>
      <w:r>
        <w:rPr>
          <w:rFonts w:ascii="Times New Roman" w:hAnsi="Times New Roman"/>
        </w:rPr>
        <w:t xml:space="preserve"> 5920–5922 (2014).</w:t>
      </w:r>
    </w:p>
    <w:p w14:paraId="05B026E6" w14:textId="77777777" w:rsidR="00A074C8" w:rsidRDefault="00A074C8" w:rsidP="00A074C8">
      <w:pPr>
        <w:pStyle w:val="Bibliography"/>
        <w:rPr>
          <w:rFonts w:ascii="Times New Roman" w:hAnsi="Times New Roman"/>
        </w:rPr>
      </w:pPr>
      <w:r>
        <w:rPr>
          <w:rFonts w:ascii="Times New Roman" w:hAnsi="Times New Roman"/>
        </w:rPr>
        <w:t>73.</w:t>
      </w:r>
      <w:r>
        <w:rPr>
          <w:rFonts w:ascii="Times New Roman" w:hAnsi="Times New Roman"/>
        </w:rPr>
        <w:tab/>
        <w:t xml:space="preserve">Liu, S. </w:t>
      </w:r>
      <w:r>
        <w:rPr>
          <w:rFonts w:ascii="Times New Roman" w:hAnsi="Times New Roman"/>
          <w:i/>
          <w:iCs/>
        </w:rPr>
        <w:t>et al.</w:t>
      </w:r>
      <w:r>
        <w:rPr>
          <w:rFonts w:ascii="Times New Roman" w:hAnsi="Times New Roman"/>
        </w:rPr>
        <w:t xml:space="preserve"> Mechanism of MTO-Catalyzed Deoxydehydration of Diols to Alkenes Using Sacrificial Alcohols. </w:t>
      </w:r>
      <w:r>
        <w:rPr>
          <w:rFonts w:ascii="Times New Roman" w:hAnsi="Times New Roman"/>
          <w:i/>
          <w:iCs/>
        </w:rPr>
        <w:t>Organometallics</w:t>
      </w:r>
      <w:r>
        <w:rPr>
          <w:rFonts w:ascii="Times New Roman" w:hAnsi="Times New Roman"/>
        </w:rPr>
        <w:t xml:space="preserve"> </w:t>
      </w:r>
      <w:r>
        <w:rPr>
          <w:rFonts w:ascii="Times New Roman" w:hAnsi="Times New Roman"/>
          <w:b/>
          <w:bCs/>
        </w:rPr>
        <w:t>32,</w:t>
      </w:r>
      <w:r>
        <w:rPr>
          <w:rFonts w:ascii="Times New Roman" w:hAnsi="Times New Roman"/>
        </w:rPr>
        <w:t xml:space="preserve"> 3210–3219 (2013).</w:t>
      </w:r>
    </w:p>
    <w:p w14:paraId="51D0E7B9" w14:textId="77777777" w:rsidR="00A074C8" w:rsidRDefault="00A074C8" w:rsidP="00A074C8">
      <w:pPr>
        <w:pStyle w:val="Bibliography"/>
        <w:rPr>
          <w:rFonts w:ascii="Times New Roman" w:hAnsi="Times New Roman"/>
        </w:rPr>
      </w:pPr>
      <w:r>
        <w:rPr>
          <w:rFonts w:ascii="Times New Roman" w:hAnsi="Times New Roman"/>
        </w:rPr>
        <w:t>74.</w:t>
      </w:r>
      <w:r>
        <w:rPr>
          <w:rFonts w:ascii="Times New Roman" w:hAnsi="Times New Roman"/>
        </w:rPr>
        <w:tab/>
        <w:t xml:space="preserve">Dethlefsen, J. R. &amp; Fristrup, P. In Situ Spectroscopic Investigation of the Rhenium-Catalyzed Deoxydehydration of Vicinal Diols. </w:t>
      </w:r>
      <w:r>
        <w:rPr>
          <w:rFonts w:ascii="Times New Roman" w:hAnsi="Times New Roman"/>
          <w:i/>
          <w:iCs/>
        </w:rPr>
        <w:t>ChemCatChem</w:t>
      </w:r>
      <w:r>
        <w:rPr>
          <w:rFonts w:ascii="Times New Roman" w:hAnsi="Times New Roman"/>
        </w:rPr>
        <w:t xml:space="preserve"> n/a-n/a (2015). doi:10.1002/cctc.201403012</w:t>
      </w:r>
    </w:p>
    <w:p w14:paraId="56567774" w14:textId="77777777" w:rsidR="00A074C8" w:rsidRDefault="00A074C8" w:rsidP="00A074C8">
      <w:pPr>
        <w:pStyle w:val="Bibliography"/>
        <w:rPr>
          <w:rFonts w:ascii="Times New Roman" w:hAnsi="Times New Roman"/>
        </w:rPr>
      </w:pPr>
      <w:r>
        <w:rPr>
          <w:rFonts w:ascii="Times New Roman" w:hAnsi="Times New Roman"/>
        </w:rPr>
        <w:t>75.</w:t>
      </w:r>
      <w:r>
        <w:rPr>
          <w:rFonts w:ascii="Times New Roman" w:hAnsi="Times New Roman"/>
        </w:rPr>
        <w:tab/>
        <w:t xml:space="preserve">Moores, A., Poyatos, M., Luo, Y. &amp; Crabtree, R. H. Catalysed low temperature H2 release from nitrogen heterocycles. </w:t>
      </w:r>
      <w:r>
        <w:rPr>
          <w:rFonts w:ascii="Times New Roman" w:hAnsi="Times New Roman"/>
          <w:i/>
          <w:iCs/>
        </w:rPr>
        <w:t>New J. Chem.</w:t>
      </w:r>
      <w:r>
        <w:rPr>
          <w:rFonts w:ascii="Times New Roman" w:hAnsi="Times New Roman"/>
        </w:rPr>
        <w:t xml:space="preserve"> </w:t>
      </w:r>
      <w:r>
        <w:rPr>
          <w:rFonts w:ascii="Times New Roman" w:hAnsi="Times New Roman"/>
          <w:b/>
          <w:bCs/>
        </w:rPr>
        <w:t>30,</w:t>
      </w:r>
      <w:r>
        <w:rPr>
          <w:rFonts w:ascii="Times New Roman" w:hAnsi="Times New Roman"/>
        </w:rPr>
        <w:t xml:space="preserve"> 1675–1678 (2006).</w:t>
      </w:r>
    </w:p>
    <w:p w14:paraId="4E316F69" w14:textId="77777777" w:rsidR="00A074C8" w:rsidRDefault="00A074C8" w:rsidP="00A074C8">
      <w:pPr>
        <w:pStyle w:val="Bibliography"/>
        <w:rPr>
          <w:rFonts w:ascii="Times New Roman" w:hAnsi="Times New Roman"/>
        </w:rPr>
      </w:pPr>
      <w:r>
        <w:rPr>
          <w:rFonts w:ascii="Times New Roman" w:hAnsi="Times New Roman"/>
        </w:rPr>
        <w:t>76.</w:t>
      </w:r>
      <w:r>
        <w:rPr>
          <w:rFonts w:ascii="Times New Roman" w:hAnsi="Times New Roman"/>
        </w:rPr>
        <w:tab/>
        <w:t xml:space="preserve">Reddy, B. M., Han, D.-S., Jiang, N. &amp; Park, S.-E. Dehydrogenation of Ethylbenzene to Styrene with Carbon Dioxide Over ZrO2-based Composite Oxide Catalysts. </w:t>
      </w:r>
      <w:r>
        <w:rPr>
          <w:rFonts w:ascii="Times New Roman" w:hAnsi="Times New Roman"/>
          <w:i/>
          <w:iCs/>
        </w:rPr>
        <w:t>Catalysis Surveys from Asia</w:t>
      </w:r>
      <w:r>
        <w:rPr>
          <w:rFonts w:ascii="Times New Roman" w:hAnsi="Times New Roman"/>
        </w:rPr>
        <w:t xml:space="preserve"> </w:t>
      </w:r>
      <w:r>
        <w:rPr>
          <w:rFonts w:ascii="Times New Roman" w:hAnsi="Times New Roman"/>
          <w:b/>
          <w:bCs/>
        </w:rPr>
        <w:t>12,</w:t>
      </w:r>
      <w:r>
        <w:rPr>
          <w:rFonts w:ascii="Times New Roman" w:hAnsi="Times New Roman"/>
        </w:rPr>
        <w:t xml:space="preserve"> 56–59 (2008).</w:t>
      </w:r>
    </w:p>
    <w:p w14:paraId="598BF9EB" w14:textId="77777777" w:rsidR="00A074C8" w:rsidRDefault="00A074C8" w:rsidP="00A074C8">
      <w:pPr>
        <w:pStyle w:val="Bibliography"/>
        <w:rPr>
          <w:rFonts w:ascii="Times New Roman" w:hAnsi="Times New Roman"/>
        </w:rPr>
      </w:pPr>
      <w:r>
        <w:rPr>
          <w:rFonts w:ascii="Times New Roman" w:hAnsi="Times New Roman"/>
        </w:rPr>
        <w:t>77.</w:t>
      </w:r>
      <w:r>
        <w:rPr>
          <w:rFonts w:ascii="Times New Roman" w:hAnsi="Times New Roman"/>
        </w:rPr>
        <w:tab/>
        <w:t xml:space="preserve">Mayer, J. M. Understanding Hydrogen Atom Transfer: From Bond Strengths to Marcus Theory. </w:t>
      </w:r>
      <w:r>
        <w:rPr>
          <w:rFonts w:ascii="Times New Roman" w:hAnsi="Times New Roman"/>
          <w:i/>
          <w:iCs/>
        </w:rPr>
        <w:t>Acc. Chem. Res.</w:t>
      </w:r>
      <w:r>
        <w:rPr>
          <w:rFonts w:ascii="Times New Roman" w:hAnsi="Times New Roman"/>
        </w:rPr>
        <w:t xml:space="preserve"> </w:t>
      </w:r>
      <w:r>
        <w:rPr>
          <w:rFonts w:ascii="Times New Roman" w:hAnsi="Times New Roman"/>
          <w:b/>
          <w:bCs/>
        </w:rPr>
        <w:t>44,</w:t>
      </w:r>
      <w:r>
        <w:rPr>
          <w:rFonts w:ascii="Times New Roman" w:hAnsi="Times New Roman"/>
        </w:rPr>
        <w:t xml:space="preserve"> 36–46 (2011).</w:t>
      </w:r>
    </w:p>
    <w:p w14:paraId="69FF7FFD" w14:textId="77777777" w:rsidR="00A074C8" w:rsidRDefault="00A074C8" w:rsidP="00A074C8">
      <w:pPr>
        <w:pStyle w:val="Bibliography"/>
        <w:rPr>
          <w:rFonts w:ascii="Times New Roman" w:hAnsi="Times New Roman"/>
        </w:rPr>
      </w:pPr>
      <w:r>
        <w:rPr>
          <w:rFonts w:ascii="Times New Roman" w:hAnsi="Times New Roman"/>
        </w:rPr>
        <w:t>78.</w:t>
      </w:r>
      <w:r>
        <w:rPr>
          <w:rFonts w:ascii="Times New Roman" w:hAnsi="Times New Roman"/>
        </w:rPr>
        <w:tab/>
        <w:t xml:space="preserve">Karki, M., Araujo, H. &amp; Magolan, J. Dehydroaromatization with V2O5. </w:t>
      </w:r>
      <w:r>
        <w:rPr>
          <w:rFonts w:ascii="Times New Roman" w:hAnsi="Times New Roman"/>
          <w:i/>
          <w:iCs/>
        </w:rPr>
        <w:t>Synlett</w:t>
      </w:r>
      <w:r>
        <w:rPr>
          <w:rFonts w:ascii="Times New Roman" w:hAnsi="Times New Roman"/>
        </w:rPr>
        <w:t xml:space="preserve"> </w:t>
      </w:r>
      <w:r>
        <w:rPr>
          <w:rFonts w:ascii="Times New Roman" w:hAnsi="Times New Roman"/>
          <w:b/>
          <w:bCs/>
        </w:rPr>
        <w:t>24,</w:t>
      </w:r>
      <w:r>
        <w:rPr>
          <w:rFonts w:ascii="Times New Roman" w:hAnsi="Times New Roman"/>
        </w:rPr>
        <w:t xml:space="preserve"> 1675–1678 (2013).</w:t>
      </w:r>
    </w:p>
    <w:p w14:paraId="09DE0207" w14:textId="77777777" w:rsidR="00A074C8" w:rsidRDefault="00A074C8" w:rsidP="00A074C8">
      <w:pPr>
        <w:pStyle w:val="Bibliography"/>
        <w:rPr>
          <w:rFonts w:ascii="Times New Roman" w:hAnsi="Times New Roman"/>
        </w:rPr>
      </w:pPr>
      <w:r>
        <w:rPr>
          <w:rFonts w:ascii="Times New Roman" w:hAnsi="Times New Roman"/>
        </w:rPr>
        <w:t>79.</w:t>
      </w:r>
      <w:r>
        <w:rPr>
          <w:rFonts w:ascii="Times New Roman" w:hAnsi="Times New Roman"/>
        </w:rPr>
        <w:tab/>
        <w:t xml:space="preserve">Lee, E. H. Iron Oxide Catalysts for Dehydrogenation of Ethylbenzene in the Presence of Steam. </w:t>
      </w:r>
      <w:r>
        <w:rPr>
          <w:rFonts w:ascii="Times New Roman" w:hAnsi="Times New Roman"/>
          <w:i/>
          <w:iCs/>
        </w:rPr>
        <w:t>Catal. Rev.</w:t>
      </w:r>
      <w:r>
        <w:rPr>
          <w:rFonts w:ascii="Times New Roman" w:hAnsi="Times New Roman"/>
        </w:rPr>
        <w:t xml:space="preserve"> </w:t>
      </w:r>
      <w:r>
        <w:rPr>
          <w:rFonts w:ascii="Times New Roman" w:hAnsi="Times New Roman"/>
          <w:b/>
          <w:bCs/>
        </w:rPr>
        <w:t>8,</w:t>
      </w:r>
      <w:r>
        <w:rPr>
          <w:rFonts w:ascii="Times New Roman" w:hAnsi="Times New Roman"/>
        </w:rPr>
        <w:t xml:space="preserve"> 285–305 (1974).</w:t>
      </w:r>
    </w:p>
    <w:p w14:paraId="25007659" w14:textId="77777777" w:rsidR="00A074C8" w:rsidRDefault="00A074C8" w:rsidP="00A074C8">
      <w:pPr>
        <w:pStyle w:val="Bibliography"/>
        <w:rPr>
          <w:rFonts w:ascii="Times New Roman" w:hAnsi="Times New Roman"/>
        </w:rPr>
      </w:pPr>
      <w:r>
        <w:rPr>
          <w:rFonts w:ascii="Times New Roman" w:hAnsi="Times New Roman"/>
        </w:rPr>
        <w:t>80.</w:t>
      </w:r>
      <w:r>
        <w:rPr>
          <w:rFonts w:ascii="Times New Roman" w:hAnsi="Times New Roman"/>
        </w:rPr>
        <w:tab/>
        <w:t xml:space="preserve">Chen, S., Lu, G. &amp; Cai, C. Iridium-Catalyzed C-3 Allylation of Indoles with Allylic Alcohols Promoted by a Brønsted Acid. </w:t>
      </w:r>
      <w:r>
        <w:rPr>
          <w:rFonts w:ascii="Times New Roman" w:hAnsi="Times New Roman"/>
          <w:i/>
          <w:iCs/>
        </w:rPr>
        <w:t>Synthesis</w:t>
      </w:r>
      <w:r>
        <w:rPr>
          <w:rFonts w:ascii="Times New Roman" w:hAnsi="Times New Roman"/>
        </w:rPr>
        <w:t xml:space="preserve"> </w:t>
      </w:r>
      <w:r>
        <w:rPr>
          <w:rFonts w:ascii="Times New Roman" w:hAnsi="Times New Roman"/>
          <w:b/>
          <w:bCs/>
        </w:rPr>
        <w:t>46,</w:t>
      </w:r>
      <w:r>
        <w:rPr>
          <w:rFonts w:ascii="Times New Roman" w:hAnsi="Times New Roman"/>
        </w:rPr>
        <w:t xml:space="preserve"> 1717–1724 (2014).</w:t>
      </w:r>
    </w:p>
    <w:p w14:paraId="1DC909D4" w14:textId="77777777" w:rsidR="00A074C8" w:rsidRDefault="00A074C8" w:rsidP="00A074C8">
      <w:pPr>
        <w:pStyle w:val="Bibliography"/>
        <w:rPr>
          <w:rFonts w:ascii="Times New Roman" w:hAnsi="Times New Roman"/>
        </w:rPr>
      </w:pPr>
      <w:r>
        <w:rPr>
          <w:rFonts w:ascii="Times New Roman" w:hAnsi="Times New Roman"/>
        </w:rPr>
        <w:t>81.</w:t>
      </w:r>
      <w:r>
        <w:rPr>
          <w:rFonts w:ascii="Times New Roman" w:hAnsi="Times New Roman"/>
        </w:rPr>
        <w:tab/>
        <w:t xml:space="preserve">Waidmann, C. R. </w:t>
      </w:r>
      <w:r>
        <w:rPr>
          <w:rFonts w:ascii="Times New Roman" w:hAnsi="Times New Roman"/>
          <w:i/>
          <w:iCs/>
        </w:rPr>
        <w:t>et al.</w:t>
      </w:r>
      <w:r>
        <w:rPr>
          <w:rFonts w:ascii="Times New Roman" w:hAnsi="Times New Roman"/>
        </w:rPr>
        <w:t xml:space="preserve"> Slow Hydrogen Atom Transfer Reactions of Oxo- and Hydroxo-Vanadium Compounds: The Importance of Intrinsic Barriers. </w:t>
      </w:r>
      <w:r>
        <w:rPr>
          <w:rFonts w:ascii="Times New Roman" w:hAnsi="Times New Roman"/>
          <w:i/>
          <w:iCs/>
        </w:rPr>
        <w:t>J. Am. Chem. Soc.</w:t>
      </w:r>
      <w:r>
        <w:rPr>
          <w:rFonts w:ascii="Times New Roman" w:hAnsi="Times New Roman"/>
        </w:rPr>
        <w:t xml:space="preserve"> </w:t>
      </w:r>
      <w:r>
        <w:rPr>
          <w:rFonts w:ascii="Times New Roman" w:hAnsi="Times New Roman"/>
          <w:b/>
          <w:bCs/>
        </w:rPr>
        <w:t>131,</w:t>
      </w:r>
      <w:r>
        <w:rPr>
          <w:rFonts w:ascii="Times New Roman" w:hAnsi="Times New Roman"/>
        </w:rPr>
        <w:t xml:space="preserve"> 4729–4743 (2009).</w:t>
      </w:r>
    </w:p>
    <w:p w14:paraId="448AC728" w14:textId="77777777" w:rsidR="00A074C8" w:rsidRDefault="00A074C8" w:rsidP="00A074C8">
      <w:pPr>
        <w:pStyle w:val="Bibliography"/>
        <w:rPr>
          <w:rFonts w:ascii="Times New Roman" w:hAnsi="Times New Roman"/>
        </w:rPr>
      </w:pPr>
      <w:r>
        <w:rPr>
          <w:rFonts w:ascii="Times New Roman" w:hAnsi="Times New Roman"/>
        </w:rPr>
        <w:t>82.</w:t>
      </w:r>
      <w:r>
        <w:rPr>
          <w:rFonts w:ascii="Times New Roman" w:hAnsi="Times New Roman"/>
        </w:rPr>
        <w:tab/>
        <w:t xml:space="preserve">Matsuo, T. &amp; Mayer, J. M. Oxidations of NADH Analogues by cis-[RuIV(bpy)2(py)(O)]2+ Occur by Hydrogen-Atom Transfer Rather than by Hydride Transfer. </w:t>
      </w:r>
      <w:r>
        <w:rPr>
          <w:rFonts w:ascii="Times New Roman" w:hAnsi="Times New Roman"/>
          <w:i/>
          <w:iCs/>
        </w:rPr>
        <w:t>Inorg. Chem.</w:t>
      </w:r>
      <w:r>
        <w:rPr>
          <w:rFonts w:ascii="Times New Roman" w:hAnsi="Times New Roman"/>
        </w:rPr>
        <w:t xml:space="preserve"> </w:t>
      </w:r>
      <w:r>
        <w:rPr>
          <w:rFonts w:ascii="Times New Roman" w:hAnsi="Times New Roman"/>
          <w:b/>
          <w:bCs/>
        </w:rPr>
        <w:t>44,</w:t>
      </w:r>
      <w:r>
        <w:rPr>
          <w:rFonts w:ascii="Times New Roman" w:hAnsi="Times New Roman"/>
        </w:rPr>
        <w:t xml:space="preserve"> 2150–2158 (2005).</w:t>
      </w:r>
    </w:p>
    <w:p w14:paraId="1B072BC4" w14:textId="77777777" w:rsidR="00A074C8" w:rsidRDefault="00A074C8" w:rsidP="00A074C8">
      <w:pPr>
        <w:pStyle w:val="Bibliography"/>
        <w:rPr>
          <w:rFonts w:ascii="Times New Roman" w:hAnsi="Times New Roman"/>
        </w:rPr>
      </w:pPr>
      <w:r>
        <w:rPr>
          <w:rFonts w:ascii="Times New Roman" w:hAnsi="Times New Roman"/>
        </w:rPr>
        <w:t>83.</w:t>
      </w:r>
      <w:r>
        <w:rPr>
          <w:rFonts w:ascii="Times New Roman" w:hAnsi="Times New Roman"/>
        </w:rPr>
        <w:tab/>
        <w:t xml:space="preserve">Boucher-Jacobs, C. &amp; Nicholas, K. M. Oxo-Rhenium-Catalyzed Deoxydehydration of Polyols with Hydroaromatic Reductants. </w:t>
      </w:r>
      <w:r>
        <w:rPr>
          <w:rFonts w:ascii="Times New Roman" w:hAnsi="Times New Roman"/>
          <w:i/>
          <w:iCs/>
        </w:rPr>
        <w:t>Organometallics</w:t>
      </w:r>
      <w:r>
        <w:rPr>
          <w:rFonts w:ascii="Times New Roman" w:hAnsi="Times New Roman"/>
        </w:rPr>
        <w:t xml:space="preserve"> </w:t>
      </w:r>
      <w:r>
        <w:rPr>
          <w:rFonts w:ascii="Times New Roman" w:hAnsi="Times New Roman"/>
          <w:b/>
          <w:bCs/>
        </w:rPr>
        <w:t>34,</w:t>
      </w:r>
      <w:r>
        <w:rPr>
          <w:rFonts w:ascii="Times New Roman" w:hAnsi="Times New Roman"/>
        </w:rPr>
        <w:t xml:space="preserve"> 1985–1990 (2015).</w:t>
      </w:r>
    </w:p>
    <w:p w14:paraId="7D26B6B2" w14:textId="77777777" w:rsidR="00A074C8" w:rsidRDefault="00A074C8" w:rsidP="00A074C8">
      <w:pPr>
        <w:pStyle w:val="Bibliography"/>
        <w:rPr>
          <w:rFonts w:ascii="Times New Roman" w:hAnsi="Times New Roman"/>
        </w:rPr>
      </w:pPr>
      <w:r>
        <w:rPr>
          <w:rFonts w:ascii="Times New Roman" w:hAnsi="Times New Roman"/>
        </w:rPr>
        <w:t>84.</w:t>
      </w:r>
      <w:r>
        <w:rPr>
          <w:rFonts w:ascii="Times New Roman" w:hAnsi="Times New Roman"/>
        </w:rPr>
        <w:tab/>
        <w:t xml:space="preserve">Sun, D., Hubig, S. M. &amp; Kochi, J. K. Electron-transfer pathway for photoinduced Diels–Alder cycloadditions. </w:t>
      </w:r>
      <w:r>
        <w:rPr>
          <w:rFonts w:ascii="Times New Roman" w:hAnsi="Times New Roman"/>
          <w:i/>
          <w:iCs/>
        </w:rPr>
        <w:t>J. Photochem. Photobiol. Chem.</w:t>
      </w:r>
      <w:r>
        <w:rPr>
          <w:rFonts w:ascii="Times New Roman" w:hAnsi="Times New Roman"/>
        </w:rPr>
        <w:t xml:space="preserve"> </w:t>
      </w:r>
      <w:r>
        <w:rPr>
          <w:rFonts w:ascii="Times New Roman" w:hAnsi="Times New Roman"/>
          <w:b/>
          <w:bCs/>
        </w:rPr>
        <w:t>122,</w:t>
      </w:r>
      <w:r>
        <w:rPr>
          <w:rFonts w:ascii="Times New Roman" w:hAnsi="Times New Roman"/>
        </w:rPr>
        <w:t xml:space="preserve"> 87–94 (1999).</w:t>
      </w:r>
    </w:p>
    <w:p w14:paraId="513BC938" w14:textId="77777777" w:rsidR="00A074C8" w:rsidRDefault="00A074C8" w:rsidP="00A074C8">
      <w:pPr>
        <w:pStyle w:val="Bibliography"/>
        <w:rPr>
          <w:rFonts w:ascii="Times New Roman" w:hAnsi="Times New Roman"/>
        </w:rPr>
      </w:pPr>
      <w:r>
        <w:rPr>
          <w:rFonts w:ascii="Times New Roman" w:hAnsi="Times New Roman"/>
        </w:rPr>
        <w:t>85.</w:t>
      </w:r>
      <w:r>
        <w:rPr>
          <w:rFonts w:ascii="Times New Roman" w:hAnsi="Times New Roman"/>
        </w:rPr>
        <w:tab/>
        <w:t xml:space="preserve">Ono, N. </w:t>
      </w:r>
      <w:r>
        <w:rPr>
          <w:rFonts w:ascii="Times New Roman" w:hAnsi="Times New Roman"/>
          <w:i/>
          <w:iCs/>
        </w:rPr>
        <w:t>et al.</w:t>
      </w:r>
      <w:r>
        <w:rPr>
          <w:rFonts w:ascii="Times New Roman" w:hAnsi="Times New Roman"/>
        </w:rPr>
        <w:t xml:space="preserve"> Synthesis of Phthalocyanine Fused with Bicyclo[2.2.2]octadienes and Thermal Conversion into Naphthalocyanine. </w:t>
      </w:r>
      <w:r>
        <w:rPr>
          <w:rFonts w:ascii="Times New Roman" w:hAnsi="Times New Roman"/>
          <w:i/>
          <w:iCs/>
        </w:rPr>
        <w:t>HETEROCYCLES</w:t>
      </w:r>
      <w:r>
        <w:rPr>
          <w:rFonts w:ascii="Times New Roman" w:hAnsi="Times New Roman"/>
        </w:rPr>
        <w:t xml:space="preserve"> </w:t>
      </w:r>
      <w:r>
        <w:rPr>
          <w:rFonts w:ascii="Times New Roman" w:hAnsi="Times New Roman"/>
          <w:b/>
          <w:bCs/>
        </w:rPr>
        <w:t>74,</w:t>
      </w:r>
      <w:r>
        <w:rPr>
          <w:rFonts w:ascii="Times New Roman" w:hAnsi="Times New Roman"/>
        </w:rPr>
        <w:t xml:space="preserve"> 835 (2007).</w:t>
      </w:r>
    </w:p>
    <w:p w14:paraId="7DA33B3D" w14:textId="77777777" w:rsidR="00A074C8" w:rsidRDefault="00A074C8" w:rsidP="00A074C8">
      <w:pPr>
        <w:pStyle w:val="Bibliography"/>
        <w:rPr>
          <w:rFonts w:ascii="Times New Roman" w:hAnsi="Times New Roman"/>
        </w:rPr>
      </w:pPr>
      <w:r>
        <w:rPr>
          <w:rFonts w:ascii="Times New Roman" w:hAnsi="Times New Roman"/>
        </w:rPr>
        <w:t>86.</w:t>
      </w:r>
      <w:r>
        <w:rPr>
          <w:rFonts w:ascii="Times New Roman" w:hAnsi="Times New Roman"/>
        </w:rPr>
        <w:tab/>
        <w:t xml:space="preserve">Ishihara, A., Sutrisna, I. P., Ifuku, M., Qian, E. W. &amp; Kabe, T. Elucidation of Hydrogen Mobility in Coal Using a Fixed Bed Flow Reactor -Hydrogen Transfer Reaction between Tritiated Hydrogen, Coal, and Tetralin-. </w:t>
      </w:r>
      <w:r>
        <w:rPr>
          <w:rFonts w:ascii="Times New Roman" w:hAnsi="Times New Roman"/>
          <w:i/>
          <w:iCs/>
        </w:rPr>
        <w:t>Energy Fuels</w:t>
      </w:r>
      <w:r>
        <w:rPr>
          <w:rFonts w:ascii="Times New Roman" w:hAnsi="Times New Roman"/>
        </w:rPr>
        <w:t xml:space="preserve"> </w:t>
      </w:r>
      <w:r>
        <w:rPr>
          <w:rFonts w:ascii="Times New Roman" w:hAnsi="Times New Roman"/>
          <w:b/>
          <w:bCs/>
        </w:rPr>
        <w:t>16,</w:t>
      </w:r>
      <w:r>
        <w:rPr>
          <w:rFonts w:ascii="Times New Roman" w:hAnsi="Times New Roman"/>
        </w:rPr>
        <w:t xml:space="preserve"> 1483–1489 (2002).</w:t>
      </w:r>
    </w:p>
    <w:p w14:paraId="7A248174" w14:textId="77777777" w:rsidR="00A074C8" w:rsidRDefault="00A074C8" w:rsidP="00A074C8">
      <w:pPr>
        <w:pStyle w:val="Bibliography"/>
        <w:rPr>
          <w:rFonts w:ascii="Times New Roman" w:hAnsi="Times New Roman"/>
        </w:rPr>
      </w:pPr>
      <w:r>
        <w:rPr>
          <w:rFonts w:ascii="Times New Roman" w:hAnsi="Times New Roman"/>
        </w:rPr>
        <w:t>87.</w:t>
      </w:r>
      <w:r>
        <w:rPr>
          <w:rFonts w:ascii="Times New Roman" w:hAnsi="Times New Roman"/>
        </w:rPr>
        <w:tab/>
        <w:t xml:space="preserve">Zhang, Z.-G., Okada, K., Yamamoto, M. &amp; Yoshida, T. Hydrogenation of anthracene over active carbon-supported nickel catalyst. </w:t>
      </w:r>
      <w:r>
        <w:rPr>
          <w:rFonts w:ascii="Times New Roman" w:hAnsi="Times New Roman"/>
          <w:i/>
          <w:iCs/>
        </w:rPr>
        <w:t>Catal. Today</w:t>
      </w:r>
      <w:r>
        <w:rPr>
          <w:rFonts w:ascii="Times New Roman" w:hAnsi="Times New Roman"/>
        </w:rPr>
        <w:t xml:space="preserve"> </w:t>
      </w:r>
      <w:r>
        <w:rPr>
          <w:rFonts w:ascii="Times New Roman" w:hAnsi="Times New Roman"/>
          <w:b/>
          <w:bCs/>
        </w:rPr>
        <w:t>45,</w:t>
      </w:r>
      <w:r>
        <w:rPr>
          <w:rFonts w:ascii="Times New Roman" w:hAnsi="Times New Roman"/>
        </w:rPr>
        <w:t xml:space="preserve"> 361–366 (1998).</w:t>
      </w:r>
    </w:p>
    <w:p w14:paraId="6587275D" w14:textId="77777777" w:rsidR="00A074C8" w:rsidRDefault="00A074C8" w:rsidP="00A074C8">
      <w:pPr>
        <w:pStyle w:val="Bibliography"/>
        <w:rPr>
          <w:rFonts w:ascii="Times New Roman" w:hAnsi="Times New Roman"/>
        </w:rPr>
      </w:pPr>
      <w:r>
        <w:rPr>
          <w:rFonts w:ascii="Times New Roman" w:hAnsi="Times New Roman"/>
        </w:rPr>
        <w:t>88.</w:t>
      </w:r>
      <w:r>
        <w:rPr>
          <w:rFonts w:ascii="Times New Roman" w:hAnsi="Times New Roman"/>
        </w:rPr>
        <w:tab/>
        <w:t xml:space="preserve">Pajak, J. &amp; Brower, K. R. Kinetic isotope effects and pressure effects in several hydrogen-transfer reactions of tetralin and related compounds. </w:t>
      </w:r>
      <w:r>
        <w:rPr>
          <w:rFonts w:ascii="Times New Roman" w:hAnsi="Times New Roman"/>
          <w:i/>
          <w:iCs/>
        </w:rPr>
        <w:t>J. Org. Chem.</w:t>
      </w:r>
      <w:r>
        <w:rPr>
          <w:rFonts w:ascii="Times New Roman" w:hAnsi="Times New Roman"/>
        </w:rPr>
        <w:t xml:space="preserve"> </w:t>
      </w:r>
      <w:r>
        <w:rPr>
          <w:rFonts w:ascii="Times New Roman" w:hAnsi="Times New Roman"/>
          <w:b/>
          <w:bCs/>
        </w:rPr>
        <w:t>50,</w:t>
      </w:r>
      <w:r>
        <w:rPr>
          <w:rFonts w:ascii="Times New Roman" w:hAnsi="Times New Roman"/>
        </w:rPr>
        <w:t xml:space="preserve"> 2210–2216 (1985).</w:t>
      </w:r>
    </w:p>
    <w:p w14:paraId="0CFE0E1A" w14:textId="77777777" w:rsidR="00A074C8" w:rsidRDefault="00A074C8" w:rsidP="00A074C8">
      <w:pPr>
        <w:pStyle w:val="Bibliography"/>
        <w:rPr>
          <w:rFonts w:ascii="Times New Roman" w:hAnsi="Times New Roman"/>
        </w:rPr>
      </w:pPr>
      <w:r>
        <w:rPr>
          <w:rFonts w:ascii="Times New Roman" w:hAnsi="Times New Roman"/>
        </w:rPr>
        <w:t>89.</w:t>
      </w:r>
      <w:r>
        <w:rPr>
          <w:rFonts w:ascii="Times New Roman" w:hAnsi="Times New Roman"/>
        </w:rPr>
        <w:tab/>
        <w:t xml:space="preserve">Soltani Rad, M. </w:t>
      </w:r>
      <w:r>
        <w:rPr>
          <w:rFonts w:ascii="Times New Roman" w:hAnsi="Times New Roman"/>
          <w:i/>
          <w:iCs/>
        </w:rPr>
        <w:t>et al.</w:t>
      </w:r>
      <w:r>
        <w:rPr>
          <w:rFonts w:ascii="Times New Roman" w:hAnsi="Times New Roman"/>
        </w:rPr>
        <w:t xml:space="preserve"> One-Pot Synthesis of N-Alkyl Purine, Pyrimidine and Azole Derivatives from Alcohols using Ph3P/CCl4: A Rapid Route to Carboacyclic Nucleoside Synthesis. </w:t>
      </w:r>
      <w:r>
        <w:rPr>
          <w:rFonts w:ascii="Times New Roman" w:hAnsi="Times New Roman"/>
          <w:i/>
          <w:iCs/>
        </w:rPr>
        <w:t>Synthesis</w:t>
      </w:r>
      <w:r>
        <w:rPr>
          <w:rFonts w:ascii="Times New Roman" w:hAnsi="Times New Roman"/>
        </w:rPr>
        <w:t xml:space="preserve"> </w:t>
      </w:r>
      <w:r>
        <w:rPr>
          <w:rFonts w:ascii="Times New Roman" w:hAnsi="Times New Roman"/>
          <w:b/>
          <w:bCs/>
        </w:rPr>
        <w:t>2009,</w:t>
      </w:r>
      <w:r>
        <w:rPr>
          <w:rFonts w:ascii="Times New Roman" w:hAnsi="Times New Roman"/>
        </w:rPr>
        <w:t xml:space="preserve"> 3067–3076 (2009).</w:t>
      </w:r>
    </w:p>
    <w:p w14:paraId="096FC3D4" w14:textId="77777777" w:rsidR="00A074C8" w:rsidRDefault="00A074C8" w:rsidP="00A074C8">
      <w:pPr>
        <w:pStyle w:val="Bibliography"/>
        <w:rPr>
          <w:rFonts w:ascii="Times New Roman" w:hAnsi="Times New Roman"/>
        </w:rPr>
      </w:pPr>
      <w:r>
        <w:rPr>
          <w:rFonts w:ascii="Times New Roman" w:hAnsi="Times New Roman"/>
        </w:rPr>
        <w:t>90.</w:t>
      </w:r>
      <w:r>
        <w:rPr>
          <w:rFonts w:ascii="Times New Roman" w:hAnsi="Times New Roman"/>
        </w:rPr>
        <w:tab/>
        <w:t xml:space="preserve">Kimura, T. </w:t>
      </w:r>
      <w:r>
        <w:rPr>
          <w:rFonts w:ascii="Times New Roman" w:hAnsi="Times New Roman"/>
          <w:i/>
          <w:iCs/>
        </w:rPr>
        <w:t>et al.</w:t>
      </w:r>
      <w:r>
        <w:rPr>
          <w:rFonts w:ascii="Times New Roman" w:hAnsi="Times New Roman"/>
        </w:rPr>
        <w:t xml:space="preserve"> Effects of N-​allyl-​substituted purines on the drug-​induced sleep and spontaneous activity. </w:t>
      </w:r>
      <w:r>
        <w:rPr>
          <w:rFonts w:ascii="Times New Roman" w:hAnsi="Times New Roman"/>
          <w:i/>
          <w:iCs/>
        </w:rPr>
        <w:t>Res. Commun. Psychol. Psychiatry Behav.</w:t>
      </w:r>
      <w:r>
        <w:rPr>
          <w:rFonts w:ascii="Times New Roman" w:hAnsi="Times New Roman"/>
        </w:rPr>
        <w:t xml:space="preserve"> </w:t>
      </w:r>
      <w:r>
        <w:rPr>
          <w:rFonts w:ascii="Times New Roman" w:hAnsi="Times New Roman"/>
          <w:b/>
          <w:bCs/>
        </w:rPr>
        <w:t>15,</w:t>
      </w:r>
      <w:r>
        <w:rPr>
          <w:rFonts w:ascii="Times New Roman" w:hAnsi="Times New Roman"/>
        </w:rPr>
        <w:t xml:space="preserve"> 30–40 (1990).</w:t>
      </w:r>
    </w:p>
    <w:p w14:paraId="1FB86154" w14:textId="77777777" w:rsidR="00A074C8" w:rsidRDefault="00A074C8" w:rsidP="00A074C8">
      <w:pPr>
        <w:pStyle w:val="Bibliography"/>
        <w:rPr>
          <w:rFonts w:ascii="Times New Roman" w:hAnsi="Times New Roman"/>
        </w:rPr>
      </w:pPr>
      <w:r>
        <w:rPr>
          <w:rFonts w:ascii="Times New Roman" w:hAnsi="Times New Roman"/>
        </w:rPr>
        <w:t>91.</w:t>
      </w:r>
      <w:r>
        <w:rPr>
          <w:rFonts w:ascii="Times New Roman" w:hAnsi="Times New Roman"/>
        </w:rPr>
        <w:tab/>
        <w:t xml:space="preserve">Daly, J. W., Padgett, W. L. &amp; Shamim, M. T. Analogs of caffeine and theophylline: effect of structural alterations on affinity at adenosine receptors. </w:t>
      </w:r>
      <w:r>
        <w:rPr>
          <w:rFonts w:ascii="Times New Roman" w:hAnsi="Times New Roman"/>
          <w:i/>
          <w:iCs/>
        </w:rPr>
        <w:t>J. Med. Chem.</w:t>
      </w:r>
      <w:r>
        <w:rPr>
          <w:rFonts w:ascii="Times New Roman" w:hAnsi="Times New Roman"/>
        </w:rPr>
        <w:t xml:space="preserve"> </w:t>
      </w:r>
      <w:r>
        <w:rPr>
          <w:rFonts w:ascii="Times New Roman" w:hAnsi="Times New Roman"/>
          <w:b/>
          <w:bCs/>
        </w:rPr>
        <w:t>29,</w:t>
      </w:r>
      <w:r>
        <w:rPr>
          <w:rFonts w:ascii="Times New Roman" w:hAnsi="Times New Roman"/>
        </w:rPr>
        <w:t xml:space="preserve"> 1305–1308 (1986).</w:t>
      </w:r>
    </w:p>
    <w:p w14:paraId="7F7A87AA" w14:textId="77777777" w:rsidR="00A074C8" w:rsidRDefault="00A074C8" w:rsidP="00A074C8">
      <w:pPr>
        <w:pStyle w:val="Bibliography"/>
        <w:rPr>
          <w:rFonts w:ascii="Times New Roman" w:hAnsi="Times New Roman"/>
        </w:rPr>
      </w:pPr>
      <w:r>
        <w:rPr>
          <w:rFonts w:ascii="Times New Roman" w:hAnsi="Times New Roman"/>
        </w:rPr>
        <w:t>92.</w:t>
      </w:r>
      <w:r>
        <w:rPr>
          <w:rFonts w:ascii="Times New Roman" w:hAnsi="Times New Roman"/>
        </w:rPr>
        <w:tab/>
        <w:t xml:space="preserve">DeClercq, E. in </w:t>
      </w:r>
      <w:r>
        <w:rPr>
          <w:rFonts w:ascii="Times New Roman" w:hAnsi="Times New Roman"/>
          <w:i/>
          <w:iCs/>
        </w:rPr>
        <w:t>Advances in antiviral drug design</w:t>
      </w:r>
      <w:r>
        <w:rPr>
          <w:rFonts w:ascii="Times New Roman" w:hAnsi="Times New Roman"/>
        </w:rPr>
        <w:t xml:space="preserve"> </w:t>
      </w:r>
      <w:r>
        <w:rPr>
          <w:rFonts w:ascii="Times New Roman" w:hAnsi="Times New Roman"/>
          <w:b/>
          <w:bCs/>
        </w:rPr>
        <w:t>1,</w:t>
      </w:r>
      <w:r>
        <w:rPr>
          <w:rFonts w:ascii="Times New Roman" w:hAnsi="Times New Roman"/>
        </w:rPr>
        <w:t xml:space="preserve"> 88–164 (Press, Greenwich, 1993).</w:t>
      </w:r>
    </w:p>
    <w:p w14:paraId="1AB36EC9" w14:textId="77777777" w:rsidR="00A074C8" w:rsidRDefault="00A074C8" w:rsidP="00A074C8">
      <w:pPr>
        <w:pStyle w:val="Bibliography"/>
        <w:rPr>
          <w:rFonts w:ascii="Times New Roman" w:hAnsi="Times New Roman"/>
        </w:rPr>
      </w:pPr>
      <w:r>
        <w:rPr>
          <w:rFonts w:ascii="Times New Roman" w:hAnsi="Times New Roman"/>
        </w:rPr>
        <w:t>93.</w:t>
      </w:r>
      <w:r>
        <w:rPr>
          <w:rFonts w:ascii="Times New Roman" w:hAnsi="Times New Roman"/>
        </w:rPr>
        <w:tab/>
        <w:t>Reppe, D. W. &amp; Ufer, D. H. Verfahren zur Herstellung von Aminoverbindungen Process for the preparation of amino compounds. (1940).</w:t>
      </w:r>
    </w:p>
    <w:p w14:paraId="70ADC964" w14:textId="77777777" w:rsidR="00A074C8" w:rsidRDefault="00A074C8" w:rsidP="00A074C8">
      <w:pPr>
        <w:pStyle w:val="Bibliography"/>
        <w:rPr>
          <w:rFonts w:ascii="Times New Roman" w:hAnsi="Times New Roman"/>
        </w:rPr>
      </w:pPr>
      <w:r>
        <w:rPr>
          <w:rFonts w:ascii="Times New Roman" w:hAnsi="Times New Roman"/>
        </w:rPr>
        <w:t>94.</w:t>
      </w:r>
      <w:r>
        <w:rPr>
          <w:rFonts w:ascii="Times New Roman" w:hAnsi="Times New Roman"/>
        </w:rPr>
        <w:tab/>
        <w:t>Johnson, H. E. Process for the production of 3-indole-propionic acids. (1962).</w:t>
      </w:r>
    </w:p>
    <w:p w14:paraId="56140041" w14:textId="77777777" w:rsidR="00A074C8" w:rsidRDefault="00A074C8" w:rsidP="00A074C8">
      <w:pPr>
        <w:pStyle w:val="Bibliography"/>
        <w:rPr>
          <w:rFonts w:ascii="Times New Roman" w:hAnsi="Times New Roman"/>
        </w:rPr>
      </w:pPr>
      <w:r>
        <w:rPr>
          <w:rFonts w:ascii="Times New Roman" w:hAnsi="Times New Roman"/>
        </w:rPr>
        <w:t>95.</w:t>
      </w:r>
      <w:r>
        <w:rPr>
          <w:rFonts w:ascii="Times New Roman" w:hAnsi="Times New Roman"/>
        </w:rPr>
        <w:tab/>
        <w:t xml:space="preserve">Nishiguchi, T., Imai, H., Hirose, Y. &amp; Fukuzumi, K. Transfer hydrogenation and transfer hydrogenolysis: VIII. Hydrogen transfer from amines to olefins catalyzed by heterogeneous and homogeneous catalysts. </w:t>
      </w:r>
      <w:r>
        <w:rPr>
          <w:rFonts w:ascii="Times New Roman" w:hAnsi="Times New Roman"/>
          <w:i/>
          <w:iCs/>
        </w:rPr>
        <w:t>J. Catal.</w:t>
      </w:r>
      <w:r>
        <w:rPr>
          <w:rFonts w:ascii="Times New Roman" w:hAnsi="Times New Roman"/>
        </w:rPr>
        <w:t xml:space="preserve"> </w:t>
      </w:r>
      <w:r>
        <w:rPr>
          <w:rFonts w:ascii="Times New Roman" w:hAnsi="Times New Roman"/>
          <w:b/>
          <w:bCs/>
        </w:rPr>
        <w:t>41,</w:t>
      </w:r>
      <w:r>
        <w:rPr>
          <w:rFonts w:ascii="Times New Roman" w:hAnsi="Times New Roman"/>
        </w:rPr>
        <w:t xml:space="preserve"> 249–257 (1976).</w:t>
      </w:r>
    </w:p>
    <w:p w14:paraId="585AB26D" w14:textId="77777777" w:rsidR="00A074C8" w:rsidRDefault="00A074C8" w:rsidP="00A074C8">
      <w:pPr>
        <w:pStyle w:val="Bibliography"/>
        <w:rPr>
          <w:rFonts w:ascii="Times New Roman" w:hAnsi="Times New Roman"/>
        </w:rPr>
      </w:pPr>
      <w:r>
        <w:rPr>
          <w:rFonts w:ascii="Times New Roman" w:hAnsi="Times New Roman"/>
        </w:rPr>
        <w:t>96.</w:t>
      </w:r>
      <w:r>
        <w:rPr>
          <w:rFonts w:ascii="Times New Roman" w:hAnsi="Times New Roman"/>
        </w:rPr>
        <w:tab/>
        <w:t xml:space="preserve">Wechsler, D., Cui, Y., Dean, D., Davis, B. &amp; Jessop, P. G. Production of H2 from Combined Endothermic and Exothermic Hydrogen Carriers. </w:t>
      </w:r>
      <w:r>
        <w:rPr>
          <w:rFonts w:ascii="Times New Roman" w:hAnsi="Times New Roman"/>
          <w:i/>
          <w:iCs/>
        </w:rPr>
        <w:t>J. Am. Chem. Soc.</w:t>
      </w:r>
      <w:r>
        <w:rPr>
          <w:rFonts w:ascii="Times New Roman" w:hAnsi="Times New Roman"/>
        </w:rPr>
        <w:t xml:space="preserve"> </w:t>
      </w:r>
      <w:r>
        <w:rPr>
          <w:rFonts w:ascii="Times New Roman" w:hAnsi="Times New Roman"/>
          <w:b/>
          <w:bCs/>
        </w:rPr>
        <w:t>130,</w:t>
      </w:r>
      <w:r>
        <w:rPr>
          <w:rFonts w:ascii="Times New Roman" w:hAnsi="Times New Roman"/>
        </w:rPr>
        <w:t xml:space="preserve"> 17195–17203 (2008).</w:t>
      </w:r>
    </w:p>
    <w:p w14:paraId="2A7BE042" w14:textId="77777777" w:rsidR="00A074C8" w:rsidRDefault="00A074C8" w:rsidP="00A074C8">
      <w:pPr>
        <w:pStyle w:val="Bibliography"/>
        <w:rPr>
          <w:rFonts w:ascii="Times New Roman" w:hAnsi="Times New Roman"/>
        </w:rPr>
      </w:pPr>
      <w:r>
        <w:rPr>
          <w:rFonts w:ascii="Times New Roman" w:hAnsi="Times New Roman"/>
        </w:rPr>
        <w:t>97.</w:t>
      </w:r>
      <w:r>
        <w:rPr>
          <w:rFonts w:ascii="Times New Roman" w:hAnsi="Times New Roman"/>
        </w:rPr>
        <w:tab/>
        <w:t xml:space="preserve">Nishiguchi, T., Imai, H. &amp; Fukuzumi, K. Cleavage of Aralyl and Oxygen Nitrogen Bonds by the Hydrogen Transfer from Organic Compounds Catalyzed by Noble Metal Salts. </w:t>
      </w:r>
      <w:r>
        <w:rPr>
          <w:rFonts w:ascii="Times New Roman" w:hAnsi="Times New Roman"/>
          <w:i/>
          <w:iCs/>
        </w:rPr>
        <w:t>Chem. Lett.</w:t>
      </w:r>
      <w:r>
        <w:rPr>
          <w:rFonts w:ascii="Times New Roman" w:hAnsi="Times New Roman"/>
        </w:rPr>
        <w:t xml:space="preserve"> </w:t>
      </w:r>
      <w:r>
        <w:rPr>
          <w:rFonts w:ascii="Times New Roman" w:hAnsi="Times New Roman"/>
          <w:b/>
          <w:bCs/>
        </w:rPr>
        <w:t>6,</w:t>
      </w:r>
      <w:r>
        <w:rPr>
          <w:rFonts w:ascii="Times New Roman" w:hAnsi="Times New Roman"/>
        </w:rPr>
        <w:t xml:space="preserve"> 1113–1114 (1977).</w:t>
      </w:r>
    </w:p>
    <w:p w14:paraId="6D570397" w14:textId="77777777" w:rsidR="00A074C8" w:rsidRDefault="00A074C8" w:rsidP="00A074C8">
      <w:pPr>
        <w:pStyle w:val="Bibliography"/>
        <w:rPr>
          <w:rFonts w:ascii="Times New Roman" w:hAnsi="Times New Roman"/>
        </w:rPr>
      </w:pPr>
      <w:r>
        <w:rPr>
          <w:rFonts w:ascii="Times New Roman" w:hAnsi="Times New Roman"/>
        </w:rPr>
        <w:t>98.</w:t>
      </w:r>
      <w:r>
        <w:rPr>
          <w:rFonts w:ascii="Times New Roman" w:hAnsi="Times New Roman"/>
        </w:rPr>
        <w:tab/>
        <w:t xml:space="preserve">Chowdhury, A. D. </w:t>
      </w:r>
      <w:r>
        <w:rPr>
          <w:rFonts w:ascii="Times New Roman" w:hAnsi="Times New Roman"/>
          <w:i/>
          <w:iCs/>
        </w:rPr>
        <w:t>et al.</w:t>
      </w:r>
      <w:r>
        <w:rPr>
          <w:rFonts w:ascii="Times New Roman" w:hAnsi="Times New Roman"/>
        </w:rPr>
        <w:t xml:space="preserve"> Towards a Practical Development of Light-Driven Acceptorless Alkane Dehydrogenation. </w:t>
      </w:r>
      <w:r>
        <w:rPr>
          <w:rFonts w:ascii="Times New Roman" w:hAnsi="Times New Roman"/>
          <w:i/>
          <w:iCs/>
        </w:rPr>
        <w:t>Angew. Chem. Int. Ed.</w:t>
      </w:r>
      <w:r>
        <w:rPr>
          <w:rFonts w:ascii="Times New Roman" w:hAnsi="Times New Roman"/>
        </w:rPr>
        <w:t xml:space="preserve"> </w:t>
      </w:r>
      <w:r>
        <w:rPr>
          <w:rFonts w:ascii="Times New Roman" w:hAnsi="Times New Roman"/>
          <w:b/>
          <w:bCs/>
        </w:rPr>
        <w:t>53,</w:t>
      </w:r>
      <w:r>
        <w:rPr>
          <w:rFonts w:ascii="Times New Roman" w:hAnsi="Times New Roman"/>
        </w:rPr>
        <w:t xml:space="preserve"> 6477–6481 (2014).</w:t>
      </w:r>
    </w:p>
    <w:p w14:paraId="3E3199DD" w14:textId="77777777" w:rsidR="00A074C8" w:rsidRDefault="00A074C8" w:rsidP="00A074C8">
      <w:pPr>
        <w:pStyle w:val="Bibliography"/>
        <w:rPr>
          <w:rFonts w:ascii="Times New Roman" w:hAnsi="Times New Roman"/>
        </w:rPr>
      </w:pPr>
      <w:r>
        <w:rPr>
          <w:rFonts w:ascii="Times New Roman" w:hAnsi="Times New Roman"/>
        </w:rPr>
        <w:t>99.</w:t>
      </w:r>
      <w:r>
        <w:rPr>
          <w:rFonts w:ascii="Times New Roman" w:hAnsi="Times New Roman"/>
        </w:rPr>
        <w:tab/>
        <w:t xml:space="preserve">Herrmann, W. A., Weichselbaumer, G. &amp; Herdtweck, E. Mehrfachbindungen zwischen hauptgruppenelementen und übergangsmetallen: LXVII. Zur kenntnis der ‘metallsäure’ methyl(trioxo)rhenium(VII): adduktbildung mit amin-basen und aromaten. die struktur des anilin-komplexes CH3ReO3·H2NC6H5. </w:t>
      </w:r>
      <w:r>
        <w:rPr>
          <w:rFonts w:ascii="Times New Roman" w:hAnsi="Times New Roman"/>
          <w:i/>
          <w:iCs/>
        </w:rPr>
        <w:t>J. Organomet. Chem.</w:t>
      </w:r>
      <w:r>
        <w:rPr>
          <w:rFonts w:ascii="Times New Roman" w:hAnsi="Times New Roman"/>
        </w:rPr>
        <w:t xml:space="preserve"> </w:t>
      </w:r>
      <w:r>
        <w:rPr>
          <w:rFonts w:ascii="Times New Roman" w:hAnsi="Times New Roman"/>
          <w:b/>
          <w:bCs/>
        </w:rPr>
        <w:t>372,</w:t>
      </w:r>
      <w:r>
        <w:rPr>
          <w:rFonts w:ascii="Times New Roman" w:hAnsi="Times New Roman"/>
        </w:rPr>
        <w:t xml:space="preserve"> 371–389 (1989).</w:t>
      </w:r>
    </w:p>
    <w:p w14:paraId="0FE87D3E" w14:textId="77777777" w:rsidR="00A074C8" w:rsidRDefault="00A074C8" w:rsidP="00A074C8">
      <w:pPr>
        <w:pStyle w:val="Bibliography"/>
        <w:rPr>
          <w:rFonts w:ascii="Times New Roman" w:hAnsi="Times New Roman"/>
        </w:rPr>
      </w:pPr>
      <w:r>
        <w:rPr>
          <w:rFonts w:ascii="Times New Roman" w:hAnsi="Times New Roman"/>
        </w:rPr>
        <w:t>100.</w:t>
      </w:r>
      <w:r>
        <w:rPr>
          <w:rFonts w:ascii="Times New Roman" w:hAnsi="Times New Roman"/>
        </w:rPr>
        <w:tab/>
        <w:t xml:space="preserve">Abu-Omar, M. M. &amp; Espenson, J. H. Facile Abstraction of Successive Oxygen Atoms from Perchlorate Ions by Methylrhenium Dioxide. </w:t>
      </w:r>
      <w:r>
        <w:rPr>
          <w:rFonts w:ascii="Times New Roman" w:hAnsi="Times New Roman"/>
          <w:i/>
          <w:iCs/>
        </w:rPr>
        <w:t>Inorg. Chem.</w:t>
      </w:r>
      <w:r>
        <w:rPr>
          <w:rFonts w:ascii="Times New Roman" w:hAnsi="Times New Roman"/>
        </w:rPr>
        <w:t xml:space="preserve"> </w:t>
      </w:r>
      <w:r>
        <w:rPr>
          <w:rFonts w:ascii="Times New Roman" w:hAnsi="Times New Roman"/>
          <w:b/>
          <w:bCs/>
        </w:rPr>
        <w:t>34,</w:t>
      </w:r>
      <w:r>
        <w:rPr>
          <w:rFonts w:ascii="Times New Roman" w:hAnsi="Times New Roman"/>
        </w:rPr>
        <w:t xml:space="preserve"> 6239–6240 (1995).</w:t>
      </w:r>
    </w:p>
    <w:p w14:paraId="651971B6" w14:textId="77777777" w:rsidR="00A074C8" w:rsidRDefault="00A074C8" w:rsidP="00A074C8">
      <w:pPr>
        <w:pStyle w:val="Bibliography"/>
        <w:rPr>
          <w:rFonts w:ascii="Times New Roman" w:hAnsi="Times New Roman"/>
        </w:rPr>
      </w:pPr>
      <w:r>
        <w:rPr>
          <w:rFonts w:ascii="Times New Roman" w:hAnsi="Times New Roman"/>
        </w:rPr>
        <w:t>101.</w:t>
      </w:r>
      <w:r>
        <w:rPr>
          <w:rFonts w:ascii="Times New Roman" w:hAnsi="Times New Roman"/>
        </w:rPr>
        <w:tab/>
        <w:t xml:space="preserve">Gut, I. G. &amp; Wirz, J. 3H-Indol. </w:t>
      </w:r>
      <w:r>
        <w:rPr>
          <w:rFonts w:ascii="Times New Roman" w:hAnsi="Times New Roman"/>
          <w:i/>
          <w:iCs/>
        </w:rPr>
        <w:t>Angew. Chem.</w:t>
      </w:r>
      <w:r>
        <w:rPr>
          <w:rFonts w:ascii="Times New Roman" w:hAnsi="Times New Roman"/>
        </w:rPr>
        <w:t xml:space="preserve"> </w:t>
      </w:r>
      <w:r>
        <w:rPr>
          <w:rFonts w:ascii="Times New Roman" w:hAnsi="Times New Roman"/>
          <w:b/>
          <w:bCs/>
        </w:rPr>
        <w:t>106,</w:t>
      </w:r>
      <w:r>
        <w:rPr>
          <w:rFonts w:ascii="Times New Roman" w:hAnsi="Times New Roman"/>
        </w:rPr>
        <w:t xml:space="preserve"> 1240–1243 (1994).</w:t>
      </w:r>
    </w:p>
    <w:p w14:paraId="1C2C4A2E" w14:textId="77777777" w:rsidR="00A074C8" w:rsidRDefault="00A074C8" w:rsidP="00A074C8">
      <w:pPr>
        <w:pStyle w:val="Bibliography"/>
        <w:rPr>
          <w:rFonts w:ascii="Times New Roman" w:hAnsi="Times New Roman"/>
        </w:rPr>
      </w:pPr>
      <w:r>
        <w:rPr>
          <w:rFonts w:ascii="Times New Roman" w:hAnsi="Times New Roman"/>
        </w:rPr>
        <w:t>102.</w:t>
      </w:r>
      <w:r>
        <w:rPr>
          <w:rFonts w:ascii="Times New Roman" w:hAnsi="Times New Roman"/>
        </w:rPr>
        <w:tab/>
        <w:t xml:space="preserve">Marat, K. </w:t>
      </w:r>
      <w:r>
        <w:rPr>
          <w:rFonts w:ascii="Times New Roman" w:hAnsi="Times New Roman"/>
          <w:i/>
          <w:iCs/>
        </w:rPr>
        <w:t>SpinWorks 4</w:t>
      </w:r>
      <w:r>
        <w:rPr>
          <w:rFonts w:ascii="Times New Roman" w:hAnsi="Times New Roman"/>
        </w:rPr>
        <w:t>. (University of Manitoba : Winnipeg Canada).</w:t>
      </w:r>
    </w:p>
    <w:p w14:paraId="6A26923D" w14:textId="77777777" w:rsidR="00A074C8" w:rsidRDefault="00A074C8" w:rsidP="00A074C8">
      <w:pPr>
        <w:pStyle w:val="Bibliography"/>
        <w:rPr>
          <w:rFonts w:ascii="Times New Roman" w:hAnsi="Times New Roman"/>
        </w:rPr>
      </w:pPr>
      <w:r>
        <w:rPr>
          <w:rFonts w:ascii="Times New Roman" w:hAnsi="Times New Roman"/>
        </w:rPr>
        <w:t>103.</w:t>
      </w:r>
      <w:r>
        <w:rPr>
          <w:rFonts w:ascii="Times New Roman" w:hAnsi="Times New Roman"/>
        </w:rPr>
        <w:tab/>
      </w:r>
      <w:r>
        <w:rPr>
          <w:rFonts w:ascii="Times New Roman" w:hAnsi="Times New Roman"/>
          <w:i/>
          <w:iCs/>
        </w:rPr>
        <w:t>ACD/Structure Elucidator</w:t>
      </w:r>
      <w:r>
        <w:rPr>
          <w:rFonts w:ascii="Times New Roman" w:hAnsi="Times New Roman"/>
        </w:rPr>
        <w:t>. (Advanced Chemistry Development, Inc., 2014).</w:t>
      </w:r>
    </w:p>
    <w:p w14:paraId="64C50B98" w14:textId="77777777" w:rsidR="00A074C8" w:rsidRDefault="00A074C8" w:rsidP="00A074C8">
      <w:pPr>
        <w:pStyle w:val="Bibliography"/>
        <w:rPr>
          <w:rFonts w:ascii="Times New Roman" w:hAnsi="Times New Roman"/>
        </w:rPr>
      </w:pPr>
      <w:r>
        <w:rPr>
          <w:rFonts w:ascii="Times New Roman" w:hAnsi="Times New Roman"/>
        </w:rPr>
        <w:t>104.</w:t>
      </w:r>
      <w:r>
        <w:rPr>
          <w:rFonts w:ascii="Times New Roman" w:hAnsi="Times New Roman"/>
        </w:rPr>
        <w:tab/>
        <w:t xml:space="preserve">Diels, O. &amp; Alder, K. Synthesen in der hydroaromatischen Reihe. </w:t>
      </w:r>
      <w:r>
        <w:rPr>
          <w:rFonts w:ascii="Times New Roman" w:hAnsi="Times New Roman"/>
          <w:i/>
          <w:iCs/>
        </w:rPr>
        <w:t>Justus Liebigs Ann. Chem.</w:t>
      </w:r>
      <w:r>
        <w:rPr>
          <w:rFonts w:ascii="Times New Roman" w:hAnsi="Times New Roman"/>
        </w:rPr>
        <w:t xml:space="preserve"> </w:t>
      </w:r>
      <w:r>
        <w:rPr>
          <w:rFonts w:ascii="Times New Roman" w:hAnsi="Times New Roman"/>
          <w:b/>
          <w:bCs/>
        </w:rPr>
        <w:t>460,</w:t>
      </w:r>
      <w:r>
        <w:rPr>
          <w:rFonts w:ascii="Times New Roman" w:hAnsi="Times New Roman"/>
        </w:rPr>
        <w:t xml:space="preserve"> 98–122 (1928).</w:t>
      </w:r>
    </w:p>
    <w:p w14:paraId="765AB376" w14:textId="77777777" w:rsidR="00A074C8" w:rsidRDefault="00A074C8" w:rsidP="00A074C8">
      <w:pPr>
        <w:pStyle w:val="Bibliography"/>
        <w:rPr>
          <w:rFonts w:ascii="Times New Roman" w:hAnsi="Times New Roman"/>
        </w:rPr>
      </w:pPr>
      <w:r>
        <w:rPr>
          <w:rFonts w:ascii="Times New Roman" w:hAnsi="Times New Roman"/>
        </w:rPr>
        <w:t>105.</w:t>
      </w:r>
      <w:r>
        <w:rPr>
          <w:rFonts w:ascii="Times New Roman" w:hAnsi="Times New Roman"/>
        </w:rPr>
        <w:tab/>
        <w:t xml:space="preserve">Grieco, P. A. &amp; Larsen, S. D. Iminium Ion-Based Diels–Alder Reactions: N-Benzyl-2-Azanorborene. </w:t>
      </w:r>
      <w:r>
        <w:rPr>
          <w:rFonts w:ascii="Times New Roman" w:hAnsi="Times New Roman"/>
          <w:i/>
          <w:iCs/>
        </w:rPr>
        <w:t>Org. Synth.</w:t>
      </w:r>
      <w:r>
        <w:rPr>
          <w:rFonts w:ascii="Times New Roman" w:hAnsi="Times New Roman"/>
        </w:rPr>
        <w:t xml:space="preserve"> </w:t>
      </w:r>
      <w:r>
        <w:rPr>
          <w:rFonts w:ascii="Times New Roman" w:hAnsi="Times New Roman"/>
          <w:b/>
          <w:bCs/>
        </w:rPr>
        <w:t>68,</w:t>
      </w:r>
      <w:r>
        <w:rPr>
          <w:rFonts w:ascii="Times New Roman" w:hAnsi="Times New Roman"/>
        </w:rPr>
        <w:t xml:space="preserve"> 206 (1990).</w:t>
      </w:r>
    </w:p>
    <w:p w14:paraId="10A3AFA1" w14:textId="77777777" w:rsidR="00A074C8" w:rsidRDefault="00A074C8" w:rsidP="00A074C8">
      <w:pPr>
        <w:pStyle w:val="Bibliography"/>
        <w:rPr>
          <w:rFonts w:ascii="Times New Roman" w:hAnsi="Times New Roman"/>
        </w:rPr>
      </w:pPr>
      <w:r>
        <w:rPr>
          <w:rFonts w:ascii="Times New Roman" w:hAnsi="Times New Roman"/>
        </w:rPr>
        <w:t>106.</w:t>
      </w:r>
      <w:r>
        <w:rPr>
          <w:rFonts w:ascii="Times New Roman" w:hAnsi="Times New Roman"/>
        </w:rPr>
        <w:tab/>
        <w:t xml:space="preserve">Roush, W. R. in </w:t>
      </w:r>
      <w:r>
        <w:rPr>
          <w:rFonts w:ascii="Times New Roman" w:hAnsi="Times New Roman"/>
          <w:i/>
          <w:iCs/>
        </w:rPr>
        <w:t>Comprehensive Organic Synthesis</w:t>
      </w:r>
      <w:r>
        <w:rPr>
          <w:rFonts w:ascii="Times New Roman" w:hAnsi="Times New Roman"/>
        </w:rPr>
        <w:t xml:space="preserve"> (ed. Fleming, I.) 513–550 (Pergamon, 1991).</w:t>
      </w:r>
    </w:p>
    <w:p w14:paraId="72956D68" w14:textId="77777777" w:rsidR="00A074C8" w:rsidRDefault="00A074C8" w:rsidP="00A074C8">
      <w:pPr>
        <w:pStyle w:val="Bibliography"/>
        <w:rPr>
          <w:rFonts w:ascii="Times New Roman" w:hAnsi="Times New Roman"/>
        </w:rPr>
      </w:pPr>
      <w:r>
        <w:rPr>
          <w:rFonts w:ascii="Times New Roman" w:hAnsi="Times New Roman"/>
        </w:rPr>
        <w:t>107.</w:t>
      </w:r>
      <w:r>
        <w:rPr>
          <w:rFonts w:ascii="Times New Roman" w:hAnsi="Times New Roman"/>
        </w:rPr>
        <w:tab/>
        <w:t xml:space="preserve">Tang, Y. </w:t>
      </w:r>
      <w:r>
        <w:rPr>
          <w:rFonts w:ascii="Times New Roman" w:hAnsi="Times New Roman"/>
          <w:i/>
          <w:iCs/>
        </w:rPr>
        <w:t>et al.</w:t>
      </w:r>
      <w:r>
        <w:rPr>
          <w:rFonts w:ascii="Times New Roman" w:hAnsi="Times New Roman"/>
        </w:rPr>
        <w:t xml:space="preserve"> Strategies and approaches for constructing 1-oxadecalins. </w:t>
      </w:r>
      <w:r>
        <w:rPr>
          <w:rFonts w:ascii="Times New Roman" w:hAnsi="Times New Roman"/>
          <w:i/>
          <w:iCs/>
        </w:rPr>
        <w:t>Tetrahedron</w:t>
      </w:r>
      <w:r>
        <w:rPr>
          <w:rFonts w:ascii="Times New Roman" w:hAnsi="Times New Roman"/>
        </w:rPr>
        <w:t xml:space="preserve"> </w:t>
      </w:r>
      <w:r>
        <w:rPr>
          <w:rFonts w:ascii="Times New Roman" w:hAnsi="Times New Roman"/>
          <w:b/>
          <w:bCs/>
        </w:rPr>
        <w:t>62,</w:t>
      </w:r>
      <w:r>
        <w:rPr>
          <w:rFonts w:ascii="Times New Roman" w:hAnsi="Times New Roman"/>
        </w:rPr>
        <w:t xml:space="preserve"> 10785–10813 (2006).</w:t>
      </w:r>
    </w:p>
    <w:p w14:paraId="69931847" w14:textId="77777777" w:rsidR="00A074C8" w:rsidRDefault="00A074C8" w:rsidP="00A074C8">
      <w:pPr>
        <w:pStyle w:val="Bibliography"/>
        <w:rPr>
          <w:rFonts w:ascii="Times New Roman" w:hAnsi="Times New Roman"/>
        </w:rPr>
      </w:pPr>
      <w:r>
        <w:rPr>
          <w:rFonts w:ascii="Times New Roman" w:hAnsi="Times New Roman"/>
        </w:rPr>
        <w:t>108.</w:t>
      </w:r>
      <w:r>
        <w:rPr>
          <w:rFonts w:ascii="Times New Roman" w:hAnsi="Times New Roman"/>
        </w:rPr>
        <w:tab/>
        <w:t xml:space="preserve">Jung, E. J., Park, B. H. &amp; Lee, Y. R. Environmentally benign, one-pot synthesis of pyrans by domino Knoevenagel/6π-electrocyclization in water and application to natural products. </w:t>
      </w:r>
      <w:r>
        <w:rPr>
          <w:rFonts w:ascii="Times New Roman" w:hAnsi="Times New Roman"/>
          <w:i/>
          <w:iCs/>
        </w:rPr>
        <w:t>Green Chem.</w:t>
      </w:r>
      <w:r>
        <w:rPr>
          <w:rFonts w:ascii="Times New Roman" w:hAnsi="Times New Roman"/>
        </w:rPr>
        <w:t xml:space="preserve"> </w:t>
      </w:r>
      <w:r>
        <w:rPr>
          <w:rFonts w:ascii="Times New Roman" w:hAnsi="Times New Roman"/>
          <w:b/>
          <w:bCs/>
        </w:rPr>
        <w:t>12,</w:t>
      </w:r>
      <w:r>
        <w:rPr>
          <w:rFonts w:ascii="Times New Roman" w:hAnsi="Times New Roman"/>
        </w:rPr>
        <w:t xml:space="preserve"> 2003–2011 (2010).</w:t>
      </w:r>
    </w:p>
    <w:p w14:paraId="4B175267" w14:textId="77777777" w:rsidR="00A074C8" w:rsidRDefault="00A074C8" w:rsidP="00A074C8">
      <w:pPr>
        <w:pStyle w:val="Bibliography"/>
        <w:rPr>
          <w:rFonts w:ascii="Times New Roman" w:hAnsi="Times New Roman"/>
        </w:rPr>
      </w:pPr>
      <w:r>
        <w:rPr>
          <w:rFonts w:ascii="Times New Roman" w:hAnsi="Times New Roman"/>
        </w:rPr>
        <w:t>109.</w:t>
      </w:r>
      <w:r>
        <w:rPr>
          <w:rFonts w:ascii="Times New Roman" w:hAnsi="Times New Roman"/>
        </w:rPr>
        <w:tab/>
        <w:t xml:space="preserve">Kumar, S. </w:t>
      </w:r>
      <w:r>
        <w:rPr>
          <w:rFonts w:ascii="Times New Roman" w:hAnsi="Times New Roman"/>
          <w:i/>
          <w:iCs/>
        </w:rPr>
        <w:t>et al.</w:t>
      </w:r>
      <w:r>
        <w:rPr>
          <w:rFonts w:ascii="Times New Roman" w:hAnsi="Times New Roman"/>
        </w:rPr>
        <w:t xml:space="preserve"> Synthesis, Photochromic Properties, and Light-Controlled Metal Complexation of a Naphthopyran Derivative. </w:t>
      </w:r>
      <w:r>
        <w:rPr>
          <w:rFonts w:ascii="Times New Roman" w:hAnsi="Times New Roman"/>
          <w:i/>
          <w:iCs/>
        </w:rPr>
        <w:t>Org. Lett.</w:t>
      </w:r>
      <w:r>
        <w:rPr>
          <w:rFonts w:ascii="Times New Roman" w:hAnsi="Times New Roman"/>
        </w:rPr>
        <w:t xml:space="preserve"> </w:t>
      </w:r>
      <w:r>
        <w:rPr>
          <w:rFonts w:ascii="Times New Roman" w:hAnsi="Times New Roman"/>
          <w:b/>
          <w:bCs/>
        </w:rPr>
        <w:t>10,</w:t>
      </w:r>
      <w:r>
        <w:rPr>
          <w:rFonts w:ascii="Times New Roman" w:hAnsi="Times New Roman"/>
        </w:rPr>
        <w:t xml:space="preserve"> 3761–3764 (2008).</w:t>
      </w:r>
    </w:p>
    <w:p w14:paraId="58C127DC" w14:textId="77777777" w:rsidR="00A074C8" w:rsidRDefault="00A074C8" w:rsidP="00A074C8">
      <w:pPr>
        <w:pStyle w:val="Bibliography"/>
        <w:rPr>
          <w:rFonts w:ascii="Times New Roman" w:hAnsi="Times New Roman"/>
        </w:rPr>
      </w:pPr>
      <w:r>
        <w:rPr>
          <w:rFonts w:ascii="Times New Roman" w:hAnsi="Times New Roman"/>
        </w:rPr>
        <w:t>110.</w:t>
      </w:r>
      <w:r>
        <w:rPr>
          <w:rFonts w:ascii="Times New Roman" w:hAnsi="Times New Roman"/>
        </w:rPr>
        <w:tab/>
        <w:t xml:space="preserve">Rawat, M., Prutyanov, V. &amp; Wulff, W. D. Chromene Chromium Carbene Complexes in the Syntheses of Naphthopyran and Naphthopyrandione Units Present in Photochromic Materials and Biologically Active Natural Products. </w:t>
      </w:r>
      <w:r>
        <w:rPr>
          <w:rFonts w:ascii="Times New Roman" w:hAnsi="Times New Roman"/>
          <w:i/>
          <w:iCs/>
        </w:rPr>
        <w:t>J. Am. Chem. Soc.</w:t>
      </w:r>
      <w:r>
        <w:rPr>
          <w:rFonts w:ascii="Times New Roman" w:hAnsi="Times New Roman"/>
        </w:rPr>
        <w:t xml:space="preserve"> </w:t>
      </w:r>
      <w:r>
        <w:rPr>
          <w:rFonts w:ascii="Times New Roman" w:hAnsi="Times New Roman"/>
          <w:b/>
          <w:bCs/>
        </w:rPr>
        <w:t>128,</w:t>
      </w:r>
      <w:r>
        <w:rPr>
          <w:rFonts w:ascii="Times New Roman" w:hAnsi="Times New Roman"/>
        </w:rPr>
        <w:t xml:space="preserve"> 11044–11053 (2006).</w:t>
      </w:r>
    </w:p>
    <w:p w14:paraId="05231916" w14:textId="77777777" w:rsidR="00A074C8" w:rsidRDefault="00A074C8" w:rsidP="00A074C8">
      <w:pPr>
        <w:pStyle w:val="Bibliography"/>
        <w:rPr>
          <w:rFonts w:ascii="Times New Roman" w:hAnsi="Times New Roman"/>
        </w:rPr>
      </w:pPr>
      <w:r>
        <w:rPr>
          <w:rFonts w:ascii="Times New Roman" w:hAnsi="Times New Roman"/>
        </w:rPr>
        <w:t>111.</w:t>
      </w:r>
      <w:r>
        <w:rPr>
          <w:rFonts w:ascii="Times New Roman" w:hAnsi="Times New Roman"/>
        </w:rPr>
        <w:tab/>
        <w:t xml:space="preserve">Delbaere, S., Micheau, J.-C. &amp; Vermeersch, G. NMR Kinetic Investigations of the Photochemical and Thermal Reactions of a Photochromic Chromene. </w:t>
      </w:r>
      <w:r>
        <w:rPr>
          <w:rFonts w:ascii="Times New Roman" w:hAnsi="Times New Roman"/>
          <w:i/>
          <w:iCs/>
        </w:rPr>
        <w:t>J. Org. Chem.</w:t>
      </w:r>
      <w:r>
        <w:rPr>
          <w:rFonts w:ascii="Times New Roman" w:hAnsi="Times New Roman"/>
        </w:rPr>
        <w:t xml:space="preserve"> </w:t>
      </w:r>
      <w:r>
        <w:rPr>
          <w:rFonts w:ascii="Times New Roman" w:hAnsi="Times New Roman"/>
          <w:b/>
          <w:bCs/>
        </w:rPr>
        <w:t>68,</w:t>
      </w:r>
      <w:r>
        <w:rPr>
          <w:rFonts w:ascii="Times New Roman" w:hAnsi="Times New Roman"/>
        </w:rPr>
        <w:t xml:space="preserve"> 8968–8973 (2003).</w:t>
      </w:r>
    </w:p>
    <w:p w14:paraId="2E8625A1" w14:textId="77777777" w:rsidR="00A074C8" w:rsidRDefault="00A074C8" w:rsidP="00A074C8">
      <w:pPr>
        <w:pStyle w:val="Bibliography"/>
        <w:rPr>
          <w:rFonts w:ascii="Times New Roman" w:hAnsi="Times New Roman"/>
        </w:rPr>
      </w:pPr>
      <w:r>
        <w:rPr>
          <w:rFonts w:ascii="Times New Roman" w:hAnsi="Times New Roman"/>
        </w:rPr>
        <w:t>112.</w:t>
      </w:r>
      <w:r>
        <w:rPr>
          <w:rFonts w:ascii="Times New Roman" w:hAnsi="Times New Roman"/>
        </w:rPr>
        <w:tab/>
        <w:t xml:space="preserve">McKee, T. C. </w:t>
      </w:r>
      <w:r>
        <w:rPr>
          <w:rFonts w:ascii="Times New Roman" w:hAnsi="Times New Roman"/>
          <w:i/>
          <w:iCs/>
        </w:rPr>
        <w:t>et al.</w:t>
      </w:r>
      <w:r>
        <w:rPr>
          <w:rFonts w:ascii="Times New Roman" w:hAnsi="Times New Roman"/>
        </w:rPr>
        <w:t xml:space="preserve"> New Pyranocoumarins Isolated from Calophyllum lanigerum and Calophyllum teysmannii. </w:t>
      </w:r>
      <w:r>
        <w:rPr>
          <w:rFonts w:ascii="Times New Roman" w:hAnsi="Times New Roman"/>
          <w:i/>
          <w:iCs/>
        </w:rPr>
        <w:t>J. Nat. Prod.</w:t>
      </w:r>
      <w:r>
        <w:rPr>
          <w:rFonts w:ascii="Times New Roman" w:hAnsi="Times New Roman"/>
        </w:rPr>
        <w:t xml:space="preserve"> </w:t>
      </w:r>
      <w:r>
        <w:rPr>
          <w:rFonts w:ascii="Times New Roman" w:hAnsi="Times New Roman"/>
          <w:b/>
          <w:bCs/>
        </w:rPr>
        <w:t>59,</w:t>
      </w:r>
      <w:r>
        <w:rPr>
          <w:rFonts w:ascii="Times New Roman" w:hAnsi="Times New Roman"/>
        </w:rPr>
        <w:t xml:space="preserve"> 754–758 (1996).</w:t>
      </w:r>
    </w:p>
    <w:p w14:paraId="6B5E53A6" w14:textId="77777777" w:rsidR="00A074C8" w:rsidRPr="00A074C8" w:rsidRDefault="00A074C8" w:rsidP="00A074C8">
      <w:pPr>
        <w:pStyle w:val="Bibliography"/>
        <w:rPr>
          <w:rFonts w:ascii="Times New Roman" w:hAnsi="Times New Roman"/>
          <w:lang w:val="fr-FR"/>
        </w:rPr>
      </w:pPr>
      <w:r>
        <w:rPr>
          <w:rFonts w:ascii="Times New Roman" w:hAnsi="Times New Roman"/>
        </w:rPr>
        <w:t>113.</w:t>
      </w:r>
      <w:r>
        <w:rPr>
          <w:rFonts w:ascii="Times New Roman" w:hAnsi="Times New Roman"/>
        </w:rPr>
        <w:tab/>
        <w:t xml:space="preserve">McKee, T. C. </w:t>
      </w:r>
      <w:r>
        <w:rPr>
          <w:rFonts w:ascii="Times New Roman" w:hAnsi="Times New Roman"/>
          <w:i/>
          <w:iCs/>
        </w:rPr>
        <w:t>et al.</w:t>
      </w:r>
      <w:r>
        <w:rPr>
          <w:rFonts w:ascii="Times New Roman" w:hAnsi="Times New Roman"/>
        </w:rPr>
        <w:t xml:space="preserve"> Pyranocoumarins from Tropical Species of the Genus Calophyllum:  A Chemotaxonomic Study of Extracts in the National Cancer Institute Collection. </w:t>
      </w:r>
      <w:r w:rsidRPr="00686DC2">
        <w:rPr>
          <w:rFonts w:ascii="Times New Roman" w:hAnsi="Times New Roman"/>
          <w:i/>
          <w:iCs/>
          <w:lang w:val="fr-FR"/>
        </w:rPr>
        <w:t xml:space="preserve">J. Nat. </w:t>
      </w:r>
      <w:r w:rsidRPr="00A074C8">
        <w:rPr>
          <w:rFonts w:ascii="Times New Roman" w:hAnsi="Times New Roman"/>
          <w:i/>
          <w:iCs/>
          <w:lang w:val="fr-FR"/>
        </w:rPr>
        <w:t>Prod.</w:t>
      </w:r>
      <w:r w:rsidRPr="00A074C8">
        <w:rPr>
          <w:rFonts w:ascii="Times New Roman" w:hAnsi="Times New Roman"/>
          <w:lang w:val="fr-FR"/>
        </w:rPr>
        <w:t xml:space="preserve"> </w:t>
      </w:r>
      <w:r w:rsidRPr="00A074C8">
        <w:rPr>
          <w:rFonts w:ascii="Times New Roman" w:hAnsi="Times New Roman"/>
          <w:b/>
          <w:bCs/>
          <w:lang w:val="fr-FR"/>
        </w:rPr>
        <w:t>61,</w:t>
      </w:r>
      <w:r w:rsidRPr="00A074C8">
        <w:rPr>
          <w:rFonts w:ascii="Times New Roman" w:hAnsi="Times New Roman"/>
          <w:lang w:val="fr-FR"/>
        </w:rPr>
        <w:t xml:space="preserve"> 1252–1256 (1998).</w:t>
      </w:r>
    </w:p>
    <w:p w14:paraId="1CBBF00F" w14:textId="77777777" w:rsidR="00A074C8" w:rsidRPr="00A074C8" w:rsidRDefault="00A074C8" w:rsidP="00A074C8">
      <w:pPr>
        <w:pStyle w:val="Bibliography"/>
        <w:rPr>
          <w:rFonts w:ascii="Times New Roman" w:hAnsi="Times New Roman"/>
          <w:lang w:val="fr-FR"/>
        </w:rPr>
      </w:pPr>
      <w:r w:rsidRPr="00A074C8">
        <w:rPr>
          <w:rFonts w:ascii="Times New Roman" w:hAnsi="Times New Roman"/>
          <w:lang w:val="fr-FR"/>
        </w:rPr>
        <w:t>114.</w:t>
      </w:r>
      <w:r w:rsidRPr="00A074C8">
        <w:rPr>
          <w:rFonts w:ascii="Times New Roman" w:hAnsi="Times New Roman"/>
          <w:lang w:val="fr-FR"/>
        </w:rPr>
        <w:tab/>
        <w:t xml:space="preserve">Stambouli, A., Chastrette, M. &amp; Soufiaoui, M. Reactions de cycloaddition [4 + 2] sous micro - ondes des derives du glyoxal. </w:t>
      </w:r>
      <w:r w:rsidRPr="00A074C8">
        <w:rPr>
          <w:rFonts w:ascii="Times New Roman" w:hAnsi="Times New Roman"/>
          <w:i/>
          <w:iCs/>
          <w:lang w:val="fr-FR"/>
        </w:rPr>
        <w:t>Tetrahedron Lett.</w:t>
      </w:r>
      <w:r w:rsidRPr="00A074C8">
        <w:rPr>
          <w:rFonts w:ascii="Times New Roman" w:hAnsi="Times New Roman"/>
          <w:lang w:val="fr-FR"/>
        </w:rPr>
        <w:t xml:space="preserve"> </w:t>
      </w:r>
      <w:r w:rsidRPr="00A074C8">
        <w:rPr>
          <w:rFonts w:ascii="Times New Roman" w:hAnsi="Times New Roman"/>
          <w:b/>
          <w:bCs/>
          <w:lang w:val="fr-FR"/>
        </w:rPr>
        <w:t>32,</w:t>
      </w:r>
      <w:r w:rsidRPr="00A074C8">
        <w:rPr>
          <w:rFonts w:ascii="Times New Roman" w:hAnsi="Times New Roman"/>
          <w:lang w:val="fr-FR"/>
        </w:rPr>
        <w:t xml:space="preserve"> 1723–1724 (1991).</w:t>
      </w:r>
    </w:p>
    <w:p w14:paraId="70F52086" w14:textId="77777777" w:rsidR="00A074C8" w:rsidRDefault="00A074C8" w:rsidP="00A074C8">
      <w:pPr>
        <w:pStyle w:val="Bibliography"/>
        <w:rPr>
          <w:rFonts w:ascii="Times New Roman" w:hAnsi="Times New Roman"/>
        </w:rPr>
      </w:pPr>
      <w:r w:rsidRPr="00A074C8">
        <w:rPr>
          <w:rFonts w:ascii="Times New Roman" w:hAnsi="Times New Roman"/>
          <w:lang w:val="fr-FR"/>
        </w:rPr>
        <w:t>115.</w:t>
      </w:r>
      <w:r w:rsidRPr="00A074C8">
        <w:rPr>
          <w:rFonts w:ascii="Times New Roman" w:hAnsi="Times New Roman"/>
          <w:lang w:val="fr-FR"/>
        </w:rPr>
        <w:tab/>
        <w:t xml:space="preserve">Garrigues, B., Laurent, R., Laporte, C., Laporterie, A. &amp; Dubac, J. Microwave-Assisted Carbonyl Diels-Alder and Carbonyl-Ene Reactions Supported on Graphite. </w:t>
      </w:r>
      <w:r>
        <w:rPr>
          <w:rFonts w:ascii="Times New Roman" w:hAnsi="Times New Roman"/>
          <w:i/>
          <w:iCs/>
        </w:rPr>
        <w:t>Liebigs Ann.</w:t>
      </w:r>
      <w:r>
        <w:rPr>
          <w:rFonts w:ascii="Times New Roman" w:hAnsi="Times New Roman"/>
        </w:rPr>
        <w:t xml:space="preserve"> </w:t>
      </w:r>
      <w:r>
        <w:rPr>
          <w:rFonts w:ascii="Times New Roman" w:hAnsi="Times New Roman"/>
          <w:b/>
          <w:bCs/>
        </w:rPr>
        <w:t>1996,</w:t>
      </w:r>
      <w:r>
        <w:rPr>
          <w:rFonts w:ascii="Times New Roman" w:hAnsi="Times New Roman"/>
        </w:rPr>
        <w:t xml:space="preserve"> 743–744 (1996).</w:t>
      </w:r>
    </w:p>
    <w:p w14:paraId="06EDB3E9" w14:textId="77777777" w:rsidR="00A074C8" w:rsidRDefault="00A074C8" w:rsidP="00A074C8">
      <w:pPr>
        <w:pStyle w:val="Bibliography"/>
        <w:rPr>
          <w:rFonts w:ascii="Times New Roman" w:hAnsi="Times New Roman"/>
        </w:rPr>
      </w:pPr>
      <w:r>
        <w:rPr>
          <w:rFonts w:ascii="Times New Roman" w:hAnsi="Times New Roman"/>
        </w:rPr>
        <w:t>116.</w:t>
      </w:r>
      <w:r>
        <w:rPr>
          <w:rFonts w:ascii="Times New Roman" w:hAnsi="Times New Roman"/>
        </w:rPr>
        <w:tab/>
        <w:t xml:space="preserve">in </w:t>
      </w:r>
      <w:r>
        <w:rPr>
          <w:rFonts w:ascii="Times New Roman" w:hAnsi="Times New Roman"/>
          <w:i/>
          <w:iCs/>
        </w:rPr>
        <w:t>Organic Chemistry</w:t>
      </w:r>
      <w:r>
        <w:rPr>
          <w:rFonts w:ascii="Times New Roman" w:hAnsi="Times New Roman"/>
        </w:rPr>
        <w:t xml:space="preserve"> (ed. Weinreb, D. L. B. and S. M.) </w:t>
      </w:r>
      <w:r>
        <w:rPr>
          <w:rFonts w:ascii="Times New Roman" w:hAnsi="Times New Roman"/>
          <w:b/>
          <w:bCs/>
        </w:rPr>
        <w:t>47,</w:t>
      </w:r>
      <w:r>
        <w:rPr>
          <w:rFonts w:ascii="Times New Roman" w:hAnsi="Times New Roman"/>
        </w:rPr>
        <w:t xml:space="preserve"> 94–119 (Elsevier, 1987).</w:t>
      </w:r>
    </w:p>
    <w:p w14:paraId="681BB59A" w14:textId="77777777" w:rsidR="00A074C8" w:rsidRDefault="00A074C8" w:rsidP="00A074C8">
      <w:pPr>
        <w:pStyle w:val="Bibliography"/>
        <w:rPr>
          <w:rFonts w:ascii="Times New Roman" w:hAnsi="Times New Roman"/>
        </w:rPr>
      </w:pPr>
      <w:r>
        <w:rPr>
          <w:rFonts w:ascii="Times New Roman" w:hAnsi="Times New Roman"/>
        </w:rPr>
        <w:t>117.</w:t>
      </w:r>
      <w:r>
        <w:rPr>
          <w:rFonts w:ascii="Times New Roman" w:hAnsi="Times New Roman"/>
        </w:rPr>
        <w:tab/>
        <w:t xml:space="preserve">Johannsen, M. &amp; Joergensen, K. A. Asymmetric hetero Diels-Alder reactions and ene reactions catalyzed by chiral copper(II) complexes. </w:t>
      </w:r>
      <w:r>
        <w:rPr>
          <w:rFonts w:ascii="Times New Roman" w:hAnsi="Times New Roman"/>
          <w:i/>
          <w:iCs/>
        </w:rPr>
        <w:t>J. Org. Chem.</w:t>
      </w:r>
      <w:r>
        <w:rPr>
          <w:rFonts w:ascii="Times New Roman" w:hAnsi="Times New Roman"/>
        </w:rPr>
        <w:t xml:space="preserve"> </w:t>
      </w:r>
      <w:r>
        <w:rPr>
          <w:rFonts w:ascii="Times New Roman" w:hAnsi="Times New Roman"/>
          <w:b/>
          <w:bCs/>
        </w:rPr>
        <w:t>60,</w:t>
      </w:r>
      <w:r>
        <w:rPr>
          <w:rFonts w:ascii="Times New Roman" w:hAnsi="Times New Roman"/>
        </w:rPr>
        <w:t xml:space="preserve"> 5757–5762 (1995).</w:t>
      </w:r>
    </w:p>
    <w:p w14:paraId="0A12CB7C" w14:textId="77777777" w:rsidR="00A074C8" w:rsidRPr="00A074C8" w:rsidRDefault="00A074C8" w:rsidP="00A074C8">
      <w:pPr>
        <w:pStyle w:val="Bibliography"/>
        <w:rPr>
          <w:rFonts w:ascii="Times New Roman" w:hAnsi="Times New Roman"/>
          <w:lang w:val="fr-FR"/>
        </w:rPr>
      </w:pPr>
      <w:r>
        <w:rPr>
          <w:rFonts w:ascii="Times New Roman" w:hAnsi="Times New Roman"/>
        </w:rPr>
        <w:t>118.</w:t>
      </w:r>
      <w:r>
        <w:rPr>
          <w:rFonts w:ascii="Times New Roman" w:hAnsi="Times New Roman"/>
        </w:rPr>
        <w:tab/>
        <w:t xml:space="preserve">Evans, D. A., Tregay, S. W., Burgey, C. S., Paras, N. A. &amp; Vojkovsky, T. C2-Symmetric Copper(II) Complexes as Chiral Lewis Acids. Catalytic Enantioselective Carbonyl−Ene Reactions with Glyoxylate and Pyruvate Esters. </w:t>
      </w:r>
      <w:r w:rsidRPr="00A074C8">
        <w:rPr>
          <w:rFonts w:ascii="Times New Roman" w:hAnsi="Times New Roman"/>
          <w:i/>
          <w:iCs/>
          <w:lang w:val="fr-FR"/>
        </w:rPr>
        <w:t>J. Am. Chem. Soc.</w:t>
      </w:r>
      <w:r w:rsidRPr="00A074C8">
        <w:rPr>
          <w:rFonts w:ascii="Times New Roman" w:hAnsi="Times New Roman"/>
          <w:lang w:val="fr-FR"/>
        </w:rPr>
        <w:t xml:space="preserve"> </w:t>
      </w:r>
      <w:r w:rsidRPr="00A074C8">
        <w:rPr>
          <w:rFonts w:ascii="Times New Roman" w:hAnsi="Times New Roman"/>
          <w:b/>
          <w:bCs/>
          <w:lang w:val="fr-FR"/>
        </w:rPr>
        <w:t>122,</w:t>
      </w:r>
      <w:r w:rsidRPr="00A074C8">
        <w:rPr>
          <w:rFonts w:ascii="Times New Roman" w:hAnsi="Times New Roman"/>
          <w:lang w:val="fr-FR"/>
        </w:rPr>
        <w:t xml:space="preserve"> 7936–7943 (2000).</w:t>
      </w:r>
    </w:p>
    <w:p w14:paraId="0E15152A" w14:textId="77777777" w:rsidR="00A074C8" w:rsidRDefault="00A074C8" w:rsidP="00A074C8">
      <w:pPr>
        <w:pStyle w:val="Bibliography"/>
        <w:rPr>
          <w:rFonts w:ascii="Times New Roman" w:hAnsi="Times New Roman"/>
        </w:rPr>
      </w:pPr>
      <w:r w:rsidRPr="00A074C8">
        <w:rPr>
          <w:rFonts w:ascii="Times New Roman" w:hAnsi="Times New Roman"/>
          <w:lang w:val="fr-FR"/>
        </w:rPr>
        <w:t>119.</w:t>
      </w:r>
      <w:r w:rsidRPr="00A074C8">
        <w:rPr>
          <w:rFonts w:ascii="Times New Roman" w:hAnsi="Times New Roman"/>
          <w:lang w:val="fr-FR"/>
        </w:rPr>
        <w:tab/>
        <w:t xml:space="preserve">Jankowski, K. &amp; Luce, R. Reactions de quelques dienes avec le pyruvate dðhyle en presence de AlCl3. </w:t>
      </w:r>
      <w:r>
        <w:rPr>
          <w:rFonts w:ascii="Times New Roman" w:hAnsi="Times New Roman"/>
          <w:i/>
          <w:iCs/>
        </w:rPr>
        <w:t>Tetrahedron Lett.</w:t>
      </w:r>
      <w:r>
        <w:rPr>
          <w:rFonts w:ascii="Times New Roman" w:hAnsi="Times New Roman"/>
        </w:rPr>
        <w:t xml:space="preserve"> </w:t>
      </w:r>
      <w:r>
        <w:rPr>
          <w:rFonts w:ascii="Times New Roman" w:hAnsi="Times New Roman"/>
          <w:b/>
          <w:bCs/>
        </w:rPr>
        <w:t>15,</w:t>
      </w:r>
      <w:r>
        <w:rPr>
          <w:rFonts w:ascii="Times New Roman" w:hAnsi="Times New Roman"/>
        </w:rPr>
        <w:t xml:space="preserve"> 2069–2071 (1974).</w:t>
      </w:r>
    </w:p>
    <w:p w14:paraId="59D999D0" w14:textId="77777777" w:rsidR="00A074C8" w:rsidRDefault="00A074C8" w:rsidP="00A074C8">
      <w:pPr>
        <w:pStyle w:val="Bibliography"/>
        <w:rPr>
          <w:rFonts w:ascii="Times New Roman" w:hAnsi="Times New Roman"/>
        </w:rPr>
      </w:pPr>
      <w:r>
        <w:rPr>
          <w:rFonts w:ascii="Times New Roman" w:hAnsi="Times New Roman"/>
        </w:rPr>
        <w:t>120.</w:t>
      </w:r>
      <w:r>
        <w:rPr>
          <w:rFonts w:ascii="Times New Roman" w:hAnsi="Times New Roman"/>
        </w:rPr>
        <w:tab/>
        <w:t xml:space="preserve">Aggarwal, V. K., Vennall, G. P., Davey, P. N. &amp; Newman, C. Trifluoromethanesulfonic Acid, an Efficient Catalyst for the Hetero Diels-Alder Reaction and an Improved Synthesis of Mefrosol. </w:t>
      </w:r>
      <w:r>
        <w:rPr>
          <w:rFonts w:ascii="Times New Roman" w:hAnsi="Times New Roman"/>
          <w:i/>
          <w:iCs/>
        </w:rPr>
        <w:t>Tetrahedron Lett.</w:t>
      </w:r>
      <w:r>
        <w:rPr>
          <w:rFonts w:ascii="Times New Roman" w:hAnsi="Times New Roman"/>
        </w:rPr>
        <w:t xml:space="preserve"> </w:t>
      </w:r>
      <w:r>
        <w:rPr>
          <w:rFonts w:ascii="Times New Roman" w:hAnsi="Times New Roman"/>
          <w:b/>
          <w:bCs/>
        </w:rPr>
        <w:t>38,</w:t>
      </w:r>
      <w:r>
        <w:rPr>
          <w:rFonts w:ascii="Times New Roman" w:hAnsi="Times New Roman"/>
        </w:rPr>
        <w:t xml:space="preserve"> 2569–2572 (1997).</w:t>
      </w:r>
    </w:p>
    <w:p w14:paraId="0BEEAB30" w14:textId="77777777" w:rsidR="00A074C8" w:rsidRDefault="00A074C8" w:rsidP="00A074C8">
      <w:pPr>
        <w:pStyle w:val="Bibliography"/>
        <w:rPr>
          <w:rFonts w:ascii="Times New Roman" w:hAnsi="Times New Roman"/>
        </w:rPr>
      </w:pPr>
      <w:r>
        <w:rPr>
          <w:rFonts w:ascii="Times New Roman" w:hAnsi="Times New Roman"/>
        </w:rPr>
        <w:t>121.</w:t>
      </w:r>
      <w:r>
        <w:rPr>
          <w:rFonts w:ascii="Times New Roman" w:hAnsi="Times New Roman"/>
        </w:rPr>
        <w:tab/>
        <w:t xml:space="preserve">Dintzner, M. R. </w:t>
      </w:r>
      <w:r>
        <w:rPr>
          <w:rFonts w:ascii="Times New Roman" w:hAnsi="Times New Roman"/>
          <w:i/>
          <w:iCs/>
        </w:rPr>
        <w:t>et al.</w:t>
      </w:r>
      <w:r>
        <w:rPr>
          <w:rFonts w:ascii="Times New Roman" w:hAnsi="Times New Roman"/>
        </w:rPr>
        <w:t xml:space="preserve"> Montmorillonite clay-catalyzed hetero-Diels–Alder reaction of 2,3-dimethyl-1,3-butadiene with benzaldehydes. </w:t>
      </w:r>
      <w:r>
        <w:rPr>
          <w:rFonts w:ascii="Times New Roman" w:hAnsi="Times New Roman"/>
          <w:i/>
          <w:iCs/>
        </w:rPr>
        <w:t>Tetrahedron Lett.</w:t>
      </w:r>
      <w:r>
        <w:rPr>
          <w:rFonts w:ascii="Times New Roman" w:hAnsi="Times New Roman"/>
        </w:rPr>
        <w:t xml:space="preserve"> </w:t>
      </w:r>
      <w:r>
        <w:rPr>
          <w:rFonts w:ascii="Times New Roman" w:hAnsi="Times New Roman"/>
          <w:b/>
          <w:bCs/>
        </w:rPr>
        <w:t>48,</w:t>
      </w:r>
      <w:r>
        <w:rPr>
          <w:rFonts w:ascii="Times New Roman" w:hAnsi="Times New Roman"/>
        </w:rPr>
        <w:t xml:space="preserve"> 1577–1579 (2007).</w:t>
      </w:r>
    </w:p>
    <w:p w14:paraId="5E2A161F" w14:textId="77777777" w:rsidR="00A074C8" w:rsidRDefault="00A074C8" w:rsidP="00A074C8">
      <w:pPr>
        <w:pStyle w:val="Bibliography"/>
        <w:rPr>
          <w:rFonts w:ascii="Times New Roman" w:hAnsi="Times New Roman"/>
        </w:rPr>
      </w:pPr>
      <w:r>
        <w:rPr>
          <w:rFonts w:ascii="Times New Roman" w:hAnsi="Times New Roman"/>
        </w:rPr>
        <w:t>122.</w:t>
      </w:r>
      <w:r>
        <w:rPr>
          <w:rFonts w:ascii="Times New Roman" w:hAnsi="Times New Roman"/>
        </w:rPr>
        <w:tab/>
        <w:t>Hanamoto, T., Sugimoto, Y., Jin, Y. Z. &amp; Inanaga, J. Scandium(III) Perfluorooctanesulfonate [Sc(OPf)</w:t>
      </w:r>
      <w:r>
        <w:rPr>
          <w:rFonts w:ascii="Times New Roman" w:hAnsi="Times New Roman"/>
          <w:vertAlign w:val="subscript"/>
        </w:rPr>
        <w:t>3</w:t>
      </w:r>
      <w:r>
        <w:rPr>
          <w:rFonts w:ascii="Times New Roman" w:hAnsi="Times New Roman"/>
        </w:rPr>
        <w:t xml:space="preserve">] : A Novel Catalyst for the Hetero Diels–Alder Reaction of Aldehydes with Non-Activated Dienes. </w:t>
      </w:r>
      <w:r>
        <w:rPr>
          <w:rFonts w:ascii="Times New Roman" w:hAnsi="Times New Roman"/>
          <w:i/>
          <w:iCs/>
        </w:rPr>
        <w:t>Bull. Chem. Soc. Jpn.</w:t>
      </w:r>
      <w:r>
        <w:rPr>
          <w:rFonts w:ascii="Times New Roman" w:hAnsi="Times New Roman"/>
        </w:rPr>
        <w:t xml:space="preserve"> </w:t>
      </w:r>
      <w:r>
        <w:rPr>
          <w:rFonts w:ascii="Times New Roman" w:hAnsi="Times New Roman"/>
          <w:b/>
          <w:bCs/>
        </w:rPr>
        <w:t>70,</w:t>
      </w:r>
      <w:r>
        <w:rPr>
          <w:rFonts w:ascii="Times New Roman" w:hAnsi="Times New Roman"/>
        </w:rPr>
        <w:t xml:space="preserve"> 1421–1426 (1997).</w:t>
      </w:r>
    </w:p>
    <w:p w14:paraId="0F9F7A42" w14:textId="77777777" w:rsidR="00A074C8" w:rsidRDefault="00A074C8" w:rsidP="00A074C8">
      <w:pPr>
        <w:pStyle w:val="Bibliography"/>
        <w:rPr>
          <w:rFonts w:ascii="Times New Roman" w:hAnsi="Times New Roman"/>
        </w:rPr>
      </w:pPr>
      <w:r>
        <w:rPr>
          <w:rFonts w:ascii="Times New Roman" w:hAnsi="Times New Roman"/>
        </w:rPr>
        <w:t>123.</w:t>
      </w:r>
      <w:r>
        <w:rPr>
          <w:rFonts w:ascii="Times New Roman" w:hAnsi="Times New Roman"/>
        </w:rPr>
        <w:tab/>
        <w:t xml:space="preserve">Zhu, Z. &amp; Espenson, J. H. Aqueous Catalysis:  Methylrhenium Trioxide (MTO) as a Homogeneous Catalyst for the Diels−Alder Reaction. </w:t>
      </w:r>
      <w:r>
        <w:rPr>
          <w:rFonts w:ascii="Times New Roman" w:hAnsi="Times New Roman"/>
          <w:i/>
          <w:iCs/>
        </w:rPr>
        <w:t>J. Am. Chem. Soc.</w:t>
      </w:r>
      <w:r>
        <w:rPr>
          <w:rFonts w:ascii="Times New Roman" w:hAnsi="Times New Roman"/>
        </w:rPr>
        <w:t xml:space="preserve"> </w:t>
      </w:r>
      <w:r>
        <w:rPr>
          <w:rFonts w:ascii="Times New Roman" w:hAnsi="Times New Roman"/>
          <w:b/>
          <w:bCs/>
        </w:rPr>
        <w:t>119,</w:t>
      </w:r>
      <w:r>
        <w:rPr>
          <w:rFonts w:ascii="Times New Roman" w:hAnsi="Times New Roman"/>
        </w:rPr>
        <w:t xml:space="preserve"> 3507–3512 (1997).</w:t>
      </w:r>
    </w:p>
    <w:p w14:paraId="7421E507" w14:textId="77777777" w:rsidR="00A074C8" w:rsidRDefault="00A074C8" w:rsidP="00A074C8">
      <w:pPr>
        <w:pStyle w:val="Bibliography"/>
        <w:rPr>
          <w:rFonts w:ascii="Times New Roman" w:hAnsi="Times New Roman"/>
        </w:rPr>
      </w:pPr>
      <w:r>
        <w:rPr>
          <w:rFonts w:ascii="Times New Roman" w:hAnsi="Times New Roman"/>
        </w:rPr>
        <w:t>124.</w:t>
      </w:r>
      <w:r>
        <w:rPr>
          <w:rFonts w:ascii="Times New Roman" w:hAnsi="Times New Roman"/>
        </w:rPr>
        <w:tab/>
        <w:t xml:space="preserve">Sogani, N., Sinha, P. &amp; Bansal, R. K. Hetero-Diels–Alder reaction of aromatic aldehydes catalyzed by titanium tetrachloride: computational and experimental results. </w:t>
      </w:r>
      <w:r>
        <w:rPr>
          <w:rFonts w:ascii="Times New Roman" w:hAnsi="Times New Roman"/>
          <w:i/>
          <w:iCs/>
        </w:rPr>
        <w:t>Tetrahedron</w:t>
      </w:r>
      <w:r>
        <w:rPr>
          <w:rFonts w:ascii="Times New Roman" w:hAnsi="Times New Roman"/>
        </w:rPr>
        <w:t xml:space="preserve"> </w:t>
      </w:r>
      <w:r>
        <w:rPr>
          <w:rFonts w:ascii="Times New Roman" w:hAnsi="Times New Roman"/>
          <w:b/>
          <w:bCs/>
        </w:rPr>
        <w:t>70,</w:t>
      </w:r>
      <w:r>
        <w:rPr>
          <w:rFonts w:ascii="Times New Roman" w:hAnsi="Times New Roman"/>
        </w:rPr>
        <w:t xml:space="preserve"> 735–741 (2014).</w:t>
      </w:r>
    </w:p>
    <w:p w14:paraId="535C4071" w14:textId="77777777" w:rsidR="00A074C8" w:rsidRPr="00A074C8" w:rsidRDefault="00A074C8" w:rsidP="00A074C8">
      <w:pPr>
        <w:pStyle w:val="Bibliography"/>
        <w:rPr>
          <w:rFonts w:ascii="Times New Roman" w:hAnsi="Times New Roman"/>
          <w:lang w:val="fr-FR"/>
        </w:rPr>
      </w:pPr>
      <w:r>
        <w:rPr>
          <w:rFonts w:ascii="Times New Roman" w:hAnsi="Times New Roman"/>
        </w:rPr>
        <w:t>125.</w:t>
      </w:r>
      <w:r>
        <w:rPr>
          <w:rFonts w:ascii="Times New Roman" w:hAnsi="Times New Roman"/>
        </w:rPr>
        <w:tab/>
        <w:t xml:space="preserve">Hoveyda, A. H. &amp; Zhugralin, A. R. The remarkable metal-catalysed olefin metathesis reaction. </w:t>
      </w:r>
      <w:r w:rsidRPr="00A074C8">
        <w:rPr>
          <w:rFonts w:ascii="Times New Roman" w:hAnsi="Times New Roman"/>
          <w:i/>
          <w:iCs/>
          <w:lang w:val="fr-FR"/>
        </w:rPr>
        <w:t>Nature</w:t>
      </w:r>
      <w:r w:rsidRPr="00A074C8">
        <w:rPr>
          <w:rFonts w:ascii="Times New Roman" w:hAnsi="Times New Roman"/>
          <w:lang w:val="fr-FR"/>
        </w:rPr>
        <w:t xml:space="preserve"> </w:t>
      </w:r>
      <w:r w:rsidRPr="00A074C8">
        <w:rPr>
          <w:rFonts w:ascii="Times New Roman" w:hAnsi="Times New Roman"/>
          <w:b/>
          <w:bCs/>
          <w:lang w:val="fr-FR"/>
        </w:rPr>
        <w:t>450,</w:t>
      </w:r>
      <w:r w:rsidRPr="00A074C8">
        <w:rPr>
          <w:rFonts w:ascii="Times New Roman" w:hAnsi="Times New Roman"/>
          <w:lang w:val="fr-FR"/>
        </w:rPr>
        <w:t xml:space="preserve"> 243–251 (2007).</w:t>
      </w:r>
    </w:p>
    <w:p w14:paraId="1521157B" w14:textId="77777777" w:rsidR="00A074C8" w:rsidRDefault="00A074C8" w:rsidP="00A074C8">
      <w:pPr>
        <w:pStyle w:val="Bibliography"/>
        <w:rPr>
          <w:rFonts w:ascii="Times New Roman" w:hAnsi="Times New Roman"/>
        </w:rPr>
      </w:pPr>
      <w:r w:rsidRPr="00A074C8">
        <w:rPr>
          <w:rFonts w:ascii="Times New Roman" w:hAnsi="Times New Roman"/>
          <w:lang w:val="fr-FR"/>
        </w:rPr>
        <w:t>126.</w:t>
      </w:r>
      <w:r w:rsidRPr="00A074C8">
        <w:rPr>
          <w:rFonts w:ascii="Times New Roman" w:hAnsi="Times New Roman"/>
          <w:lang w:val="fr-FR"/>
        </w:rPr>
        <w:tab/>
        <w:t xml:space="preserve">Jean-Louis Hérisson, P. &amp; Chauvin, Y. Catalyse de transformation des oléfines par les complexes du tungstène. II. Télomérisation des oléfines cycliques en présence d’oléfines acycliques. </w:t>
      </w:r>
      <w:r w:rsidRPr="00A074C8">
        <w:rPr>
          <w:rFonts w:ascii="Times New Roman" w:hAnsi="Times New Roman"/>
          <w:i/>
          <w:iCs/>
          <w:lang w:val="fr-FR"/>
        </w:rPr>
        <w:t xml:space="preserve">Makromol. </w:t>
      </w:r>
      <w:r>
        <w:rPr>
          <w:rFonts w:ascii="Times New Roman" w:hAnsi="Times New Roman"/>
          <w:i/>
          <w:iCs/>
        </w:rPr>
        <w:t>Chem.</w:t>
      </w:r>
      <w:r>
        <w:rPr>
          <w:rFonts w:ascii="Times New Roman" w:hAnsi="Times New Roman"/>
        </w:rPr>
        <w:t xml:space="preserve"> </w:t>
      </w:r>
      <w:r>
        <w:rPr>
          <w:rFonts w:ascii="Times New Roman" w:hAnsi="Times New Roman"/>
          <w:b/>
          <w:bCs/>
        </w:rPr>
        <w:t>141,</w:t>
      </w:r>
      <w:r>
        <w:rPr>
          <w:rFonts w:ascii="Times New Roman" w:hAnsi="Times New Roman"/>
        </w:rPr>
        <w:t xml:space="preserve"> 161–176 (1971).</w:t>
      </w:r>
    </w:p>
    <w:p w14:paraId="3141CEC6" w14:textId="77777777" w:rsidR="00A074C8" w:rsidRDefault="00A074C8" w:rsidP="00A074C8">
      <w:pPr>
        <w:pStyle w:val="Bibliography"/>
        <w:rPr>
          <w:rFonts w:ascii="Times New Roman" w:hAnsi="Times New Roman"/>
        </w:rPr>
      </w:pPr>
      <w:r>
        <w:rPr>
          <w:rFonts w:ascii="Times New Roman" w:hAnsi="Times New Roman"/>
        </w:rPr>
        <w:t>127.</w:t>
      </w:r>
      <w:r>
        <w:rPr>
          <w:rFonts w:ascii="Times New Roman" w:hAnsi="Times New Roman"/>
        </w:rPr>
        <w:tab/>
        <w:t xml:space="preserve">Hong, S. H. &amp; Grubbs, R. H. Highly Active Water-Soluble Olefin Metathesis Catalyst. </w:t>
      </w:r>
      <w:r>
        <w:rPr>
          <w:rFonts w:ascii="Times New Roman" w:hAnsi="Times New Roman"/>
          <w:i/>
          <w:iCs/>
        </w:rPr>
        <w:t>J. Am. Chem. Soc.</w:t>
      </w:r>
      <w:r>
        <w:rPr>
          <w:rFonts w:ascii="Times New Roman" w:hAnsi="Times New Roman"/>
        </w:rPr>
        <w:t xml:space="preserve"> </w:t>
      </w:r>
      <w:r>
        <w:rPr>
          <w:rFonts w:ascii="Times New Roman" w:hAnsi="Times New Roman"/>
          <w:b/>
          <w:bCs/>
        </w:rPr>
        <w:t>128,</w:t>
      </w:r>
      <w:r>
        <w:rPr>
          <w:rFonts w:ascii="Times New Roman" w:hAnsi="Times New Roman"/>
        </w:rPr>
        <w:t xml:space="preserve"> 3508–3509 (2006).</w:t>
      </w:r>
    </w:p>
    <w:p w14:paraId="44A65985" w14:textId="77777777" w:rsidR="00A074C8" w:rsidRDefault="00A074C8" w:rsidP="00A074C8">
      <w:pPr>
        <w:pStyle w:val="Bibliography"/>
        <w:rPr>
          <w:rFonts w:ascii="Times New Roman" w:hAnsi="Times New Roman"/>
        </w:rPr>
      </w:pPr>
      <w:r>
        <w:rPr>
          <w:rFonts w:ascii="Times New Roman" w:hAnsi="Times New Roman"/>
        </w:rPr>
        <w:t>128.</w:t>
      </w:r>
      <w:r>
        <w:rPr>
          <w:rFonts w:ascii="Times New Roman" w:hAnsi="Times New Roman"/>
        </w:rPr>
        <w:tab/>
        <w:t xml:space="preserve">Bradshaw, C. P. C., Howman, E. J. &amp; Turner, L. Olefin dismutation: Reactions of olefins on cobalt oxide-molybdenum oxide-alumina. </w:t>
      </w:r>
      <w:r>
        <w:rPr>
          <w:rFonts w:ascii="Times New Roman" w:hAnsi="Times New Roman"/>
          <w:i/>
          <w:iCs/>
        </w:rPr>
        <w:t>J. Catal.</w:t>
      </w:r>
      <w:r>
        <w:rPr>
          <w:rFonts w:ascii="Times New Roman" w:hAnsi="Times New Roman"/>
        </w:rPr>
        <w:t xml:space="preserve"> </w:t>
      </w:r>
      <w:r>
        <w:rPr>
          <w:rFonts w:ascii="Times New Roman" w:hAnsi="Times New Roman"/>
          <w:b/>
          <w:bCs/>
        </w:rPr>
        <w:t>7,</w:t>
      </w:r>
      <w:r>
        <w:rPr>
          <w:rFonts w:ascii="Times New Roman" w:hAnsi="Times New Roman"/>
        </w:rPr>
        <w:t xml:space="preserve"> 269–276 (1967).</w:t>
      </w:r>
    </w:p>
    <w:p w14:paraId="3CC52A1E" w14:textId="77777777" w:rsidR="00A074C8" w:rsidRDefault="00A074C8" w:rsidP="00A074C8">
      <w:pPr>
        <w:pStyle w:val="Bibliography"/>
        <w:rPr>
          <w:rFonts w:ascii="Times New Roman" w:hAnsi="Times New Roman"/>
        </w:rPr>
      </w:pPr>
      <w:r>
        <w:rPr>
          <w:rFonts w:ascii="Times New Roman" w:hAnsi="Times New Roman"/>
        </w:rPr>
        <w:t>129.</w:t>
      </w:r>
      <w:r>
        <w:rPr>
          <w:rFonts w:ascii="Times New Roman" w:hAnsi="Times New Roman"/>
        </w:rPr>
        <w:tab/>
        <w:t xml:space="preserve">Salameh, A., Baudouin, A., Basset, J.-M. &amp; Copéret, C. Tuning the Selectivity of Alumina-Supported (CH3)ReO3 by Modifying the Surface Properties of the Support. </w:t>
      </w:r>
      <w:r>
        <w:rPr>
          <w:rFonts w:ascii="Times New Roman" w:hAnsi="Times New Roman"/>
          <w:i/>
          <w:iCs/>
        </w:rPr>
        <w:t>Angew. Chem. Int. Ed.</w:t>
      </w:r>
      <w:r>
        <w:rPr>
          <w:rFonts w:ascii="Times New Roman" w:hAnsi="Times New Roman"/>
        </w:rPr>
        <w:t xml:space="preserve"> </w:t>
      </w:r>
      <w:r>
        <w:rPr>
          <w:rFonts w:ascii="Times New Roman" w:hAnsi="Times New Roman"/>
          <w:b/>
          <w:bCs/>
        </w:rPr>
        <w:t>47,</w:t>
      </w:r>
      <w:r>
        <w:rPr>
          <w:rFonts w:ascii="Times New Roman" w:hAnsi="Times New Roman"/>
        </w:rPr>
        <w:t xml:space="preserve"> 2117–2120 (2008).</w:t>
      </w:r>
    </w:p>
    <w:p w14:paraId="72EDA2D4" w14:textId="77777777" w:rsidR="00A074C8" w:rsidRDefault="00A074C8" w:rsidP="00A074C8">
      <w:pPr>
        <w:pStyle w:val="Bibliography"/>
        <w:rPr>
          <w:rFonts w:ascii="Times New Roman" w:hAnsi="Times New Roman"/>
        </w:rPr>
      </w:pPr>
      <w:r>
        <w:rPr>
          <w:rFonts w:ascii="Times New Roman" w:hAnsi="Times New Roman"/>
        </w:rPr>
        <w:t>130.</w:t>
      </w:r>
      <w:r>
        <w:rPr>
          <w:rFonts w:ascii="Times New Roman" w:hAnsi="Times New Roman"/>
        </w:rPr>
        <w:tab/>
        <w:t xml:space="preserve">Tomasek, J. &amp; Schatz, J. Olefin metathesis in aqueous media. </w:t>
      </w:r>
      <w:r>
        <w:rPr>
          <w:rFonts w:ascii="Times New Roman" w:hAnsi="Times New Roman"/>
          <w:i/>
          <w:iCs/>
        </w:rPr>
        <w:t>Green Chem.</w:t>
      </w:r>
      <w:r>
        <w:rPr>
          <w:rFonts w:ascii="Times New Roman" w:hAnsi="Times New Roman"/>
        </w:rPr>
        <w:t xml:space="preserve"> </w:t>
      </w:r>
      <w:r>
        <w:rPr>
          <w:rFonts w:ascii="Times New Roman" w:hAnsi="Times New Roman"/>
          <w:b/>
          <w:bCs/>
        </w:rPr>
        <w:t>15,</w:t>
      </w:r>
      <w:r>
        <w:rPr>
          <w:rFonts w:ascii="Times New Roman" w:hAnsi="Times New Roman"/>
        </w:rPr>
        <w:t xml:space="preserve"> 2317 (2013).</w:t>
      </w:r>
    </w:p>
    <w:p w14:paraId="218C885E" w14:textId="77777777" w:rsidR="00A074C8" w:rsidRDefault="00A074C8" w:rsidP="00A074C8">
      <w:pPr>
        <w:pStyle w:val="Bibliography"/>
        <w:rPr>
          <w:rFonts w:ascii="Times New Roman" w:hAnsi="Times New Roman"/>
        </w:rPr>
      </w:pPr>
      <w:r>
        <w:rPr>
          <w:rFonts w:ascii="Times New Roman" w:hAnsi="Times New Roman"/>
        </w:rPr>
        <w:t>131.</w:t>
      </w:r>
      <w:r>
        <w:rPr>
          <w:rFonts w:ascii="Times New Roman" w:hAnsi="Times New Roman"/>
        </w:rPr>
        <w:tab/>
        <w:t xml:space="preserve">Takahara, J. P., Masuyama, Y. &amp; Kurusu, Y. Palladium-catalyzed carbonyl allylation by allylic alcohols with stannous chloride. </w:t>
      </w:r>
      <w:r>
        <w:rPr>
          <w:rFonts w:ascii="Times New Roman" w:hAnsi="Times New Roman"/>
          <w:i/>
          <w:iCs/>
        </w:rPr>
        <w:t>J. Am. Chem. Soc.</w:t>
      </w:r>
      <w:r>
        <w:rPr>
          <w:rFonts w:ascii="Times New Roman" w:hAnsi="Times New Roman"/>
        </w:rPr>
        <w:t xml:space="preserve"> </w:t>
      </w:r>
      <w:r>
        <w:rPr>
          <w:rFonts w:ascii="Times New Roman" w:hAnsi="Times New Roman"/>
          <w:b/>
          <w:bCs/>
        </w:rPr>
        <w:t>114,</w:t>
      </w:r>
      <w:r>
        <w:rPr>
          <w:rFonts w:ascii="Times New Roman" w:hAnsi="Times New Roman"/>
        </w:rPr>
        <w:t xml:space="preserve"> 2577–2586 (1992).</w:t>
      </w:r>
    </w:p>
    <w:p w14:paraId="2758409D" w14:textId="77777777" w:rsidR="00A074C8" w:rsidRDefault="00A074C8" w:rsidP="00A074C8">
      <w:pPr>
        <w:pStyle w:val="Bibliography"/>
        <w:rPr>
          <w:rFonts w:ascii="Times New Roman" w:hAnsi="Times New Roman"/>
        </w:rPr>
      </w:pPr>
      <w:r>
        <w:rPr>
          <w:rFonts w:ascii="Times New Roman" w:hAnsi="Times New Roman"/>
        </w:rPr>
        <w:t>132.</w:t>
      </w:r>
      <w:r>
        <w:rPr>
          <w:rFonts w:ascii="Times New Roman" w:hAnsi="Times New Roman"/>
        </w:rPr>
        <w:tab/>
        <w:t xml:space="preserve">Gao, X., Townsend, I. A. &amp; Krische, M. J. Enhanced anti-Diastereo- and Enantioselectivity in Alcohol-Mediated Carbonyl Crotylation Using an Isolable Single Component Iridium Catalyst. </w:t>
      </w:r>
      <w:r>
        <w:rPr>
          <w:rFonts w:ascii="Times New Roman" w:hAnsi="Times New Roman"/>
          <w:i/>
          <w:iCs/>
        </w:rPr>
        <w:t>J. Org. Chem.</w:t>
      </w:r>
      <w:r>
        <w:rPr>
          <w:rFonts w:ascii="Times New Roman" w:hAnsi="Times New Roman"/>
        </w:rPr>
        <w:t xml:space="preserve"> </w:t>
      </w:r>
      <w:r>
        <w:rPr>
          <w:rFonts w:ascii="Times New Roman" w:hAnsi="Times New Roman"/>
          <w:b/>
          <w:bCs/>
        </w:rPr>
        <w:t>76,</w:t>
      </w:r>
      <w:r>
        <w:rPr>
          <w:rFonts w:ascii="Times New Roman" w:hAnsi="Times New Roman"/>
        </w:rPr>
        <w:t xml:space="preserve"> 2350–2354 (2011).</w:t>
      </w:r>
    </w:p>
    <w:p w14:paraId="7FB37EEE" w14:textId="77777777" w:rsidR="00A074C8" w:rsidRDefault="00A074C8" w:rsidP="00A074C8">
      <w:pPr>
        <w:pStyle w:val="Bibliography"/>
        <w:rPr>
          <w:rFonts w:ascii="Times New Roman" w:hAnsi="Times New Roman"/>
        </w:rPr>
      </w:pPr>
      <w:r>
        <w:rPr>
          <w:rFonts w:ascii="Times New Roman" w:hAnsi="Times New Roman"/>
        </w:rPr>
        <w:t>133.</w:t>
      </w:r>
      <w:r>
        <w:rPr>
          <w:rFonts w:ascii="Times New Roman" w:hAnsi="Times New Roman"/>
        </w:rPr>
        <w:tab/>
        <w:t xml:space="preserve">Gao, X., Han, H. &amp; Krische, M. J. Direct Generation of Acyclic Polypropionate Stereopolyads via Double Diastereo- and Enantioselective Iridium-Catalyzed Crotylation of 1,3-Diols: Beyond Stepwise Carbonyl Addition in Polyketide Construction. </w:t>
      </w:r>
      <w:r>
        <w:rPr>
          <w:rFonts w:ascii="Times New Roman" w:hAnsi="Times New Roman"/>
          <w:i/>
          <w:iCs/>
        </w:rPr>
        <w:t>J. Am. Chem. Soc.</w:t>
      </w:r>
      <w:r>
        <w:rPr>
          <w:rFonts w:ascii="Times New Roman" w:hAnsi="Times New Roman"/>
        </w:rPr>
        <w:t xml:space="preserve"> </w:t>
      </w:r>
      <w:r>
        <w:rPr>
          <w:rFonts w:ascii="Times New Roman" w:hAnsi="Times New Roman"/>
          <w:b/>
          <w:bCs/>
        </w:rPr>
        <w:t>133,</w:t>
      </w:r>
      <w:r>
        <w:rPr>
          <w:rFonts w:ascii="Times New Roman" w:hAnsi="Times New Roman"/>
        </w:rPr>
        <w:t xml:space="preserve"> 12795–12800 (2011).</w:t>
      </w:r>
    </w:p>
    <w:p w14:paraId="24195DA2" w14:textId="77777777" w:rsidR="00A074C8" w:rsidRDefault="00A074C8" w:rsidP="00A074C8">
      <w:pPr>
        <w:pStyle w:val="Bibliography"/>
        <w:rPr>
          <w:rFonts w:ascii="Times New Roman" w:hAnsi="Times New Roman"/>
        </w:rPr>
      </w:pPr>
      <w:r>
        <w:rPr>
          <w:rFonts w:ascii="Times New Roman" w:hAnsi="Times New Roman"/>
        </w:rPr>
        <w:t>134.</w:t>
      </w:r>
      <w:r>
        <w:rPr>
          <w:rFonts w:ascii="Times New Roman" w:hAnsi="Times New Roman"/>
        </w:rPr>
        <w:tab/>
        <w:t xml:space="preserve">Kim, I. S., Han, S. B. &amp; Krische, M. J. anti-Diastereo- and Enantioselective Carbonyl Crotylation from the Alcohol or Aldehyde Oxidation Level Employing a Cyclometallated Iridium Catalyst: α-Methyl Allyl Acetate as a Surrogate to Preformed Crotylmetal Reagents. </w:t>
      </w:r>
      <w:r>
        <w:rPr>
          <w:rFonts w:ascii="Times New Roman" w:hAnsi="Times New Roman"/>
          <w:i/>
          <w:iCs/>
        </w:rPr>
        <w:t>J. Am. Chem. Soc.</w:t>
      </w:r>
      <w:r>
        <w:rPr>
          <w:rFonts w:ascii="Times New Roman" w:hAnsi="Times New Roman"/>
        </w:rPr>
        <w:t xml:space="preserve"> </w:t>
      </w:r>
      <w:r>
        <w:rPr>
          <w:rFonts w:ascii="Times New Roman" w:hAnsi="Times New Roman"/>
          <w:b/>
          <w:bCs/>
        </w:rPr>
        <w:t>131,</w:t>
      </w:r>
      <w:r>
        <w:rPr>
          <w:rFonts w:ascii="Times New Roman" w:hAnsi="Times New Roman"/>
        </w:rPr>
        <w:t xml:space="preserve"> 2514–2520 (2009).</w:t>
      </w:r>
    </w:p>
    <w:p w14:paraId="7C29DC5A" w14:textId="77777777" w:rsidR="00A074C8" w:rsidRDefault="00A074C8" w:rsidP="00A074C8">
      <w:pPr>
        <w:pStyle w:val="Bibliography"/>
        <w:rPr>
          <w:rFonts w:ascii="Times New Roman" w:hAnsi="Times New Roman"/>
        </w:rPr>
      </w:pPr>
      <w:r>
        <w:rPr>
          <w:rFonts w:ascii="Times New Roman" w:hAnsi="Times New Roman"/>
        </w:rPr>
        <w:t>135.</w:t>
      </w:r>
      <w:r>
        <w:rPr>
          <w:rFonts w:ascii="Times New Roman" w:hAnsi="Times New Roman"/>
        </w:rPr>
        <w:tab/>
        <w:t xml:space="preserve">Tan, X.-H., Hou, Y.-Q., Shen, B., Liu, L. &amp; Guo, Q.-X. SnCl2/PdCl2-mediated aldehyde allylation in fully aqueous media. </w:t>
      </w:r>
      <w:r>
        <w:rPr>
          <w:rFonts w:ascii="Times New Roman" w:hAnsi="Times New Roman"/>
          <w:i/>
          <w:iCs/>
        </w:rPr>
        <w:t>Tetrahedron Lett.</w:t>
      </w:r>
      <w:r>
        <w:rPr>
          <w:rFonts w:ascii="Times New Roman" w:hAnsi="Times New Roman"/>
        </w:rPr>
        <w:t xml:space="preserve"> </w:t>
      </w:r>
      <w:r>
        <w:rPr>
          <w:rFonts w:ascii="Times New Roman" w:hAnsi="Times New Roman"/>
          <w:b/>
          <w:bCs/>
        </w:rPr>
        <w:t>45,</w:t>
      </w:r>
      <w:r>
        <w:rPr>
          <w:rFonts w:ascii="Times New Roman" w:hAnsi="Times New Roman"/>
        </w:rPr>
        <w:t xml:space="preserve"> 5525–5528 (2004).</w:t>
      </w:r>
    </w:p>
    <w:p w14:paraId="6CF753FD" w14:textId="77777777" w:rsidR="00A074C8" w:rsidRDefault="00A074C8" w:rsidP="00A074C8">
      <w:pPr>
        <w:pStyle w:val="Bibliography"/>
        <w:rPr>
          <w:rFonts w:ascii="Times New Roman" w:hAnsi="Times New Roman"/>
        </w:rPr>
      </w:pPr>
      <w:r>
        <w:rPr>
          <w:rFonts w:ascii="Times New Roman" w:hAnsi="Times New Roman"/>
        </w:rPr>
        <w:t>136.</w:t>
      </w:r>
      <w:r>
        <w:rPr>
          <w:rFonts w:ascii="Times New Roman" w:hAnsi="Times New Roman"/>
        </w:rPr>
        <w:tab/>
        <w:t xml:space="preserve">Hirashita, T., Kambe, S., Tsuji, H., Omori, H. &amp; Araki, S. Direct Preparation of Allylic Indium(III) Reagents from Allylic Alcohols via a Reductive Transmetalation of π-Allylnickel(II) with Indium(I) Iodide. </w:t>
      </w:r>
      <w:r>
        <w:rPr>
          <w:rFonts w:ascii="Times New Roman" w:hAnsi="Times New Roman"/>
          <w:i/>
          <w:iCs/>
        </w:rPr>
        <w:t>J. Org. Chem.</w:t>
      </w:r>
      <w:r>
        <w:rPr>
          <w:rFonts w:ascii="Times New Roman" w:hAnsi="Times New Roman"/>
        </w:rPr>
        <w:t xml:space="preserve"> </w:t>
      </w:r>
      <w:r>
        <w:rPr>
          <w:rFonts w:ascii="Times New Roman" w:hAnsi="Times New Roman"/>
          <w:b/>
          <w:bCs/>
        </w:rPr>
        <w:t>69,</w:t>
      </w:r>
      <w:r>
        <w:rPr>
          <w:rFonts w:ascii="Times New Roman" w:hAnsi="Times New Roman"/>
        </w:rPr>
        <w:t xml:space="preserve"> 5054–5059 (2004).</w:t>
      </w:r>
    </w:p>
    <w:p w14:paraId="675E154E" w14:textId="77777777" w:rsidR="00A074C8" w:rsidRDefault="00A074C8" w:rsidP="00A074C8">
      <w:pPr>
        <w:pStyle w:val="Bibliography"/>
        <w:rPr>
          <w:rFonts w:ascii="Times New Roman" w:hAnsi="Times New Roman"/>
        </w:rPr>
      </w:pPr>
      <w:r>
        <w:rPr>
          <w:rFonts w:ascii="Times New Roman" w:hAnsi="Times New Roman"/>
        </w:rPr>
        <w:t>137.</w:t>
      </w:r>
      <w:r>
        <w:rPr>
          <w:rFonts w:ascii="Times New Roman" w:hAnsi="Times New Roman"/>
        </w:rPr>
        <w:tab/>
        <w:t xml:space="preserve">Fontana, G., Lubineau, A. &amp; Scherrmann, M.-C. Investigation of the aqueous transmetalation of π-allylpalladium with indium salt: the use of the Pd(OAc)2–TPPTS catalyst. </w:t>
      </w:r>
      <w:r>
        <w:rPr>
          <w:rFonts w:ascii="Times New Roman" w:hAnsi="Times New Roman"/>
          <w:i/>
          <w:iCs/>
        </w:rPr>
        <w:t>Org. Biomol. Chem.</w:t>
      </w:r>
      <w:r>
        <w:rPr>
          <w:rFonts w:ascii="Times New Roman" w:hAnsi="Times New Roman"/>
        </w:rPr>
        <w:t xml:space="preserve"> </w:t>
      </w:r>
      <w:r>
        <w:rPr>
          <w:rFonts w:ascii="Times New Roman" w:hAnsi="Times New Roman"/>
          <w:b/>
          <w:bCs/>
        </w:rPr>
        <w:t>3,</w:t>
      </w:r>
      <w:r>
        <w:rPr>
          <w:rFonts w:ascii="Times New Roman" w:hAnsi="Times New Roman"/>
        </w:rPr>
        <w:t xml:space="preserve"> 1375–1380 (2005).</w:t>
      </w:r>
    </w:p>
    <w:p w14:paraId="1F64500B" w14:textId="77777777" w:rsidR="00A074C8" w:rsidRDefault="00A074C8" w:rsidP="00A074C8">
      <w:pPr>
        <w:pStyle w:val="Bibliography"/>
        <w:rPr>
          <w:rFonts w:ascii="Times New Roman" w:hAnsi="Times New Roman"/>
        </w:rPr>
      </w:pPr>
      <w:r>
        <w:rPr>
          <w:rFonts w:ascii="Times New Roman" w:hAnsi="Times New Roman"/>
        </w:rPr>
        <w:t>138.</w:t>
      </w:r>
      <w:r>
        <w:rPr>
          <w:rFonts w:ascii="Times New Roman" w:hAnsi="Times New Roman"/>
        </w:rPr>
        <w:tab/>
        <w:t xml:space="preserve">Lee, S.-M., Lee, W.-G., Kim, Y.-C. &amp; Ko, H. Synthesis and biological evaluation of α,β-unsaturated lactones as potent immunosuppressive agents. </w:t>
      </w:r>
      <w:r>
        <w:rPr>
          <w:rFonts w:ascii="Times New Roman" w:hAnsi="Times New Roman"/>
          <w:i/>
          <w:iCs/>
        </w:rPr>
        <w:t>Bioorg. Med. Chem. Lett.</w:t>
      </w:r>
      <w:r>
        <w:rPr>
          <w:rFonts w:ascii="Times New Roman" w:hAnsi="Times New Roman"/>
        </w:rPr>
        <w:t xml:space="preserve"> </w:t>
      </w:r>
      <w:r>
        <w:rPr>
          <w:rFonts w:ascii="Times New Roman" w:hAnsi="Times New Roman"/>
          <w:b/>
          <w:bCs/>
        </w:rPr>
        <w:t>21,</w:t>
      </w:r>
      <w:r>
        <w:rPr>
          <w:rFonts w:ascii="Times New Roman" w:hAnsi="Times New Roman"/>
        </w:rPr>
        <w:t xml:space="preserve"> 5726–5729 (2011).</w:t>
      </w:r>
    </w:p>
    <w:p w14:paraId="665F6F64" w14:textId="77777777" w:rsidR="00A074C8" w:rsidRDefault="00A074C8" w:rsidP="00A074C8">
      <w:pPr>
        <w:pStyle w:val="Bibliography"/>
        <w:rPr>
          <w:rFonts w:ascii="Times New Roman" w:hAnsi="Times New Roman"/>
        </w:rPr>
      </w:pPr>
      <w:r>
        <w:rPr>
          <w:rFonts w:ascii="Times New Roman" w:hAnsi="Times New Roman"/>
        </w:rPr>
        <w:t>139.</w:t>
      </w:r>
      <w:r>
        <w:rPr>
          <w:rFonts w:ascii="Times New Roman" w:hAnsi="Times New Roman"/>
        </w:rPr>
        <w:tab/>
        <w:t xml:space="preserve">Betterton, E. A., Erel, Y. &amp; Hoffmann, M. R. Aldehyde-bisulfite adducts: prediction of some of their thermodynamic and kinetic properties. </w:t>
      </w:r>
      <w:r>
        <w:rPr>
          <w:rFonts w:ascii="Times New Roman" w:hAnsi="Times New Roman"/>
          <w:i/>
          <w:iCs/>
        </w:rPr>
        <w:t>Environ. Sci. Technol.</w:t>
      </w:r>
      <w:r>
        <w:rPr>
          <w:rFonts w:ascii="Times New Roman" w:hAnsi="Times New Roman"/>
        </w:rPr>
        <w:t xml:space="preserve"> </w:t>
      </w:r>
      <w:r>
        <w:rPr>
          <w:rFonts w:ascii="Times New Roman" w:hAnsi="Times New Roman"/>
          <w:b/>
          <w:bCs/>
        </w:rPr>
        <w:t>22,</w:t>
      </w:r>
      <w:r>
        <w:rPr>
          <w:rFonts w:ascii="Times New Roman" w:hAnsi="Times New Roman"/>
        </w:rPr>
        <w:t xml:space="preserve"> 92–99 (1988).</w:t>
      </w:r>
    </w:p>
    <w:p w14:paraId="76412E69" w14:textId="77777777" w:rsidR="00A074C8" w:rsidRDefault="00A074C8" w:rsidP="00A074C8">
      <w:pPr>
        <w:pStyle w:val="Bibliography"/>
        <w:rPr>
          <w:rFonts w:ascii="Times New Roman" w:hAnsi="Times New Roman"/>
        </w:rPr>
      </w:pPr>
      <w:r>
        <w:rPr>
          <w:rFonts w:ascii="Times New Roman" w:hAnsi="Times New Roman"/>
        </w:rPr>
        <w:t>140.</w:t>
      </w:r>
      <w:r>
        <w:rPr>
          <w:rFonts w:ascii="Times New Roman" w:hAnsi="Times New Roman"/>
        </w:rPr>
        <w:tab/>
        <w:t xml:space="preserve">Kjell, D. P., Slattery, B. J. &amp; Semo, M. J. A Novel, Nonaqueous Method for Regeneration of Aldehydes from Bisulfite Adducts. </w:t>
      </w:r>
      <w:r>
        <w:rPr>
          <w:rFonts w:ascii="Times New Roman" w:hAnsi="Times New Roman"/>
          <w:i/>
          <w:iCs/>
        </w:rPr>
        <w:t>J. Org. Chem.</w:t>
      </w:r>
      <w:r>
        <w:rPr>
          <w:rFonts w:ascii="Times New Roman" w:hAnsi="Times New Roman"/>
        </w:rPr>
        <w:t xml:space="preserve"> </w:t>
      </w:r>
      <w:r>
        <w:rPr>
          <w:rFonts w:ascii="Times New Roman" w:hAnsi="Times New Roman"/>
          <w:b/>
          <w:bCs/>
        </w:rPr>
        <w:t>64,</w:t>
      </w:r>
      <w:r>
        <w:rPr>
          <w:rFonts w:ascii="Times New Roman" w:hAnsi="Times New Roman"/>
        </w:rPr>
        <w:t xml:space="preserve"> 5722–5724 (1999).</w:t>
      </w:r>
    </w:p>
    <w:p w14:paraId="3D9E5F3E" w14:textId="77777777" w:rsidR="00A074C8" w:rsidRDefault="00A074C8" w:rsidP="00A074C8">
      <w:pPr>
        <w:pStyle w:val="Bibliography"/>
        <w:rPr>
          <w:rFonts w:ascii="Times New Roman" w:hAnsi="Times New Roman"/>
        </w:rPr>
      </w:pPr>
      <w:r>
        <w:rPr>
          <w:rFonts w:ascii="Times New Roman" w:hAnsi="Times New Roman"/>
        </w:rPr>
        <w:t>141.</w:t>
      </w:r>
      <w:r>
        <w:rPr>
          <w:rFonts w:ascii="Times New Roman" w:hAnsi="Times New Roman"/>
        </w:rPr>
        <w:tab/>
        <w:t xml:space="preserve">Pandit, C. &amp; Mani, N. Expedient Reductive Amination of Aldehyde Bisulfite Adducts. </w:t>
      </w:r>
      <w:r>
        <w:rPr>
          <w:rFonts w:ascii="Times New Roman" w:hAnsi="Times New Roman"/>
          <w:i/>
          <w:iCs/>
        </w:rPr>
        <w:t>Synthesis</w:t>
      </w:r>
      <w:r>
        <w:rPr>
          <w:rFonts w:ascii="Times New Roman" w:hAnsi="Times New Roman"/>
        </w:rPr>
        <w:t xml:space="preserve"> </w:t>
      </w:r>
      <w:r>
        <w:rPr>
          <w:rFonts w:ascii="Times New Roman" w:hAnsi="Times New Roman"/>
          <w:b/>
          <w:bCs/>
        </w:rPr>
        <w:t>2009,</w:t>
      </w:r>
      <w:r>
        <w:rPr>
          <w:rFonts w:ascii="Times New Roman" w:hAnsi="Times New Roman"/>
        </w:rPr>
        <w:t xml:space="preserve"> 4032–4036 (2009).</w:t>
      </w:r>
    </w:p>
    <w:p w14:paraId="7FB892FA" w14:textId="77777777" w:rsidR="00A074C8" w:rsidRDefault="00A074C8" w:rsidP="00A074C8">
      <w:pPr>
        <w:pStyle w:val="Bibliography"/>
        <w:rPr>
          <w:rFonts w:ascii="Times New Roman" w:hAnsi="Times New Roman"/>
        </w:rPr>
      </w:pPr>
      <w:r>
        <w:rPr>
          <w:rFonts w:ascii="Times New Roman" w:hAnsi="Times New Roman"/>
        </w:rPr>
        <w:t>142.</w:t>
      </w:r>
      <w:r>
        <w:rPr>
          <w:rFonts w:ascii="Times New Roman" w:hAnsi="Times New Roman"/>
        </w:rPr>
        <w:tab/>
        <w:t xml:space="preserve">Wittig, G. &amp; Schöllkopf, U. Über Triphenyl-phosphin-methylene als olefinbildende Reagenzien (I. Mitteil. </w:t>
      </w:r>
      <w:r>
        <w:rPr>
          <w:rFonts w:ascii="Times New Roman" w:hAnsi="Times New Roman"/>
          <w:i/>
          <w:iCs/>
        </w:rPr>
        <w:t>Chem. Ber.</w:t>
      </w:r>
      <w:r>
        <w:rPr>
          <w:rFonts w:ascii="Times New Roman" w:hAnsi="Times New Roman"/>
        </w:rPr>
        <w:t xml:space="preserve"> </w:t>
      </w:r>
      <w:r>
        <w:rPr>
          <w:rFonts w:ascii="Times New Roman" w:hAnsi="Times New Roman"/>
          <w:b/>
          <w:bCs/>
        </w:rPr>
        <w:t>87,</w:t>
      </w:r>
      <w:r>
        <w:rPr>
          <w:rFonts w:ascii="Times New Roman" w:hAnsi="Times New Roman"/>
        </w:rPr>
        <w:t xml:space="preserve"> 1318–1330 (1954).</w:t>
      </w:r>
    </w:p>
    <w:p w14:paraId="66EB8FA2" w14:textId="77777777" w:rsidR="00A074C8" w:rsidRDefault="00A074C8" w:rsidP="00A074C8">
      <w:pPr>
        <w:pStyle w:val="Bibliography"/>
        <w:rPr>
          <w:rFonts w:ascii="Times New Roman" w:hAnsi="Times New Roman"/>
        </w:rPr>
      </w:pPr>
      <w:r>
        <w:rPr>
          <w:rFonts w:ascii="Times New Roman" w:hAnsi="Times New Roman"/>
        </w:rPr>
        <w:t>143.</w:t>
      </w:r>
      <w:r>
        <w:rPr>
          <w:rFonts w:ascii="Times New Roman" w:hAnsi="Times New Roman"/>
        </w:rPr>
        <w:tab/>
        <w:t xml:space="preserve">Wittig, G. From Diyls to Ylides to my Idyll. </w:t>
      </w:r>
      <w:r>
        <w:rPr>
          <w:rFonts w:ascii="Times New Roman" w:hAnsi="Times New Roman"/>
          <w:i/>
          <w:iCs/>
        </w:rPr>
        <w:t>Nobel Lect.</w:t>
      </w:r>
      <w:r>
        <w:rPr>
          <w:rFonts w:ascii="Times New Roman" w:hAnsi="Times New Roman"/>
        </w:rPr>
        <w:t xml:space="preserve"> (1979).</w:t>
      </w:r>
    </w:p>
    <w:p w14:paraId="75F21BC8" w14:textId="77777777" w:rsidR="00A074C8" w:rsidRDefault="00A074C8" w:rsidP="00A074C8">
      <w:pPr>
        <w:pStyle w:val="Bibliography"/>
        <w:rPr>
          <w:rFonts w:ascii="Times New Roman" w:hAnsi="Times New Roman"/>
        </w:rPr>
      </w:pPr>
      <w:r>
        <w:rPr>
          <w:rFonts w:ascii="Times New Roman" w:hAnsi="Times New Roman"/>
        </w:rPr>
        <w:t>144.</w:t>
      </w:r>
      <w:r>
        <w:rPr>
          <w:rFonts w:ascii="Times New Roman" w:hAnsi="Times New Roman"/>
        </w:rPr>
        <w:tab/>
        <w:t xml:space="preserve">Schirmer, M.-L., Adomeit, S. &amp; Werner, T. First Base-Free Catalytic Wittig Reaction. </w:t>
      </w:r>
      <w:r>
        <w:rPr>
          <w:rFonts w:ascii="Times New Roman" w:hAnsi="Times New Roman"/>
          <w:i/>
          <w:iCs/>
        </w:rPr>
        <w:t>Org. Lett.</w:t>
      </w:r>
      <w:r>
        <w:rPr>
          <w:rFonts w:ascii="Times New Roman" w:hAnsi="Times New Roman"/>
        </w:rPr>
        <w:t xml:space="preserve"> </w:t>
      </w:r>
      <w:r>
        <w:rPr>
          <w:rFonts w:ascii="Times New Roman" w:hAnsi="Times New Roman"/>
          <w:b/>
          <w:bCs/>
        </w:rPr>
        <w:t>17,</w:t>
      </w:r>
      <w:r>
        <w:rPr>
          <w:rFonts w:ascii="Times New Roman" w:hAnsi="Times New Roman"/>
        </w:rPr>
        <w:t xml:space="preserve"> 3078–3081 (2015).</w:t>
      </w:r>
    </w:p>
    <w:p w14:paraId="6420B101" w14:textId="77777777" w:rsidR="00A074C8" w:rsidRDefault="00A074C8" w:rsidP="00A074C8">
      <w:pPr>
        <w:pStyle w:val="Bibliography"/>
        <w:rPr>
          <w:rFonts w:ascii="Times New Roman" w:hAnsi="Times New Roman"/>
        </w:rPr>
      </w:pPr>
      <w:r>
        <w:rPr>
          <w:rFonts w:ascii="Times New Roman" w:hAnsi="Times New Roman"/>
        </w:rPr>
        <w:t>145.</w:t>
      </w:r>
      <w:r>
        <w:rPr>
          <w:rFonts w:ascii="Times New Roman" w:hAnsi="Times New Roman"/>
        </w:rPr>
        <w:tab/>
        <w:t xml:space="preserve">Beletskaya, I. P. &amp; Cheprakov, A. V. The Heck Reaction as a Sharpening Stone of Palladium Catalysis. </w:t>
      </w:r>
      <w:r>
        <w:rPr>
          <w:rFonts w:ascii="Times New Roman" w:hAnsi="Times New Roman"/>
          <w:i/>
          <w:iCs/>
        </w:rPr>
        <w:t>Chem. Rev.</w:t>
      </w:r>
      <w:r>
        <w:rPr>
          <w:rFonts w:ascii="Times New Roman" w:hAnsi="Times New Roman"/>
        </w:rPr>
        <w:t xml:space="preserve"> </w:t>
      </w:r>
      <w:r>
        <w:rPr>
          <w:rFonts w:ascii="Times New Roman" w:hAnsi="Times New Roman"/>
          <w:b/>
          <w:bCs/>
        </w:rPr>
        <w:t>100,</w:t>
      </w:r>
      <w:r>
        <w:rPr>
          <w:rFonts w:ascii="Times New Roman" w:hAnsi="Times New Roman"/>
        </w:rPr>
        <w:t xml:space="preserve"> 3009–3066 (2000).</w:t>
      </w:r>
    </w:p>
    <w:p w14:paraId="55335C30" w14:textId="77777777" w:rsidR="00A074C8" w:rsidRDefault="00A074C8" w:rsidP="00A074C8">
      <w:pPr>
        <w:pStyle w:val="Bibliography"/>
        <w:rPr>
          <w:rFonts w:ascii="Times New Roman" w:hAnsi="Times New Roman"/>
        </w:rPr>
      </w:pPr>
      <w:r>
        <w:rPr>
          <w:rFonts w:ascii="Times New Roman" w:hAnsi="Times New Roman"/>
        </w:rPr>
        <w:t>146.</w:t>
      </w:r>
      <w:r>
        <w:rPr>
          <w:rFonts w:ascii="Times New Roman" w:hAnsi="Times New Roman"/>
        </w:rPr>
        <w:tab/>
        <w:t xml:space="preserve">McClain, J. M. I. Survey of Catalyst and Reductant Effects on Oxorhenium Catalyzed Deoxydehydration of Glycols, PhD. Dissertation. </w:t>
      </w:r>
      <w:r>
        <w:rPr>
          <w:rFonts w:ascii="Times New Roman" w:hAnsi="Times New Roman"/>
          <w:i/>
          <w:iCs/>
        </w:rPr>
        <w:t>Dep. Chem. Biochem. Univ. Okla.</w:t>
      </w:r>
      <w:r>
        <w:rPr>
          <w:rFonts w:ascii="Times New Roman" w:hAnsi="Times New Roman"/>
        </w:rPr>
        <w:t xml:space="preserve"> (2015).</w:t>
      </w:r>
    </w:p>
    <w:p w14:paraId="2E647BB3" w14:textId="77777777" w:rsidR="00A074C8" w:rsidRDefault="00A074C8" w:rsidP="00A074C8">
      <w:pPr>
        <w:pStyle w:val="Bibliography"/>
        <w:rPr>
          <w:rFonts w:ascii="Times New Roman" w:hAnsi="Times New Roman"/>
        </w:rPr>
      </w:pPr>
      <w:r>
        <w:rPr>
          <w:rFonts w:ascii="Times New Roman" w:hAnsi="Times New Roman"/>
        </w:rPr>
        <w:t>147.</w:t>
      </w:r>
      <w:r>
        <w:rPr>
          <w:rFonts w:ascii="Times New Roman" w:hAnsi="Times New Roman"/>
        </w:rPr>
        <w:tab/>
        <w:t xml:space="preserve">Lakshmi Kantam, M., Vishnuvardhan Reddy, P., Srinivas, P. &amp; Bhargava, S. Ligand and base-free Heck reaction with heteroaryl halides. </w:t>
      </w:r>
      <w:r>
        <w:rPr>
          <w:rFonts w:ascii="Times New Roman" w:hAnsi="Times New Roman"/>
          <w:i/>
          <w:iCs/>
        </w:rPr>
        <w:t>Tetrahedron Lett.</w:t>
      </w:r>
      <w:r>
        <w:rPr>
          <w:rFonts w:ascii="Times New Roman" w:hAnsi="Times New Roman"/>
        </w:rPr>
        <w:t xml:space="preserve"> </w:t>
      </w:r>
      <w:r>
        <w:rPr>
          <w:rFonts w:ascii="Times New Roman" w:hAnsi="Times New Roman"/>
          <w:b/>
          <w:bCs/>
        </w:rPr>
        <w:t>52,</w:t>
      </w:r>
      <w:r>
        <w:rPr>
          <w:rFonts w:ascii="Times New Roman" w:hAnsi="Times New Roman"/>
        </w:rPr>
        <w:t xml:space="preserve"> 4490–4493 (2011).</w:t>
      </w:r>
    </w:p>
    <w:p w14:paraId="5FEA48D5" w14:textId="77777777" w:rsidR="00A074C8" w:rsidRDefault="00A074C8" w:rsidP="00A074C8">
      <w:pPr>
        <w:pStyle w:val="Bibliography"/>
        <w:rPr>
          <w:rFonts w:ascii="Times New Roman" w:hAnsi="Times New Roman"/>
        </w:rPr>
      </w:pPr>
      <w:r>
        <w:rPr>
          <w:rFonts w:ascii="Times New Roman" w:hAnsi="Times New Roman"/>
        </w:rPr>
        <w:t>148.</w:t>
      </w:r>
      <w:r>
        <w:rPr>
          <w:rFonts w:ascii="Times New Roman" w:hAnsi="Times New Roman"/>
        </w:rPr>
        <w:tab/>
        <w:t>Booysen, I. N. Rhenium(V)-Imido complexes with potentially multidentate ligands containing the amino group. (Nelson Mandela Metropolitan University  Faculty of Science, 2007).</w:t>
      </w:r>
    </w:p>
    <w:p w14:paraId="39F9062B" w14:textId="77777777" w:rsidR="00A074C8" w:rsidRDefault="00A074C8" w:rsidP="00A074C8">
      <w:pPr>
        <w:pStyle w:val="Bibliography"/>
        <w:rPr>
          <w:rFonts w:ascii="Times New Roman" w:hAnsi="Times New Roman"/>
        </w:rPr>
      </w:pPr>
      <w:r>
        <w:rPr>
          <w:rFonts w:ascii="Times New Roman" w:hAnsi="Times New Roman"/>
        </w:rPr>
        <w:t>149.</w:t>
      </w:r>
      <w:r>
        <w:rPr>
          <w:rFonts w:ascii="Times New Roman" w:hAnsi="Times New Roman"/>
        </w:rPr>
        <w:tab/>
        <w:t xml:space="preserve">Leung, J. C. &amp; Krische, M. J. Catalytic intermolecular hydroacylation of C–C π-bonds in the absence of chelation assistance. </w:t>
      </w:r>
      <w:r>
        <w:rPr>
          <w:rFonts w:ascii="Times New Roman" w:hAnsi="Times New Roman"/>
          <w:i/>
          <w:iCs/>
        </w:rPr>
        <w:t>Chem. Sci.</w:t>
      </w:r>
      <w:r>
        <w:rPr>
          <w:rFonts w:ascii="Times New Roman" w:hAnsi="Times New Roman"/>
        </w:rPr>
        <w:t xml:space="preserve"> </w:t>
      </w:r>
      <w:r>
        <w:rPr>
          <w:rFonts w:ascii="Times New Roman" w:hAnsi="Times New Roman"/>
          <w:b/>
          <w:bCs/>
        </w:rPr>
        <w:t>3,</w:t>
      </w:r>
      <w:r>
        <w:rPr>
          <w:rFonts w:ascii="Times New Roman" w:hAnsi="Times New Roman"/>
        </w:rPr>
        <w:t xml:space="preserve"> 2202–2209 (2012).</w:t>
      </w:r>
    </w:p>
    <w:p w14:paraId="216E83F4" w14:textId="77777777" w:rsidR="00A074C8" w:rsidRDefault="00A074C8" w:rsidP="00A074C8">
      <w:pPr>
        <w:pStyle w:val="Bibliography"/>
        <w:rPr>
          <w:rFonts w:ascii="Times New Roman" w:hAnsi="Times New Roman"/>
        </w:rPr>
      </w:pPr>
      <w:r>
        <w:rPr>
          <w:rFonts w:ascii="Times New Roman" w:hAnsi="Times New Roman"/>
        </w:rPr>
        <w:t>150.</w:t>
      </w:r>
      <w:r>
        <w:rPr>
          <w:rFonts w:ascii="Times New Roman" w:hAnsi="Times New Roman"/>
        </w:rPr>
        <w:tab/>
        <w:t xml:space="preserve">Tsuji, J. &amp; Ohno, K. Organic syntheses by means of noble metal compounds XXI. Decarbonylation of aldehydes using rhodium complex. </w:t>
      </w:r>
      <w:r>
        <w:rPr>
          <w:rFonts w:ascii="Times New Roman" w:hAnsi="Times New Roman"/>
          <w:i/>
          <w:iCs/>
        </w:rPr>
        <w:t>Tetrahedron Lett.</w:t>
      </w:r>
      <w:r>
        <w:rPr>
          <w:rFonts w:ascii="Times New Roman" w:hAnsi="Times New Roman"/>
        </w:rPr>
        <w:t xml:space="preserve"> </w:t>
      </w:r>
      <w:r>
        <w:rPr>
          <w:rFonts w:ascii="Times New Roman" w:hAnsi="Times New Roman"/>
          <w:b/>
          <w:bCs/>
        </w:rPr>
        <w:t>6,</w:t>
      </w:r>
      <w:r>
        <w:rPr>
          <w:rFonts w:ascii="Times New Roman" w:hAnsi="Times New Roman"/>
        </w:rPr>
        <w:t xml:space="preserve"> 3969–3971 (1965).</w:t>
      </w:r>
    </w:p>
    <w:p w14:paraId="27C8E36F" w14:textId="77777777" w:rsidR="00A074C8" w:rsidRDefault="00A074C8" w:rsidP="00A074C8">
      <w:pPr>
        <w:pStyle w:val="Bibliography"/>
        <w:rPr>
          <w:rFonts w:ascii="Times New Roman" w:hAnsi="Times New Roman"/>
        </w:rPr>
      </w:pPr>
      <w:r>
        <w:rPr>
          <w:rFonts w:ascii="Times New Roman" w:hAnsi="Times New Roman"/>
        </w:rPr>
        <w:t>151.</w:t>
      </w:r>
      <w:r>
        <w:rPr>
          <w:rFonts w:ascii="Times New Roman" w:hAnsi="Times New Roman"/>
        </w:rPr>
        <w:tab/>
        <w:t xml:space="preserve">Baird, M. C., Nyman, C. J. &amp; Wilkinson, G. The decarbonylation of aldehydes by tris(triphenylphosphine)chlororhodium(I). </w:t>
      </w:r>
      <w:r>
        <w:rPr>
          <w:rFonts w:ascii="Times New Roman" w:hAnsi="Times New Roman"/>
          <w:i/>
          <w:iCs/>
        </w:rPr>
        <w:t>J. Chem. Soc. Inorg. Phys. Theor.</w:t>
      </w:r>
      <w:r>
        <w:rPr>
          <w:rFonts w:ascii="Times New Roman" w:hAnsi="Times New Roman"/>
        </w:rPr>
        <w:t xml:space="preserve"> 348–351 (1968). doi:10.1039/J19680000348</w:t>
      </w:r>
    </w:p>
    <w:p w14:paraId="60C9F137" w14:textId="77777777" w:rsidR="00A074C8" w:rsidRDefault="00A074C8" w:rsidP="00A074C8">
      <w:pPr>
        <w:pStyle w:val="Bibliography"/>
        <w:rPr>
          <w:rFonts w:ascii="Times New Roman" w:hAnsi="Times New Roman"/>
        </w:rPr>
      </w:pPr>
      <w:r>
        <w:rPr>
          <w:rFonts w:ascii="Times New Roman" w:hAnsi="Times New Roman"/>
        </w:rPr>
        <w:t>152.</w:t>
      </w:r>
      <w:r>
        <w:rPr>
          <w:rFonts w:ascii="Times New Roman" w:hAnsi="Times New Roman"/>
        </w:rPr>
        <w:tab/>
        <w:t xml:space="preserve">Sakai, K., Ide, J., Oda, O. &amp; Nakamura, N. Synthetic studies on prostanoids 1 synthesis of methyl 9-oxoprostanoate. </w:t>
      </w:r>
      <w:r>
        <w:rPr>
          <w:rFonts w:ascii="Times New Roman" w:hAnsi="Times New Roman"/>
          <w:i/>
          <w:iCs/>
        </w:rPr>
        <w:t>Tetrahedron Lett.</w:t>
      </w:r>
      <w:r>
        <w:rPr>
          <w:rFonts w:ascii="Times New Roman" w:hAnsi="Times New Roman"/>
        </w:rPr>
        <w:t xml:space="preserve"> </w:t>
      </w:r>
      <w:r>
        <w:rPr>
          <w:rFonts w:ascii="Times New Roman" w:hAnsi="Times New Roman"/>
          <w:b/>
          <w:bCs/>
        </w:rPr>
        <w:t>13,</w:t>
      </w:r>
      <w:r>
        <w:rPr>
          <w:rFonts w:ascii="Times New Roman" w:hAnsi="Times New Roman"/>
        </w:rPr>
        <w:t xml:space="preserve"> 1287–1290 (1972).</w:t>
      </w:r>
    </w:p>
    <w:p w14:paraId="3E37A74B" w14:textId="77777777" w:rsidR="00A074C8" w:rsidRDefault="00A074C8" w:rsidP="00A074C8">
      <w:pPr>
        <w:pStyle w:val="Bibliography"/>
        <w:rPr>
          <w:rFonts w:ascii="Times New Roman" w:hAnsi="Times New Roman"/>
        </w:rPr>
      </w:pPr>
      <w:r>
        <w:rPr>
          <w:rFonts w:ascii="Times New Roman" w:hAnsi="Times New Roman"/>
        </w:rPr>
        <w:t>153.</w:t>
      </w:r>
      <w:r>
        <w:rPr>
          <w:rFonts w:ascii="Times New Roman" w:hAnsi="Times New Roman"/>
        </w:rPr>
        <w:tab/>
        <w:t xml:space="preserve">Suggs, J. W. Isolation of a stable acylrhodium(III) hydride intermediate formed during aldehyde decarbonylation. Hydroacylation. </w:t>
      </w:r>
      <w:r>
        <w:rPr>
          <w:rFonts w:ascii="Times New Roman" w:hAnsi="Times New Roman"/>
          <w:i/>
          <w:iCs/>
        </w:rPr>
        <w:t>J. Am. Chem. Soc.</w:t>
      </w:r>
      <w:r>
        <w:rPr>
          <w:rFonts w:ascii="Times New Roman" w:hAnsi="Times New Roman"/>
        </w:rPr>
        <w:t xml:space="preserve"> </w:t>
      </w:r>
      <w:r>
        <w:rPr>
          <w:rFonts w:ascii="Times New Roman" w:hAnsi="Times New Roman"/>
          <w:b/>
          <w:bCs/>
        </w:rPr>
        <w:t>100,</w:t>
      </w:r>
      <w:r>
        <w:rPr>
          <w:rFonts w:ascii="Times New Roman" w:hAnsi="Times New Roman"/>
        </w:rPr>
        <w:t xml:space="preserve"> 640–641 (1978).</w:t>
      </w:r>
    </w:p>
    <w:p w14:paraId="7819B9B1" w14:textId="77777777" w:rsidR="00A074C8" w:rsidRDefault="00A074C8" w:rsidP="00A074C8">
      <w:pPr>
        <w:pStyle w:val="Bibliography"/>
        <w:rPr>
          <w:rFonts w:ascii="Times New Roman" w:hAnsi="Times New Roman"/>
        </w:rPr>
      </w:pPr>
      <w:r>
        <w:rPr>
          <w:rFonts w:ascii="Times New Roman" w:hAnsi="Times New Roman"/>
        </w:rPr>
        <w:t>154.</w:t>
      </w:r>
      <w:r>
        <w:rPr>
          <w:rFonts w:ascii="Times New Roman" w:hAnsi="Times New Roman"/>
        </w:rPr>
        <w:tab/>
        <w:t xml:space="preserve">Kondo, T., Akazome, M., Tsuji, Y. &amp; Watanabe, Y. Ruthenium complex catalyzed intermolecular hydroacylation and transhydroformylation of olefins with aldehydes. </w:t>
      </w:r>
      <w:r>
        <w:rPr>
          <w:rFonts w:ascii="Times New Roman" w:hAnsi="Times New Roman"/>
          <w:i/>
          <w:iCs/>
        </w:rPr>
        <w:t>J. Org. Chem.</w:t>
      </w:r>
      <w:r>
        <w:rPr>
          <w:rFonts w:ascii="Times New Roman" w:hAnsi="Times New Roman"/>
        </w:rPr>
        <w:t xml:space="preserve"> </w:t>
      </w:r>
      <w:r>
        <w:rPr>
          <w:rFonts w:ascii="Times New Roman" w:hAnsi="Times New Roman"/>
          <w:b/>
          <w:bCs/>
        </w:rPr>
        <w:t>55,</w:t>
      </w:r>
      <w:r>
        <w:rPr>
          <w:rFonts w:ascii="Times New Roman" w:hAnsi="Times New Roman"/>
        </w:rPr>
        <w:t xml:space="preserve"> 1286–1291 (1990).</w:t>
      </w:r>
    </w:p>
    <w:p w14:paraId="0DF5A627" w14:textId="77777777" w:rsidR="00A074C8" w:rsidRDefault="00A074C8" w:rsidP="00A074C8">
      <w:pPr>
        <w:pStyle w:val="Bibliography"/>
        <w:rPr>
          <w:rFonts w:ascii="Times New Roman" w:hAnsi="Times New Roman"/>
        </w:rPr>
      </w:pPr>
      <w:r>
        <w:rPr>
          <w:rFonts w:ascii="Times New Roman" w:hAnsi="Times New Roman"/>
        </w:rPr>
        <w:t>155.</w:t>
      </w:r>
      <w:r>
        <w:rPr>
          <w:rFonts w:ascii="Times New Roman" w:hAnsi="Times New Roman"/>
        </w:rPr>
        <w:tab/>
        <w:t xml:space="preserve">Kondo, T., Tsuji, Y. &amp; Watanabe, Y. Ruthenium complex catalyzed intermolecular hydroacylation of olefins. </w:t>
      </w:r>
      <w:r>
        <w:rPr>
          <w:rFonts w:ascii="Times New Roman" w:hAnsi="Times New Roman"/>
          <w:i/>
          <w:iCs/>
        </w:rPr>
        <w:t>Tetrahedron Lett.</w:t>
      </w:r>
      <w:r>
        <w:rPr>
          <w:rFonts w:ascii="Times New Roman" w:hAnsi="Times New Roman"/>
        </w:rPr>
        <w:t xml:space="preserve"> </w:t>
      </w:r>
      <w:r>
        <w:rPr>
          <w:rFonts w:ascii="Times New Roman" w:hAnsi="Times New Roman"/>
          <w:b/>
          <w:bCs/>
        </w:rPr>
        <w:t>28,</w:t>
      </w:r>
      <w:r>
        <w:rPr>
          <w:rFonts w:ascii="Times New Roman" w:hAnsi="Times New Roman"/>
        </w:rPr>
        <w:t xml:space="preserve"> 6229–6230 (1987).</w:t>
      </w:r>
    </w:p>
    <w:p w14:paraId="23F3DA8B" w14:textId="77777777" w:rsidR="00A074C8" w:rsidRDefault="00A074C8" w:rsidP="00A074C8">
      <w:pPr>
        <w:pStyle w:val="Bibliography"/>
        <w:rPr>
          <w:rFonts w:ascii="Times New Roman" w:hAnsi="Times New Roman"/>
        </w:rPr>
      </w:pPr>
      <w:r>
        <w:rPr>
          <w:rFonts w:ascii="Times New Roman" w:hAnsi="Times New Roman"/>
        </w:rPr>
        <w:t>156.</w:t>
      </w:r>
      <w:r>
        <w:rPr>
          <w:rFonts w:ascii="Times New Roman" w:hAnsi="Times New Roman"/>
        </w:rPr>
        <w:tab/>
        <w:t xml:space="preserve">Wu, H. </w:t>
      </w:r>
      <w:r>
        <w:rPr>
          <w:rFonts w:ascii="Times New Roman" w:hAnsi="Times New Roman"/>
          <w:i/>
          <w:iCs/>
        </w:rPr>
        <w:t>et al.</w:t>
      </w:r>
      <w:r>
        <w:rPr>
          <w:rFonts w:ascii="Times New Roman" w:hAnsi="Times New Roman"/>
        </w:rPr>
        <w:t xml:space="preserve"> One-Pot Synthesis of Arylketones from Aromatic Acids via Palladium-Catalyzed Suzuki Coupling. </w:t>
      </w:r>
      <w:r>
        <w:rPr>
          <w:rFonts w:ascii="Times New Roman" w:hAnsi="Times New Roman"/>
          <w:i/>
          <w:iCs/>
        </w:rPr>
        <w:t>J. Org. Chem.</w:t>
      </w:r>
      <w:r>
        <w:rPr>
          <w:rFonts w:ascii="Times New Roman" w:hAnsi="Times New Roman"/>
        </w:rPr>
        <w:t xml:space="preserve"> </w:t>
      </w:r>
      <w:r>
        <w:rPr>
          <w:rFonts w:ascii="Times New Roman" w:hAnsi="Times New Roman"/>
          <w:b/>
          <w:bCs/>
        </w:rPr>
        <w:t>81,</w:t>
      </w:r>
      <w:r>
        <w:rPr>
          <w:rFonts w:ascii="Times New Roman" w:hAnsi="Times New Roman"/>
        </w:rPr>
        <w:t xml:space="preserve"> 2987–2992 (2016).</w:t>
      </w:r>
    </w:p>
    <w:p w14:paraId="5D13DF0F" w14:textId="77777777" w:rsidR="00A074C8" w:rsidRDefault="00A074C8" w:rsidP="00A074C8">
      <w:pPr>
        <w:pStyle w:val="Bibliography"/>
        <w:rPr>
          <w:rFonts w:ascii="Times New Roman" w:hAnsi="Times New Roman"/>
        </w:rPr>
      </w:pPr>
      <w:r>
        <w:rPr>
          <w:rFonts w:ascii="Times New Roman" w:hAnsi="Times New Roman"/>
        </w:rPr>
        <w:t>157.</w:t>
      </w:r>
      <w:r>
        <w:rPr>
          <w:rFonts w:ascii="Times New Roman" w:hAnsi="Times New Roman"/>
        </w:rPr>
        <w:tab/>
        <w:t xml:space="preserve">Singh, M., Kaur, M. &amp; Silakari, O. Flavones: An important scaffold for medicinal chemistry. </w:t>
      </w:r>
      <w:r>
        <w:rPr>
          <w:rFonts w:ascii="Times New Roman" w:hAnsi="Times New Roman"/>
          <w:i/>
          <w:iCs/>
        </w:rPr>
        <w:t>Eur. J. Med. Chem.</w:t>
      </w:r>
      <w:r>
        <w:rPr>
          <w:rFonts w:ascii="Times New Roman" w:hAnsi="Times New Roman"/>
        </w:rPr>
        <w:t xml:space="preserve"> </w:t>
      </w:r>
      <w:r>
        <w:rPr>
          <w:rFonts w:ascii="Times New Roman" w:hAnsi="Times New Roman"/>
          <w:b/>
          <w:bCs/>
        </w:rPr>
        <w:t>84,</w:t>
      </w:r>
      <w:r>
        <w:rPr>
          <w:rFonts w:ascii="Times New Roman" w:hAnsi="Times New Roman"/>
        </w:rPr>
        <w:t xml:space="preserve"> 206–239 (2014).</w:t>
      </w:r>
    </w:p>
    <w:p w14:paraId="5E61371C" w14:textId="77777777" w:rsidR="00A074C8" w:rsidRDefault="00A074C8" w:rsidP="00A074C8">
      <w:pPr>
        <w:pStyle w:val="Bibliography"/>
        <w:rPr>
          <w:rFonts w:ascii="Times New Roman" w:hAnsi="Times New Roman"/>
        </w:rPr>
      </w:pPr>
      <w:r>
        <w:rPr>
          <w:rFonts w:ascii="Times New Roman" w:hAnsi="Times New Roman"/>
        </w:rPr>
        <w:t>158.</w:t>
      </w:r>
      <w:r>
        <w:rPr>
          <w:rFonts w:ascii="Times New Roman" w:hAnsi="Times New Roman"/>
        </w:rPr>
        <w:tab/>
        <w:t xml:space="preserve">Guimond, N., MacDonald, M. J., Lemieux, V. &amp; Beauchemin, A. M. Catalysis through Temporary Intramolecularity: Mechanistic Investigations on Aldehyde-Catalyzed Cope-type Hydroamination Lead to the Discovery of a More Efficient Tethering Catalyst. </w:t>
      </w:r>
      <w:r>
        <w:rPr>
          <w:rFonts w:ascii="Times New Roman" w:hAnsi="Times New Roman"/>
          <w:i/>
          <w:iCs/>
        </w:rPr>
        <w:t>J. Am. Chem. Soc.</w:t>
      </w:r>
      <w:r>
        <w:rPr>
          <w:rFonts w:ascii="Times New Roman" w:hAnsi="Times New Roman"/>
        </w:rPr>
        <w:t xml:space="preserve"> </w:t>
      </w:r>
      <w:r>
        <w:rPr>
          <w:rFonts w:ascii="Times New Roman" w:hAnsi="Times New Roman"/>
          <w:b/>
          <w:bCs/>
        </w:rPr>
        <w:t>134,</w:t>
      </w:r>
      <w:r>
        <w:rPr>
          <w:rFonts w:ascii="Times New Roman" w:hAnsi="Times New Roman"/>
        </w:rPr>
        <w:t xml:space="preserve"> 16571–16577 (2012).</w:t>
      </w:r>
    </w:p>
    <w:p w14:paraId="528C2641" w14:textId="77777777" w:rsidR="00A074C8" w:rsidRDefault="00A074C8" w:rsidP="00A074C8">
      <w:pPr>
        <w:pStyle w:val="Bibliography"/>
        <w:rPr>
          <w:rFonts w:ascii="Times New Roman" w:hAnsi="Times New Roman"/>
        </w:rPr>
      </w:pPr>
      <w:r>
        <w:rPr>
          <w:rFonts w:ascii="Times New Roman" w:hAnsi="Times New Roman"/>
        </w:rPr>
        <w:t>159.</w:t>
      </w:r>
      <w:r>
        <w:rPr>
          <w:rFonts w:ascii="Times New Roman" w:hAnsi="Times New Roman"/>
        </w:rPr>
        <w:tab/>
        <w:t xml:space="preserve">Janeliunas, D., Daskeviciene, M., Malinauskas, T. &amp; Getautis, V. Study of the interaction of salicyl aldehydes with epichlorohydrin: a simple, convenient, and efficient method for the synthesis of 3,6-epoxy[1,5]dioxocines. </w:t>
      </w:r>
      <w:r>
        <w:rPr>
          <w:rFonts w:ascii="Times New Roman" w:hAnsi="Times New Roman"/>
          <w:i/>
          <w:iCs/>
        </w:rPr>
        <w:t>Tetrahedron</w:t>
      </w:r>
      <w:r>
        <w:rPr>
          <w:rFonts w:ascii="Times New Roman" w:hAnsi="Times New Roman"/>
        </w:rPr>
        <w:t xml:space="preserve"> </w:t>
      </w:r>
      <w:r>
        <w:rPr>
          <w:rFonts w:ascii="Times New Roman" w:hAnsi="Times New Roman"/>
          <w:b/>
          <w:bCs/>
        </w:rPr>
        <w:t>65,</w:t>
      </w:r>
      <w:r>
        <w:rPr>
          <w:rFonts w:ascii="Times New Roman" w:hAnsi="Times New Roman"/>
        </w:rPr>
        <w:t xml:space="preserve"> 8407–8411 (2009).</w:t>
      </w:r>
    </w:p>
    <w:p w14:paraId="65A479D5" w14:textId="77777777" w:rsidR="00A074C8" w:rsidRDefault="00A074C8" w:rsidP="00A074C8">
      <w:pPr>
        <w:pStyle w:val="Bibliography"/>
        <w:rPr>
          <w:rFonts w:ascii="Times New Roman" w:hAnsi="Times New Roman"/>
        </w:rPr>
      </w:pPr>
      <w:r>
        <w:rPr>
          <w:rFonts w:ascii="Times New Roman" w:hAnsi="Times New Roman"/>
        </w:rPr>
        <w:t>160.</w:t>
      </w:r>
      <w:r>
        <w:rPr>
          <w:rFonts w:ascii="Times New Roman" w:hAnsi="Times New Roman"/>
        </w:rPr>
        <w:tab/>
        <w:t xml:space="preserve">Hirano, K., Biju, A. T., Piel, I. &amp; Glorius, F. N-Heterocyclic Carbene-Catalyzed Hydroacylation of Unactivated Double Bonds. </w:t>
      </w:r>
      <w:r>
        <w:rPr>
          <w:rFonts w:ascii="Times New Roman" w:hAnsi="Times New Roman"/>
          <w:i/>
          <w:iCs/>
        </w:rPr>
        <w:t>J. Am. Chem. Soc.</w:t>
      </w:r>
      <w:r>
        <w:rPr>
          <w:rFonts w:ascii="Times New Roman" w:hAnsi="Times New Roman"/>
        </w:rPr>
        <w:t xml:space="preserve"> </w:t>
      </w:r>
      <w:r>
        <w:rPr>
          <w:rFonts w:ascii="Times New Roman" w:hAnsi="Times New Roman"/>
          <w:b/>
          <w:bCs/>
        </w:rPr>
        <w:t>131,</w:t>
      </w:r>
      <w:r>
        <w:rPr>
          <w:rFonts w:ascii="Times New Roman" w:hAnsi="Times New Roman"/>
        </w:rPr>
        <w:t xml:space="preserve"> 14190–14191 (2009).</w:t>
      </w:r>
    </w:p>
    <w:p w14:paraId="71E2C1A2" w14:textId="77777777" w:rsidR="00A074C8" w:rsidRDefault="00A074C8" w:rsidP="00A074C8">
      <w:pPr>
        <w:pStyle w:val="Bibliography"/>
        <w:rPr>
          <w:rFonts w:ascii="Times New Roman" w:hAnsi="Times New Roman"/>
        </w:rPr>
      </w:pPr>
      <w:r>
        <w:rPr>
          <w:rFonts w:ascii="Times New Roman" w:hAnsi="Times New Roman"/>
        </w:rPr>
        <w:t>161.</w:t>
      </w:r>
      <w:r>
        <w:rPr>
          <w:rFonts w:ascii="Times New Roman" w:hAnsi="Times New Roman"/>
        </w:rPr>
        <w:tab/>
        <w:t xml:space="preserve">Sun, H. </w:t>
      </w:r>
      <w:r>
        <w:rPr>
          <w:rFonts w:ascii="Times New Roman" w:hAnsi="Times New Roman"/>
          <w:i/>
          <w:iCs/>
        </w:rPr>
        <w:t>et al.</w:t>
      </w:r>
      <w:r>
        <w:rPr>
          <w:rFonts w:ascii="Times New Roman" w:hAnsi="Times New Roman"/>
        </w:rPr>
        <w:t xml:space="preserve"> Imidazolinium Perrhenate-Catalyzed Deoxydehydration of Vicinal Diols to Alkenes. </w:t>
      </w:r>
      <w:r>
        <w:rPr>
          <w:rFonts w:ascii="Times New Roman" w:hAnsi="Times New Roman"/>
          <w:i/>
          <w:iCs/>
        </w:rPr>
        <w:t>Chin. J. Org. Chem.</w:t>
      </w:r>
      <w:r>
        <w:rPr>
          <w:rFonts w:ascii="Times New Roman" w:hAnsi="Times New Roman"/>
        </w:rPr>
        <w:t xml:space="preserve"> </w:t>
      </w:r>
      <w:r>
        <w:rPr>
          <w:rFonts w:ascii="Times New Roman" w:hAnsi="Times New Roman"/>
          <w:b/>
          <w:bCs/>
        </w:rPr>
        <w:t>35,</w:t>
      </w:r>
      <w:r>
        <w:rPr>
          <w:rFonts w:ascii="Times New Roman" w:hAnsi="Times New Roman"/>
        </w:rPr>
        <w:t xml:space="preserve"> 1904 (2015).</w:t>
      </w:r>
    </w:p>
    <w:p w14:paraId="232B5B37" w14:textId="77777777" w:rsidR="00A074C8" w:rsidRDefault="00A074C8" w:rsidP="00A074C8">
      <w:pPr>
        <w:pStyle w:val="Bibliography"/>
        <w:rPr>
          <w:rFonts w:ascii="Times New Roman" w:hAnsi="Times New Roman"/>
        </w:rPr>
      </w:pPr>
      <w:r>
        <w:rPr>
          <w:rFonts w:ascii="Times New Roman" w:hAnsi="Times New Roman"/>
        </w:rPr>
        <w:t>162.</w:t>
      </w:r>
      <w:r>
        <w:rPr>
          <w:rFonts w:ascii="Times New Roman" w:hAnsi="Times New Roman"/>
        </w:rPr>
        <w:tab/>
        <w:t xml:space="preserve">Law, K. R. &amp; McErlean, C. S. P. Extending the Stetter Reaction with 1,6-Acceptors. </w:t>
      </w:r>
      <w:r>
        <w:rPr>
          <w:rFonts w:ascii="Times New Roman" w:hAnsi="Times New Roman"/>
          <w:i/>
          <w:iCs/>
        </w:rPr>
        <w:t>Chem. – Eur. J.</w:t>
      </w:r>
      <w:r>
        <w:rPr>
          <w:rFonts w:ascii="Times New Roman" w:hAnsi="Times New Roman"/>
        </w:rPr>
        <w:t xml:space="preserve"> </w:t>
      </w:r>
      <w:r>
        <w:rPr>
          <w:rFonts w:ascii="Times New Roman" w:hAnsi="Times New Roman"/>
          <w:b/>
          <w:bCs/>
        </w:rPr>
        <w:t>19,</w:t>
      </w:r>
      <w:r>
        <w:rPr>
          <w:rFonts w:ascii="Times New Roman" w:hAnsi="Times New Roman"/>
        </w:rPr>
        <w:t xml:space="preserve"> 15852–15855 (2013).</w:t>
      </w:r>
    </w:p>
    <w:p w14:paraId="51570E18" w14:textId="77777777" w:rsidR="00A074C8" w:rsidRDefault="00A074C8" w:rsidP="00A074C8">
      <w:pPr>
        <w:pStyle w:val="Bibliography"/>
        <w:rPr>
          <w:rFonts w:ascii="Times New Roman" w:hAnsi="Times New Roman"/>
        </w:rPr>
      </w:pPr>
      <w:r>
        <w:rPr>
          <w:rFonts w:ascii="Times New Roman" w:hAnsi="Times New Roman"/>
        </w:rPr>
        <w:t>163.</w:t>
      </w:r>
      <w:r>
        <w:rPr>
          <w:rFonts w:ascii="Times New Roman" w:hAnsi="Times New Roman"/>
        </w:rPr>
        <w:tab/>
        <w:t xml:space="preserve">Cornils, B., Herrmann, W. A. &amp; Rasch, M. Otto Roelen, Pioneer in Industrial Homogeneous Catalysis. </w:t>
      </w:r>
      <w:r>
        <w:rPr>
          <w:rFonts w:ascii="Times New Roman" w:hAnsi="Times New Roman"/>
          <w:i/>
          <w:iCs/>
        </w:rPr>
        <w:t>Angew. Chem. Int. Ed. Engl.</w:t>
      </w:r>
      <w:r>
        <w:rPr>
          <w:rFonts w:ascii="Times New Roman" w:hAnsi="Times New Roman"/>
        </w:rPr>
        <w:t xml:space="preserve"> </w:t>
      </w:r>
      <w:r>
        <w:rPr>
          <w:rFonts w:ascii="Times New Roman" w:hAnsi="Times New Roman"/>
          <w:b/>
          <w:bCs/>
        </w:rPr>
        <w:t>33,</w:t>
      </w:r>
      <w:r>
        <w:rPr>
          <w:rFonts w:ascii="Times New Roman" w:hAnsi="Times New Roman"/>
        </w:rPr>
        <w:t xml:space="preserve"> 2144–2163 (1994).</w:t>
      </w:r>
    </w:p>
    <w:p w14:paraId="13C482A4" w14:textId="77777777" w:rsidR="00A074C8" w:rsidRDefault="00A074C8" w:rsidP="00A074C8">
      <w:pPr>
        <w:pStyle w:val="Bibliography"/>
        <w:rPr>
          <w:rFonts w:ascii="Times New Roman" w:hAnsi="Times New Roman"/>
        </w:rPr>
      </w:pPr>
      <w:r>
        <w:rPr>
          <w:rFonts w:ascii="Times New Roman" w:hAnsi="Times New Roman"/>
        </w:rPr>
        <w:t>164.</w:t>
      </w:r>
      <w:r>
        <w:rPr>
          <w:rFonts w:ascii="Times New Roman" w:hAnsi="Times New Roman"/>
        </w:rPr>
        <w:tab/>
      </w:r>
      <w:r>
        <w:rPr>
          <w:rFonts w:ascii="Times New Roman" w:hAnsi="Times New Roman"/>
          <w:i/>
          <w:iCs/>
        </w:rPr>
        <w:t>New Syntheses with Carbon Monoxide | J. Falbe | Springer</w:t>
      </w:r>
      <w:r>
        <w:rPr>
          <w:rFonts w:ascii="Times New Roman" w:hAnsi="Times New Roman"/>
        </w:rPr>
        <w:t>.</w:t>
      </w:r>
    </w:p>
    <w:p w14:paraId="74D491D6" w14:textId="77777777" w:rsidR="00A074C8" w:rsidRDefault="00A074C8" w:rsidP="00A074C8">
      <w:pPr>
        <w:pStyle w:val="Bibliography"/>
        <w:rPr>
          <w:rFonts w:ascii="Times New Roman" w:hAnsi="Times New Roman"/>
        </w:rPr>
      </w:pPr>
      <w:r>
        <w:rPr>
          <w:rFonts w:ascii="Times New Roman" w:hAnsi="Times New Roman"/>
        </w:rPr>
        <w:t>165.</w:t>
      </w:r>
      <w:r>
        <w:rPr>
          <w:rFonts w:ascii="Times New Roman" w:hAnsi="Times New Roman"/>
        </w:rPr>
        <w:tab/>
        <w:t xml:space="preserve">Ojima, I., Tsai, C.-Y., Tzamarioudaki, M. &amp; Bonafoux, D. in </w:t>
      </w:r>
      <w:r>
        <w:rPr>
          <w:rFonts w:ascii="Times New Roman" w:hAnsi="Times New Roman"/>
          <w:i/>
          <w:iCs/>
        </w:rPr>
        <w:t>Organic Reactions</w:t>
      </w:r>
      <w:r>
        <w:rPr>
          <w:rFonts w:ascii="Times New Roman" w:hAnsi="Times New Roman"/>
        </w:rPr>
        <w:t xml:space="preserve"> (John Wiley &amp; Sons, Inc., 2004).</w:t>
      </w:r>
    </w:p>
    <w:p w14:paraId="19EBAACB" w14:textId="77777777" w:rsidR="00A074C8" w:rsidRDefault="00A074C8" w:rsidP="00A074C8">
      <w:pPr>
        <w:pStyle w:val="Bibliography"/>
        <w:rPr>
          <w:rFonts w:ascii="Times New Roman" w:hAnsi="Times New Roman"/>
        </w:rPr>
      </w:pPr>
      <w:r>
        <w:rPr>
          <w:rFonts w:ascii="Times New Roman" w:hAnsi="Times New Roman"/>
        </w:rPr>
        <w:t>166.</w:t>
      </w:r>
      <w:r>
        <w:rPr>
          <w:rFonts w:ascii="Times New Roman" w:hAnsi="Times New Roman"/>
        </w:rPr>
        <w:tab/>
        <w:t xml:space="preserve">Warner, M. C., Casey, C. P. &amp; Bäckvall, J.-E. in </w:t>
      </w:r>
      <w:r>
        <w:rPr>
          <w:rFonts w:ascii="Times New Roman" w:hAnsi="Times New Roman"/>
          <w:i/>
          <w:iCs/>
        </w:rPr>
        <w:t>Bifunctional Molecular Catalysis</w:t>
      </w:r>
      <w:r>
        <w:rPr>
          <w:rFonts w:ascii="Times New Roman" w:hAnsi="Times New Roman"/>
        </w:rPr>
        <w:t xml:space="preserve"> (eds. Ikariya, T. &amp; Shibasaki, M.) 85–125 (Springer Berlin Heidelberg, 2011).</w:t>
      </w:r>
    </w:p>
    <w:p w14:paraId="0103DE87" w14:textId="77777777" w:rsidR="00A074C8" w:rsidRPr="00A074C8" w:rsidRDefault="00A074C8" w:rsidP="00A074C8">
      <w:pPr>
        <w:pStyle w:val="Bibliography"/>
        <w:rPr>
          <w:rFonts w:ascii="Times New Roman" w:hAnsi="Times New Roman"/>
          <w:lang w:val="fr-FR"/>
        </w:rPr>
      </w:pPr>
      <w:r>
        <w:rPr>
          <w:rFonts w:ascii="Times New Roman" w:hAnsi="Times New Roman"/>
        </w:rPr>
        <w:t>167.</w:t>
      </w:r>
      <w:r>
        <w:rPr>
          <w:rFonts w:ascii="Times New Roman" w:hAnsi="Times New Roman"/>
        </w:rPr>
        <w:tab/>
        <w:t xml:space="preserve">Alvila, L., Pakkanen, T. A., Pakkanen, T. T. &amp; Krause, O. Comparative study of homogeneous catalytic activity of group 8–9 metal compounds in hydroformylation of 1-hexene. </w:t>
      </w:r>
      <w:r w:rsidRPr="00A074C8">
        <w:rPr>
          <w:rFonts w:ascii="Times New Roman" w:hAnsi="Times New Roman"/>
          <w:i/>
          <w:iCs/>
          <w:lang w:val="fr-FR"/>
        </w:rPr>
        <w:t>J. Mol. Catal.</w:t>
      </w:r>
      <w:r w:rsidRPr="00A074C8">
        <w:rPr>
          <w:rFonts w:ascii="Times New Roman" w:hAnsi="Times New Roman"/>
          <w:lang w:val="fr-FR"/>
        </w:rPr>
        <w:t xml:space="preserve"> </w:t>
      </w:r>
      <w:r w:rsidRPr="00A074C8">
        <w:rPr>
          <w:rFonts w:ascii="Times New Roman" w:hAnsi="Times New Roman"/>
          <w:b/>
          <w:bCs/>
          <w:lang w:val="fr-FR"/>
        </w:rPr>
        <w:t>73,</w:t>
      </w:r>
      <w:r w:rsidRPr="00A074C8">
        <w:rPr>
          <w:rFonts w:ascii="Times New Roman" w:hAnsi="Times New Roman"/>
          <w:lang w:val="fr-FR"/>
        </w:rPr>
        <w:t xml:space="preserve"> 325–334 (1992).</w:t>
      </w:r>
    </w:p>
    <w:p w14:paraId="0C7C9E0A" w14:textId="77777777" w:rsidR="00A074C8" w:rsidRDefault="00A074C8" w:rsidP="00A074C8">
      <w:pPr>
        <w:pStyle w:val="Bibliography"/>
        <w:rPr>
          <w:rFonts w:ascii="Times New Roman" w:hAnsi="Times New Roman"/>
        </w:rPr>
      </w:pPr>
      <w:r w:rsidRPr="00A074C8">
        <w:rPr>
          <w:rFonts w:ascii="Times New Roman" w:hAnsi="Times New Roman"/>
          <w:lang w:val="fr-FR"/>
        </w:rPr>
        <w:t>168.</w:t>
      </w:r>
      <w:r w:rsidRPr="00A074C8">
        <w:rPr>
          <w:rFonts w:ascii="Times New Roman" w:hAnsi="Times New Roman"/>
          <w:lang w:val="fr-FR"/>
        </w:rPr>
        <w:tab/>
        <w:t xml:space="preserve">Ciani, G. F., D’Alfonso, G., Romiti, P. F., Sironi, A. &amp; Freni, M. Rhenium(V) oxide complexes. </w:t>
      </w:r>
      <w:r>
        <w:rPr>
          <w:rFonts w:ascii="Times New Roman" w:hAnsi="Times New Roman"/>
        </w:rPr>
        <w:t xml:space="preserve">Crystal and molecular structures of the compounds trans-ReI2O(OR)(PPh3)2 (R = Et, Me) and of their hydrolysis derivative ReIO2(PPh3)2. </w:t>
      </w:r>
      <w:r>
        <w:rPr>
          <w:rFonts w:ascii="Times New Roman" w:hAnsi="Times New Roman"/>
          <w:i/>
          <w:iCs/>
        </w:rPr>
        <w:t>Inorganica Chim. Acta</w:t>
      </w:r>
      <w:r>
        <w:rPr>
          <w:rFonts w:ascii="Times New Roman" w:hAnsi="Times New Roman"/>
        </w:rPr>
        <w:t xml:space="preserve"> </w:t>
      </w:r>
      <w:r>
        <w:rPr>
          <w:rFonts w:ascii="Times New Roman" w:hAnsi="Times New Roman"/>
          <w:b/>
          <w:bCs/>
        </w:rPr>
        <w:t>72,</w:t>
      </w:r>
      <w:r>
        <w:rPr>
          <w:rFonts w:ascii="Times New Roman" w:hAnsi="Times New Roman"/>
        </w:rPr>
        <w:t xml:space="preserve"> 29–37 (1983).</w:t>
      </w:r>
    </w:p>
    <w:p w14:paraId="23C79391" w14:textId="77777777" w:rsidR="00A074C8" w:rsidRDefault="00A074C8" w:rsidP="00A074C8">
      <w:pPr>
        <w:pStyle w:val="Bibliography"/>
        <w:rPr>
          <w:rFonts w:ascii="Times New Roman" w:hAnsi="Times New Roman"/>
        </w:rPr>
      </w:pPr>
      <w:r>
        <w:rPr>
          <w:rFonts w:ascii="Times New Roman" w:hAnsi="Times New Roman"/>
        </w:rPr>
        <w:t>169.</w:t>
      </w:r>
      <w:r>
        <w:rPr>
          <w:rFonts w:ascii="Times New Roman" w:hAnsi="Times New Roman"/>
        </w:rPr>
        <w:tab/>
        <w:t xml:space="preserve">Kasner, G. R., Boucher-Jacobs, C., McClain, J. M. &amp; Nicholas, K. M. Oxo-rhenium catalyzed reductive coupling and deoxygenation of alcohols. </w:t>
      </w:r>
      <w:r>
        <w:rPr>
          <w:rFonts w:ascii="Times New Roman" w:hAnsi="Times New Roman"/>
          <w:i/>
          <w:iCs/>
        </w:rPr>
        <w:t>Chem. Commun.</w:t>
      </w:r>
      <w:r>
        <w:rPr>
          <w:rFonts w:ascii="Times New Roman" w:hAnsi="Times New Roman"/>
        </w:rPr>
        <w:t xml:space="preserve"> </w:t>
      </w:r>
      <w:r>
        <w:rPr>
          <w:rFonts w:ascii="Times New Roman" w:hAnsi="Times New Roman"/>
          <w:b/>
          <w:bCs/>
        </w:rPr>
        <w:t>52,</w:t>
      </w:r>
      <w:r>
        <w:rPr>
          <w:rFonts w:ascii="Times New Roman" w:hAnsi="Times New Roman"/>
        </w:rPr>
        <w:t xml:space="preserve"> 7257–7260 (2016).</w:t>
      </w:r>
    </w:p>
    <w:p w14:paraId="3A74EDEA" w14:textId="77777777" w:rsidR="00A074C8" w:rsidRDefault="00A074C8" w:rsidP="00A074C8">
      <w:pPr>
        <w:pStyle w:val="Bibliography"/>
        <w:rPr>
          <w:rFonts w:ascii="Times New Roman" w:hAnsi="Times New Roman"/>
        </w:rPr>
      </w:pPr>
      <w:r>
        <w:rPr>
          <w:rFonts w:ascii="Times New Roman" w:hAnsi="Times New Roman"/>
        </w:rPr>
        <w:t>170.</w:t>
      </w:r>
      <w:r>
        <w:rPr>
          <w:rFonts w:ascii="Times New Roman" w:hAnsi="Times New Roman"/>
        </w:rPr>
        <w:tab/>
        <w:t xml:space="preserve">Lohr, T. L. &amp; Marks, T. J. Orthogonal tandem catalysis. </w:t>
      </w:r>
      <w:r>
        <w:rPr>
          <w:rFonts w:ascii="Times New Roman" w:hAnsi="Times New Roman"/>
          <w:i/>
          <w:iCs/>
        </w:rPr>
        <w:t>Nat. Chem.</w:t>
      </w:r>
      <w:r>
        <w:rPr>
          <w:rFonts w:ascii="Times New Roman" w:hAnsi="Times New Roman"/>
        </w:rPr>
        <w:t xml:space="preserve"> </w:t>
      </w:r>
      <w:r>
        <w:rPr>
          <w:rFonts w:ascii="Times New Roman" w:hAnsi="Times New Roman"/>
          <w:b/>
          <w:bCs/>
        </w:rPr>
        <w:t>7,</w:t>
      </w:r>
      <w:r>
        <w:rPr>
          <w:rFonts w:ascii="Times New Roman" w:hAnsi="Times New Roman"/>
        </w:rPr>
        <w:t xml:space="preserve"> 477–482 (2015).</w:t>
      </w:r>
    </w:p>
    <w:p w14:paraId="32D81019" w14:textId="77777777" w:rsidR="00A074C8" w:rsidRDefault="00A074C8" w:rsidP="00A074C8">
      <w:pPr>
        <w:pStyle w:val="Bibliography"/>
        <w:rPr>
          <w:rFonts w:ascii="Times New Roman" w:hAnsi="Times New Roman"/>
        </w:rPr>
      </w:pPr>
      <w:r>
        <w:rPr>
          <w:rFonts w:ascii="Times New Roman" w:hAnsi="Times New Roman"/>
        </w:rPr>
        <w:t>171.</w:t>
      </w:r>
      <w:r>
        <w:rPr>
          <w:rFonts w:ascii="Times New Roman" w:hAnsi="Times New Roman"/>
        </w:rPr>
        <w:tab/>
        <w:t xml:space="preserve">Galván, A., Fañanás, F. J. &amp; Rodríguez, F. Multicomponent and Multicatalytic Reactions – A Synthetic Strategy Inspired by Nature. </w:t>
      </w:r>
      <w:r>
        <w:rPr>
          <w:rFonts w:ascii="Times New Roman" w:hAnsi="Times New Roman"/>
          <w:i/>
          <w:iCs/>
        </w:rPr>
        <w:t>Eur. J. Inorg. Chem.</w:t>
      </w:r>
      <w:r>
        <w:rPr>
          <w:rFonts w:ascii="Times New Roman" w:hAnsi="Times New Roman"/>
        </w:rPr>
        <w:t xml:space="preserve"> </w:t>
      </w:r>
      <w:r>
        <w:rPr>
          <w:rFonts w:ascii="Times New Roman" w:hAnsi="Times New Roman"/>
          <w:b/>
          <w:bCs/>
        </w:rPr>
        <w:t>2016,</w:t>
      </w:r>
      <w:r>
        <w:rPr>
          <w:rFonts w:ascii="Times New Roman" w:hAnsi="Times New Roman"/>
        </w:rPr>
        <w:t xml:space="preserve"> 1306–1313 (2016).</w:t>
      </w:r>
    </w:p>
    <w:p w14:paraId="25EE6866" w14:textId="77777777" w:rsidR="00A074C8" w:rsidRDefault="00A074C8" w:rsidP="00A074C8">
      <w:pPr>
        <w:pStyle w:val="Bibliography"/>
        <w:rPr>
          <w:rFonts w:ascii="Times New Roman" w:hAnsi="Times New Roman"/>
        </w:rPr>
      </w:pPr>
      <w:r>
        <w:rPr>
          <w:rFonts w:ascii="Times New Roman" w:hAnsi="Times New Roman"/>
        </w:rPr>
        <w:t>172.</w:t>
      </w:r>
      <w:r>
        <w:rPr>
          <w:rFonts w:ascii="Times New Roman" w:hAnsi="Times New Roman"/>
        </w:rPr>
        <w:tab/>
        <w:t xml:space="preserve">Claude Moreau. Microporous and mesoporous catalysts for the transformation of carbohydrates. </w:t>
      </w:r>
      <w:r>
        <w:rPr>
          <w:rFonts w:ascii="Times New Roman" w:hAnsi="Times New Roman"/>
          <w:i/>
          <w:iCs/>
        </w:rPr>
        <w:t>Catal. Fine Chem. Synth.</w:t>
      </w:r>
      <w:r>
        <w:rPr>
          <w:rFonts w:ascii="Times New Roman" w:hAnsi="Times New Roman"/>
        </w:rPr>
        <w:t xml:space="preserve"> </w:t>
      </w:r>
      <w:r>
        <w:rPr>
          <w:rFonts w:ascii="Times New Roman" w:hAnsi="Times New Roman"/>
          <w:b/>
          <w:bCs/>
        </w:rPr>
        <w:t>4,</w:t>
      </w:r>
      <w:r>
        <w:rPr>
          <w:rFonts w:ascii="Times New Roman" w:hAnsi="Times New Roman"/>
        </w:rPr>
        <w:t xml:space="preserve"> 141–156</w:t>
      </w:r>
    </w:p>
    <w:p w14:paraId="4627D850" w14:textId="77777777" w:rsidR="00A074C8" w:rsidRDefault="00A074C8" w:rsidP="00A074C8">
      <w:pPr>
        <w:pStyle w:val="Bibliography"/>
        <w:rPr>
          <w:rFonts w:ascii="Times New Roman" w:hAnsi="Times New Roman"/>
        </w:rPr>
      </w:pPr>
      <w:r>
        <w:rPr>
          <w:rFonts w:ascii="Times New Roman" w:hAnsi="Times New Roman"/>
        </w:rPr>
        <w:t>173.</w:t>
      </w:r>
      <w:r>
        <w:rPr>
          <w:rFonts w:ascii="Times New Roman" w:hAnsi="Times New Roman"/>
        </w:rPr>
        <w:tab/>
        <w:t xml:space="preserve">Yang, W. &amp; Sen, A. One-Step Catalytic Transformation of Carbohydrates and Cellulosic Biomass to 2,5-Dimethyltetrahydrofuran for Liquid Fuels. </w:t>
      </w:r>
      <w:r>
        <w:rPr>
          <w:rFonts w:ascii="Times New Roman" w:hAnsi="Times New Roman"/>
          <w:i/>
          <w:iCs/>
        </w:rPr>
        <w:t>ChemSusChem</w:t>
      </w:r>
      <w:r>
        <w:rPr>
          <w:rFonts w:ascii="Times New Roman" w:hAnsi="Times New Roman"/>
        </w:rPr>
        <w:t xml:space="preserve"> </w:t>
      </w:r>
      <w:r>
        <w:rPr>
          <w:rFonts w:ascii="Times New Roman" w:hAnsi="Times New Roman"/>
          <w:b/>
          <w:bCs/>
        </w:rPr>
        <w:t>3,</w:t>
      </w:r>
      <w:r>
        <w:rPr>
          <w:rFonts w:ascii="Times New Roman" w:hAnsi="Times New Roman"/>
        </w:rPr>
        <w:t xml:space="preserve"> 597–603 (2010).</w:t>
      </w:r>
    </w:p>
    <w:p w14:paraId="01A244F1" w14:textId="77777777" w:rsidR="00A074C8" w:rsidRDefault="00A074C8" w:rsidP="00A074C8">
      <w:pPr>
        <w:pStyle w:val="Bibliography"/>
        <w:rPr>
          <w:rFonts w:ascii="Times New Roman" w:hAnsi="Times New Roman"/>
        </w:rPr>
      </w:pPr>
      <w:r>
        <w:rPr>
          <w:rFonts w:ascii="Times New Roman" w:hAnsi="Times New Roman"/>
        </w:rPr>
        <w:t>174.</w:t>
      </w:r>
      <w:r>
        <w:rPr>
          <w:rFonts w:ascii="Times New Roman" w:hAnsi="Times New Roman"/>
        </w:rPr>
        <w:tab/>
        <w:t xml:space="preserve">Zheng, Y., Chen, X. &amp; Shen, Y. Commodity Chemicals Derived from Glycerol, an Important Biorefinery Feedstock. </w:t>
      </w:r>
      <w:r>
        <w:rPr>
          <w:rFonts w:ascii="Times New Roman" w:hAnsi="Times New Roman"/>
          <w:i/>
          <w:iCs/>
        </w:rPr>
        <w:t>Chem. Rev.</w:t>
      </w:r>
      <w:r>
        <w:rPr>
          <w:rFonts w:ascii="Times New Roman" w:hAnsi="Times New Roman"/>
        </w:rPr>
        <w:t xml:space="preserve"> </w:t>
      </w:r>
      <w:r>
        <w:rPr>
          <w:rFonts w:ascii="Times New Roman" w:hAnsi="Times New Roman"/>
          <w:b/>
          <w:bCs/>
        </w:rPr>
        <w:t>108,</w:t>
      </w:r>
      <w:r>
        <w:rPr>
          <w:rFonts w:ascii="Times New Roman" w:hAnsi="Times New Roman"/>
        </w:rPr>
        <w:t xml:space="preserve"> (2008).</w:t>
      </w:r>
    </w:p>
    <w:p w14:paraId="493B76CA" w14:textId="77777777" w:rsidR="00A074C8" w:rsidRDefault="00A074C8" w:rsidP="00A074C8">
      <w:pPr>
        <w:pStyle w:val="Bibliography"/>
        <w:rPr>
          <w:rFonts w:ascii="Times New Roman" w:hAnsi="Times New Roman"/>
        </w:rPr>
      </w:pPr>
      <w:r>
        <w:rPr>
          <w:rFonts w:ascii="Times New Roman" w:hAnsi="Times New Roman"/>
        </w:rPr>
        <w:t>175.</w:t>
      </w:r>
      <w:r>
        <w:rPr>
          <w:rFonts w:ascii="Times New Roman" w:hAnsi="Times New Roman"/>
        </w:rPr>
        <w:tab/>
        <w:t xml:space="preserve">Sun, Y. &amp; Cheng, J. Hydrolysis of lignocellulosic materials for ethanol production: a review. </w:t>
      </w:r>
      <w:r>
        <w:rPr>
          <w:rFonts w:ascii="Times New Roman" w:hAnsi="Times New Roman"/>
          <w:i/>
          <w:iCs/>
        </w:rPr>
        <w:t>Bioresour. Technol.</w:t>
      </w:r>
      <w:r>
        <w:rPr>
          <w:rFonts w:ascii="Times New Roman" w:hAnsi="Times New Roman"/>
        </w:rPr>
        <w:t xml:space="preserve"> </w:t>
      </w:r>
      <w:r>
        <w:rPr>
          <w:rFonts w:ascii="Times New Roman" w:hAnsi="Times New Roman"/>
          <w:b/>
          <w:bCs/>
        </w:rPr>
        <w:t>83,</w:t>
      </w:r>
      <w:r>
        <w:rPr>
          <w:rFonts w:ascii="Times New Roman" w:hAnsi="Times New Roman"/>
        </w:rPr>
        <w:t xml:space="preserve"> 1–11 (2002).</w:t>
      </w:r>
    </w:p>
    <w:p w14:paraId="094907CB" w14:textId="77777777" w:rsidR="00A074C8" w:rsidRDefault="00A074C8" w:rsidP="00A074C8">
      <w:pPr>
        <w:pStyle w:val="Bibliography"/>
        <w:rPr>
          <w:rFonts w:ascii="Times New Roman" w:hAnsi="Times New Roman"/>
        </w:rPr>
      </w:pPr>
      <w:r>
        <w:rPr>
          <w:rFonts w:ascii="Times New Roman" w:hAnsi="Times New Roman"/>
        </w:rPr>
        <w:t>176.</w:t>
      </w:r>
      <w:r>
        <w:rPr>
          <w:rFonts w:ascii="Times New Roman" w:hAnsi="Times New Roman"/>
        </w:rPr>
        <w:tab/>
        <w:t xml:space="preserve">Stöcker, M. Biofuels and Biomass-To-Liquid Fuels in the Biorefinery: Catalytic Conversion of Lignocellulosic Biomass using Porous Materials. </w:t>
      </w:r>
      <w:r>
        <w:rPr>
          <w:rFonts w:ascii="Times New Roman" w:hAnsi="Times New Roman"/>
          <w:i/>
          <w:iCs/>
        </w:rPr>
        <w:t>Angew. Chem. Int. Ed.</w:t>
      </w:r>
      <w:r>
        <w:rPr>
          <w:rFonts w:ascii="Times New Roman" w:hAnsi="Times New Roman"/>
        </w:rPr>
        <w:t xml:space="preserve"> </w:t>
      </w:r>
      <w:r>
        <w:rPr>
          <w:rFonts w:ascii="Times New Roman" w:hAnsi="Times New Roman"/>
          <w:b/>
          <w:bCs/>
        </w:rPr>
        <w:t>47,</w:t>
      </w:r>
      <w:r>
        <w:rPr>
          <w:rFonts w:ascii="Times New Roman" w:hAnsi="Times New Roman"/>
        </w:rPr>
        <w:t xml:space="preserve"> 9200–9211 (2008).</w:t>
      </w:r>
    </w:p>
    <w:p w14:paraId="51BC9E9B" w14:textId="77777777" w:rsidR="00A074C8" w:rsidRDefault="00A074C8" w:rsidP="00A074C8">
      <w:pPr>
        <w:pStyle w:val="Bibliography"/>
        <w:rPr>
          <w:rFonts w:ascii="Times New Roman" w:hAnsi="Times New Roman"/>
        </w:rPr>
      </w:pPr>
      <w:r>
        <w:rPr>
          <w:rFonts w:ascii="Times New Roman" w:hAnsi="Times New Roman"/>
        </w:rPr>
        <w:t>177.</w:t>
      </w:r>
      <w:r>
        <w:rPr>
          <w:rFonts w:ascii="Times New Roman" w:hAnsi="Times New Roman"/>
        </w:rPr>
        <w:tab/>
        <w:t xml:space="preserve">Dutta, S. Deoxygenation of Biomass-Derived Feedstocks: Hurdles and Opportunities. </w:t>
      </w:r>
      <w:r>
        <w:rPr>
          <w:rFonts w:ascii="Times New Roman" w:hAnsi="Times New Roman"/>
          <w:i/>
          <w:iCs/>
        </w:rPr>
        <w:t>ChemSusChem</w:t>
      </w:r>
      <w:r>
        <w:rPr>
          <w:rFonts w:ascii="Times New Roman" w:hAnsi="Times New Roman"/>
        </w:rPr>
        <w:t xml:space="preserve"> </w:t>
      </w:r>
      <w:r>
        <w:rPr>
          <w:rFonts w:ascii="Times New Roman" w:hAnsi="Times New Roman"/>
          <w:b/>
          <w:bCs/>
        </w:rPr>
        <w:t>5,</w:t>
      </w:r>
      <w:r>
        <w:rPr>
          <w:rFonts w:ascii="Times New Roman" w:hAnsi="Times New Roman"/>
        </w:rPr>
        <w:t xml:space="preserve"> 2125–2127 (2012).</w:t>
      </w:r>
    </w:p>
    <w:p w14:paraId="4C1D926D" w14:textId="77777777" w:rsidR="00A074C8" w:rsidRDefault="00A074C8" w:rsidP="00A074C8">
      <w:pPr>
        <w:pStyle w:val="Bibliography"/>
        <w:rPr>
          <w:rFonts w:ascii="Times New Roman" w:hAnsi="Times New Roman"/>
        </w:rPr>
      </w:pPr>
      <w:r>
        <w:rPr>
          <w:rFonts w:ascii="Times New Roman" w:hAnsi="Times New Roman"/>
        </w:rPr>
        <w:t>178.</w:t>
      </w:r>
      <w:r>
        <w:rPr>
          <w:rFonts w:ascii="Times New Roman" w:hAnsi="Times New Roman"/>
        </w:rPr>
        <w:tab/>
        <w:t xml:space="preserve">Zacher, A. H., Olarte, M. V., Santosa, D. M., Elliott, D. C. &amp; Jones, S. B. A review and perspective of recent bio-oil hydrotreating research. </w:t>
      </w:r>
      <w:r>
        <w:rPr>
          <w:rFonts w:ascii="Times New Roman" w:hAnsi="Times New Roman"/>
          <w:i/>
          <w:iCs/>
        </w:rPr>
        <w:t>Green Chem</w:t>
      </w:r>
      <w:r>
        <w:rPr>
          <w:rFonts w:ascii="Times New Roman" w:hAnsi="Times New Roman"/>
        </w:rPr>
        <w:t xml:space="preserve"> </w:t>
      </w:r>
      <w:r>
        <w:rPr>
          <w:rFonts w:ascii="Times New Roman" w:hAnsi="Times New Roman"/>
          <w:b/>
          <w:bCs/>
        </w:rPr>
        <w:t>16,</w:t>
      </w:r>
      <w:r>
        <w:rPr>
          <w:rFonts w:ascii="Times New Roman" w:hAnsi="Times New Roman"/>
        </w:rPr>
        <w:t xml:space="preserve"> 491–515 (2014).</w:t>
      </w:r>
    </w:p>
    <w:p w14:paraId="25872B94" w14:textId="77777777" w:rsidR="00A074C8" w:rsidRDefault="00A074C8" w:rsidP="00A074C8">
      <w:pPr>
        <w:pStyle w:val="Bibliography"/>
        <w:rPr>
          <w:rFonts w:ascii="Times New Roman" w:hAnsi="Times New Roman"/>
        </w:rPr>
      </w:pPr>
      <w:r>
        <w:rPr>
          <w:rFonts w:ascii="Times New Roman" w:hAnsi="Times New Roman"/>
        </w:rPr>
        <w:t>179.</w:t>
      </w:r>
      <w:r>
        <w:rPr>
          <w:rFonts w:ascii="Times New Roman" w:hAnsi="Times New Roman"/>
        </w:rPr>
        <w:tab/>
        <w:t xml:space="preserve">Bu, Q. </w:t>
      </w:r>
      <w:r>
        <w:rPr>
          <w:rFonts w:ascii="Times New Roman" w:hAnsi="Times New Roman"/>
          <w:i/>
          <w:iCs/>
        </w:rPr>
        <w:t>et al.</w:t>
      </w:r>
      <w:r>
        <w:rPr>
          <w:rFonts w:ascii="Times New Roman" w:hAnsi="Times New Roman"/>
        </w:rPr>
        <w:t xml:space="preserve"> A review of catalytic hydrodeoxygenation of lignin-derived phenols from biomass pyrolysis. </w:t>
      </w:r>
      <w:r>
        <w:rPr>
          <w:rFonts w:ascii="Times New Roman" w:hAnsi="Times New Roman"/>
          <w:i/>
          <w:iCs/>
        </w:rPr>
        <w:t>Bioresour. Technol.</w:t>
      </w:r>
      <w:r>
        <w:rPr>
          <w:rFonts w:ascii="Times New Roman" w:hAnsi="Times New Roman"/>
        </w:rPr>
        <w:t xml:space="preserve"> </w:t>
      </w:r>
      <w:r>
        <w:rPr>
          <w:rFonts w:ascii="Times New Roman" w:hAnsi="Times New Roman"/>
          <w:b/>
          <w:bCs/>
        </w:rPr>
        <w:t>124,</w:t>
      </w:r>
      <w:r>
        <w:rPr>
          <w:rFonts w:ascii="Times New Roman" w:hAnsi="Times New Roman"/>
        </w:rPr>
        <w:t xml:space="preserve"> 470–477 (2012).</w:t>
      </w:r>
    </w:p>
    <w:p w14:paraId="4D9F8749" w14:textId="77777777" w:rsidR="00A074C8" w:rsidRDefault="00A074C8" w:rsidP="00A074C8">
      <w:pPr>
        <w:pStyle w:val="Bibliography"/>
        <w:rPr>
          <w:rFonts w:ascii="Times New Roman" w:hAnsi="Times New Roman"/>
        </w:rPr>
      </w:pPr>
      <w:r>
        <w:rPr>
          <w:rFonts w:ascii="Times New Roman" w:hAnsi="Times New Roman"/>
        </w:rPr>
        <w:t>180.</w:t>
      </w:r>
      <w:r>
        <w:rPr>
          <w:rFonts w:ascii="Times New Roman" w:hAnsi="Times New Roman"/>
        </w:rPr>
        <w:tab/>
        <w:t xml:space="preserve">Kieboom, A. P. G., De Kreuk, J. F. &amp; Van Bekkum, H. Substituent effects in the hydrogenolysis of benzyl alcohol derivatives over palladium. </w:t>
      </w:r>
      <w:r>
        <w:rPr>
          <w:rFonts w:ascii="Times New Roman" w:hAnsi="Times New Roman"/>
          <w:i/>
          <w:iCs/>
        </w:rPr>
        <w:t>J. Catal.</w:t>
      </w:r>
      <w:r>
        <w:rPr>
          <w:rFonts w:ascii="Times New Roman" w:hAnsi="Times New Roman"/>
        </w:rPr>
        <w:t xml:space="preserve"> </w:t>
      </w:r>
      <w:r>
        <w:rPr>
          <w:rFonts w:ascii="Times New Roman" w:hAnsi="Times New Roman"/>
          <w:b/>
          <w:bCs/>
        </w:rPr>
        <w:t>20,</w:t>
      </w:r>
      <w:r>
        <w:rPr>
          <w:rFonts w:ascii="Times New Roman" w:hAnsi="Times New Roman"/>
        </w:rPr>
        <w:t xml:space="preserve"> 58–66 (1971).</w:t>
      </w:r>
    </w:p>
    <w:p w14:paraId="7C15D009" w14:textId="77777777" w:rsidR="00A074C8" w:rsidRDefault="00A074C8" w:rsidP="00A074C8">
      <w:pPr>
        <w:pStyle w:val="Bibliography"/>
        <w:rPr>
          <w:rFonts w:ascii="Times New Roman" w:hAnsi="Times New Roman"/>
        </w:rPr>
      </w:pPr>
      <w:r>
        <w:rPr>
          <w:rFonts w:ascii="Times New Roman" w:hAnsi="Times New Roman"/>
        </w:rPr>
        <w:t>181.</w:t>
      </w:r>
      <w:r>
        <w:rPr>
          <w:rFonts w:ascii="Times New Roman" w:hAnsi="Times New Roman"/>
        </w:rPr>
        <w:tab/>
        <w:t xml:space="preserve">Sawadjoon, S., Lundstedt, A. &amp; Samec, J. S. M. Pd-Catalyzed Transfer Hydrogenolysis of Primary, Secondary, and Tertiary Benzylic Alcohols by Formic Acid: A Mechanistic Study. </w:t>
      </w:r>
      <w:r>
        <w:rPr>
          <w:rFonts w:ascii="Times New Roman" w:hAnsi="Times New Roman"/>
          <w:i/>
          <w:iCs/>
        </w:rPr>
        <w:t>ACS Catal.</w:t>
      </w:r>
      <w:r>
        <w:rPr>
          <w:rFonts w:ascii="Times New Roman" w:hAnsi="Times New Roman"/>
        </w:rPr>
        <w:t xml:space="preserve"> </w:t>
      </w:r>
      <w:r>
        <w:rPr>
          <w:rFonts w:ascii="Times New Roman" w:hAnsi="Times New Roman"/>
          <w:b/>
          <w:bCs/>
        </w:rPr>
        <w:t>3,</w:t>
      </w:r>
      <w:r>
        <w:rPr>
          <w:rFonts w:ascii="Times New Roman" w:hAnsi="Times New Roman"/>
        </w:rPr>
        <w:t xml:space="preserve"> 635–642 (2013).</w:t>
      </w:r>
    </w:p>
    <w:p w14:paraId="6BDAE546" w14:textId="77777777" w:rsidR="00A074C8" w:rsidRDefault="00A074C8" w:rsidP="00A074C8">
      <w:pPr>
        <w:pStyle w:val="Bibliography"/>
        <w:rPr>
          <w:rFonts w:ascii="Times New Roman" w:hAnsi="Times New Roman"/>
        </w:rPr>
      </w:pPr>
      <w:r>
        <w:rPr>
          <w:rFonts w:ascii="Times New Roman" w:hAnsi="Times New Roman"/>
        </w:rPr>
        <w:t>182.</w:t>
      </w:r>
      <w:r>
        <w:rPr>
          <w:rFonts w:ascii="Times New Roman" w:hAnsi="Times New Roman"/>
        </w:rPr>
        <w:tab/>
        <w:t xml:space="preserve">Tsuji, J. &amp; Mandai, T. Palladium-Catalyzed Hydrogenolysis of Allylic and Propargylic Compounds with Various Hydrides. </w:t>
      </w:r>
      <w:r>
        <w:rPr>
          <w:rFonts w:ascii="Times New Roman" w:hAnsi="Times New Roman"/>
          <w:i/>
          <w:iCs/>
        </w:rPr>
        <w:t>Synthesis</w:t>
      </w:r>
      <w:r>
        <w:rPr>
          <w:rFonts w:ascii="Times New Roman" w:hAnsi="Times New Roman"/>
        </w:rPr>
        <w:t xml:space="preserve"> </w:t>
      </w:r>
      <w:r>
        <w:rPr>
          <w:rFonts w:ascii="Times New Roman" w:hAnsi="Times New Roman"/>
          <w:b/>
          <w:bCs/>
        </w:rPr>
        <w:t>1996,</w:t>
      </w:r>
      <w:r>
        <w:rPr>
          <w:rFonts w:ascii="Times New Roman" w:hAnsi="Times New Roman"/>
        </w:rPr>
        <w:t xml:space="preserve"> 1–24 (1996).</w:t>
      </w:r>
    </w:p>
    <w:p w14:paraId="479A9FF2" w14:textId="77777777" w:rsidR="00A074C8" w:rsidRDefault="00A074C8" w:rsidP="00A074C8">
      <w:pPr>
        <w:pStyle w:val="Bibliography"/>
        <w:rPr>
          <w:rFonts w:ascii="Times New Roman" w:hAnsi="Times New Roman"/>
        </w:rPr>
      </w:pPr>
      <w:r>
        <w:rPr>
          <w:rFonts w:ascii="Times New Roman" w:hAnsi="Times New Roman"/>
        </w:rPr>
        <w:t>183.</w:t>
      </w:r>
      <w:r>
        <w:rPr>
          <w:rFonts w:ascii="Times New Roman" w:hAnsi="Times New Roman"/>
        </w:rPr>
        <w:tab/>
        <w:t xml:space="preserve">Hong, Y.-K., Lee, D.-W., Eom, H.-J. &amp; Lee, K.-Y. The catalytic activity of Pd/WOx/γ-Al2O3 for hydrodeoxygenation of guaiacol. </w:t>
      </w:r>
      <w:r>
        <w:rPr>
          <w:rFonts w:ascii="Times New Roman" w:hAnsi="Times New Roman"/>
          <w:i/>
          <w:iCs/>
        </w:rPr>
        <w:t>Appl. Catal. B Environ.</w:t>
      </w:r>
      <w:r>
        <w:rPr>
          <w:rFonts w:ascii="Times New Roman" w:hAnsi="Times New Roman"/>
        </w:rPr>
        <w:t xml:space="preserve"> </w:t>
      </w:r>
      <w:r>
        <w:rPr>
          <w:rFonts w:ascii="Times New Roman" w:hAnsi="Times New Roman"/>
          <w:b/>
          <w:bCs/>
        </w:rPr>
        <w:t>150–151,</w:t>
      </w:r>
      <w:r>
        <w:rPr>
          <w:rFonts w:ascii="Times New Roman" w:hAnsi="Times New Roman"/>
        </w:rPr>
        <w:t xml:space="preserve"> 438–445 (2014).</w:t>
      </w:r>
    </w:p>
    <w:p w14:paraId="11F6E7F3" w14:textId="77777777" w:rsidR="00A074C8" w:rsidRDefault="00A074C8" w:rsidP="00A074C8">
      <w:pPr>
        <w:pStyle w:val="Bibliography"/>
        <w:rPr>
          <w:rFonts w:ascii="Times New Roman" w:hAnsi="Times New Roman"/>
        </w:rPr>
      </w:pPr>
      <w:r>
        <w:rPr>
          <w:rFonts w:ascii="Times New Roman" w:hAnsi="Times New Roman"/>
        </w:rPr>
        <w:t>184.</w:t>
      </w:r>
      <w:r>
        <w:rPr>
          <w:rFonts w:ascii="Times New Roman" w:hAnsi="Times New Roman"/>
        </w:rPr>
        <w:tab/>
        <w:t xml:space="preserve">Li, S., Zhang, B. &amp; Kühn, F. E. Benzimidazolic complexes of methyltrioxorhenium(VII): Synthesis and application in catalytic olefin epoxidation. </w:t>
      </w:r>
      <w:r>
        <w:rPr>
          <w:rFonts w:ascii="Times New Roman" w:hAnsi="Times New Roman"/>
          <w:i/>
          <w:iCs/>
        </w:rPr>
        <w:t>J. Organomet. Chem.</w:t>
      </w:r>
      <w:r>
        <w:rPr>
          <w:rFonts w:ascii="Times New Roman" w:hAnsi="Times New Roman"/>
        </w:rPr>
        <w:t xml:space="preserve"> </w:t>
      </w:r>
      <w:r>
        <w:rPr>
          <w:rFonts w:ascii="Times New Roman" w:hAnsi="Times New Roman"/>
          <w:b/>
          <w:bCs/>
        </w:rPr>
        <w:t>730,</w:t>
      </w:r>
      <w:r>
        <w:rPr>
          <w:rFonts w:ascii="Times New Roman" w:hAnsi="Times New Roman"/>
        </w:rPr>
        <w:t xml:space="preserve"> 132–136 (2013).</w:t>
      </w:r>
    </w:p>
    <w:p w14:paraId="482D115F" w14:textId="77777777" w:rsidR="00A074C8" w:rsidRDefault="00A074C8" w:rsidP="00A074C8">
      <w:pPr>
        <w:pStyle w:val="Bibliography"/>
        <w:rPr>
          <w:rFonts w:ascii="Times New Roman" w:hAnsi="Times New Roman"/>
        </w:rPr>
      </w:pPr>
      <w:r>
        <w:rPr>
          <w:rFonts w:ascii="Times New Roman" w:hAnsi="Times New Roman"/>
        </w:rPr>
        <w:t>185.</w:t>
      </w:r>
      <w:r>
        <w:rPr>
          <w:rFonts w:ascii="Times New Roman" w:hAnsi="Times New Roman"/>
        </w:rPr>
        <w:tab/>
        <w:t xml:space="preserve">de Souza, P. M. </w:t>
      </w:r>
      <w:r>
        <w:rPr>
          <w:rFonts w:ascii="Times New Roman" w:hAnsi="Times New Roman"/>
          <w:i/>
          <w:iCs/>
        </w:rPr>
        <w:t>et al.</w:t>
      </w:r>
      <w:r>
        <w:rPr>
          <w:rFonts w:ascii="Times New Roman" w:hAnsi="Times New Roman"/>
        </w:rPr>
        <w:t xml:space="preserve"> Role of Keto Intermediates in the Hydrodeoxygenation of Phenol over Pd on Oxophilic Supports. </w:t>
      </w:r>
      <w:r>
        <w:rPr>
          <w:rFonts w:ascii="Times New Roman" w:hAnsi="Times New Roman"/>
          <w:i/>
          <w:iCs/>
        </w:rPr>
        <w:t>ACS Catal.</w:t>
      </w:r>
      <w:r>
        <w:rPr>
          <w:rFonts w:ascii="Times New Roman" w:hAnsi="Times New Roman"/>
        </w:rPr>
        <w:t xml:space="preserve"> </w:t>
      </w:r>
      <w:r>
        <w:rPr>
          <w:rFonts w:ascii="Times New Roman" w:hAnsi="Times New Roman"/>
          <w:b/>
          <w:bCs/>
        </w:rPr>
        <w:t>5,</w:t>
      </w:r>
      <w:r>
        <w:rPr>
          <w:rFonts w:ascii="Times New Roman" w:hAnsi="Times New Roman"/>
        </w:rPr>
        <w:t xml:space="preserve"> 1318–1329 (2015).</w:t>
      </w:r>
    </w:p>
    <w:p w14:paraId="040036EB" w14:textId="77777777" w:rsidR="00A074C8" w:rsidRDefault="00A074C8" w:rsidP="00A074C8">
      <w:pPr>
        <w:pStyle w:val="Bibliography"/>
        <w:rPr>
          <w:rFonts w:ascii="Times New Roman" w:hAnsi="Times New Roman"/>
        </w:rPr>
      </w:pPr>
      <w:r>
        <w:rPr>
          <w:rFonts w:ascii="Times New Roman" w:hAnsi="Times New Roman"/>
        </w:rPr>
        <w:t>186.</w:t>
      </w:r>
      <w:r>
        <w:rPr>
          <w:rFonts w:ascii="Times New Roman" w:hAnsi="Times New Roman"/>
        </w:rPr>
        <w:tab/>
        <w:t xml:space="preserve">Martin, A., Armbruster, U., Gandarias, I. &amp; Arias, P. L. Glycerol hydrogenolysis into propanediols using in situ generated hydrogen – A critical review. </w:t>
      </w:r>
      <w:r>
        <w:rPr>
          <w:rFonts w:ascii="Times New Roman" w:hAnsi="Times New Roman"/>
          <w:i/>
          <w:iCs/>
        </w:rPr>
        <w:t>Eur. J. Lipid Sci. Technol.</w:t>
      </w:r>
      <w:r>
        <w:rPr>
          <w:rFonts w:ascii="Times New Roman" w:hAnsi="Times New Roman"/>
        </w:rPr>
        <w:t xml:space="preserve"> </w:t>
      </w:r>
      <w:r>
        <w:rPr>
          <w:rFonts w:ascii="Times New Roman" w:hAnsi="Times New Roman"/>
          <w:b/>
          <w:bCs/>
        </w:rPr>
        <w:t>115,</w:t>
      </w:r>
      <w:r>
        <w:rPr>
          <w:rFonts w:ascii="Times New Roman" w:hAnsi="Times New Roman"/>
        </w:rPr>
        <w:t xml:space="preserve"> 9–27 (2013).</w:t>
      </w:r>
    </w:p>
    <w:p w14:paraId="17477AD7" w14:textId="77777777" w:rsidR="00A074C8" w:rsidRDefault="00A074C8" w:rsidP="00A074C8">
      <w:pPr>
        <w:pStyle w:val="Bibliography"/>
        <w:rPr>
          <w:rFonts w:ascii="Times New Roman" w:hAnsi="Times New Roman"/>
        </w:rPr>
      </w:pPr>
      <w:r>
        <w:rPr>
          <w:rFonts w:ascii="Times New Roman" w:hAnsi="Times New Roman"/>
        </w:rPr>
        <w:t>187.</w:t>
      </w:r>
      <w:r>
        <w:rPr>
          <w:rFonts w:ascii="Times New Roman" w:hAnsi="Times New Roman"/>
        </w:rPr>
        <w:tab/>
        <w:t xml:space="preserve">Tomishige, K., Nakagawa, Y. &amp; Tamura, M. in </w:t>
      </w:r>
      <w:r>
        <w:rPr>
          <w:rFonts w:ascii="Times New Roman" w:hAnsi="Times New Roman"/>
          <w:i/>
          <w:iCs/>
        </w:rPr>
        <w:t>Selective Catalysis for Renewable Feedstocks and Chemicals</w:t>
      </w:r>
      <w:r>
        <w:rPr>
          <w:rFonts w:ascii="Times New Roman" w:hAnsi="Times New Roman"/>
        </w:rPr>
        <w:t xml:space="preserve"> (ed. Nicholas, K. M.) 127–162 (Springer International Publishing, 2014).</w:t>
      </w:r>
    </w:p>
    <w:p w14:paraId="2C4036B0" w14:textId="77777777" w:rsidR="00A074C8" w:rsidRDefault="00A074C8" w:rsidP="00A074C8">
      <w:pPr>
        <w:pStyle w:val="Bibliography"/>
        <w:rPr>
          <w:rFonts w:ascii="Times New Roman" w:hAnsi="Times New Roman"/>
        </w:rPr>
      </w:pPr>
      <w:r>
        <w:rPr>
          <w:rFonts w:ascii="Times New Roman" w:hAnsi="Times New Roman"/>
        </w:rPr>
        <w:t>188.</w:t>
      </w:r>
      <w:r>
        <w:rPr>
          <w:rFonts w:ascii="Times New Roman" w:hAnsi="Times New Roman"/>
        </w:rPr>
        <w:tab/>
        <w:t xml:space="preserve">Nakagawa, Y., Tamura, M. &amp; Tomishige, K. Catalytic materials for the hydrogenolysis of glycerol to 1,3-propanediol. </w:t>
      </w:r>
      <w:r>
        <w:rPr>
          <w:rFonts w:ascii="Times New Roman" w:hAnsi="Times New Roman"/>
          <w:i/>
          <w:iCs/>
        </w:rPr>
        <w:t>J. Mater. Chem. A</w:t>
      </w:r>
      <w:r>
        <w:rPr>
          <w:rFonts w:ascii="Times New Roman" w:hAnsi="Times New Roman"/>
        </w:rPr>
        <w:t xml:space="preserve"> </w:t>
      </w:r>
      <w:r>
        <w:rPr>
          <w:rFonts w:ascii="Times New Roman" w:hAnsi="Times New Roman"/>
          <w:b/>
          <w:bCs/>
        </w:rPr>
        <w:t>2,</w:t>
      </w:r>
      <w:r>
        <w:rPr>
          <w:rFonts w:ascii="Times New Roman" w:hAnsi="Times New Roman"/>
        </w:rPr>
        <w:t xml:space="preserve"> 6688–6702 (2014).</w:t>
      </w:r>
    </w:p>
    <w:p w14:paraId="367EDAB3" w14:textId="77777777" w:rsidR="00A074C8" w:rsidRDefault="00A074C8" w:rsidP="00A074C8">
      <w:pPr>
        <w:pStyle w:val="Bibliography"/>
        <w:rPr>
          <w:rFonts w:ascii="Times New Roman" w:hAnsi="Times New Roman"/>
        </w:rPr>
      </w:pPr>
      <w:r>
        <w:rPr>
          <w:rFonts w:ascii="Times New Roman" w:hAnsi="Times New Roman"/>
        </w:rPr>
        <w:t>189.</w:t>
      </w:r>
      <w:r>
        <w:rPr>
          <w:rFonts w:ascii="Times New Roman" w:hAnsi="Times New Roman"/>
        </w:rPr>
        <w:tab/>
        <w:t xml:space="preserve">Murru, S., Nicholas, K. M. &amp; Srivastava, R. S. Ruthenium (II) sulfoxides-catalyzed hydrogenolysis of glycols and epoxides. </w:t>
      </w:r>
      <w:r>
        <w:rPr>
          <w:rFonts w:ascii="Times New Roman" w:hAnsi="Times New Roman"/>
          <w:i/>
          <w:iCs/>
        </w:rPr>
        <w:t>J. Mol. Catal. Chem.</w:t>
      </w:r>
      <w:r>
        <w:rPr>
          <w:rFonts w:ascii="Times New Roman" w:hAnsi="Times New Roman"/>
        </w:rPr>
        <w:t xml:space="preserve"> </w:t>
      </w:r>
      <w:r>
        <w:rPr>
          <w:rFonts w:ascii="Times New Roman" w:hAnsi="Times New Roman"/>
          <w:b/>
          <w:bCs/>
        </w:rPr>
        <w:t>363–364,</w:t>
      </w:r>
      <w:r>
        <w:rPr>
          <w:rFonts w:ascii="Times New Roman" w:hAnsi="Times New Roman"/>
        </w:rPr>
        <w:t xml:space="preserve"> 460–464 (2012).</w:t>
      </w:r>
    </w:p>
    <w:p w14:paraId="3B98D9EC" w14:textId="77777777" w:rsidR="00A074C8" w:rsidRDefault="00A074C8" w:rsidP="00A074C8">
      <w:pPr>
        <w:pStyle w:val="Bibliography"/>
        <w:rPr>
          <w:rFonts w:ascii="Times New Roman" w:hAnsi="Times New Roman"/>
        </w:rPr>
      </w:pPr>
      <w:r>
        <w:rPr>
          <w:rFonts w:ascii="Times New Roman" w:hAnsi="Times New Roman"/>
        </w:rPr>
        <w:t>190.</w:t>
      </w:r>
      <w:r>
        <w:rPr>
          <w:rFonts w:ascii="Times New Roman" w:hAnsi="Times New Roman"/>
        </w:rPr>
        <w:tab/>
        <w:t xml:space="preserve">Sergeev, A. G., Webb, J. D. &amp; Hartwig, J. F. A Heterogeneous Nickel Catalyst for the Hydrogenolysis of Aryl Ethers without Arene Hydrogenation. </w:t>
      </w:r>
      <w:r>
        <w:rPr>
          <w:rFonts w:ascii="Times New Roman" w:hAnsi="Times New Roman"/>
          <w:i/>
          <w:iCs/>
        </w:rPr>
        <w:t>J. Am. Chem. Soc.</w:t>
      </w:r>
      <w:r>
        <w:rPr>
          <w:rFonts w:ascii="Times New Roman" w:hAnsi="Times New Roman"/>
        </w:rPr>
        <w:t xml:space="preserve"> </w:t>
      </w:r>
      <w:r>
        <w:rPr>
          <w:rFonts w:ascii="Times New Roman" w:hAnsi="Times New Roman"/>
          <w:b/>
          <w:bCs/>
        </w:rPr>
        <w:t>134,</w:t>
      </w:r>
      <w:r>
        <w:rPr>
          <w:rFonts w:ascii="Times New Roman" w:hAnsi="Times New Roman"/>
        </w:rPr>
        <w:t xml:space="preserve"> 20226–20229 (2012).</w:t>
      </w:r>
    </w:p>
    <w:p w14:paraId="71ED04DA" w14:textId="77777777" w:rsidR="00A074C8" w:rsidRDefault="00A074C8" w:rsidP="00A074C8">
      <w:pPr>
        <w:pStyle w:val="Bibliography"/>
        <w:rPr>
          <w:rFonts w:ascii="Times New Roman" w:hAnsi="Times New Roman"/>
        </w:rPr>
      </w:pPr>
      <w:r>
        <w:rPr>
          <w:rFonts w:ascii="Times New Roman" w:hAnsi="Times New Roman"/>
        </w:rPr>
        <w:t>191.</w:t>
      </w:r>
      <w:r>
        <w:rPr>
          <w:rFonts w:ascii="Times New Roman" w:hAnsi="Times New Roman"/>
        </w:rPr>
        <w:tab/>
        <w:t xml:space="preserve">Kusumoto, S. &amp; Nozaki, K. Direct and selective hydrogenolysis of arenols and aryl methyl ethers. </w:t>
      </w:r>
      <w:r>
        <w:rPr>
          <w:rFonts w:ascii="Times New Roman" w:hAnsi="Times New Roman"/>
          <w:i/>
          <w:iCs/>
        </w:rPr>
        <w:t>Nat. Commun.</w:t>
      </w:r>
      <w:r>
        <w:rPr>
          <w:rFonts w:ascii="Times New Roman" w:hAnsi="Times New Roman"/>
        </w:rPr>
        <w:t xml:space="preserve"> </w:t>
      </w:r>
      <w:r>
        <w:rPr>
          <w:rFonts w:ascii="Times New Roman" w:hAnsi="Times New Roman"/>
          <w:b/>
          <w:bCs/>
        </w:rPr>
        <w:t>6,</w:t>
      </w:r>
      <w:r>
        <w:rPr>
          <w:rFonts w:ascii="Times New Roman" w:hAnsi="Times New Roman"/>
        </w:rPr>
        <w:t xml:space="preserve"> 6296 (2015).</w:t>
      </w:r>
    </w:p>
    <w:p w14:paraId="2CE02265" w14:textId="77777777" w:rsidR="00A074C8" w:rsidRDefault="00A074C8" w:rsidP="00A074C8">
      <w:pPr>
        <w:pStyle w:val="Bibliography"/>
        <w:rPr>
          <w:rFonts w:ascii="Times New Roman" w:hAnsi="Times New Roman"/>
        </w:rPr>
      </w:pPr>
      <w:r>
        <w:rPr>
          <w:rFonts w:ascii="Times New Roman" w:hAnsi="Times New Roman"/>
        </w:rPr>
        <w:t>192.</w:t>
      </w:r>
      <w:r>
        <w:rPr>
          <w:rFonts w:ascii="Times New Roman" w:hAnsi="Times New Roman"/>
        </w:rPr>
        <w:tab/>
        <w:t xml:space="preserve">Zhu, Z. &amp; Espenson, J. H. Organic Reactions Catalyzed by Methylrhenium Trioxide:  Dehydration, Amination, and Disproportionation of Alcohols. </w:t>
      </w:r>
      <w:r>
        <w:rPr>
          <w:rFonts w:ascii="Times New Roman" w:hAnsi="Times New Roman"/>
          <w:i/>
          <w:iCs/>
        </w:rPr>
        <w:t>J. Org. Chem.</w:t>
      </w:r>
      <w:r>
        <w:rPr>
          <w:rFonts w:ascii="Times New Roman" w:hAnsi="Times New Roman"/>
        </w:rPr>
        <w:t xml:space="preserve"> </w:t>
      </w:r>
      <w:r>
        <w:rPr>
          <w:rFonts w:ascii="Times New Roman" w:hAnsi="Times New Roman"/>
          <w:b/>
          <w:bCs/>
        </w:rPr>
        <w:t>61,</w:t>
      </w:r>
      <w:r>
        <w:rPr>
          <w:rFonts w:ascii="Times New Roman" w:hAnsi="Times New Roman"/>
        </w:rPr>
        <w:t xml:space="preserve"> 324–328 (1996).</w:t>
      </w:r>
    </w:p>
    <w:p w14:paraId="2D9458A1" w14:textId="77777777" w:rsidR="00A074C8" w:rsidRDefault="00A074C8" w:rsidP="00A074C8">
      <w:pPr>
        <w:pStyle w:val="Bibliography"/>
        <w:rPr>
          <w:rFonts w:ascii="Times New Roman" w:hAnsi="Times New Roman"/>
        </w:rPr>
      </w:pPr>
      <w:r>
        <w:rPr>
          <w:rFonts w:ascii="Times New Roman" w:hAnsi="Times New Roman"/>
        </w:rPr>
        <w:t>193.</w:t>
      </w:r>
      <w:r>
        <w:rPr>
          <w:rFonts w:ascii="Times New Roman" w:hAnsi="Times New Roman"/>
        </w:rPr>
        <w:tab/>
        <w:t xml:space="preserve">Korstanje, T. J., Jastrzebski, J. T. B. H. &amp; Klein Gebbink, R. J. M. Mechanistic Insights into the Rhenium-Catalyzed Alcohol-To-Olefin Dehydration Reaction. </w:t>
      </w:r>
      <w:r>
        <w:rPr>
          <w:rFonts w:ascii="Times New Roman" w:hAnsi="Times New Roman"/>
          <w:i/>
          <w:iCs/>
        </w:rPr>
        <w:t>Chem. – Eur. J.</w:t>
      </w:r>
      <w:r>
        <w:rPr>
          <w:rFonts w:ascii="Times New Roman" w:hAnsi="Times New Roman"/>
        </w:rPr>
        <w:t xml:space="preserve"> </w:t>
      </w:r>
      <w:r>
        <w:rPr>
          <w:rFonts w:ascii="Times New Roman" w:hAnsi="Times New Roman"/>
          <w:b/>
          <w:bCs/>
        </w:rPr>
        <w:t>19,</w:t>
      </w:r>
      <w:r>
        <w:rPr>
          <w:rFonts w:ascii="Times New Roman" w:hAnsi="Times New Roman"/>
        </w:rPr>
        <w:t xml:space="preserve"> 13224–13234 (2013).</w:t>
      </w:r>
    </w:p>
    <w:p w14:paraId="2F18ED75" w14:textId="77777777" w:rsidR="00A074C8" w:rsidRDefault="00A074C8" w:rsidP="00A074C8">
      <w:pPr>
        <w:pStyle w:val="Bibliography"/>
        <w:rPr>
          <w:rFonts w:ascii="Times New Roman" w:hAnsi="Times New Roman"/>
        </w:rPr>
      </w:pPr>
      <w:r>
        <w:rPr>
          <w:rFonts w:ascii="Times New Roman" w:hAnsi="Times New Roman"/>
        </w:rPr>
        <w:t>194.</w:t>
      </w:r>
      <w:r>
        <w:rPr>
          <w:rFonts w:ascii="Times New Roman" w:hAnsi="Times New Roman"/>
        </w:rPr>
        <w:tab/>
        <w:t xml:space="preserve">Luzzio, F. A. in </w:t>
      </w:r>
      <w:r>
        <w:rPr>
          <w:rFonts w:ascii="Times New Roman" w:hAnsi="Times New Roman"/>
          <w:i/>
          <w:iCs/>
        </w:rPr>
        <w:t>Organic Reactions</w:t>
      </w:r>
      <w:r>
        <w:rPr>
          <w:rFonts w:ascii="Times New Roman" w:hAnsi="Times New Roman"/>
        </w:rPr>
        <w:t xml:space="preserve"> (John Wiley &amp; Sons, Inc., 2004).</w:t>
      </w:r>
    </w:p>
    <w:p w14:paraId="6A5A7A97" w14:textId="77777777" w:rsidR="00A074C8" w:rsidRDefault="00A074C8" w:rsidP="00A074C8">
      <w:pPr>
        <w:pStyle w:val="Bibliography"/>
        <w:rPr>
          <w:rFonts w:ascii="Times New Roman" w:hAnsi="Times New Roman"/>
        </w:rPr>
      </w:pPr>
      <w:r>
        <w:rPr>
          <w:rFonts w:ascii="Times New Roman" w:hAnsi="Times New Roman"/>
        </w:rPr>
        <w:t>195.</w:t>
      </w:r>
      <w:r>
        <w:rPr>
          <w:rFonts w:ascii="Times New Roman" w:hAnsi="Times New Roman"/>
        </w:rPr>
        <w:tab/>
        <w:t xml:space="preserve">Murahashi, S.-I. &amp; Komiya, N. in </w:t>
      </w:r>
      <w:r>
        <w:rPr>
          <w:rFonts w:ascii="Times New Roman" w:hAnsi="Times New Roman"/>
          <w:i/>
          <w:iCs/>
        </w:rPr>
        <w:t>Ruthenium in Organic Synthesis</w:t>
      </w:r>
      <w:r>
        <w:rPr>
          <w:rFonts w:ascii="Times New Roman" w:hAnsi="Times New Roman"/>
        </w:rPr>
        <w:t xml:space="preserve"> (ed. Murahashi,  essor S.-I.) 53–93 (Wiley-VCH Verlag GmbH &amp; Co. KGaA, 2004).</w:t>
      </w:r>
    </w:p>
    <w:p w14:paraId="2C1DF1EF" w14:textId="77777777" w:rsidR="00A074C8" w:rsidRDefault="00A074C8" w:rsidP="00A074C8">
      <w:pPr>
        <w:pStyle w:val="Bibliography"/>
        <w:rPr>
          <w:rFonts w:ascii="Times New Roman" w:hAnsi="Times New Roman"/>
        </w:rPr>
      </w:pPr>
      <w:r w:rsidRPr="00A074C8">
        <w:rPr>
          <w:rFonts w:ascii="Times New Roman" w:hAnsi="Times New Roman"/>
          <w:lang w:val="fr-FR"/>
        </w:rPr>
        <w:t>196.</w:t>
      </w:r>
      <w:r w:rsidRPr="00A074C8">
        <w:rPr>
          <w:rFonts w:ascii="Times New Roman" w:hAnsi="Times New Roman"/>
          <w:lang w:val="fr-FR"/>
        </w:rPr>
        <w:tab/>
        <w:t xml:space="preserve">Diéguez, H. R. </w:t>
      </w:r>
      <w:r w:rsidRPr="00A074C8">
        <w:rPr>
          <w:rFonts w:ascii="Times New Roman" w:hAnsi="Times New Roman"/>
          <w:i/>
          <w:iCs/>
          <w:lang w:val="fr-FR"/>
        </w:rPr>
        <w:t>et al.</w:t>
      </w:r>
      <w:r w:rsidRPr="00A074C8">
        <w:rPr>
          <w:rFonts w:ascii="Times New Roman" w:hAnsi="Times New Roman"/>
          <w:lang w:val="fr-FR"/>
        </w:rPr>
        <w:t xml:space="preserve"> </w:t>
      </w:r>
      <w:r>
        <w:rPr>
          <w:rFonts w:ascii="Times New Roman" w:hAnsi="Times New Roman"/>
        </w:rPr>
        <w:t xml:space="preserve">Weakening C−O Bonds: Ti(III), a New Reagent for Alcohol Deoxygenation and Carbonyl Coupling Olefination. </w:t>
      </w:r>
      <w:r>
        <w:rPr>
          <w:rFonts w:ascii="Times New Roman" w:hAnsi="Times New Roman"/>
          <w:i/>
          <w:iCs/>
        </w:rPr>
        <w:t>J. Am. Chem. Soc.</w:t>
      </w:r>
      <w:r>
        <w:rPr>
          <w:rFonts w:ascii="Times New Roman" w:hAnsi="Times New Roman"/>
        </w:rPr>
        <w:t xml:space="preserve"> </w:t>
      </w:r>
      <w:r>
        <w:rPr>
          <w:rFonts w:ascii="Times New Roman" w:hAnsi="Times New Roman"/>
          <w:b/>
          <w:bCs/>
        </w:rPr>
        <w:t>132,</w:t>
      </w:r>
      <w:r>
        <w:rPr>
          <w:rFonts w:ascii="Times New Roman" w:hAnsi="Times New Roman"/>
        </w:rPr>
        <w:t xml:space="preserve"> 254–259 (2010).</w:t>
      </w:r>
    </w:p>
    <w:p w14:paraId="13D73A10" w14:textId="77777777" w:rsidR="00A074C8" w:rsidRDefault="00A074C8" w:rsidP="00A074C8">
      <w:pPr>
        <w:pStyle w:val="Bibliography"/>
        <w:rPr>
          <w:rFonts w:ascii="Times New Roman" w:hAnsi="Times New Roman"/>
        </w:rPr>
      </w:pPr>
      <w:r>
        <w:rPr>
          <w:rFonts w:ascii="Times New Roman" w:hAnsi="Times New Roman"/>
        </w:rPr>
        <w:t>197.</w:t>
      </w:r>
      <w:r>
        <w:rPr>
          <w:rFonts w:ascii="Times New Roman" w:hAnsi="Times New Roman"/>
        </w:rPr>
        <w:tab/>
        <w:t xml:space="preserve">Crevier, T. J. &amp; Mayer, J. M. C−O Bond Homolysis in a Tungsten Alkoxide:  The Mechanism of Alcohol Deoxygenation by WCl2(PMe3)4 and WH2Cl2(PMe3)4. </w:t>
      </w:r>
      <w:r>
        <w:rPr>
          <w:rFonts w:ascii="Times New Roman" w:hAnsi="Times New Roman"/>
          <w:i/>
          <w:iCs/>
        </w:rPr>
        <w:t>J. Am. Chem. Soc.</w:t>
      </w:r>
      <w:r>
        <w:rPr>
          <w:rFonts w:ascii="Times New Roman" w:hAnsi="Times New Roman"/>
        </w:rPr>
        <w:t xml:space="preserve"> </w:t>
      </w:r>
      <w:r>
        <w:rPr>
          <w:rFonts w:ascii="Times New Roman" w:hAnsi="Times New Roman"/>
          <w:b/>
          <w:bCs/>
        </w:rPr>
        <w:t>119,</w:t>
      </w:r>
      <w:r>
        <w:rPr>
          <w:rFonts w:ascii="Times New Roman" w:hAnsi="Times New Roman"/>
        </w:rPr>
        <w:t xml:space="preserve"> 8485–8491 (1997).</w:t>
      </w:r>
    </w:p>
    <w:p w14:paraId="42DB424B" w14:textId="77777777" w:rsidR="00A074C8" w:rsidRDefault="00A074C8" w:rsidP="00A074C8">
      <w:pPr>
        <w:pStyle w:val="Bibliography"/>
        <w:rPr>
          <w:rFonts w:ascii="Times New Roman" w:hAnsi="Times New Roman"/>
        </w:rPr>
      </w:pPr>
      <w:r>
        <w:rPr>
          <w:rFonts w:ascii="Times New Roman" w:hAnsi="Times New Roman"/>
        </w:rPr>
        <w:t>198.</w:t>
      </w:r>
      <w:r>
        <w:rPr>
          <w:rFonts w:ascii="Times New Roman" w:hAnsi="Times New Roman"/>
        </w:rPr>
        <w:tab/>
        <w:t xml:space="preserve">Wang, H. </w:t>
      </w:r>
      <w:r>
        <w:rPr>
          <w:rFonts w:ascii="Times New Roman" w:hAnsi="Times New Roman"/>
          <w:i/>
          <w:iCs/>
        </w:rPr>
        <w:t>et al.</w:t>
      </w:r>
      <w:r>
        <w:rPr>
          <w:rFonts w:ascii="Times New Roman" w:hAnsi="Times New Roman"/>
        </w:rPr>
        <w:t xml:space="preserve"> Efficient Palladium-Catalyzed CO Hydrogenolysis of Benzylic Alcohols and Aromatic Ketones with Polymethylhydrosiloxane. </w:t>
      </w:r>
      <w:r>
        <w:rPr>
          <w:rFonts w:ascii="Times New Roman" w:hAnsi="Times New Roman"/>
          <w:i/>
          <w:iCs/>
        </w:rPr>
        <w:t>Adv. Synth. Catal.</w:t>
      </w:r>
      <w:r>
        <w:rPr>
          <w:rFonts w:ascii="Times New Roman" w:hAnsi="Times New Roman"/>
        </w:rPr>
        <w:t xml:space="preserve"> </w:t>
      </w:r>
      <w:r>
        <w:rPr>
          <w:rFonts w:ascii="Times New Roman" w:hAnsi="Times New Roman"/>
          <w:b/>
          <w:bCs/>
        </w:rPr>
        <w:t>355,</w:t>
      </w:r>
      <w:r>
        <w:rPr>
          <w:rFonts w:ascii="Times New Roman" w:hAnsi="Times New Roman"/>
        </w:rPr>
        <w:t xml:space="preserve"> 341–347 (2013).</w:t>
      </w:r>
    </w:p>
    <w:p w14:paraId="708AFFD9" w14:textId="77777777" w:rsidR="00A074C8" w:rsidRDefault="00A074C8" w:rsidP="00A074C8">
      <w:pPr>
        <w:pStyle w:val="Bibliography"/>
        <w:rPr>
          <w:rFonts w:ascii="Times New Roman" w:hAnsi="Times New Roman"/>
        </w:rPr>
      </w:pPr>
      <w:r>
        <w:rPr>
          <w:rFonts w:ascii="Times New Roman" w:hAnsi="Times New Roman"/>
        </w:rPr>
        <w:t>199.</w:t>
      </w:r>
      <w:r>
        <w:rPr>
          <w:rFonts w:ascii="Times New Roman" w:hAnsi="Times New Roman"/>
        </w:rPr>
        <w:tab/>
        <w:t xml:space="preserve">van Tamelen, E. E. &amp; Schwartz, M. A. Reductive Coupling of Alcohols to Hydrocarbons. </w:t>
      </w:r>
      <w:r>
        <w:rPr>
          <w:rFonts w:ascii="Times New Roman" w:hAnsi="Times New Roman"/>
          <w:i/>
          <w:iCs/>
        </w:rPr>
        <w:t>J. Am. Chem. Soc.</w:t>
      </w:r>
      <w:r>
        <w:rPr>
          <w:rFonts w:ascii="Times New Roman" w:hAnsi="Times New Roman"/>
        </w:rPr>
        <w:t xml:space="preserve"> </w:t>
      </w:r>
      <w:r>
        <w:rPr>
          <w:rFonts w:ascii="Times New Roman" w:hAnsi="Times New Roman"/>
          <w:b/>
          <w:bCs/>
        </w:rPr>
        <w:t>87,</w:t>
      </w:r>
      <w:r>
        <w:rPr>
          <w:rFonts w:ascii="Times New Roman" w:hAnsi="Times New Roman"/>
        </w:rPr>
        <w:t xml:space="preserve"> 3277–3278 (1965).</w:t>
      </w:r>
    </w:p>
    <w:p w14:paraId="1F862869" w14:textId="77777777" w:rsidR="00A074C8" w:rsidRDefault="00A074C8" w:rsidP="00A074C8">
      <w:pPr>
        <w:pStyle w:val="Bibliography"/>
        <w:rPr>
          <w:rFonts w:ascii="Times New Roman" w:hAnsi="Times New Roman"/>
        </w:rPr>
      </w:pPr>
      <w:r>
        <w:rPr>
          <w:rFonts w:ascii="Times New Roman" w:hAnsi="Times New Roman"/>
        </w:rPr>
        <w:t>200.</w:t>
      </w:r>
      <w:r>
        <w:rPr>
          <w:rFonts w:ascii="Times New Roman" w:hAnsi="Times New Roman"/>
        </w:rPr>
        <w:tab/>
        <w:t xml:space="preserve">McMurry, J. E. &amp; Silvestri, M. Simplified method for the titanium(II)-induced coupling of allylic and benzylic alcohols. </w:t>
      </w:r>
      <w:r>
        <w:rPr>
          <w:rFonts w:ascii="Times New Roman" w:hAnsi="Times New Roman"/>
          <w:i/>
          <w:iCs/>
        </w:rPr>
        <w:t>J. Org. Chem.</w:t>
      </w:r>
      <w:r>
        <w:rPr>
          <w:rFonts w:ascii="Times New Roman" w:hAnsi="Times New Roman"/>
        </w:rPr>
        <w:t xml:space="preserve"> </w:t>
      </w:r>
      <w:r>
        <w:rPr>
          <w:rFonts w:ascii="Times New Roman" w:hAnsi="Times New Roman"/>
          <w:b/>
          <w:bCs/>
        </w:rPr>
        <w:t>40,</w:t>
      </w:r>
      <w:r>
        <w:rPr>
          <w:rFonts w:ascii="Times New Roman" w:hAnsi="Times New Roman"/>
        </w:rPr>
        <w:t xml:space="preserve"> 2687–2688 (1975).</w:t>
      </w:r>
    </w:p>
    <w:p w14:paraId="78C9124B" w14:textId="77777777" w:rsidR="00A074C8" w:rsidRDefault="00A074C8" w:rsidP="00A074C8">
      <w:pPr>
        <w:pStyle w:val="Bibliography"/>
        <w:rPr>
          <w:rFonts w:ascii="Times New Roman" w:hAnsi="Times New Roman"/>
        </w:rPr>
      </w:pPr>
      <w:r>
        <w:rPr>
          <w:rFonts w:ascii="Times New Roman" w:hAnsi="Times New Roman"/>
        </w:rPr>
        <w:t>201.</w:t>
      </w:r>
      <w:r>
        <w:rPr>
          <w:rFonts w:ascii="Times New Roman" w:hAnsi="Times New Roman"/>
        </w:rPr>
        <w:tab/>
        <w:t xml:space="preserve">Isakov, V. E. &amp; Kulinkovich, O. G. The Head-to-Head ReductiveCoupling of Homoallylic Alcohols Promoted by Titanium(II)-OlefinComplexes. </w:t>
      </w:r>
      <w:r>
        <w:rPr>
          <w:rFonts w:ascii="Times New Roman" w:hAnsi="Times New Roman"/>
          <w:i/>
          <w:iCs/>
        </w:rPr>
        <w:t>Synlett</w:t>
      </w:r>
      <w:r>
        <w:rPr>
          <w:rFonts w:ascii="Times New Roman" w:hAnsi="Times New Roman"/>
        </w:rPr>
        <w:t xml:space="preserve"> 0967–0970 (2003). doi:10.1055/s-2003-39300</w:t>
      </w:r>
    </w:p>
    <w:p w14:paraId="54CFB265" w14:textId="77777777" w:rsidR="00A074C8" w:rsidRDefault="00A074C8" w:rsidP="00A074C8">
      <w:pPr>
        <w:pStyle w:val="Bibliography"/>
        <w:rPr>
          <w:rFonts w:ascii="Times New Roman" w:hAnsi="Times New Roman"/>
        </w:rPr>
      </w:pPr>
      <w:r>
        <w:rPr>
          <w:rFonts w:ascii="Times New Roman" w:hAnsi="Times New Roman"/>
        </w:rPr>
        <w:t>202.</w:t>
      </w:r>
      <w:r>
        <w:rPr>
          <w:rFonts w:ascii="Times New Roman" w:hAnsi="Times New Roman"/>
        </w:rPr>
        <w:tab/>
        <w:t xml:space="preserve">Karunakar, G. V. &amp; Periasamy, M. A simple method for the conversion of propargyl alcohols to symmetrical 1,5-diynes using low valent titanium reagents. </w:t>
      </w:r>
      <w:r>
        <w:rPr>
          <w:rFonts w:ascii="Times New Roman" w:hAnsi="Times New Roman"/>
          <w:i/>
          <w:iCs/>
        </w:rPr>
        <w:t>Tetrahedron Lett.</w:t>
      </w:r>
      <w:r>
        <w:rPr>
          <w:rFonts w:ascii="Times New Roman" w:hAnsi="Times New Roman"/>
        </w:rPr>
        <w:t xml:space="preserve"> </w:t>
      </w:r>
      <w:r>
        <w:rPr>
          <w:rFonts w:ascii="Times New Roman" w:hAnsi="Times New Roman"/>
          <w:b/>
          <w:bCs/>
        </w:rPr>
        <w:t>47,</w:t>
      </w:r>
      <w:r>
        <w:rPr>
          <w:rFonts w:ascii="Times New Roman" w:hAnsi="Times New Roman"/>
        </w:rPr>
        <w:t xml:space="preserve"> 3549–3552 (2006).</w:t>
      </w:r>
    </w:p>
    <w:p w14:paraId="3EFB9CF1" w14:textId="77777777" w:rsidR="00A074C8" w:rsidRDefault="00A074C8" w:rsidP="00A074C8">
      <w:pPr>
        <w:pStyle w:val="Bibliography"/>
        <w:rPr>
          <w:rFonts w:ascii="Times New Roman" w:hAnsi="Times New Roman"/>
        </w:rPr>
      </w:pPr>
      <w:r>
        <w:rPr>
          <w:rFonts w:ascii="Times New Roman" w:hAnsi="Times New Roman"/>
        </w:rPr>
        <w:t>203.</w:t>
      </w:r>
      <w:r>
        <w:rPr>
          <w:rFonts w:ascii="Times New Roman" w:hAnsi="Times New Roman"/>
        </w:rPr>
        <w:tab/>
        <w:t xml:space="preserve">Nishino, T., Nishiyama, Y. &amp; Sonoda, N. Deoxygenative Dimerization of Benzylic and Allylic Alcohols, and Their Ethers and Esters Using Lanthanum Metal and Chlorotrimethylsilane in the Presence of a Catalytic Amount of Iodine and Copper(I) Iodide. </w:t>
      </w:r>
      <w:r>
        <w:rPr>
          <w:rFonts w:ascii="Times New Roman" w:hAnsi="Times New Roman"/>
          <w:i/>
          <w:iCs/>
        </w:rPr>
        <w:t>Bull. Chem. Soc. Jpn.</w:t>
      </w:r>
      <w:r>
        <w:rPr>
          <w:rFonts w:ascii="Times New Roman" w:hAnsi="Times New Roman"/>
        </w:rPr>
        <w:t xml:space="preserve"> </w:t>
      </w:r>
      <w:r>
        <w:rPr>
          <w:rFonts w:ascii="Times New Roman" w:hAnsi="Times New Roman"/>
          <w:b/>
          <w:bCs/>
        </w:rPr>
        <w:t>76,</w:t>
      </w:r>
      <w:r>
        <w:rPr>
          <w:rFonts w:ascii="Times New Roman" w:hAnsi="Times New Roman"/>
        </w:rPr>
        <w:t xml:space="preserve"> 635–641 (2003).</w:t>
      </w:r>
    </w:p>
    <w:p w14:paraId="55C091A1" w14:textId="77777777" w:rsidR="00A074C8" w:rsidRDefault="00A074C8" w:rsidP="00A074C8">
      <w:pPr>
        <w:pStyle w:val="Bibliography"/>
        <w:rPr>
          <w:rFonts w:ascii="Times New Roman" w:hAnsi="Times New Roman"/>
        </w:rPr>
      </w:pPr>
      <w:r>
        <w:rPr>
          <w:rFonts w:ascii="Times New Roman" w:hAnsi="Times New Roman"/>
        </w:rPr>
        <w:t>204.</w:t>
      </w:r>
      <w:r>
        <w:rPr>
          <w:rFonts w:ascii="Times New Roman" w:hAnsi="Times New Roman"/>
        </w:rPr>
        <w:tab/>
        <w:t xml:space="preserve">Nishino, T., Nishiyama, Y. &amp; Sonoda, N. Lanthanum metal-assisted deoxygenative coupling of alcohols. </w:t>
      </w:r>
      <w:r>
        <w:rPr>
          <w:rFonts w:ascii="Times New Roman" w:hAnsi="Times New Roman"/>
          <w:i/>
          <w:iCs/>
        </w:rPr>
        <w:t>Tetrahedron Lett.</w:t>
      </w:r>
      <w:r>
        <w:rPr>
          <w:rFonts w:ascii="Times New Roman" w:hAnsi="Times New Roman"/>
        </w:rPr>
        <w:t xml:space="preserve"> </w:t>
      </w:r>
      <w:r>
        <w:rPr>
          <w:rFonts w:ascii="Times New Roman" w:hAnsi="Times New Roman"/>
          <w:b/>
          <w:bCs/>
        </w:rPr>
        <w:t>43,</w:t>
      </w:r>
      <w:r>
        <w:rPr>
          <w:rFonts w:ascii="Times New Roman" w:hAnsi="Times New Roman"/>
        </w:rPr>
        <w:t xml:space="preserve"> 3689–3691 (2002).</w:t>
      </w:r>
    </w:p>
    <w:p w14:paraId="579FC3A6" w14:textId="77777777" w:rsidR="00A074C8" w:rsidRDefault="00A074C8" w:rsidP="00A074C8">
      <w:pPr>
        <w:pStyle w:val="Bibliography"/>
        <w:rPr>
          <w:rFonts w:ascii="Times New Roman" w:hAnsi="Times New Roman"/>
        </w:rPr>
      </w:pPr>
      <w:r>
        <w:rPr>
          <w:rFonts w:ascii="Times New Roman" w:hAnsi="Times New Roman"/>
        </w:rPr>
        <w:t>205.</w:t>
      </w:r>
      <w:r>
        <w:rPr>
          <w:rFonts w:ascii="Times New Roman" w:hAnsi="Times New Roman"/>
        </w:rPr>
        <w:tab/>
        <w:t xml:space="preserve">Rappe, A. K. &amp; Goddard, W. A. Hydrocarbon oxidation by high-valent Group VI oxides. </w:t>
      </w:r>
      <w:r>
        <w:rPr>
          <w:rFonts w:ascii="Times New Roman" w:hAnsi="Times New Roman"/>
          <w:i/>
          <w:iCs/>
        </w:rPr>
        <w:t>J. Am. Chem. Soc.</w:t>
      </w:r>
      <w:r>
        <w:rPr>
          <w:rFonts w:ascii="Times New Roman" w:hAnsi="Times New Roman"/>
        </w:rPr>
        <w:t xml:space="preserve"> </w:t>
      </w:r>
      <w:r>
        <w:rPr>
          <w:rFonts w:ascii="Times New Roman" w:hAnsi="Times New Roman"/>
          <w:b/>
          <w:bCs/>
        </w:rPr>
        <w:t>104,</w:t>
      </w:r>
      <w:r>
        <w:rPr>
          <w:rFonts w:ascii="Times New Roman" w:hAnsi="Times New Roman"/>
        </w:rPr>
        <w:t xml:space="preserve"> 3287–3294 (1982).</w:t>
      </w:r>
    </w:p>
    <w:p w14:paraId="2721A24E" w14:textId="77777777" w:rsidR="00A074C8" w:rsidRDefault="00A074C8" w:rsidP="00A074C8">
      <w:pPr>
        <w:pStyle w:val="Bibliography"/>
        <w:rPr>
          <w:rFonts w:ascii="Times New Roman" w:hAnsi="Times New Roman"/>
        </w:rPr>
      </w:pPr>
      <w:r>
        <w:rPr>
          <w:rFonts w:ascii="Times New Roman" w:hAnsi="Times New Roman"/>
        </w:rPr>
        <w:t>206.</w:t>
      </w:r>
      <w:r>
        <w:rPr>
          <w:rFonts w:ascii="Times New Roman" w:hAnsi="Times New Roman"/>
        </w:rPr>
        <w:tab/>
        <w:t xml:space="preserve">Bellemin-Laponnaz, S., Gisie, H., Le Ny, J. P. &amp; Osborn, J. A. Mechanistic Insights into the Very Efficient [ReO3OSiR3]-Catalyzed Isomerization of Allyl Alcohols. </w:t>
      </w:r>
      <w:r>
        <w:rPr>
          <w:rFonts w:ascii="Times New Roman" w:hAnsi="Times New Roman"/>
          <w:i/>
          <w:iCs/>
        </w:rPr>
        <w:t>Angew. Chem. Int. Ed. Engl.</w:t>
      </w:r>
      <w:r>
        <w:rPr>
          <w:rFonts w:ascii="Times New Roman" w:hAnsi="Times New Roman"/>
        </w:rPr>
        <w:t xml:space="preserve"> </w:t>
      </w:r>
      <w:r>
        <w:rPr>
          <w:rFonts w:ascii="Times New Roman" w:hAnsi="Times New Roman"/>
          <w:b/>
          <w:bCs/>
        </w:rPr>
        <w:t>36,</w:t>
      </w:r>
      <w:r>
        <w:rPr>
          <w:rFonts w:ascii="Times New Roman" w:hAnsi="Times New Roman"/>
        </w:rPr>
        <w:t xml:space="preserve"> 976–978 (1997).</w:t>
      </w:r>
    </w:p>
    <w:p w14:paraId="505C4C7F" w14:textId="77777777" w:rsidR="00A074C8" w:rsidRDefault="00A074C8" w:rsidP="00A074C8">
      <w:pPr>
        <w:pStyle w:val="Bibliography"/>
        <w:rPr>
          <w:rFonts w:ascii="Times New Roman" w:hAnsi="Times New Roman"/>
        </w:rPr>
      </w:pPr>
      <w:r>
        <w:rPr>
          <w:rFonts w:ascii="Times New Roman" w:hAnsi="Times New Roman"/>
        </w:rPr>
        <w:t>207.</w:t>
      </w:r>
      <w:r>
        <w:rPr>
          <w:rFonts w:ascii="Times New Roman" w:hAnsi="Times New Roman"/>
        </w:rPr>
        <w:tab/>
        <w:t xml:space="preserve">Herrmann, A. T., Saito, T., Stivala, C. E., Tom, J. &amp; Zakarian, A. Regio- and Stereocontrol in Rhenium-Catalyzed Transposition of Allylic Alcohols. </w:t>
      </w:r>
      <w:r>
        <w:rPr>
          <w:rFonts w:ascii="Times New Roman" w:hAnsi="Times New Roman"/>
          <w:i/>
          <w:iCs/>
        </w:rPr>
        <w:t>J. Am. Chem. Soc.</w:t>
      </w:r>
      <w:r>
        <w:rPr>
          <w:rFonts w:ascii="Times New Roman" w:hAnsi="Times New Roman"/>
        </w:rPr>
        <w:t xml:space="preserve"> </w:t>
      </w:r>
      <w:r>
        <w:rPr>
          <w:rFonts w:ascii="Times New Roman" w:hAnsi="Times New Roman"/>
          <w:b/>
          <w:bCs/>
        </w:rPr>
        <w:t>132,</w:t>
      </w:r>
      <w:r>
        <w:rPr>
          <w:rFonts w:ascii="Times New Roman" w:hAnsi="Times New Roman"/>
        </w:rPr>
        <w:t xml:space="preserve"> 5962–5963 (2010).</w:t>
      </w:r>
    </w:p>
    <w:p w14:paraId="7FEF8CE2" w14:textId="77777777" w:rsidR="00A074C8" w:rsidRDefault="00A074C8" w:rsidP="00A074C8">
      <w:pPr>
        <w:pStyle w:val="Bibliography"/>
        <w:rPr>
          <w:rFonts w:ascii="Times New Roman" w:hAnsi="Times New Roman"/>
        </w:rPr>
      </w:pPr>
      <w:r>
        <w:rPr>
          <w:rFonts w:ascii="Times New Roman" w:hAnsi="Times New Roman"/>
        </w:rPr>
        <w:t>208.</w:t>
      </w:r>
      <w:r>
        <w:rPr>
          <w:rFonts w:ascii="Times New Roman" w:hAnsi="Times New Roman"/>
        </w:rPr>
        <w:tab/>
        <w:t xml:space="preserve">Jacob, J., Espenson, J. H., Jensen, J. H. &amp; Gordon, M. S. 1,3-Transposition of Allylic Alcohols Catalyzed by Methyltrioxorhenium. </w:t>
      </w:r>
      <w:r>
        <w:rPr>
          <w:rFonts w:ascii="Times New Roman" w:hAnsi="Times New Roman"/>
          <w:i/>
          <w:iCs/>
        </w:rPr>
        <w:t>Organometallics</w:t>
      </w:r>
      <w:r>
        <w:rPr>
          <w:rFonts w:ascii="Times New Roman" w:hAnsi="Times New Roman"/>
        </w:rPr>
        <w:t xml:space="preserve"> </w:t>
      </w:r>
      <w:r>
        <w:rPr>
          <w:rFonts w:ascii="Times New Roman" w:hAnsi="Times New Roman"/>
          <w:b/>
          <w:bCs/>
        </w:rPr>
        <w:t>17,</w:t>
      </w:r>
      <w:r>
        <w:rPr>
          <w:rFonts w:ascii="Times New Roman" w:hAnsi="Times New Roman"/>
        </w:rPr>
        <w:t xml:space="preserve"> 1835–1840 (1998).</w:t>
      </w:r>
    </w:p>
    <w:p w14:paraId="23FCB7C2" w14:textId="77777777" w:rsidR="00A074C8" w:rsidRDefault="00A074C8" w:rsidP="00A074C8">
      <w:pPr>
        <w:pStyle w:val="Bibliography"/>
        <w:rPr>
          <w:rFonts w:ascii="Times New Roman" w:hAnsi="Times New Roman"/>
        </w:rPr>
      </w:pPr>
      <w:r>
        <w:rPr>
          <w:rFonts w:ascii="Times New Roman" w:hAnsi="Times New Roman"/>
        </w:rPr>
        <w:t>209.</w:t>
      </w:r>
      <w:r>
        <w:rPr>
          <w:rFonts w:ascii="Times New Roman" w:hAnsi="Times New Roman"/>
        </w:rPr>
        <w:tab/>
        <w:t xml:space="preserve">DuMez, D. D. &amp; Mayer, J. M. Rhenium(V) Oxo-Alkoxide Complexes: Syntheses and Oxidation to Aldehydes. </w:t>
      </w:r>
      <w:r>
        <w:rPr>
          <w:rFonts w:ascii="Times New Roman" w:hAnsi="Times New Roman"/>
          <w:i/>
          <w:iCs/>
        </w:rPr>
        <w:t>Inorg. Chem.</w:t>
      </w:r>
      <w:r>
        <w:rPr>
          <w:rFonts w:ascii="Times New Roman" w:hAnsi="Times New Roman"/>
        </w:rPr>
        <w:t xml:space="preserve"> </w:t>
      </w:r>
      <w:r>
        <w:rPr>
          <w:rFonts w:ascii="Times New Roman" w:hAnsi="Times New Roman"/>
          <w:b/>
          <w:bCs/>
        </w:rPr>
        <w:t>34,</w:t>
      </w:r>
      <w:r>
        <w:rPr>
          <w:rFonts w:ascii="Times New Roman" w:hAnsi="Times New Roman"/>
        </w:rPr>
        <w:t xml:space="preserve"> 6396–6401 (1995).</w:t>
      </w:r>
    </w:p>
    <w:p w14:paraId="3122587B" w14:textId="77777777" w:rsidR="00A074C8" w:rsidRDefault="00A074C8" w:rsidP="00A074C8">
      <w:pPr>
        <w:pStyle w:val="Bibliography"/>
        <w:rPr>
          <w:rFonts w:ascii="Times New Roman" w:hAnsi="Times New Roman"/>
        </w:rPr>
      </w:pPr>
      <w:r>
        <w:rPr>
          <w:rFonts w:ascii="Times New Roman" w:hAnsi="Times New Roman"/>
        </w:rPr>
        <w:t>210.</w:t>
      </w:r>
      <w:r>
        <w:rPr>
          <w:rFonts w:ascii="Times New Roman" w:hAnsi="Times New Roman"/>
        </w:rPr>
        <w:tab/>
        <w:t xml:space="preserve">Paulo, A., Domingos, A., Marcalo, J., Pires de Matos, A. &amp; Santos, I. Reactivity of a Tetrakis(pyrazolyl)borate Oxorhenium Complex. </w:t>
      </w:r>
      <w:r>
        <w:rPr>
          <w:rFonts w:ascii="Times New Roman" w:hAnsi="Times New Roman"/>
          <w:i/>
          <w:iCs/>
        </w:rPr>
        <w:t>Inorg. Chem.</w:t>
      </w:r>
      <w:r>
        <w:rPr>
          <w:rFonts w:ascii="Times New Roman" w:hAnsi="Times New Roman"/>
        </w:rPr>
        <w:t xml:space="preserve"> </w:t>
      </w:r>
      <w:r>
        <w:rPr>
          <w:rFonts w:ascii="Times New Roman" w:hAnsi="Times New Roman"/>
          <w:b/>
          <w:bCs/>
        </w:rPr>
        <w:t>34,</w:t>
      </w:r>
      <w:r>
        <w:rPr>
          <w:rFonts w:ascii="Times New Roman" w:hAnsi="Times New Roman"/>
        </w:rPr>
        <w:t xml:space="preserve"> 2113–2120 (1995).</w:t>
      </w:r>
    </w:p>
    <w:p w14:paraId="0DA939B5" w14:textId="77777777" w:rsidR="00A074C8" w:rsidRDefault="00A074C8" w:rsidP="00A074C8">
      <w:pPr>
        <w:pStyle w:val="Bibliography"/>
        <w:rPr>
          <w:rFonts w:ascii="Times New Roman" w:hAnsi="Times New Roman"/>
        </w:rPr>
      </w:pPr>
      <w:r>
        <w:rPr>
          <w:rFonts w:ascii="Times New Roman" w:hAnsi="Times New Roman"/>
        </w:rPr>
        <w:t>211.</w:t>
      </w:r>
      <w:r>
        <w:rPr>
          <w:rFonts w:ascii="Times New Roman" w:hAnsi="Times New Roman"/>
        </w:rPr>
        <w:tab/>
        <w:t xml:space="preserve">Boehm, G., Wieghardt, K., Nuber, B. &amp; Weiss, J. Coordination chemistry of rhenium(V), -(IV), and -(III) with the macrocyclic ligands 1,4,7-triazacyclononane (L) and its N-methylated derivative (L’).  Crystal structures of [LReCl3]Cl, [L2Re2Cl2(.mu.-Cl)(.mu.-OH)]I2.cntdot.2H2O, [L2Re2I2(.mu.-O)2]I2.cntdot.2H2O, and [L’2Re2Cl4(.mu.-O)]ZnCl4.  Effect of .pi.-donors on the Re-Re bond distance. </w:t>
      </w:r>
      <w:r>
        <w:rPr>
          <w:rFonts w:ascii="Times New Roman" w:hAnsi="Times New Roman"/>
          <w:i/>
          <w:iCs/>
        </w:rPr>
        <w:t>Inorg. Chem.</w:t>
      </w:r>
      <w:r>
        <w:rPr>
          <w:rFonts w:ascii="Times New Roman" w:hAnsi="Times New Roman"/>
        </w:rPr>
        <w:t xml:space="preserve"> </w:t>
      </w:r>
      <w:r>
        <w:rPr>
          <w:rFonts w:ascii="Times New Roman" w:hAnsi="Times New Roman"/>
          <w:b/>
          <w:bCs/>
        </w:rPr>
        <w:t>30,</w:t>
      </w:r>
      <w:r>
        <w:rPr>
          <w:rFonts w:ascii="Times New Roman" w:hAnsi="Times New Roman"/>
        </w:rPr>
        <w:t xml:space="preserve"> 3464–3476 (1991).</w:t>
      </w:r>
    </w:p>
    <w:p w14:paraId="3017921F" w14:textId="77777777" w:rsidR="00A074C8" w:rsidRDefault="00A074C8" w:rsidP="00A074C8">
      <w:pPr>
        <w:pStyle w:val="Bibliography"/>
        <w:rPr>
          <w:rFonts w:ascii="Times New Roman" w:hAnsi="Times New Roman"/>
        </w:rPr>
      </w:pPr>
      <w:r>
        <w:rPr>
          <w:rFonts w:ascii="Times New Roman" w:hAnsi="Times New Roman"/>
        </w:rPr>
        <w:t>212.</w:t>
      </w:r>
      <w:r>
        <w:rPr>
          <w:rFonts w:ascii="Times New Roman" w:hAnsi="Times New Roman"/>
        </w:rPr>
        <w:tab/>
        <w:t xml:space="preserve">Seisenbaeva, G. A. </w:t>
      </w:r>
      <w:r>
        <w:rPr>
          <w:rFonts w:ascii="Times New Roman" w:hAnsi="Times New Roman"/>
          <w:i/>
          <w:iCs/>
        </w:rPr>
        <w:t>et al.</w:t>
      </w:r>
      <w:r>
        <w:rPr>
          <w:rFonts w:ascii="Times New Roman" w:hAnsi="Times New Roman"/>
        </w:rPr>
        <w:t xml:space="preserve"> Homo- and hetero-metallic rhenium oxomethoxide complexes with a M4(μ-O)2(μ-OMe)4 planar core—a new family of metal alkoxides displaying a peculiar structural disorder. Preparation and X-ray single crystal study. </w:t>
      </w:r>
      <w:r>
        <w:rPr>
          <w:rFonts w:ascii="Times New Roman" w:hAnsi="Times New Roman"/>
          <w:i/>
          <w:iCs/>
        </w:rPr>
        <w:t>J. Chem. Soc. Dalton Trans.</w:t>
      </w:r>
      <w:r>
        <w:rPr>
          <w:rFonts w:ascii="Times New Roman" w:hAnsi="Times New Roman"/>
        </w:rPr>
        <w:t xml:space="preserve"> 2762–2768 (2001). doi:10.1039/B103287A</w:t>
      </w:r>
    </w:p>
    <w:p w14:paraId="134D800A" w14:textId="77777777" w:rsidR="00A074C8" w:rsidRDefault="00A074C8" w:rsidP="00A074C8">
      <w:pPr>
        <w:pStyle w:val="Bibliography"/>
        <w:rPr>
          <w:rFonts w:ascii="Times New Roman" w:hAnsi="Times New Roman"/>
        </w:rPr>
      </w:pPr>
      <w:r>
        <w:rPr>
          <w:rFonts w:ascii="Times New Roman" w:hAnsi="Times New Roman"/>
        </w:rPr>
        <w:t>213.</w:t>
      </w:r>
      <w:r>
        <w:rPr>
          <w:rFonts w:ascii="Times New Roman" w:hAnsi="Times New Roman"/>
        </w:rPr>
        <w:tab/>
        <w:t xml:space="preserve">Gable, K. P. &amp; Brown, E. C. Rhenium-Catalyzed Epoxide Deoxygenation: Scope and Limitations. </w:t>
      </w:r>
      <w:r>
        <w:rPr>
          <w:rFonts w:ascii="Times New Roman" w:hAnsi="Times New Roman"/>
          <w:i/>
          <w:iCs/>
        </w:rPr>
        <w:t>Synlett</w:t>
      </w:r>
      <w:r>
        <w:rPr>
          <w:rFonts w:ascii="Times New Roman" w:hAnsi="Times New Roman"/>
        </w:rPr>
        <w:t xml:space="preserve"> 2243–2245 (2003).</w:t>
      </w:r>
    </w:p>
    <w:p w14:paraId="1F35ABC5" w14:textId="77777777" w:rsidR="00A074C8" w:rsidRDefault="00A074C8" w:rsidP="00A074C8">
      <w:pPr>
        <w:pStyle w:val="Bibliography"/>
        <w:rPr>
          <w:rFonts w:ascii="Times New Roman" w:hAnsi="Times New Roman"/>
        </w:rPr>
      </w:pPr>
      <w:r>
        <w:rPr>
          <w:rFonts w:ascii="Times New Roman" w:hAnsi="Times New Roman"/>
        </w:rPr>
        <w:t>214.</w:t>
      </w:r>
      <w:r>
        <w:rPr>
          <w:rFonts w:ascii="Times New Roman" w:hAnsi="Times New Roman"/>
        </w:rPr>
        <w:tab/>
        <w:t xml:space="preserve">Peters, J. C. </w:t>
      </w:r>
      <w:r>
        <w:rPr>
          <w:rFonts w:ascii="Times New Roman" w:hAnsi="Times New Roman"/>
          <w:i/>
          <w:iCs/>
        </w:rPr>
        <w:t>et al.</w:t>
      </w:r>
      <w:r>
        <w:rPr>
          <w:rFonts w:ascii="Times New Roman" w:hAnsi="Times New Roman"/>
        </w:rPr>
        <w:t xml:space="preserve"> Assembly of Molybdenum/Titanium μ-Oxo Complexes via Radical Alkoxide C−O Cleavage. </w:t>
      </w:r>
      <w:r>
        <w:rPr>
          <w:rFonts w:ascii="Times New Roman" w:hAnsi="Times New Roman"/>
          <w:i/>
          <w:iCs/>
        </w:rPr>
        <w:t>J. Am. Chem. Soc.</w:t>
      </w:r>
      <w:r>
        <w:rPr>
          <w:rFonts w:ascii="Times New Roman" w:hAnsi="Times New Roman"/>
        </w:rPr>
        <w:t xml:space="preserve"> </w:t>
      </w:r>
      <w:r>
        <w:rPr>
          <w:rFonts w:ascii="Times New Roman" w:hAnsi="Times New Roman"/>
          <w:b/>
          <w:bCs/>
        </w:rPr>
        <w:t>118,</w:t>
      </w:r>
      <w:r>
        <w:rPr>
          <w:rFonts w:ascii="Times New Roman" w:hAnsi="Times New Roman"/>
        </w:rPr>
        <w:t xml:space="preserve"> 10175–10188 (1996).</w:t>
      </w:r>
    </w:p>
    <w:p w14:paraId="690B5784" w14:textId="77777777" w:rsidR="00A074C8" w:rsidRDefault="00A074C8" w:rsidP="00A074C8">
      <w:pPr>
        <w:pStyle w:val="Bibliography"/>
        <w:rPr>
          <w:rFonts w:ascii="Times New Roman" w:hAnsi="Times New Roman"/>
        </w:rPr>
      </w:pPr>
      <w:r>
        <w:rPr>
          <w:rFonts w:ascii="Times New Roman" w:hAnsi="Times New Roman"/>
        </w:rPr>
        <w:t>215.</w:t>
      </w:r>
      <w:r>
        <w:rPr>
          <w:rFonts w:ascii="Times New Roman" w:hAnsi="Times New Roman"/>
        </w:rPr>
        <w:tab/>
        <w:t xml:space="preserve">Bass, K. C. Hydrogen Abstraction by Benzyl Radicals. </w:t>
      </w:r>
      <w:r>
        <w:rPr>
          <w:rFonts w:ascii="Times New Roman" w:hAnsi="Times New Roman"/>
          <w:i/>
          <w:iCs/>
        </w:rPr>
        <w:t>Nature</w:t>
      </w:r>
      <w:r>
        <w:rPr>
          <w:rFonts w:ascii="Times New Roman" w:hAnsi="Times New Roman"/>
        </w:rPr>
        <w:t xml:space="preserve"> </w:t>
      </w:r>
      <w:r>
        <w:rPr>
          <w:rFonts w:ascii="Times New Roman" w:hAnsi="Times New Roman"/>
          <w:b/>
          <w:bCs/>
        </w:rPr>
        <w:t>201,</w:t>
      </w:r>
      <w:r>
        <w:rPr>
          <w:rFonts w:ascii="Times New Roman" w:hAnsi="Times New Roman"/>
        </w:rPr>
        <w:t xml:space="preserve"> 700–701 (1964).</w:t>
      </w:r>
    </w:p>
    <w:p w14:paraId="73295092" w14:textId="77777777" w:rsidR="00A074C8" w:rsidRDefault="00A074C8" w:rsidP="00A074C8">
      <w:pPr>
        <w:pStyle w:val="Bibliography"/>
        <w:rPr>
          <w:rFonts w:ascii="Times New Roman" w:hAnsi="Times New Roman"/>
        </w:rPr>
      </w:pPr>
      <w:r>
        <w:rPr>
          <w:rFonts w:ascii="Times New Roman" w:hAnsi="Times New Roman"/>
        </w:rPr>
        <w:t>216.</w:t>
      </w:r>
      <w:r>
        <w:rPr>
          <w:rFonts w:ascii="Times New Roman" w:hAnsi="Times New Roman"/>
        </w:rPr>
        <w:tab/>
        <w:t xml:space="preserve">Mayer, J. M. Hydrogen Atom Abstraction by Metal−Oxo Complexes:  Understanding the Analogy with Organic Radical Reactions. </w:t>
      </w:r>
      <w:r>
        <w:rPr>
          <w:rFonts w:ascii="Times New Roman" w:hAnsi="Times New Roman"/>
          <w:i/>
          <w:iCs/>
        </w:rPr>
        <w:t>Acc. Chem. Res.</w:t>
      </w:r>
      <w:r>
        <w:rPr>
          <w:rFonts w:ascii="Times New Roman" w:hAnsi="Times New Roman"/>
        </w:rPr>
        <w:t xml:space="preserve"> </w:t>
      </w:r>
      <w:r>
        <w:rPr>
          <w:rFonts w:ascii="Times New Roman" w:hAnsi="Times New Roman"/>
          <w:b/>
          <w:bCs/>
        </w:rPr>
        <w:t>31,</w:t>
      </w:r>
      <w:r>
        <w:rPr>
          <w:rFonts w:ascii="Times New Roman" w:hAnsi="Times New Roman"/>
        </w:rPr>
        <w:t xml:space="preserve"> 441–450 (1998).</w:t>
      </w:r>
    </w:p>
    <w:p w14:paraId="1304E747" w14:textId="77777777" w:rsidR="00A074C8" w:rsidRDefault="00A074C8" w:rsidP="00A074C8">
      <w:pPr>
        <w:pStyle w:val="Bibliography"/>
        <w:rPr>
          <w:rFonts w:ascii="Times New Roman" w:hAnsi="Times New Roman"/>
        </w:rPr>
      </w:pPr>
      <w:r>
        <w:rPr>
          <w:rFonts w:ascii="Times New Roman" w:hAnsi="Times New Roman"/>
        </w:rPr>
        <w:t>217.</w:t>
      </w:r>
      <w:r>
        <w:rPr>
          <w:rFonts w:ascii="Times New Roman" w:hAnsi="Times New Roman"/>
        </w:rPr>
        <w:tab/>
        <w:t xml:space="preserve">Dinda, S., Genest, A. &amp; Rösch, N. O2 Activation and Catalytic Alcohol Oxidation by Re Complexes with Redox-Active Ligands: A DFT Study of Mechanism. </w:t>
      </w:r>
      <w:r>
        <w:rPr>
          <w:rFonts w:ascii="Times New Roman" w:hAnsi="Times New Roman"/>
          <w:i/>
          <w:iCs/>
        </w:rPr>
        <w:t>ACS Catal.</w:t>
      </w:r>
      <w:r>
        <w:rPr>
          <w:rFonts w:ascii="Times New Roman" w:hAnsi="Times New Roman"/>
        </w:rPr>
        <w:t xml:space="preserve"> </w:t>
      </w:r>
      <w:r>
        <w:rPr>
          <w:rFonts w:ascii="Times New Roman" w:hAnsi="Times New Roman"/>
          <w:b/>
          <w:bCs/>
        </w:rPr>
        <w:t>5,</w:t>
      </w:r>
      <w:r>
        <w:rPr>
          <w:rFonts w:ascii="Times New Roman" w:hAnsi="Times New Roman"/>
        </w:rPr>
        <w:t xml:space="preserve"> 4869–4880 (2015).</w:t>
      </w:r>
    </w:p>
    <w:p w14:paraId="3E295A8C" w14:textId="77777777" w:rsidR="00A074C8" w:rsidRDefault="00A074C8" w:rsidP="00A074C8">
      <w:pPr>
        <w:pStyle w:val="Bibliography"/>
        <w:rPr>
          <w:rFonts w:ascii="Times New Roman" w:hAnsi="Times New Roman"/>
        </w:rPr>
      </w:pPr>
      <w:r>
        <w:rPr>
          <w:rFonts w:ascii="Times New Roman" w:hAnsi="Times New Roman"/>
        </w:rPr>
        <w:t>218.</w:t>
      </w:r>
      <w:r>
        <w:rPr>
          <w:rFonts w:ascii="Times New Roman" w:hAnsi="Times New Roman"/>
        </w:rPr>
        <w:tab/>
        <w:t xml:space="preserve">McLaughlin, M. P., Adduci, L. L., Becker, J. J. &amp; Gagné, M. R. Iridium-Catalyzed Hydrosilylative Reduction of Glucose to Hexane(s). </w:t>
      </w:r>
      <w:r>
        <w:rPr>
          <w:rFonts w:ascii="Times New Roman" w:hAnsi="Times New Roman"/>
          <w:i/>
          <w:iCs/>
        </w:rPr>
        <w:t>J. Am. Chem. Soc.</w:t>
      </w:r>
      <w:r>
        <w:rPr>
          <w:rFonts w:ascii="Times New Roman" w:hAnsi="Times New Roman"/>
        </w:rPr>
        <w:t xml:space="preserve"> </w:t>
      </w:r>
      <w:r>
        <w:rPr>
          <w:rFonts w:ascii="Times New Roman" w:hAnsi="Times New Roman"/>
          <w:b/>
          <w:bCs/>
        </w:rPr>
        <w:t>135,</w:t>
      </w:r>
      <w:r>
        <w:rPr>
          <w:rFonts w:ascii="Times New Roman" w:hAnsi="Times New Roman"/>
        </w:rPr>
        <w:t xml:space="preserve"> 1225–1227 (2013).</w:t>
      </w:r>
    </w:p>
    <w:p w14:paraId="538378D6" w14:textId="77777777" w:rsidR="00A074C8" w:rsidRDefault="00A074C8" w:rsidP="00A074C8">
      <w:pPr>
        <w:pStyle w:val="Bibliography"/>
        <w:rPr>
          <w:rFonts w:ascii="Times New Roman" w:hAnsi="Times New Roman"/>
        </w:rPr>
      </w:pPr>
      <w:r>
        <w:rPr>
          <w:rFonts w:ascii="Times New Roman" w:hAnsi="Times New Roman"/>
        </w:rPr>
        <w:t>219.</w:t>
      </w:r>
      <w:r>
        <w:rPr>
          <w:rFonts w:ascii="Times New Roman" w:hAnsi="Times New Roman"/>
        </w:rPr>
        <w:tab/>
        <w:t xml:space="preserve">Yasuda, M., Onishi, Y., Ueba, M., Miyai, T. &amp; Baba, A. Direct Reduction of Alcohols:  Highly Chemoselective Reducing System for Secondary or Tertiary Alcohols Using Chlorodiphenylsilane with a Catalytic Amount of Indium Trichloride. </w:t>
      </w:r>
      <w:r>
        <w:rPr>
          <w:rFonts w:ascii="Times New Roman" w:hAnsi="Times New Roman"/>
          <w:i/>
          <w:iCs/>
        </w:rPr>
        <w:t>J. Org. Chem.</w:t>
      </w:r>
      <w:r>
        <w:rPr>
          <w:rFonts w:ascii="Times New Roman" w:hAnsi="Times New Roman"/>
        </w:rPr>
        <w:t xml:space="preserve"> </w:t>
      </w:r>
      <w:r>
        <w:rPr>
          <w:rFonts w:ascii="Times New Roman" w:hAnsi="Times New Roman"/>
          <w:b/>
          <w:bCs/>
        </w:rPr>
        <w:t>66,</w:t>
      </w:r>
      <w:r>
        <w:rPr>
          <w:rFonts w:ascii="Times New Roman" w:hAnsi="Times New Roman"/>
        </w:rPr>
        <w:t xml:space="preserve"> 7741–7744 (2001).</w:t>
      </w:r>
    </w:p>
    <w:p w14:paraId="75BF8A9F" w14:textId="77777777" w:rsidR="00A074C8" w:rsidRDefault="00A074C8" w:rsidP="00A074C8">
      <w:pPr>
        <w:pStyle w:val="Bibliography"/>
        <w:rPr>
          <w:rFonts w:ascii="Times New Roman" w:hAnsi="Times New Roman"/>
        </w:rPr>
      </w:pPr>
      <w:r>
        <w:rPr>
          <w:rFonts w:ascii="Times New Roman" w:hAnsi="Times New Roman"/>
        </w:rPr>
        <w:t>220.</w:t>
      </w:r>
      <w:r>
        <w:rPr>
          <w:rFonts w:ascii="Times New Roman" w:hAnsi="Times New Roman"/>
        </w:rPr>
        <w:tab/>
        <w:t xml:space="preserve">Mayr, H. &amp; Dogan, B. Selectivities in ionic reductions of alcohols and ketones with triethylsilane/trifluoroacetic acid. </w:t>
      </w:r>
      <w:r>
        <w:rPr>
          <w:rFonts w:ascii="Times New Roman" w:hAnsi="Times New Roman"/>
          <w:i/>
          <w:iCs/>
        </w:rPr>
        <w:t>Tetrahedron Lett.</w:t>
      </w:r>
      <w:r>
        <w:rPr>
          <w:rFonts w:ascii="Times New Roman" w:hAnsi="Times New Roman"/>
        </w:rPr>
        <w:t xml:space="preserve"> </w:t>
      </w:r>
      <w:r>
        <w:rPr>
          <w:rFonts w:ascii="Times New Roman" w:hAnsi="Times New Roman"/>
          <w:b/>
          <w:bCs/>
        </w:rPr>
        <w:t>38,</w:t>
      </w:r>
      <w:r>
        <w:rPr>
          <w:rFonts w:ascii="Times New Roman" w:hAnsi="Times New Roman"/>
        </w:rPr>
        <w:t xml:space="preserve"> 1013–1016 (1997).</w:t>
      </w:r>
    </w:p>
    <w:p w14:paraId="5035F0A5" w14:textId="77777777" w:rsidR="00A074C8" w:rsidRDefault="00A074C8" w:rsidP="00A074C8">
      <w:pPr>
        <w:pStyle w:val="Bibliography"/>
        <w:rPr>
          <w:rFonts w:ascii="Times New Roman" w:hAnsi="Times New Roman"/>
        </w:rPr>
      </w:pPr>
      <w:r>
        <w:rPr>
          <w:rFonts w:ascii="Times New Roman" w:hAnsi="Times New Roman"/>
        </w:rPr>
        <w:t>221.</w:t>
      </w:r>
      <w:r>
        <w:rPr>
          <w:rFonts w:ascii="Times New Roman" w:hAnsi="Times New Roman"/>
        </w:rPr>
        <w:tab/>
        <w:t xml:space="preserve">Adlington, M. G., Orfanopoulos, M. &amp; Fry, J. L. A convenient one-step synthesis of hydrocarbons from alcohols through use of the organosilane-boron trifluoride reducing system. </w:t>
      </w:r>
      <w:r>
        <w:rPr>
          <w:rFonts w:ascii="Times New Roman" w:hAnsi="Times New Roman"/>
          <w:i/>
          <w:iCs/>
        </w:rPr>
        <w:t>Tetrahedron Lett.</w:t>
      </w:r>
      <w:r>
        <w:rPr>
          <w:rFonts w:ascii="Times New Roman" w:hAnsi="Times New Roman"/>
        </w:rPr>
        <w:t xml:space="preserve"> </w:t>
      </w:r>
      <w:r>
        <w:rPr>
          <w:rFonts w:ascii="Times New Roman" w:hAnsi="Times New Roman"/>
          <w:b/>
          <w:bCs/>
        </w:rPr>
        <w:t>17,</w:t>
      </w:r>
      <w:r>
        <w:rPr>
          <w:rFonts w:ascii="Times New Roman" w:hAnsi="Times New Roman"/>
        </w:rPr>
        <w:t xml:space="preserve"> 2955–2958 (1976).</w:t>
      </w:r>
    </w:p>
    <w:p w14:paraId="405DBF96" w14:textId="77777777" w:rsidR="00A074C8" w:rsidRDefault="00A074C8" w:rsidP="00A074C8">
      <w:pPr>
        <w:pStyle w:val="Bibliography"/>
        <w:rPr>
          <w:rFonts w:ascii="Times New Roman" w:hAnsi="Times New Roman"/>
        </w:rPr>
      </w:pPr>
      <w:r>
        <w:rPr>
          <w:rFonts w:ascii="Times New Roman" w:hAnsi="Times New Roman"/>
        </w:rPr>
        <w:t>222.</w:t>
      </w:r>
      <w:r>
        <w:rPr>
          <w:rFonts w:ascii="Times New Roman" w:hAnsi="Times New Roman"/>
        </w:rPr>
        <w:tab/>
        <w:t xml:space="preserve">Barton, D. H. R., Blundell, P., Dorchak, J., Jang, D. O. &amp; Jaszberenyi, J. C. The invention of radical reactions. Part XXI. Simple methods for the radical deoxygenation of primary alcohols. </w:t>
      </w:r>
      <w:r>
        <w:rPr>
          <w:rFonts w:ascii="Times New Roman" w:hAnsi="Times New Roman"/>
          <w:i/>
          <w:iCs/>
        </w:rPr>
        <w:t>Tetrahedron</w:t>
      </w:r>
      <w:r>
        <w:rPr>
          <w:rFonts w:ascii="Times New Roman" w:hAnsi="Times New Roman"/>
        </w:rPr>
        <w:t xml:space="preserve"> </w:t>
      </w:r>
      <w:r>
        <w:rPr>
          <w:rFonts w:ascii="Times New Roman" w:hAnsi="Times New Roman"/>
          <w:b/>
          <w:bCs/>
        </w:rPr>
        <w:t>47,</w:t>
      </w:r>
      <w:r>
        <w:rPr>
          <w:rFonts w:ascii="Times New Roman" w:hAnsi="Times New Roman"/>
        </w:rPr>
        <w:t xml:space="preserve"> 8969–8984 (1991).</w:t>
      </w:r>
    </w:p>
    <w:p w14:paraId="678BA891" w14:textId="77777777" w:rsidR="00A074C8" w:rsidRDefault="00A074C8" w:rsidP="00A074C8">
      <w:pPr>
        <w:pStyle w:val="Bibliography"/>
        <w:rPr>
          <w:rFonts w:ascii="Times New Roman" w:hAnsi="Times New Roman"/>
        </w:rPr>
      </w:pPr>
      <w:r>
        <w:rPr>
          <w:rFonts w:ascii="Times New Roman" w:hAnsi="Times New Roman"/>
        </w:rPr>
        <w:t>223.</w:t>
      </w:r>
      <w:r>
        <w:rPr>
          <w:rFonts w:ascii="Times New Roman" w:hAnsi="Times New Roman"/>
        </w:rPr>
        <w:tab/>
        <w:t xml:space="preserve">Kozlowski, J. T. &amp; Davis, R. J. Heterogeneous Catalysts for the Guerbet Coupling of Alcohols. </w:t>
      </w:r>
      <w:r>
        <w:rPr>
          <w:rFonts w:ascii="Times New Roman" w:hAnsi="Times New Roman"/>
          <w:i/>
          <w:iCs/>
        </w:rPr>
        <w:t>ACS Catal.</w:t>
      </w:r>
      <w:r>
        <w:rPr>
          <w:rFonts w:ascii="Times New Roman" w:hAnsi="Times New Roman"/>
        </w:rPr>
        <w:t xml:space="preserve"> </w:t>
      </w:r>
      <w:r>
        <w:rPr>
          <w:rFonts w:ascii="Times New Roman" w:hAnsi="Times New Roman"/>
          <w:b/>
          <w:bCs/>
        </w:rPr>
        <w:t>3,</w:t>
      </w:r>
      <w:r>
        <w:rPr>
          <w:rFonts w:ascii="Times New Roman" w:hAnsi="Times New Roman"/>
        </w:rPr>
        <w:t xml:space="preserve"> 1588–1600 (2013).</w:t>
      </w:r>
    </w:p>
    <w:p w14:paraId="73CEC306" w14:textId="77777777" w:rsidR="00A074C8" w:rsidRDefault="00A074C8" w:rsidP="00A074C8">
      <w:pPr>
        <w:pStyle w:val="Bibliography"/>
        <w:rPr>
          <w:rFonts w:ascii="Times New Roman" w:hAnsi="Times New Roman"/>
        </w:rPr>
      </w:pPr>
      <w:r>
        <w:rPr>
          <w:rFonts w:ascii="Times New Roman" w:hAnsi="Times New Roman"/>
        </w:rPr>
        <w:t>224.</w:t>
      </w:r>
      <w:r>
        <w:rPr>
          <w:rFonts w:ascii="Times New Roman" w:hAnsi="Times New Roman"/>
        </w:rPr>
        <w:tab/>
        <w:t xml:space="preserve">Chung, L. W., Lee, H. G., Lin, Z. &amp; Wu, Y.-D. Computational Study on the Reaction Mechanism of Hydrosilylation of Carbonyls Catalyzed by High-Valent Rhenium(V)−Di-oxo Complexes. </w:t>
      </w:r>
      <w:r>
        <w:rPr>
          <w:rFonts w:ascii="Times New Roman" w:hAnsi="Times New Roman"/>
          <w:i/>
          <w:iCs/>
        </w:rPr>
        <w:t>J. Org. Chem.</w:t>
      </w:r>
      <w:r>
        <w:rPr>
          <w:rFonts w:ascii="Times New Roman" w:hAnsi="Times New Roman"/>
        </w:rPr>
        <w:t xml:space="preserve"> </w:t>
      </w:r>
      <w:r>
        <w:rPr>
          <w:rFonts w:ascii="Times New Roman" w:hAnsi="Times New Roman"/>
          <w:b/>
          <w:bCs/>
        </w:rPr>
        <w:t>71,</w:t>
      </w:r>
      <w:r>
        <w:rPr>
          <w:rFonts w:ascii="Times New Roman" w:hAnsi="Times New Roman"/>
        </w:rPr>
        <w:t xml:space="preserve"> 6000–6009 (2006).</w:t>
      </w:r>
    </w:p>
    <w:p w14:paraId="5E1CC326" w14:textId="77777777" w:rsidR="00A074C8" w:rsidRDefault="00A074C8" w:rsidP="00A074C8">
      <w:pPr>
        <w:pStyle w:val="Bibliography"/>
        <w:rPr>
          <w:rFonts w:ascii="Times New Roman" w:hAnsi="Times New Roman"/>
        </w:rPr>
      </w:pPr>
      <w:r>
        <w:rPr>
          <w:rFonts w:ascii="Times New Roman" w:hAnsi="Times New Roman"/>
        </w:rPr>
        <w:t>225.</w:t>
      </w:r>
      <w:r>
        <w:rPr>
          <w:rFonts w:ascii="Times New Roman" w:hAnsi="Times New Roman"/>
        </w:rPr>
        <w:tab/>
        <w:t xml:space="preserve">Kühl, O. in </w:t>
      </w:r>
      <w:r>
        <w:rPr>
          <w:rFonts w:ascii="Times New Roman" w:hAnsi="Times New Roman"/>
          <w:i/>
          <w:iCs/>
        </w:rPr>
        <w:t>Phosphorus-31 NMR Spectroscopy</w:t>
      </w:r>
      <w:r>
        <w:rPr>
          <w:rFonts w:ascii="Times New Roman" w:hAnsi="Times New Roman"/>
        </w:rPr>
        <w:t xml:space="preserve"> (ed. Kühl, O.) 7–23 (Springer Berlin Heidelberg, 2008).</w:t>
      </w:r>
    </w:p>
    <w:p w14:paraId="10778052" w14:textId="77777777" w:rsidR="00A074C8" w:rsidRDefault="00A074C8" w:rsidP="00A074C8">
      <w:pPr>
        <w:pStyle w:val="Bibliography"/>
        <w:rPr>
          <w:rFonts w:ascii="Times New Roman" w:hAnsi="Times New Roman"/>
        </w:rPr>
      </w:pPr>
      <w:r>
        <w:rPr>
          <w:rFonts w:ascii="Times New Roman" w:hAnsi="Times New Roman"/>
        </w:rPr>
        <w:t>226.</w:t>
      </w:r>
      <w:r>
        <w:rPr>
          <w:rFonts w:ascii="Times New Roman" w:hAnsi="Times New Roman"/>
        </w:rPr>
        <w:tab/>
        <w:t xml:space="preserve">Dean, P. A. W., Phillips, D. D. &amp; Polensek, L. A 31P nmr spectroscopic study of complexation of tin(II) and lead(II) by some phosphines, phosphine oxides, and related ligands, with the 31P nuclear magnetic resonance spectra of two tetratertiary phosphine tetraoxides and the analogous tetra-sulfides and -selenides. </w:t>
      </w:r>
      <w:r>
        <w:rPr>
          <w:rFonts w:ascii="Times New Roman" w:hAnsi="Times New Roman"/>
          <w:i/>
          <w:iCs/>
        </w:rPr>
        <w:t>Can. J. Chem.</w:t>
      </w:r>
      <w:r>
        <w:rPr>
          <w:rFonts w:ascii="Times New Roman" w:hAnsi="Times New Roman"/>
        </w:rPr>
        <w:t xml:space="preserve"> </w:t>
      </w:r>
      <w:r>
        <w:rPr>
          <w:rFonts w:ascii="Times New Roman" w:hAnsi="Times New Roman"/>
          <w:b/>
          <w:bCs/>
        </w:rPr>
        <w:t>59,</w:t>
      </w:r>
      <w:r>
        <w:rPr>
          <w:rFonts w:ascii="Times New Roman" w:hAnsi="Times New Roman"/>
        </w:rPr>
        <w:t xml:space="preserve"> 50–61 (1981).</w:t>
      </w:r>
    </w:p>
    <w:p w14:paraId="53827266" w14:textId="77777777" w:rsidR="00A074C8" w:rsidRDefault="00A074C8" w:rsidP="00A074C8">
      <w:pPr>
        <w:pStyle w:val="Bibliography"/>
        <w:rPr>
          <w:rFonts w:ascii="Times New Roman" w:hAnsi="Times New Roman"/>
        </w:rPr>
      </w:pPr>
      <w:r>
        <w:rPr>
          <w:rFonts w:ascii="Times New Roman" w:hAnsi="Times New Roman"/>
        </w:rPr>
        <w:t>227.</w:t>
      </w:r>
      <w:r>
        <w:rPr>
          <w:rFonts w:ascii="Times New Roman" w:hAnsi="Times New Roman"/>
        </w:rPr>
        <w:tab/>
        <w:t xml:space="preserve">Hursthouse, M. B., Levason, W., Ratnani, R. &amp; Reid, G. Synthesis and spectroscopic properties of Mo(VI) complexes with phosphine oxide ligands and the crystal structures of [MoO2X2(OPMe3)2] (X=Cl or Br) and [MoO2Br2{o-C6H4(P(O)Ph2)2}] · 2CH2Cl2. </w:t>
      </w:r>
      <w:r>
        <w:rPr>
          <w:rFonts w:ascii="Times New Roman" w:hAnsi="Times New Roman"/>
          <w:i/>
          <w:iCs/>
        </w:rPr>
        <w:t>Polyhedron</w:t>
      </w:r>
      <w:r>
        <w:rPr>
          <w:rFonts w:ascii="Times New Roman" w:hAnsi="Times New Roman"/>
        </w:rPr>
        <w:t xml:space="preserve"> </w:t>
      </w:r>
      <w:r>
        <w:rPr>
          <w:rFonts w:ascii="Times New Roman" w:hAnsi="Times New Roman"/>
          <w:b/>
          <w:bCs/>
        </w:rPr>
        <w:t>23,</w:t>
      </w:r>
      <w:r>
        <w:rPr>
          <w:rFonts w:ascii="Times New Roman" w:hAnsi="Times New Roman"/>
        </w:rPr>
        <w:t xml:space="preserve"> 1915–1921 (2004).</w:t>
      </w:r>
    </w:p>
    <w:p w14:paraId="4E6B9E20" w14:textId="77777777" w:rsidR="00A074C8" w:rsidRDefault="00A074C8" w:rsidP="00A074C8">
      <w:pPr>
        <w:pStyle w:val="Bibliography"/>
        <w:rPr>
          <w:rFonts w:ascii="Times New Roman" w:hAnsi="Times New Roman"/>
        </w:rPr>
      </w:pPr>
      <w:r>
        <w:rPr>
          <w:rFonts w:ascii="Times New Roman" w:hAnsi="Times New Roman"/>
        </w:rPr>
        <w:t>228.</w:t>
      </w:r>
      <w:r>
        <w:rPr>
          <w:rFonts w:ascii="Times New Roman" w:hAnsi="Times New Roman"/>
        </w:rPr>
        <w:tab/>
        <w:t xml:space="preserve">Chakravarty, A. R., Cotton, F. A., Cutler, A. R. &amp; Walton, R. A. Reactivity of the dirhenium(III) carboxylate complexes Re2(O2CCH3)2X4(H2O)2 (X = Cl or Br) toward monodentate phosphines. A novel disproportionation reaction leading to dirhenium(IV,II) alkoxide complexes of the type (RO)2X2ReReX2(PPh3)2 (X = Cl or Br; R = Me, Et, or Pr). </w:t>
      </w:r>
      <w:r>
        <w:rPr>
          <w:rFonts w:ascii="Times New Roman" w:hAnsi="Times New Roman"/>
          <w:i/>
          <w:iCs/>
        </w:rPr>
        <w:t>Inorg. Chem.</w:t>
      </w:r>
      <w:r>
        <w:rPr>
          <w:rFonts w:ascii="Times New Roman" w:hAnsi="Times New Roman"/>
        </w:rPr>
        <w:t xml:space="preserve"> </w:t>
      </w:r>
      <w:r>
        <w:rPr>
          <w:rFonts w:ascii="Times New Roman" w:hAnsi="Times New Roman"/>
          <w:b/>
          <w:bCs/>
        </w:rPr>
        <w:t>25,</w:t>
      </w:r>
      <w:r>
        <w:rPr>
          <w:rFonts w:ascii="Times New Roman" w:hAnsi="Times New Roman"/>
        </w:rPr>
        <w:t xml:space="preserve"> 3619–3624 (1986).</w:t>
      </w:r>
    </w:p>
    <w:p w14:paraId="119E211F" w14:textId="77777777" w:rsidR="00A074C8" w:rsidRDefault="00A074C8" w:rsidP="00A074C8">
      <w:pPr>
        <w:pStyle w:val="Bibliography"/>
        <w:rPr>
          <w:rFonts w:ascii="Times New Roman" w:hAnsi="Times New Roman"/>
        </w:rPr>
      </w:pPr>
      <w:r>
        <w:rPr>
          <w:rFonts w:ascii="Times New Roman" w:hAnsi="Times New Roman"/>
        </w:rPr>
        <w:t>229.</w:t>
      </w:r>
      <w:r>
        <w:rPr>
          <w:rFonts w:ascii="Times New Roman" w:hAnsi="Times New Roman"/>
        </w:rPr>
        <w:tab/>
        <w:t xml:space="preserve">van Bommel, K. J. C., Verboom, W., Kooijman, H., Spek, A. L. &amp; Reinhoudt, D. N. Rhenium(V)−Salen Complexes:  Configurational Control and Ligand Exchange. </w:t>
      </w:r>
      <w:r>
        <w:rPr>
          <w:rFonts w:ascii="Times New Roman" w:hAnsi="Times New Roman"/>
          <w:i/>
          <w:iCs/>
        </w:rPr>
        <w:t>Inorg. Chem.</w:t>
      </w:r>
      <w:r>
        <w:rPr>
          <w:rFonts w:ascii="Times New Roman" w:hAnsi="Times New Roman"/>
        </w:rPr>
        <w:t xml:space="preserve"> </w:t>
      </w:r>
      <w:r>
        <w:rPr>
          <w:rFonts w:ascii="Times New Roman" w:hAnsi="Times New Roman"/>
          <w:b/>
          <w:bCs/>
        </w:rPr>
        <w:t>37,</w:t>
      </w:r>
      <w:r>
        <w:rPr>
          <w:rFonts w:ascii="Times New Roman" w:hAnsi="Times New Roman"/>
        </w:rPr>
        <w:t xml:space="preserve"> 4197–4203 (1998).</w:t>
      </w:r>
    </w:p>
    <w:p w14:paraId="7A696086" w14:textId="77777777" w:rsidR="00A074C8" w:rsidRDefault="00A074C8" w:rsidP="00A074C8">
      <w:pPr>
        <w:pStyle w:val="Bibliography"/>
        <w:rPr>
          <w:rFonts w:ascii="Times New Roman" w:hAnsi="Times New Roman"/>
        </w:rPr>
      </w:pPr>
      <w:r>
        <w:rPr>
          <w:rFonts w:ascii="Times New Roman" w:hAnsi="Times New Roman"/>
        </w:rPr>
        <w:t>230.</w:t>
      </w:r>
      <w:r>
        <w:rPr>
          <w:rFonts w:ascii="Times New Roman" w:hAnsi="Times New Roman"/>
        </w:rPr>
        <w:tab/>
        <w:t xml:space="preserve">Cai, S., Hoffman, D. M., Lappas, D., Woo, H. G. &amp; Huffman, J. C. Synthesis and structure of ReO(PMe3)(CH2SiMe3)3 and reaction with carbon monoxide. </w:t>
      </w:r>
      <w:r>
        <w:rPr>
          <w:rFonts w:ascii="Times New Roman" w:hAnsi="Times New Roman"/>
          <w:i/>
          <w:iCs/>
        </w:rPr>
        <w:t>Organometallics</w:t>
      </w:r>
      <w:r>
        <w:rPr>
          <w:rFonts w:ascii="Times New Roman" w:hAnsi="Times New Roman"/>
        </w:rPr>
        <w:t xml:space="preserve"> </w:t>
      </w:r>
      <w:r>
        <w:rPr>
          <w:rFonts w:ascii="Times New Roman" w:hAnsi="Times New Roman"/>
          <w:b/>
          <w:bCs/>
        </w:rPr>
        <w:t>6,</w:t>
      </w:r>
      <w:r>
        <w:rPr>
          <w:rFonts w:ascii="Times New Roman" w:hAnsi="Times New Roman"/>
        </w:rPr>
        <w:t xml:space="preserve"> 2273–2278 (1987).</w:t>
      </w:r>
    </w:p>
    <w:p w14:paraId="37A8F2B6" w14:textId="77777777" w:rsidR="00A074C8" w:rsidRDefault="00A074C8" w:rsidP="00A074C8">
      <w:pPr>
        <w:pStyle w:val="Bibliography"/>
        <w:rPr>
          <w:rFonts w:ascii="Times New Roman" w:hAnsi="Times New Roman"/>
        </w:rPr>
      </w:pPr>
      <w:r>
        <w:rPr>
          <w:rFonts w:ascii="Times New Roman" w:hAnsi="Times New Roman"/>
        </w:rPr>
        <w:t>231.</w:t>
      </w:r>
      <w:r>
        <w:rPr>
          <w:rFonts w:ascii="Times New Roman" w:hAnsi="Times New Roman"/>
        </w:rPr>
        <w:tab/>
        <w:t xml:space="preserve">Bakhmutov, V. I., Vorontsov, E. V. &amp; Antonov, D. Y. NMR evidence for formation of new alcohol rhenium complexes as intermediates in ionic hydrogenations of carbonyl groups with systems composed of ReH2(NO)(CO)(PR3)2 (R = Pri, CH3, OPri) and CF3COOH. </w:t>
      </w:r>
      <w:r>
        <w:rPr>
          <w:rFonts w:ascii="Times New Roman" w:hAnsi="Times New Roman"/>
          <w:i/>
          <w:iCs/>
        </w:rPr>
        <w:t>Inorganica Chim. Acta</w:t>
      </w:r>
      <w:r>
        <w:rPr>
          <w:rFonts w:ascii="Times New Roman" w:hAnsi="Times New Roman"/>
        </w:rPr>
        <w:t xml:space="preserve"> </w:t>
      </w:r>
      <w:r>
        <w:rPr>
          <w:rFonts w:ascii="Times New Roman" w:hAnsi="Times New Roman"/>
          <w:b/>
          <w:bCs/>
        </w:rPr>
        <w:t>278,</w:t>
      </w:r>
      <w:r>
        <w:rPr>
          <w:rFonts w:ascii="Times New Roman" w:hAnsi="Times New Roman"/>
        </w:rPr>
        <w:t xml:space="preserve"> 122–126 (1998).</w:t>
      </w:r>
    </w:p>
    <w:p w14:paraId="6773F7AC" w14:textId="77777777" w:rsidR="00A074C8" w:rsidRDefault="00A074C8" w:rsidP="00A074C8">
      <w:pPr>
        <w:pStyle w:val="Bibliography"/>
        <w:rPr>
          <w:rFonts w:ascii="Times New Roman" w:hAnsi="Times New Roman"/>
        </w:rPr>
      </w:pPr>
      <w:r>
        <w:rPr>
          <w:rFonts w:ascii="Times New Roman" w:hAnsi="Times New Roman"/>
        </w:rPr>
        <w:t>232.</w:t>
      </w:r>
      <w:r>
        <w:rPr>
          <w:rFonts w:ascii="Times New Roman" w:hAnsi="Times New Roman"/>
        </w:rPr>
        <w:tab/>
      </w:r>
      <w:r>
        <w:rPr>
          <w:rFonts w:ascii="Times New Roman" w:hAnsi="Times New Roman"/>
          <w:i/>
          <w:iCs/>
        </w:rPr>
        <w:t>MestReNova Software v10.0.2-15465</w:t>
      </w:r>
      <w:r>
        <w:rPr>
          <w:rFonts w:ascii="Times New Roman" w:hAnsi="Times New Roman"/>
        </w:rPr>
        <w:t>. (2015).</w:t>
      </w:r>
    </w:p>
    <w:p w14:paraId="66F16D3B" w14:textId="77777777" w:rsidR="00A074C8" w:rsidRDefault="00A074C8" w:rsidP="00A074C8">
      <w:pPr>
        <w:pStyle w:val="Bibliography"/>
        <w:rPr>
          <w:rFonts w:ascii="Times New Roman" w:hAnsi="Times New Roman"/>
        </w:rPr>
      </w:pPr>
      <w:r>
        <w:rPr>
          <w:rFonts w:ascii="Times New Roman" w:hAnsi="Times New Roman"/>
        </w:rPr>
        <w:t>233.</w:t>
      </w:r>
      <w:r>
        <w:rPr>
          <w:rFonts w:ascii="Times New Roman" w:hAnsi="Times New Roman"/>
        </w:rPr>
        <w:tab/>
        <w:t xml:space="preserve">Ciani, G. F., D’Alfonso, G., Romiti, P. F., Sironi, A. &amp; Freni, M. Rhenium(V) oxide complexes. Crystal and molecular structures of the compounds trans-ReI2O(OR)(PPh3)2 (R = Et, Me) and of their hydrolysis derivative ReIO2(PPh3)2. </w:t>
      </w:r>
      <w:r>
        <w:rPr>
          <w:rFonts w:ascii="Times New Roman" w:hAnsi="Times New Roman"/>
          <w:i/>
          <w:iCs/>
        </w:rPr>
        <w:t>Inorganica Chim. Acta</w:t>
      </w:r>
      <w:r>
        <w:rPr>
          <w:rFonts w:ascii="Times New Roman" w:hAnsi="Times New Roman"/>
        </w:rPr>
        <w:t xml:space="preserve"> </w:t>
      </w:r>
      <w:r>
        <w:rPr>
          <w:rFonts w:ascii="Times New Roman" w:hAnsi="Times New Roman"/>
          <w:b/>
          <w:bCs/>
        </w:rPr>
        <w:t>72,</w:t>
      </w:r>
      <w:r>
        <w:rPr>
          <w:rFonts w:ascii="Times New Roman" w:hAnsi="Times New Roman"/>
        </w:rPr>
        <w:t xml:space="preserve"> 29–37 (1983).</w:t>
      </w:r>
    </w:p>
    <w:p w14:paraId="56F851EA" w14:textId="77777777" w:rsidR="00AA0B13" w:rsidRPr="00AA0B13" w:rsidRDefault="00216D29" w:rsidP="00013F77">
      <w:pPr>
        <w:pStyle w:val="Bibliography"/>
        <w:spacing w:line="360" w:lineRule="auto"/>
      </w:pPr>
      <w:r w:rsidRPr="00F76147">
        <w:rPr>
          <w:rFonts w:cstheme="minorHAnsi"/>
        </w:rPr>
        <w:fldChar w:fldCharType="end"/>
      </w:r>
      <w:r w:rsidR="00B67900" w:rsidRPr="00AA0B13">
        <w:t xml:space="preserve"> </w:t>
      </w:r>
    </w:p>
    <w:sectPr w:rsidR="00AA0B13" w:rsidRPr="00AA0B13" w:rsidSect="00F37F00">
      <w:footerReference w:type="default" r:id="rId585"/>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4EF36D" w14:textId="77777777" w:rsidR="002D644D" w:rsidRDefault="002D644D" w:rsidP="008E1C26">
      <w:pPr>
        <w:spacing w:line="240" w:lineRule="auto"/>
      </w:pPr>
      <w:r>
        <w:separator/>
      </w:r>
    </w:p>
  </w:endnote>
  <w:endnote w:type="continuationSeparator" w:id="0">
    <w:p w14:paraId="3C9A8BF6" w14:textId="77777777" w:rsidR="002D644D" w:rsidRDefault="002D644D"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no Pro">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FD6C6" w14:textId="626A80A0" w:rsidR="002D644D" w:rsidRDefault="002D644D" w:rsidP="008E1C26">
    <w:pPr>
      <w:pStyle w:val="Footer"/>
      <w:jc w:val="center"/>
    </w:pPr>
    <w:r>
      <w:fldChar w:fldCharType="begin"/>
    </w:r>
    <w:r>
      <w:instrText xml:space="preserve"> PAGE   \* MERGEFORMAT </w:instrText>
    </w:r>
    <w:r>
      <w:fldChar w:fldCharType="separate"/>
    </w:r>
    <w:r w:rsidR="000A0E3D">
      <w:rPr>
        <w:noProof/>
      </w:rPr>
      <w:t>45</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05840" w14:textId="2970EAD4" w:rsidR="002D644D" w:rsidRDefault="002D644D" w:rsidP="008E1C26">
    <w:pPr>
      <w:pStyle w:val="Footer"/>
      <w:jc w:val="center"/>
    </w:pPr>
    <w:r>
      <w:fldChar w:fldCharType="begin"/>
    </w:r>
    <w:r>
      <w:instrText xml:space="preserve"> PAGE   \* MERGEFORMAT </w:instrText>
    </w:r>
    <w:r>
      <w:fldChar w:fldCharType="separate"/>
    </w:r>
    <w:r w:rsidR="000A0E3D">
      <w:rPr>
        <w:noProof/>
      </w:rPr>
      <w:t>225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861CCC" w14:textId="77777777" w:rsidR="002D644D" w:rsidRDefault="002D644D" w:rsidP="008E1C26">
      <w:pPr>
        <w:spacing w:line="240" w:lineRule="auto"/>
      </w:pPr>
      <w:r>
        <w:separator/>
      </w:r>
    </w:p>
  </w:footnote>
  <w:footnote w:type="continuationSeparator" w:id="0">
    <w:p w14:paraId="63D39FF3" w14:textId="77777777" w:rsidR="002D644D" w:rsidRDefault="002D644D"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07A18"/>
    <w:multiLevelType w:val="hybridMultilevel"/>
    <w:tmpl w:val="B930FA4C"/>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1" w15:restartNumberingAfterBreak="0">
    <w:nsid w:val="0AD134AF"/>
    <w:multiLevelType w:val="hybridMultilevel"/>
    <w:tmpl w:val="A4EA2228"/>
    <w:lvl w:ilvl="0" w:tplc="B44ECC00">
      <w:start w:val="1"/>
      <w:numFmt w:val="lowerRoman"/>
      <w:pStyle w:val="Heading41"/>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15615958"/>
    <w:multiLevelType w:val="hybridMultilevel"/>
    <w:tmpl w:val="933E4F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F3D8E"/>
    <w:multiLevelType w:val="hybridMultilevel"/>
    <w:tmpl w:val="400EB1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070068"/>
    <w:multiLevelType w:val="hybridMultilevel"/>
    <w:tmpl w:val="DE60AE4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start w:val="1"/>
      <w:numFmt w:val="lowerRoman"/>
      <w:pStyle w:val="HeadingStyle4"/>
      <w:lvlText w:val="%3."/>
      <w:lvlJc w:val="right"/>
      <w:pPr>
        <w:ind w:left="2880" w:hanging="18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52115ED"/>
    <w:multiLevelType w:val="hybridMultilevel"/>
    <w:tmpl w:val="A43C146E"/>
    <w:lvl w:ilvl="0" w:tplc="21482406">
      <w:start w:val="1"/>
      <w:numFmt w:val="decimal"/>
      <w:pStyle w:val="Style22"/>
      <w:lvlText w:val="II. %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07C16AE"/>
    <w:multiLevelType w:val="hybridMultilevel"/>
    <w:tmpl w:val="F7B0A770"/>
    <w:lvl w:ilvl="0" w:tplc="E5C65E54">
      <w:start w:val="1"/>
      <w:numFmt w:val="decimal"/>
      <w:pStyle w:val="SousTitr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802C0C"/>
    <w:multiLevelType w:val="hybridMultilevel"/>
    <w:tmpl w:val="B7FCCA9C"/>
    <w:lvl w:ilvl="0" w:tplc="04090001">
      <w:start w:val="1"/>
      <w:numFmt w:val="bullet"/>
      <w:lvlText w:val=""/>
      <w:lvlJc w:val="left"/>
      <w:pPr>
        <w:ind w:left="1080" w:hanging="360"/>
      </w:pPr>
      <w:rPr>
        <w:rFonts w:ascii="Symbol" w:hAnsi="Symbol" w:hint="default"/>
      </w:rPr>
    </w:lvl>
    <w:lvl w:ilvl="1" w:tplc="0409000B">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53220D2"/>
    <w:multiLevelType w:val="hybridMultilevel"/>
    <w:tmpl w:val="41AA7178"/>
    <w:lvl w:ilvl="0" w:tplc="9CAE40D8">
      <w:start w:val="1"/>
      <w:numFmt w:val="decimal"/>
      <w:pStyle w:val="Heading2"/>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7924580"/>
    <w:multiLevelType w:val="hybridMultilevel"/>
    <w:tmpl w:val="FC32B0E6"/>
    <w:lvl w:ilvl="0" w:tplc="E746E42C">
      <w:start w:val="1"/>
      <w:numFmt w:val="lowerLetter"/>
      <w:pStyle w:val="Heading3"/>
      <w:lvlText w:val="%1."/>
      <w:lvlJc w:val="left"/>
      <w:pPr>
        <w:ind w:left="153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5B27E67"/>
    <w:multiLevelType w:val="hybridMultilevel"/>
    <w:tmpl w:val="7304F3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8568D0"/>
    <w:multiLevelType w:val="hybridMultilevel"/>
    <w:tmpl w:val="67908718"/>
    <w:lvl w:ilvl="0" w:tplc="0CD6EB80">
      <w:start w:val="1"/>
      <w:numFmt w:val="upperRoman"/>
      <w:pStyle w:val="Heading1"/>
      <w:lvlText w:val="Chapter %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7F727D08"/>
    <w:multiLevelType w:val="hybridMultilevel"/>
    <w:tmpl w:val="BC1C03E6"/>
    <w:lvl w:ilvl="0" w:tplc="DE561AB4">
      <w:start w:val="1"/>
      <w:numFmt w:val="decimal"/>
      <w:lvlText w:val="(%1)"/>
      <w:lvlJc w:val="left"/>
      <w:pPr>
        <w:tabs>
          <w:tab w:val="num" w:pos="720"/>
        </w:tabs>
        <w:ind w:left="720" w:hanging="360"/>
      </w:pPr>
    </w:lvl>
    <w:lvl w:ilvl="1" w:tplc="BB44CF4A" w:tentative="1">
      <w:start w:val="1"/>
      <w:numFmt w:val="decimal"/>
      <w:lvlText w:val="(%2)"/>
      <w:lvlJc w:val="left"/>
      <w:pPr>
        <w:tabs>
          <w:tab w:val="num" w:pos="1440"/>
        </w:tabs>
        <w:ind w:left="1440" w:hanging="360"/>
      </w:pPr>
    </w:lvl>
    <w:lvl w:ilvl="2" w:tplc="E55A422E" w:tentative="1">
      <w:start w:val="1"/>
      <w:numFmt w:val="decimal"/>
      <w:lvlText w:val="(%3)"/>
      <w:lvlJc w:val="left"/>
      <w:pPr>
        <w:tabs>
          <w:tab w:val="num" w:pos="2160"/>
        </w:tabs>
        <w:ind w:left="2160" w:hanging="360"/>
      </w:pPr>
    </w:lvl>
    <w:lvl w:ilvl="3" w:tplc="5DB8E632" w:tentative="1">
      <w:start w:val="1"/>
      <w:numFmt w:val="decimal"/>
      <w:lvlText w:val="(%4)"/>
      <w:lvlJc w:val="left"/>
      <w:pPr>
        <w:tabs>
          <w:tab w:val="num" w:pos="2880"/>
        </w:tabs>
        <w:ind w:left="2880" w:hanging="360"/>
      </w:pPr>
    </w:lvl>
    <w:lvl w:ilvl="4" w:tplc="C6ECD7C4" w:tentative="1">
      <w:start w:val="1"/>
      <w:numFmt w:val="decimal"/>
      <w:lvlText w:val="(%5)"/>
      <w:lvlJc w:val="left"/>
      <w:pPr>
        <w:tabs>
          <w:tab w:val="num" w:pos="3600"/>
        </w:tabs>
        <w:ind w:left="3600" w:hanging="360"/>
      </w:pPr>
    </w:lvl>
    <w:lvl w:ilvl="5" w:tplc="FF48323A" w:tentative="1">
      <w:start w:val="1"/>
      <w:numFmt w:val="decimal"/>
      <w:lvlText w:val="(%6)"/>
      <w:lvlJc w:val="left"/>
      <w:pPr>
        <w:tabs>
          <w:tab w:val="num" w:pos="4320"/>
        </w:tabs>
        <w:ind w:left="4320" w:hanging="360"/>
      </w:pPr>
    </w:lvl>
    <w:lvl w:ilvl="6" w:tplc="6C14B2DE" w:tentative="1">
      <w:start w:val="1"/>
      <w:numFmt w:val="decimal"/>
      <w:lvlText w:val="(%7)"/>
      <w:lvlJc w:val="left"/>
      <w:pPr>
        <w:tabs>
          <w:tab w:val="num" w:pos="5040"/>
        </w:tabs>
        <w:ind w:left="5040" w:hanging="360"/>
      </w:pPr>
    </w:lvl>
    <w:lvl w:ilvl="7" w:tplc="6E3A43FC" w:tentative="1">
      <w:start w:val="1"/>
      <w:numFmt w:val="decimal"/>
      <w:lvlText w:val="(%8)"/>
      <w:lvlJc w:val="left"/>
      <w:pPr>
        <w:tabs>
          <w:tab w:val="num" w:pos="5760"/>
        </w:tabs>
        <w:ind w:left="5760" w:hanging="360"/>
      </w:pPr>
    </w:lvl>
    <w:lvl w:ilvl="8" w:tplc="7BEA62C0" w:tentative="1">
      <w:start w:val="1"/>
      <w:numFmt w:val="decimal"/>
      <w:lvlText w:val="(%9)"/>
      <w:lvlJc w:val="left"/>
      <w:pPr>
        <w:tabs>
          <w:tab w:val="num" w:pos="6480"/>
        </w:tabs>
        <w:ind w:left="6480" w:hanging="360"/>
      </w:pPr>
    </w:lvl>
  </w:abstractNum>
  <w:num w:numId="1">
    <w:abstractNumId w:val="4"/>
  </w:num>
  <w:num w:numId="2">
    <w:abstractNumId w:val="11"/>
  </w:num>
  <w:num w:numId="3">
    <w:abstractNumId w:val="12"/>
  </w:num>
  <w:num w:numId="4">
    <w:abstractNumId w:val="5"/>
  </w:num>
  <w:num w:numId="5">
    <w:abstractNumId w:val="8"/>
  </w:num>
  <w:num w:numId="6">
    <w:abstractNumId w:val="8"/>
    <w:lvlOverride w:ilvl="0">
      <w:startOverride w:val="1"/>
    </w:lvlOverride>
  </w:num>
  <w:num w:numId="7">
    <w:abstractNumId w:val="6"/>
  </w:num>
  <w:num w:numId="8">
    <w:abstractNumId w:val="1"/>
  </w:num>
  <w:num w:numId="9">
    <w:abstractNumId w:val="9"/>
  </w:num>
  <w:num w:numId="10">
    <w:abstractNumId w:val="9"/>
    <w:lvlOverride w:ilvl="0">
      <w:startOverride w:val="1"/>
    </w:lvlOverride>
  </w:num>
  <w:num w:numId="11">
    <w:abstractNumId w:val="9"/>
    <w:lvlOverride w:ilvl="0">
      <w:startOverride w:val="1"/>
    </w:lvlOverride>
  </w:num>
  <w:num w:numId="12">
    <w:abstractNumId w:val="1"/>
    <w:lvlOverride w:ilvl="0">
      <w:startOverride w:val="1"/>
    </w:lvlOverride>
  </w:num>
  <w:num w:numId="13">
    <w:abstractNumId w:val="0"/>
  </w:num>
  <w:num w:numId="14">
    <w:abstractNumId w:val="1"/>
    <w:lvlOverride w:ilvl="0">
      <w:startOverride w:val="1"/>
    </w:lvlOverride>
  </w:num>
  <w:num w:numId="15">
    <w:abstractNumId w:val="8"/>
    <w:lvlOverride w:ilvl="0">
      <w:startOverride w:val="1"/>
    </w:lvlOverride>
  </w:num>
  <w:num w:numId="16">
    <w:abstractNumId w:val="9"/>
    <w:lvlOverride w:ilvl="0">
      <w:startOverride w:val="1"/>
    </w:lvlOverride>
  </w:num>
  <w:num w:numId="17">
    <w:abstractNumId w:val="1"/>
    <w:lvlOverride w:ilvl="0">
      <w:startOverride w:val="1"/>
    </w:lvlOverride>
  </w:num>
  <w:num w:numId="18">
    <w:abstractNumId w:val="1"/>
    <w:lvlOverride w:ilvl="0">
      <w:startOverride w:val="1"/>
    </w:lvlOverride>
  </w:num>
  <w:num w:numId="19">
    <w:abstractNumId w:val="1"/>
    <w:lvlOverride w:ilvl="0">
      <w:startOverride w:val="1"/>
    </w:lvlOverride>
  </w:num>
  <w:num w:numId="20">
    <w:abstractNumId w:val="9"/>
    <w:lvlOverride w:ilvl="0">
      <w:startOverride w:val="1"/>
    </w:lvlOverride>
  </w:num>
  <w:num w:numId="21">
    <w:abstractNumId w:val="10"/>
  </w:num>
  <w:num w:numId="22">
    <w:abstractNumId w:val="3"/>
  </w:num>
  <w:num w:numId="23">
    <w:abstractNumId w:val="2"/>
  </w:num>
  <w:num w:numId="24">
    <w:abstractNumId w:val="9"/>
    <w:lvlOverride w:ilvl="0">
      <w:startOverride w:val="1"/>
    </w:lvlOverride>
  </w:num>
  <w:num w:numId="25">
    <w:abstractNumId w:val="1"/>
    <w:lvlOverride w:ilvl="0">
      <w:startOverride w:val="1"/>
    </w:lvlOverride>
  </w:num>
  <w:num w:numId="26">
    <w:abstractNumId w:val="1"/>
    <w:lvlOverride w:ilvl="0">
      <w:startOverride w:val="1"/>
    </w:lvlOverride>
  </w:num>
  <w:num w:numId="27">
    <w:abstractNumId w:val="1"/>
    <w:lvlOverride w:ilvl="0">
      <w:startOverride w:val="1"/>
    </w:lvlOverride>
  </w:num>
  <w:num w:numId="28">
    <w:abstractNumId w:val="1"/>
    <w:lvlOverride w:ilvl="0">
      <w:startOverride w:val="1"/>
    </w:lvlOverride>
  </w:num>
  <w:num w:numId="29">
    <w:abstractNumId w:val="1"/>
    <w:lvlOverride w:ilvl="0">
      <w:startOverride w:val="1"/>
    </w:lvlOverride>
  </w:num>
  <w:num w:numId="30">
    <w:abstractNumId w:val="9"/>
    <w:lvlOverride w:ilvl="0">
      <w:startOverride w:val="1"/>
    </w:lvlOverride>
  </w:num>
  <w:num w:numId="31">
    <w:abstractNumId w:val="1"/>
    <w:lvlOverride w:ilvl="0">
      <w:startOverride w:val="1"/>
    </w:lvlOverride>
  </w:num>
  <w:num w:numId="32">
    <w:abstractNumId w:val="1"/>
    <w:lvlOverride w:ilvl="0">
      <w:startOverride w:val="1"/>
    </w:lvlOverride>
  </w:num>
  <w:num w:numId="33">
    <w:abstractNumId w:val="9"/>
    <w:lvlOverride w:ilvl="0">
      <w:startOverride w:val="1"/>
    </w:lvlOverride>
  </w:num>
  <w:num w:numId="34">
    <w:abstractNumId w:val="1"/>
    <w:lvlOverride w:ilvl="0">
      <w:startOverride w:val="1"/>
    </w:lvlOverride>
  </w:num>
  <w:num w:numId="35">
    <w:abstractNumId w:val="9"/>
    <w:lvlOverride w:ilvl="0">
      <w:startOverride w:val="1"/>
    </w:lvlOverride>
  </w:num>
  <w:num w:numId="36">
    <w:abstractNumId w:val="1"/>
    <w:lvlOverride w:ilvl="0">
      <w:startOverride w:val="1"/>
    </w:lvlOverride>
  </w:num>
  <w:num w:numId="37">
    <w:abstractNumId w:val="1"/>
    <w:lvlOverride w:ilvl="0">
      <w:startOverride w:val="1"/>
    </w:lvlOverride>
  </w:num>
  <w:num w:numId="38">
    <w:abstractNumId w:val="7"/>
  </w:num>
  <w:num w:numId="39">
    <w:abstractNumId w:val="8"/>
    <w:lvlOverride w:ilvl="0">
      <w:startOverride w:val="1"/>
    </w:lvlOverride>
  </w:num>
  <w:num w:numId="40">
    <w:abstractNumId w:val="9"/>
    <w:lvlOverride w:ilvl="0">
      <w:startOverride w:val="1"/>
    </w:lvlOverride>
  </w:num>
  <w:num w:numId="41">
    <w:abstractNumId w:val="9"/>
    <w:lvlOverride w:ilvl="0">
      <w:startOverride w:val="1"/>
    </w:lvlOverride>
  </w:num>
  <w:num w:numId="42">
    <w:abstractNumId w:val="1"/>
    <w:lvlOverride w:ilvl="0">
      <w:startOverride w:val="1"/>
    </w:lvlOverride>
  </w:num>
  <w:num w:numId="43">
    <w:abstractNumId w:val="1"/>
    <w:lvlOverride w:ilvl="0">
      <w:startOverride w:val="1"/>
    </w:lvlOverride>
  </w:num>
  <w:num w:numId="44">
    <w:abstractNumId w:val="1"/>
    <w:lvlOverride w:ilvl="0">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3"/>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03D5D"/>
    <w:rsid w:val="00011660"/>
    <w:rsid w:val="0001167F"/>
    <w:rsid w:val="00013F77"/>
    <w:rsid w:val="00015B5C"/>
    <w:rsid w:val="00017981"/>
    <w:rsid w:val="0002387B"/>
    <w:rsid w:val="00025A12"/>
    <w:rsid w:val="00030233"/>
    <w:rsid w:val="000351A7"/>
    <w:rsid w:val="0003658C"/>
    <w:rsid w:val="00041B04"/>
    <w:rsid w:val="00044558"/>
    <w:rsid w:val="00045CBD"/>
    <w:rsid w:val="00047232"/>
    <w:rsid w:val="00047704"/>
    <w:rsid w:val="0005374D"/>
    <w:rsid w:val="00057ECA"/>
    <w:rsid w:val="00062175"/>
    <w:rsid w:val="00072EEF"/>
    <w:rsid w:val="00076B36"/>
    <w:rsid w:val="00077A99"/>
    <w:rsid w:val="00077F0A"/>
    <w:rsid w:val="0008176F"/>
    <w:rsid w:val="0008564C"/>
    <w:rsid w:val="000A0E3D"/>
    <w:rsid w:val="000A5739"/>
    <w:rsid w:val="000B249A"/>
    <w:rsid w:val="000B3CA9"/>
    <w:rsid w:val="000B6B4F"/>
    <w:rsid w:val="000C18E6"/>
    <w:rsid w:val="000C1BF3"/>
    <w:rsid w:val="000C24B8"/>
    <w:rsid w:val="000C2F35"/>
    <w:rsid w:val="000C6900"/>
    <w:rsid w:val="000C77C0"/>
    <w:rsid w:val="000D2D91"/>
    <w:rsid w:val="000F36C2"/>
    <w:rsid w:val="000F56FF"/>
    <w:rsid w:val="00105BBB"/>
    <w:rsid w:val="00111523"/>
    <w:rsid w:val="00111915"/>
    <w:rsid w:val="00117ED3"/>
    <w:rsid w:val="00123839"/>
    <w:rsid w:val="001346B6"/>
    <w:rsid w:val="001455A2"/>
    <w:rsid w:val="001474E0"/>
    <w:rsid w:val="001504BE"/>
    <w:rsid w:val="001539C6"/>
    <w:rsid w:val="0016067D"/>
    <w:rsid w:val="001615F0"/>
    <w:rsid w:val="0016299B"/>
    <w:rsid w:val="00167D1B"/>
    <w:rsid w:val="00172240"/>
    <w:rsid w:val="0017359D"/>
    <w:rsid w:val="00183067"/>
    <w:rsid w:val="00185786"/>
    <w:rsid w:val="00187691"/>
    <w:rsid w:val="00191CCB"/>
    <w:rsid w:val="001A0E71"/>
    <w:rsid w:val="001A3DDE"/>
    <w:rsid w:val="001B12EF"/>
    <w:rsid w:val="001B521A"/>
    <w:rsid w:val="001B7FE6"/>
    <w:rsid w:val="001C10A0"/>
    <w:rsid w:val="001C3B63"/>
    <w:rsid w:val="001C4EB8"/>
    <w:rsid w:val="001D586A"/>
    <w:rsid w:val="001E1D5D"/>
    <w:rsid w:val="001F4728"/>
    <w:rsid w:val="001F6AEC"/>
    <w:rsid w:val="00203D06"/>
    <w:rsid w:val="00212ADE"/>
    <w:rsid w:val="002145C2"/>
    <w:rsid w:val="002147D8"/>
    <w:rsid w:val="00216D29"/>
    <w:rsid w:val="00223470"/>
    <w:rsid w:val="0022352B"/>
    <w:rsid w:val="00227893"/>
    <w:rsid w:val="00243BEC"/>
    <w:rsid w:val="00244C26"/>
    <w:rsid w:val="00244E4A"/>
    <w:rsid w:val="00257382"/>
    <w:rsid w:val="0025754A"/>
    <w:rsid w:val="0025796D"/>
    <w:rsid w:val="00260F9A"/>
    <w:rsid w:val="00263B9E"/>
    <w:rsid w:val="00266011"/>
    <w:rsid w:val="00267461"/>
    <w:rsid w:val="00267CB2"/>
    <w:rsid w:val="00267DE7"/>
    <w:rsid w:val="002714AC"/>
    <w:rsid w:val="00271ED6"/>
    <w:rsid w:val="00274E2C"/>
    <w:rsid w:val="00274F74"/>
    <w:rsid w:val="002757BB"/>
    <w:rsid w:val="002774E4"/>
    <w:rsid w:val="00286107"/>
    <w:rsid w:val="00286805"/>
    <w:rsid w:val="002A0FFA"/>
    <w:rsid w:val="002A66B7"/>
    <w:rsid w:val="002A72A7"/>
    <w:rsid w:val="002B11DB"/>
    <w:rsid w:val="002B38BC"/>
    <w:rsid w:val="002B6FC2"/>
    <w:rsid w:val="002C3D5D"/>
    <w:rsid w:val="002D254A"/>
    <w:rsid w:val="002D644D"/>
    <w:rsid w:val="002D6E20"/>
    <w:rsid w:val="002E157F"/>
    <w:rsid w:val="002E3FD9"/>
    <w:rsid w:val="002F0A26"/>
    <w:rsid w:val="002F0E0A"/>
    <w:rsid w:val="002F41AE"/>
    <w:rsid w:val="002F54BE"/>
    <w:rsid w:val="003003AB"/>
    <w:rsid w:val="00300B2B"/>
    <w:rsid w:val="00304FD6"/>
    <w:rsid w:val="0030767B"/>
    <w:rsid w:val="003122BA"/>
    <w:rsid w:val="00314F3F"/>
    <w:rsid w:val="00317102"/>
    <w:rsid w:val="003206BD"/>
    <w:rsid w:val="003218D0"/>
    <w:rsid w:val="00323B06"/>
    <w:rsid w:val="003240AA"/>
    <w:rsid w:val="0033265F"/>
    <w:rsid w:val="00343673"/>
    <w:rsid w:val="0034462A"/>
    <w:rsid w:val="003450B1"/>
    <w:rsid w:val="0035435E"/>
    <w:rsid w:val="003635D6"/>
    <w:rsid w:val="00366606"/>
    <w:rsid w:val="00367301"/>
    <w:rsid w:val="00370BE7"/>
    <w:rsid w:val="00372BF8"/>
    <w:rsid w:val="00374955"/>
    <w:rsid w:val="003852D0"/>
    <w:rsid w:val="00385E9D"/>
    <w:rsid w:val="00386E26"/>
    <w:rsid w:val="00387BBD"/>
    <w:rsid w:val="00393159"/>
    <w:rsid w:val="00396207"/>
    <w:rsid w:val="003A060D"/>
    <w:rsid w:val="003A1E7A"/>
    <w:rsid w:val="003B0A2F"/>
    <w:rsid w:val="003B24F5"/>
    <w:rsid w:val="003B696A"/>
    <w:rsid w:val="003B73A8"/>
    <w:rsid w:val="003D16D2"/>
    <w:rsid w:val="003D34F2"/>
    <w:rsid w:val="003D68D3"/>
    <w:rsid w:val="003E22B5"/>
    <w:rsid w:val="003E2CC2"/>
    <w:rsid w:val="003E463F"/>
    <w:rsid w:val="003F273B"/>
    <w:rsid w:val="00405E39"/>
    <w:rsid w:val="004125DD"/>
    <w:rsid w:val="00420FD6"/>
    <w:rsid w:val="004224F1"/>
    <w:rsid w:val="004318DE"/>
    <w:rsid w:val="00432767"/>
    <w:rsid w:val="00441723"/>
    <w:rsid w:val="00443010"/>
    <w:rsid w:val="004431F8"/>
    <w:rsid w:val="00445BBF"/>
    <w:rsid w:val="00457EC7"/>
    <w:rsid w:val="00461AA9"/>
    <w:rsid w:val="0046204F"/>
    <w:rsid w:val="00464230"/>
    <w:rsid w:val="004647CF"/>
    <w:rsid w:val="00472B7F"/>
    <w:rsid w:val="00472DCD"/>
    <w:rsid w:val="00475563"/>
    <w:rsid w:val="00476239"/>
    <w:rsid w:val="00483A80"/>
    <w:rsid w:val="00484767"/>
    <w:rsid w:val="00497A22"/>
    <w:rsid w:val="004A12BD"/>
    <w:rsid w:val="004A52B4"/>
    <w:rsid w:val="004A7222"/>
    <w:rsid w:val="004B733D"/>
    <w:rsid w:val="004C74CF"/>
    <w:rsid w:val="004C74E8"/>
    <w:rsid w:val="004D1A6D"/>
    <w:rsid w:val="004D7192"/>
    <w:rsid w:val="004E41F4"/>
    <w:rsid w:val="004F1020"/>
    <w:rsid w:val="00503297"/>
    <w:rsid w:val="0050564E"/>
    <w:rsid w:val="005056C1"/>
    <w:rsid w:val="005061F6"/>
    <w:rsid w:val="00520DE9"/>
    <w:rsid w:val="0052539C"/>
    <w:rsid w:val="0053028C"/>
    <w:rsid w:val="005354E8"/>
    <w:rsid w:val="00536AE9"/>
    <w:rsid w:val="00537311"/>
    <w:rsid w:val="005402A1"/>
    <w:rsid w:val="005403D7"/>
    <w:rsid w:val="00544EFA"/>
    <w:rsid w:val="00545E0B"/>
    <w:rsid w:val="00573BBE"/>
    <w:rsid w:val="00574E11"/>
    <w:rsid w:val="0057775C"/>
    <w:rsid w:val="00581530"/>
    <w:rsid w:val="00582EBC"/>
    <w:rsid w:val="00583C7E"/>
    <w:rsid w:val="00594070"/>
    <w:rsid w:val="005943F9"/>
    <w:rsid w:val="00594942"/>
    <w:rsid w:val="005952BF"/>
    <w:rsid w:val="00597AE6"/>
    <w:rsid w:val="005A0358"/>
    <w:rsid w:val="005A0E70"/>
    <w:rsid w:val="005A2B79"/>
    <w:rsid w:val="005A37AB"/>
    <w:rsid w:val="005B0705"/>
    <w:rsid w:val="005B16E2"/>
    <w:rsid w:val="005B290E"/>
    <w:rsid w:val="005B4D0D"/>
    <w:rsid w:val="005B6220"/>
    <w:rsid w:val="005C4B18"/>
    <w:rsid w:val="005C67D8"/>
    <w:rsid w:val="005D2A45"/>
    <w:rsid w:val="005D4B4F"/>
    <w:rsid w:val="005D67AE"/>
    <w:rsid w:val="005D6C64"/>
    <w:rsid w:val="005E64CF"/>
    <w:rsid w:val="005E6FEE"/>
    <w:rsid w:val="005F30A9"/>
    <w:rsid w:val="005F4630"/>
    <w:rsid w:val="006010A2"/>
    <w:rsid w:val="006042D0"/>
    <w:rsid w:val="00605603"/>
    <w:rsid w:val="0060590D"/>
    <w:rsid w:val="00606B4E"/>
    <w:rsid w:val="00607F44"/>
    <w:rsid w:val="00612521"/>
    <w:rsid w:val="00613407"/>
    <w:rsid w:val="006273C0"/>
    <w:rsid w:val="00630CBC"/>
    <w:rsid w:val="00633C74"/>
    <w:rsid w:val="006358B0"/>
    <w:rsid w:val="00645A8F"/>
    <w:rsid w:val="00646C27"/>
    <w:rsid w:val="00647814"/>
    <w:rsid w:val="00651D27"/>
    <w:rsid w:val="00652153"/>
    <w:rsid w:val="00653C73"/>
    <w:rsid w:val="00656C36"/>
    <w:rsid w:val="00657AEF"/>
    <w:rsid w:val="00661C13"/>
    <w:rsid w:val="00661D64"/>
    <w:rsid w:val="00662CEC"/>
    <w:rsid w:val="00686DC2"/>
    <w:rsid w:val="0069549B"/>
    <w:rsid w:val="006A0379"/>
    <w:rsid w:val="006A4506"/>
    <w:rsid w:val="006A6340"/>
    <w:rsid w:val="006B1D41"/>
    <w:rsid w:val="006B4721"/>
    <w:rsid w:val="006B4DCA"/>
    <w:rsid w:val="006D0CD6"/>
    <w:rsid w:val="006D1B98"/>
    <w:rsid w:val="006E536F"/>
    <w:rsid w:val="006E5A15"/>
    <w:rsid w:val="006F10CE"/>
    <w:rsid w:val="006F3F79"/>
    <w:rsid w:val="006F401C"/>
    <w:rsid w:val="0070017B"/>
    <w:rsid w:val="00705086"/>
    <w:rsid w:val="007247B0"/>
    <w:rsid w:val="00725A3B"/>
    <w:rsid w:val="007268E7"/>
    <w:rsid w:val="00730F0A"/>
    <w:rsid w:val="00731927"/>
    <w:rsid w:val="0073539D"/>
    <w:rsid w:val="00742B50"/>
    <w:rsid w:val="00746E16"/>
    <w:rsid w:val="0075115E"/>
    <w:rsid w:val="00754BA7"/>
    <w:rsid w:val="007559B1"/>
    <w:rsid w:val="0075601B"/>
    <w:rsid w:val="0076041C"/>
    <w:rsid w:val="00761FDB"/>
    <w:rsid w:val="007739FB"/>
    <w:rsid w:val="00775701"/>
    <w:rsid w:val="00780B05"/>
    <w:rsid w:val="00784171"/>
    <w:rsid w:val="0078566E"/>
    <w:rsid w:val="007864D2"/>
    <w:rsid w:val="0078679A"/>
    <w:rsid w:val="007A3E6A"/>
    <w:rsid w:val="007A5CF2"/>
    <w:rsid w:val="007A65FE"/>
    <w:rsid w:val="007B747B"/>
    <w:rsid w:val="007C1C3A"/>
    <w:rsid w:val="007D369E"/>
    <w:rsid w:val="007D4B40"/>
    <w:rsid w:val="007F2648"/>
    <w:rsid w:val="00810326"/>
    <w:rsid w:val="00814941"/>
    <w:rsid w:val="0081532D"/>
    <w:rsid w:val="00824C2A"/>
    <w:rsid w:val="008253D8"/>
    <w:rsid w:val="0082601C"/>
    <w:rsid w:val="008264BE"/>
    <w:rsid w:val="00841129"/>
    <w:rsid w:val="0084571F"/>
    <w:rsid w:val="0085240A"/>
    <w:rsid w:val="008633A9"/>
    <w:rsid w:val="00864CD7"/>
    <w:rsid w:val="00870A25"/>
    <w:rsid w:val="008730BD"/>
    <w:rsid w:val="00877651"/>
    <w:rsid w:val="00894CF8"/>
    <w:rsid w:val="008954C9"/>
    <w:rsid w:val="008A0BB7"/>
    <w:rsid w:val="008A1EE9"/>
    <w:rsid w:val="008A4F22"/>
    <w:rsid w:val="008B01C7"/>
    <w:rsid w:val="008B11B7"/>
    <w:rsid w:val="008B6328"/>
    <w:rsid w:val="008C02FE"/>
    <w:rsid w:val="008C27FE"/>
    <w:rsid w:val="008C2882"/>
    <w:rsid w:val="008C3FB7"/>
    <w:rsid w:val="008C71BC"/>
    <w:rsid w:val="008D2331"/>
    <w:rsid w:val="008E0FF3"/>
    <w:rsid w:val="008E146E"/>
    <w:rsid w:val="008E1C26"/>
    <w:rsid w:val="008F1822"/>
    <w:rsid w:val="00902F28"/>
    <w:rsid w:val="00906A2E"/>
    <w:rsid w:val="0091451B"/>
    <w:rsid w:val="00915118"/>
    <w:rsid w:val="00917D6C"/>
    <w:rsid w:val="00921E85"/>
    <w:rsid w:val="009245C5"/>
    <w:rsid w:val="00924E73"/>
    <w:rsid w:val="00931BB1"/>
    <w:rsid w:val="0093733C"/>
    <w:rsid w:val="00952BBC"/>
    <w:rsid w:val="0095518F"/>
    <w:rsid w:val="00960C4C"/>
    <w:rsid w:val="009671ED"/>
    <w:rsid w:val="009726BC"/>
    <w:rsid w:val="00972E25"/>
    <w:rsid w:val="00973359"/>
    <w:rsid w:val="00973C73"/>
    <w:rsid w:val="00976BD6"/>
    <w:rsid w:val="00992C28"/>
    <w:rsid w:val="00994155"/>
    <w:rsid w:val="009A1763"/>
    <w:rsid w:val="009A1894"/>
    <w:rsid w:val="009A367B"/>
    <w:rsid w:val="009A3F44"/>
    <w:rsid w:val="009A6F5F"/>
    <w:rsid w:val="009B3170"/>
    <w:rsid w:val="009B49FC"/>
    <w:rsid w:val="009C2786"/>
    <w:rsid w:val="009D1EE7"/>
    <w:rsid w:val="009D27E5"/>
    <w:rsid w:val="009E458A"/>
    <w:rsid w:val="009E7F0A"/>
    <w:rsid w:val="009F1E84"/>
    <w:rsid w:val="009F393B"/>
    <w:rsid w:val="00A0094B"/>
    <w:rsid w:val="00A074C8"/>
    <w:rsid w:val="00A14820"/>
    <w:rsid w:val="00A22985"/>
    <w:rsid w:val="00A25FD4"/>
    <w:rsid w:val="00A40A97"/>
    <w:rsid w:val="00A45FB5"/>
    <w:rsid w:val="00A460F3"/>
    <w:rsid w:val="00A50007"/>
    <w:rsid w:val="00A523B9"/>
    <w:rsid w:val="00A542F3"/>
    <w:rsid w:val="00A5626C"/>
    <w:rsid w:val="00A651D8"/>
    <w:rsid w:val="00A77093"/>
    <w:rsid w:val="00A82147"/>
    <w:rsid w:val="00A90478"/>
    <w:rsid w:val="00A932BC"/>
    <w:rsid w:val="00A9617B"/>
    <w:rsid w:val="00AA0B13"/>
    <w:rsid w:val="00AA1B3B"/>
    <w:rsid w:val="00AA6245"/>
    <w:rsid w:val="00AA7A42"/>
    <w:rsid w:val="00AB441F"/>
    <w:rsid w:val="00AB53AF"/>
    <w:rsid w:val="00AC4068"/>
    <w:rsid w:val="00AC501F"/>
    <w:rsid w:val="00AC5E50"/>
    <w:rsid w:val="00AE1A80"/>
    <w:rsid w:val="00AF0BB2"/>
    <w:rsid w:val="00AF1C09"/>
    <w:rsid w:val="00B035F4"/>
    <w:rsid w:val="00B05EF0"/>
    <w:rsid w:val="00B06875"/>
    <w:rsid w:val="00B20A49"/>
    <w:rsid w:val="00B22281"/>
    <w:rsid w:val="00B224CD"/>
    <w:rsid w:val="00B26394"/>
    <w:rsid w:val="00B270FE"/>
    <w:rsid w:val="00B32DC9"/>
    <w:rsid w:val="00B36426"/>
    <w:rsid w:val="00B37AEF"/>
    <w:rsid w:val="00B50745"/>
    <w:rsid w:val="00B524C2"/>
    <w:rsid w:val="00B5501C"/>
    <w:rsid w:val="00B64294"/>
    <w:rsid w:val="00B67900"/>
    <w:rsid w:val="00B72949"/>
    <w:rsid w:val="00B72DED"/>
    <w:rsid w:val="00B738A4"/>
    <w:rsid w:val="00B76E24"/>
    <w:rsid w:val="00B8281E"/>
    <w:rsid w:val="00B86564"/>
    <w:rsid w:val="00B905E2"/>
    <w:rsid w:val="00BA0582"/>
    <w:rsid w:val="00BA1A3A"/>
    <w:rsid w:val="00BA5329"/>
    <w:rsid w:val="00BB3F72"/>
    <w:rsid w:val="00BB50E5"/>
    <w:rsid w:val="00BB678C"/>
    <w:rsid w:val="00BC21CB"/>
    <w:rsid w:val="00BD1142"/>
    <w:rsid w:val="00BD45C8"/>
    <w:rsid w:val="00BE514F"/>
    <w:rsid w:val="00BF4F84"/>
    <w:rsid w:val="00BF50AB"/>
    <w:rsid w:val="00C04179"/>
    <w:rsid w:val="00C1278F"/>
    <w:rsid w:val="00C16C66"/>
    <w:rsid w:val="00C20A7B"/>
    <w:rsid w:val="00C36267"/>
    <w:rsid w:val="00C362E8"/>
    <w:rsid w:val="00C36752"/>
    <w:rsid w:val="00C3745C"/>
    <w:rsid w:val="00C4062A"/>
    <w:rsid w:val="00C416AF"/>
    <w:rsid w:val="00C449F3"/>
    <w:rsid w:val="00C47A04"/>
    <w:rsid w:val="00C54100"/>
    <w:rsid w:val="00C5416D"/>
    <w:rsid w:val="00C63C23"/>
    <w:rsid w:val="00C6527A"/>
    <w:rsid w:val="00C70710"/>
    <w:rsid w:val="00C76FF1"/>
    <w:rsid w:val="00C8326D"/>
    <w:rsid w:val="00C8401D"/>
    <w:rsid w:val="00C91AFA"/>
    <w:rsid w:val="00C92079"/>
    <w:rsid w:val="00CA1E8B"/>
    <w:rsid w:val="00CA498F"/>
    <w:rsid w:val="00CA72F9"/>
    <w:rsid w:val="00CB7E7B"/>
    <w:rsid w:val="00CC29E4"/>
    <w:rsid w:val="00CC7E26"/>
    <w:rsid w:val="00CD3A15"/>
    <w:rsid w:val="00CE08E3"/>
    <w:rsid w:val="00CE4139"/>
    <w:rsid w:val="00CF34DF"/>
    <w:rsid w:val="00CF62BD"/>
    <w:rsid w:val="00D01037"/>
    <w:rsid w:val="00D01B61"/>
    <w:rsid w:val="00D023BE"/>
    <w:rsid w:val="00D257B6"/>
    <w:rsid w:val="00D323D6"/>
    <w:rsid w:val="00D3498A"/>
    <w:rsid w:val="00D42927"/>
    <w:rsid w:val="00D438A8"/>
    <w:rsid w:val="00D4424C"/>
    <w:rsid w:val="00D4663F"/>
    <w:rsid w:val="00D54EEB"/>
    <w:rsid w:val="00D54F29"/>
    <w:rsid w:val="00D629A1"/>
    <w:rsid w:val="00D65384"/>
    <w:rsid w:val="00D717AF"/>
    <w:rsid w:val="00D75B66"/>
    <w:rsid w:val="00D7743A"/>
    <w:rsid w:val="00D8117C"/>
    <w:rsid w:val="00D83B06"/>
    <w:rsid w:val="00D90BD2"/>
    <w:rsid w:val="00D97CFA"/>
    <w:rsid w:val="00DA02BF"/>
    <w:rsid w:val="00DA1614"/>
    <w:rsid w:val="00DA1971"/>
    <w:rsid w:val="00DA41E4"/>
    <w:rsid w:val="00DB4547"/>
    <w:rsid w:val="00DB57AB"/>
    <w:rsid w:val="00DB664C"/>
    <w:rsid w:val="00DB7AE2"/>
    <w:rsid w:val="00DC0BA2"/>
    <w:rsid w:val="00DC6749"/>
    <w:rsid w:val="00DD0FA8"/>
    <w:rsid w:val="00DD484C"/>
    <w:rsid w:val="00DE1EF7"/>
    <w:rsid w:val="00DE200B"/>
    <w:rsid w:val="00DE50F8"/>
    <w:rsid w:val="00DF169B"/>
    <w:rsid w:val="00DF4B88"/>
    <w:rsid w:val="00DF5A6F"/>
    <w:rsid w:val="00E028D6"/>
    <w:rsid w:val="00E04778"/>
    <w:rsid w:val="00E0501B"/>
    <w:rsid w:val="00E11D2F"/>
    <w:rsid w:val="00E1460F"/>
    <w:rsid w:val="00E20B9A"/>
    <w:rsid w:val="00E20ED7"/>
    <w:rsid w:val="00E22DC8"/>
    <w:rsid w:val="00E252B0"/>
    <w:rsid w:val="00E30DA2"/>
    <w:rsid w:val="00E409A4"/>
    <w:rsid w:val="00E450E7"/>
    <w:rsid w:val="00E453E8"/>
    <w:rsid w:val="00E47369"/>
    <w:rsid w:val="00E53D7E"/>
    <w:rsid w:val="00E60A97"/>
    <w:rsid w:val="00E642B5"/>
    <w:rsid w:val="00E672F9"/>
    <w:rsid w:val="00E6777E"/>
    <w:rsid w:val="00E7560F"/>
    <w:rsid w:val="00E77477"/>
    <w:rsid w:val="00E779B6"/>
    <w:rsid w:val="00E819D2"/>
    <w:rsid w:val="00E8574C"/>
    <w:rsid w:val="00E8696F"/>
    <w:rsid w:val="00EA13D9"/>
    <w:rsid w:val="00EA1925"/>
    <w:rsid w:val="00EA1C72"/>
    <w:rsid w:val="00EA34F9"/>
    <w:rsid w:val="00EA3D4A"/>
    <w:rsid w:val="00EA7E4F"/>
    <w:rsid w:val="00EB108D"/>
    <w:rsid w:val="00EB114B"/>
    <w:rsid w:val="00EB4E40"/>
    <w:rsid w:val="00EB759E"/>
    <w:rsid w:val="00EB795B"/>
    <w:rsid w:val="00ED0AD6"/>
    <w:rsid w:val="00ED5CD1"/>
    <w:rsid w:val="00ED6DBD"/>
    <w:rsid w:val="00ED6F0B"/>
    <w:rsid w:val="00EE1461"/>
    <w:rsid w:val="00EE3797"/>
    <w:rsid w:val="00EF4D3A"/>
    <w:rsid w:val="00F02193"/>
    <w:rsid w:val="00F029F7"/>
    <w:rsid w:val="00F03D56"/>
    <w:rsid w:val="00F058F0"/>
    <w:rsid w:val="00F05BFF"/>
    <w:rsid w:val="00F1056C"/>
    <w:rsid w:val="00F17F93"/>
    <w:rsid w:val="00F2428E"/>
    <w:rsid w:val="00F26849"/>
    <w:rsid w:val="00F27248"/>
    <w:rsid w:val="00F3411C"/>
    <w:rsid w:val="00F37F00"/>
    <w:rsid w:val="00F37F46"/>
    <w:rsid w:val="00F45115"/>
    <w:rsid w:val="00F46A49"/>
    <w:rsid w:val="00F4702C"/>
    <w:rsid w:val="00F505AF"/>
    <w:rsid w:val="00F55D3C"/>
    <w:rsid w:val="00F61AA2"/>
    <w:rsid w:val="00F61C82"/>
    <w:rsid w:val="00F7122D"/>
    <w:rsid w:val="00F76147"/>
    <w:rsid w:val="00F77D54"/>
    <w:rsid w:val="00F81633"/>
    <w:rsid w:val="00F8513E"/>
    <w:rsid w:val="00F93475"/>
    <w:rsid w:val="00FA2425"/>
    <w:rsid w:val="00FA7E16"/>
    <w:rsid w:val="00FB5287"/>
    <w:rsid w:val="00FB6114"/>
    <w:rsid w:val="00FC6A58"/>
    <w:rsid w:val="00FD2A1C"/>
    <w:rsid w:val="00FD5B02"/>
    <w:rsid w:val="00FE04D9"/>
    <w:rsid w:val="00FE05A3"/>
    <w:rsid w:val="00FE7A07"/>
    <w:rsid w:val="00FF0F0F"/>
    <w:rsid w:val="00FF3ABC"/>
    <w:rsid w:val="00FF6DDC"/>
    <w:rsid w:val="00FF7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9C0CA0"/>
  <w15:docId w15:val="{DE9050F9-298D-4A36-BB17-D55E87CAF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2A66B7"/>
    <w:pPr>
      <w:numPr>
        <w:numId w:val="2"/>
      </w:numPr>
      <w:spacing w:line="480" w:lineRule="auto"/>
      <w:outlineLvl w:val="0"/>
    </w:pPr>
    <w:rPr>
      <w:rFonts w:asciiTheme="majorHAnsi" w:hAnsiTheme="majorHAnsi"/>
      <w:b/>
      <w:bCs/>
      <w:color w:val="000000" w:themeColor="text1"/>
      <w:sz w:val="28"/>
      <w:szCs w:val="32"/>
      <w:lang w:bidi="en-US"/>
    </w:rPr>
  </w:style>
  <w:style w:type="paragraph" w:styleId="Heading2">
    <w:name w:val="heading 2"/>
    <w:next w:val="Normal"/>
    <w:link w:val="Heading2Char"/>
    <w:autoRedefine/>
    <w:uiPriority w:val="9"/>
    <w:unhideWhenUsed/>
    <w:qFormat/>
    <w:rsid w:val="00BA0582"/>
    <w:pPr>
      <w:keepNext/>
      <w:numPr>
        <w:numId w:val="5"/>
      </w:numPr>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5943F9"/>
    <w:pPr>
      <w:keepNext/>
      <w:numPr>
        <w:numId w:val="9"/>
      </w:numPr>
      <w:spacing w:line="480" w:lineRule="auto"/>
      <w:outlineLvl w:val="2"/>
    </w:pPr>
    <w:rPr>
      <w:rFonts w:asciiTheme="majorHAnsi" w:hAnsiTheme="majorHAnsi"/>
      <w:bCs/>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6B7"/>
    <w:rPr>
      <w:rFonts w:asciiTheme="majorHAnsi" w:hAnsiTheme="majorHAnsi"/>
      <w:b/>
      <w:bCs/>
      <w:color w:val="000000" w:themeColor="text1"/>
      <w:sz w:val="28"/>
      <w:szCs w:val="32"/>
      <w:lang w:bidi="en-US"/>
    </w:rPr>
  </w:style>
  <w:style w:type="character" w:customStyle="1" w:styleId="Heading2Char">
    <w:name w:val="Heading 2 Char"/>
    <w:basedOn w:val="DefaultParagraphFont"/>
    <w:link w:val="Heading2"/>
    <w:uiPriority w:val="9"/>
    <w:rsid w:val="00BA0582"/>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5943F9"/>
    <w:rPr>
      <w:rFonts w:asciiTheme="majorHAnsi" w:hAnsiTheme="majorHAnsi"/>
      <w:bCs/>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numPr>
        <w:numId w:val="0"/>
      </w:numPr>
      <w:ind w:left="1080"/>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numPr>
        <w:numId w:val="0"/>
      </w:numPr>
      <w:ind w:left="1080"/>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2F0E0A"/>
    <w:pPr>
      <w:tabs>
        <w:tab w:val="left" w:pos="1440"/>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pPr>
      <w:tabs>
        <w:tab w:val="left" w:pos="504"/>
      </w:tabs>
      <w:ind w:left="504" w:hanging="504"/>
    </w:pPr>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link w:val="ListParagraphChar"/>
    <w:uiPriority w:val="34"/>
    <w:unhideWhenUsed/>
    <w:qFormat/>
    <w:rsid w:val="005E64CF"/>
    <w:pPr>
      <w:ind w:left="720"/>
      <w:contextualSpacing/>
    </w:pPr>
  </w:style>
  <w:style w:type="character" w:customStyle="1" w:styleId="ListParagraphChar">
    <w:name w:val="List Paragraph Char"/>
    <w:basedOn w:val="DefaultParagraphFont"/>
    <w:link w:val="ListParagraph"/>
    <w:uiPriority w:val="34"/>
    <w:rsid w:val="00216D29"/>
    <w:rPr>
      <w:rFonts w:asciiTheme="minorHAnsi" w:hAnsiTheme="minorHAnsi"/>
      <w:sz w:val="24"/>
      <w:szCs w:val="24"/>
      <w:lang w:bidi="en-US"/>
    </w:rPr>
  </w:style>
  <w:style w:type="paragraph" w:customStyle="1" w:styleId="HeadingStyle4">
    <w:name w:val="Heading Style 4"/>
    <w:basedOn w:val="ListParagraph"/>
    <w:link w:val="HeadingStyle4Char"/>
    <w:qFormat/>
    <w:rsid w:val="00216D29"/>
    <w:pPr>
      <w:numPr>
        <w:ilvl w:val="2"/>
        <w:numId w:val="1"/>
      </w:numPr>
      <w:spacing w:after="160" w:line="360" w:lineRule="auto"/>
    </w:pPr>
    <w:rPr>
      <w:i/>
    </w:rPr>
  </w:style>
  <w:style w:type="character" w:customStyle="1" w:styleId="HeadingStyle4Char">
    <w:name w:val="Heading Style 4 Char"/>
    <w:basedOn w:val="ListParagraphChar"/>
    <w:link w:val="HeadingStyle4"/>
    <w:rsid w:val="00216D29"/>
    <w:rPr>
      <w:rFonts w:asciiTheme="minorHAnsi" w:hAnsiTheme="minorHAnsi"/>
      <w:i/>
      <w:sz w:val="24"/>
      <w:szCs w:val="24"/>
      <w:lang w:bidi="en-US"/>
    </w:rPr>
  </w:style>
  <w:style w:type="paragraph" w:customStyle="1" w:styleId="Style1">
    <w:name w:val="Style1"/>
    <w:basedOn w:val="Heading1"/>
    <w:link w:val="Style1Char"/>
    <w:qFormat/>
    <w:rsid w:val="00F058F0"/>
    <w:pPr>
      <w:numPr>
        <w:numId w:val="0"/>
      </w:numPr>
      <w:ind w:left="1080"/>
    </w:pPr>
  </w:style>
  <w:style w:type="character" w:customStyle="1" w:styleId="Style1Char">
    <w:name w:val="Style1 Char"/>
    <w:basedOn w:val="Heading1Char"/>
    <w:link w:val="Style1"/>
    <w:rsid w:val="00F058F0"/>
    <w:rPr>
      <w:rFonts w:asciiTheme="majorHAnsi" w:hAnsiTheme="majorHAnsi"/>
      <w:b/>
      <w:bCs/>
      <w:color w:val="000000" w:themeColor="text1"/>
      <w:sz w:val="28"/>
      <w:szCs w:val="32"/>
      <w:lang w:bidi="en-US"/>
    </w:rPr>
  </w:style>
  <w:style w:type="paragraph" w:customStyle="1" w:styleId="TAMainText">
    <w:name w:val="TA_Main_Text"/>
    <w:basedOn w:val="Normal"/>
    <w:autoRedefine/>
    <w:rsid w:val="00472DCD"/>
    <w:pPr>
      <w:spacing w:before="120" w:line="240" w:lineRule="auto"/>
      <w:ind w:hanging="14"/>
      <w:jc w:val="both"/>
    </w:pPr>
    <w:rPr>
      <w:rFonts w:ascii="Arno Pro" w:hAnsi="Arno Pro"/>
      <w:bCs/>
      <w:kern w:val="21"/>
      <w:sz w:val="19"/>
      <w:szCs w:val="19"/>
      <w:lang w:bidi="ar-SA"/>
    </w:rPr>
  </w:style>
  <w:style w:type="paragraph" w:styleId="NormalWeb">
    <w:name w:val="Normal (Web)"/>
    <w:basedOn w:val="Normal"/>
    <w:uiPriority w:val="99"/>
    <w:unhideWhenUsed/>
    <w:rsid w:val="00472DCD"/>
    <w:pPr>
      <w:spacing w:before="100" w:beforeAutospacing="1" w:after="100" w:afterAutospacing="1" w:line="240" w:lineRule="auto"/>
    </w:pPr>
    <w:rPr>
      <w:rFonts w:ascii="Times New Roman" w:hAnsi="Times New Roman"/>
      <w:lang w:bidi="ar-SA"/>
    </w:rPr>
  </w:style>
  <w:style w:type="paragraph" w:customStyle="1" w:styleId="Style22">
    <w:name w:val="Style22"/>
    <w:basedOn w:val="Heading2"/>
    <w:link w:val="Style22Char"/>
    <w:qFormat/>
    <w:rsid w:val="006D0CD6"/>
    <w:pPr>
      <w:numPr>
        <w:numId w:val="4"/>
      </w:numPr>
    </w:pPr>
  </w:style>
  <w:style w:type="character" w:customStyle="1" w:styleId="Style22Char">
    <w:name w:val="Style22 Char"/>
    <w:basedOn w:val="Heading2Char"/>
    <w:link w:val="Style22"/>
    <w:rsid w:val="006D0CD6"/>
    <w:rPr>
      <w:rFonts w:asciiTheme="majorHAnsi" w:hAnsiTheme="majorHAnsi"/>
      <w:b/>
      <w:bCs/>
      <w:iCs/>
      <w:sz w:val="24"/>
      <w:szCs w:val="28"/>
      <w:lang w:bidi="en-US"/>
    </w:rPr>
  </w:style>
  <w:style w:type="paragraph" w:customStyle="1" w:styleId="Style2ref">
    <w:name w:val="Style2ref"/>
    <w:basedOn w:val="Heading2"/>
    <w:link w:val="Style2refChar"/>
    <w:qFormat/>
    <w:rsid w:val="006D0CD6"/>
  </w:style>
  <w:style w:type="character" w:customStyle="1" w:styleId="Style2refChar">
    <w:name w:val="Style2ref Char"/>
    <w:basedOn w:val="Heading2Char"/>
    <w:link w:val="Style2ref"/>
    <w:rsid w:val="006D0CD6"/>
    <w:rPr>
      <w:rFonts w:asciiTheme="majorHAnsi" w:hAnsiTheme="majorHAnsi"/>
      <w:b/>
      <w:bCs/>
      <w:iCs/>
      <w:sz w:val="24"/>
      <w:szCs w:val="28"/>
      <w:lang w:bidi="en-US"/>
    </w:rPr>
  </w:style>
  <w:style w:type="paragraph" w:customStyle="1" w:styleId="SousTitre1">
    <w:name w:val="Sous Titre 1"/>
    <w:basedOn w:val="ListParagraph"/>
    <w:link w:val="SousTitre1Char"/>
    <w:qFormat/>
    <w:rsid w:val="002A66B7"/>
    <w:pPr>
      <w:numPr>
        <w:numId w:val="7"/>
      </w:numPr>
      <w:spacing w:after="200" w:line="360" w:lineRule="auto"/>
    </w:pPr>
    <w:rPr>
      <w:rFonts w:eastAsiaTheme="minorHAnsi" w:cstheme="minorBidi"/>
      <w:b/>
      <w:color w:val="000000" w:themeColor="text1"/>
      <w:sz w:val="22"/>
      <w:szCs w:val="22"/>
    </w:rPr>
  </w:style>
  <w:style w:type="character" w:customStyle="1" w:styleId="SousTitre1Char">
    <w:name w:val="Sous Titre 1 Char"/>
    <w:basedOn w:val="ListParagraphChar"/>
    <w:link w:val="SousTitre1"/>
    <w:rsid w:val="002A66B7"/>
    <w:rPr>
      <w:rFonts w:asciiTheme="minorHAnsi" w:eastAsiaTheme="minorHAnsi" w:hAnsiTheme="minorHAnsi" w:cstheme="minorBidi"/>
      <w:b/>
      <w:color w:val="000000" w:themeColor="text1"/>
      <w:sz w:val="22"/>
      <w:szCs w:val="22"/>
      <w:lang w:bidi="en-US"/>
    </w:rPr>
  </w:style>
  <w:style w:type="paragraph" w:customStyle="1" w:styleId="Heading41">
    <w:name w:val="Heading 41"/>
    <w:basedOn w:val="ListParagraph"/>
    <w:link w:val="heading4Char0"/>
    <w:qFormat/>
    <w:rsid w:val="008730BD"/>
    <w:pPr>
      <w:numPr>
        <w:numId w:val="8"/>
      </w:numPr>
      <w:spacing w:after="200"/>
      <w:ind w:left="2340"/>
      <w:jc w:val="both"/>
    </w:pPr>
    <w:rPr>
      <w:i/>
    </w:rPr>
  </w:style>
  <w:style w:type="character" w:customStyle="1" w:styleId="heading4Char0">
    <w:name w:val="heading 4 Char"/>
    <w:basedOn w:val="ListParagraphChar"/>
    <w:link w:val="Heading41"/>
    <w:rsid w:val="008730BD"/>
    <w:rPr>
      <w:rFonts w:asciiTheme="minorHAnsi" w:hAnsiTheme="minorHAnsi"/>
      <w:i/>
      <w:sz w:val="24"/>
      <w:szCs w:val="24"/>
      <w:lang w:bidi="en-US"/>
    </w:rPr>
  </w:style>
  <w:style w:type="character" w:customStyle="1" w:styleId="CommentTextChar">
    <w:name w:val="Comment Text Char"/>
    <w:basedOn w:val="DefaultParagraphFont"/>
    <w:link w:val="CommentText"/>
    <w:uiPriority w:val="99"/>
    <w:semiHidden/>
    <w:rsid w:val="00894CF8"/>
    <w:rPr>
      <w:rFonts w:asciiTheme="minorHAnsi" w:eastAsiaTheme="minorHAnsi" w:hAnsiTheme="minorHAnsi" w:cstheme="minorBidi"/>
    </w:rPr>
  </w:style>
  <w:style w:type="paragraph" w:styleId="CommentText">
    <w:name w:val="annotation text"/>
    <w:basedOn w:val="Normal"/>
    <w:link w:val="CommentTextChar"/>
    <w:uiPriority w:val="99"/>
    <w:semiHidden/>
    <w:unhideWhenUsed/>
    <w:rsid w:val="00894CF8"/>
    <w:pPr>
      <w:spacing w:after="200" w:line="240" w:lineRule="auto"/>
    </w:pPr>
    <w:rPr>
      <w:rFonts w:eastAsiaTheme="minorHAnsi" w:cstheme="minorBidi"/>
      <w:sz w:val="20"/>
      <w:szCs w:val="20"/>
      <w:lang w:bidi="ar-SA"/>
    </w:rPr>
  </w:style>
  <w:style w:type="character" w:customStyle="1" w:styleId="CommentSubjectChar">
    <w:name w:val="Comment Subject Char"/>
    <w:basedOn w:val="CommentTextChar"/>
    <w:link w:val="CommentSubject"/>
    <w:uiPriority w:val="99"/>
    <w:semiHidden/>
    <w:rsid w:val="00894CF8"/>
    <w:rPr>
      <w:rFonts w:asciiTheme="minorHAnsi" w:eastAsiaTheme="minorHAnsi" w:hAnsiTheme="minorHAnsi" w:cstheme="minorBidi"/>
      <w:b/>
      <w:bCs/>
    </w:rPr>
  </w:style>
  <w:style w:type="paragraph" w:styleId="CommentSubject">
    <w:name w:val="annotation subject"/>
    <w:basedOn w:val="CommentText"/>
    <w:next w:val="CommentText"/>
    <w:link w:val="CommentSubjectChar"/>
    <w:uiPriority w:val="99"/>
    <w:semiHidden/>
    <w:unhideWhenUsed/>
    <w:rsid w:val="00894CF8"/>
    <w:rPr>
      <w:b/>
      <w:bCs/>
    </w:rPr>
  </w:style>
  <w:style w:type="character" w:customStyle="1" w:styleId="tgc">
    <w:name w:val="_tgc"/>
    <w:basedOn w:val="DefaultParagraphFont"/>
    <w:rsid w:val="00894CF8"/>
  </w:style>
  <w:style w:type="paragraph" w:styleId="TOC4">
    <w:name w:val="toc 4"/>
    <w:basedOn w:val="Normal"/>
    <w:next w:val="Normal"/>
    <w:autoRedefine/>
    <w:uiPriority w:val="39"/>
    <w:unhideWhenUsed/>
    <w:rsid w:val="00924E73"/>
    <w:pPr>
      <w:spacing w:after="100" w:line="259" w:lineRule="auto"/>
      <w:ind w:left="660"/>
    </w:pPr>
    <w:rPr>
      <w:rFonts w:eastAsiaTheme="minorEastAsia" w:cstheme="minorBidi"/>
      <w:sz w:val="22"/>
      <w:szCs w:val="22"/>
      <w:lang w:bidi="ar-SA"/>
    </w:rPr>
  </w:style>
  <w:style w:type="paragraph" w:styleId="TOC5">
    <w:name w:val="toc 5"/>
    <w:basedOn w:val="Normal"/>
    <w:next w:val="Normal"/>
    <w:autoRedefine/>
    <w:uiPriority w:val="39"/>
    <w:unhideWhenUsed/>
    <w:rsid w:val="00924E73"/>
    <w:pPr>
      <w:spacing w:after="100" w:line="259" w:lineRule="auto"/>
      <w:ind w:left="880"/>
    </w:pPr>
    <w:rPr>
      <w:rFonts w:eastAsiaTheme="minorEastAsia" w:cstheme="minorBidi"/>
      <w:sz w:val="22"/>
      <w:szCs w:val="22"/>
      <w:lang w:bidi="ar-SA"/>
    </w:rPr>
  </w:style>
  <w:style w:type="paragraph" w:styleId="TOC6">
    <w:name w:val="toc 6"/>
    <w:basedOn w:val="Normal"/>
    <w:next w:val="Normal"/>
    <w:autoRedefine/>
    <w:uiPriority w:val="39"/>
    <w:unhideWhenUsed/>
    <w:rsid w:val="00924E73"/>
    <w:pPr>
      <w:spacing w:after="100" w:line="259" w:lineRule="auto"/>
      <w:ind w:left="1100"/>
    </w:pPr>
    <w:rPr>
      <w:rFonts w:eastAsiaTheme="minorEastAsia" w:cstheme="minorBidi"/>
      <w:sz w:val="22"/>
      <w:szCs w:val="22"/>
      <w:lang w:bidi="ar-SA"/>
    </w:rPr>
  </w:style>
  <w:style w:type="paragraph" w:styleId="TOC7">
    <w:name w:val="toc 7"/>
    <w:basedOn w:val="Normal"/>
    <w:next w:val="Normal"/>
    <w:autoRedefine/>
    <w:uiPriority w:val="39"/>
    <w:unhideWhenUsed/>
    <w:rsid w:val="00924E73"/>
    <w:pPr>
      <w:spacing w:after="100" w:line="259" w:lineRule="auto"/>
      <w:ind w:left="1320"/>
    </w:pPr>
    <w:rPr>
      <w:rFonts w:eastAsiaTheme="minorEastAsia" w:cstheme="minorBidi"/>
      <w:sz w:val="22"/>
      <w:szCs w:val="22"/>
      <w:lang w:bidi="ar-SA"/>
    </w:rPr>
  </w:style>
  <w:style w:type="paragraph" w:styleId="TOC8">
    <w:name w:val="toc 8"/>
    <w:basedOn w:val="Normal"/>
    <w:next w:val="Normal"/>
    <w:autoRedefine/>
    <w:uiPriority w:val="39"/>
    <w:unhideWhenUsed/>
    <w:rsid w:val="00924E73"/>
    <w:pPr>
      <w:spacing w:after="100" w:line="259" w:lineRule="auto"/>
      <w:ind w:left="1540"/>
    </w:pPr>
    <w:rPr>
      <w:rFonts w:eastAsiaTheme="minorEastAsia" w:cstheme="minorBidi"/>
      <w:sz w:val="22"/>
      <w:szCs w:val="22"/>
      <w:lang w:bidi="ar-SA"/>
    </w:rPr>
  </w:style>
  <w:style w:type="paragraph" w:styleId="TOC9">
    <w:name w:val="toc 9"/>
    <w:basedOn w:val="Normal"/>
    <w:next w:val="Normal"/>
    <w:autoRedefine/>
    <w:uiPriority w:val="39"/>
    <w:unhideWhenUsed/>
    <w:rsid w:val="00924E73"/>
    <w:pPr>
      <w:spacing w:after="100" w:line="259" w:lineRule="auto"/>
      <w:ind w:left="1760"/>
    </w:pPr>
    <w:rPr>
      <w:rFonts w:eastAsiaTheme="minorEastAsia" w:cstheme="minorBidi"/>
      <w:sz w:val="22"/>
      <w:szCs w:val="22"/>
      <w:lang w:bidi="ar-SA"/>
    </w:rPr>
  </w:style>
  <w:style w:type="character" w:styleId="CommentReference">
    <w:name w:val="annotation reference"/>
    <w:basedOn w:val="DefaultParagraphFont"/>
    <w:uiPriority w:val="99"/>
    <w:semiHidden/>
    <w:unhideWhenUsed/>
    <w:rsid w:val="00370BE7"/>
    <w:rPr>
      <w:sz w:val="16"/>
      <w:szCs w:val="16"/>
    </w:rPr>
  </w:style>
  <w:style w:type="paragraph" w:styleId="Revision">
    <w:name w:val="Revision"/>
    <w:hidden/>
    <w:uiPriority w:val="99"/>
    <w:semiHidden/>
    <w:rsid w:val="00686DC2"/>
    <w:rPr>
      <w:rFonts w:asciiTheme="minorHAnsi" w:hAnsiTheme="minorHAnsi"/>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microsoft.com/office/2007/relationships/hdphoto" Target="media/hdphoto1.wdp"/><Relationship Id="rId21" Type="http://schemas.openxmlformats.org/officeDocument/2006/relationships/oleObject" Target="embeddings/oleObject6.bin"/><Relationship Id="rId324" Type="http://schemas.openxmlformats.org/officeDocument/2006/relationships/oleObject" Target="embeddings/oleObject119.bin"/><Relationship Id="rId531" Type="http://schemas.openxmlformats.org/officeDocument/2006/relationships/oleObject" Target="embeddings/oleObject207.bin"/><Relationship Id="rId170" Type="http://schemas.openxmlformats.org/officeDocument/2006/relationships/image" Target="media/image100.emf"/><Relationship Id="rId268" Type="http://schemas.openxmlformats.org/officeDocument/2006/relationships/oleObject" Target="embeddings/oleObject98.bin"/><Relationship Id="rId475" Type="http://schemas.openxmlformats.org/officeDocument/2006/relationships/image" Target="media/image287.emf"/><Relationship Id="rId32" Type="http://schemas.openxmlformats.org/officeDocument/2006/relationships/image" Target="media/image13.emf"/><Relationship Id="rId128" Type="http://schemas.openxmlformats.org/officeDocument/2006/relationships/image" Target="media/image78.emf"/><Relationship Id="rId335" Type="http://schemas.openxmlformats.org/officeDocument/2006/relationships/image" Target="media/image202.emf"/><Relationship Id="rId542" Type="http://schemas.openxmlformats.org/officeDocument/2006/relationships/chart" Target="charts/chart11.xml"/><Relationship Id="rId181" Type="http://schemas.openxmlformats.org/officeDocument/2006/relationships/oleObject" Target="embeddings/oleObject66.bin"/><Relationship Id="rId402" Type="http://schemas.openxmlformats.org/officeDocument/2006/relationships/oleObject" Target="embeddings/oleObject154.bin"/><Relationship Id="rId279" Type="http://schemas.openxmlformats.org/officeDocument/2006/relationships/image" Target="media/image168.emf"/><Relationship Id="rId486" Type="http://schemas.openxmlformats.org/officeDocument/2006/relationships/oleObject" Target="embeddings/oleObject184.bin"/><Relationship Id="rId43" Type="http://schemas.openxmlformats.org/officeDocument/2006/relationships/oleObject" Target="embeddings/oleObject17.bin"/><Relationship Id="rId139" Type="http://schemas.openxmlformats.org/officeDocument/2006/relationships/oleObject" Target="embeddings/oleObject46.bin"/><Relationship Id="rId346" Type="http://schemas.openxmlformats.org/officeDocument/2006/relationships/oleObject" Target="embeddings/oleObject129.bin"/><Relationship Id="rId553" Type="http://schemas.openxmlformats.org/officeDocument/2006/relationships/oleObject" Target="embeddings/oleObject212.bin"/><Relationship Id="rId192" Type="http://schemas.openxmlformats.org/officeDocument/2006/relationships/image" Target="media/image113.emf"/><Relationship Id="rId206" Type="http://schemas.openxmlformats.org/officeDocument/2006/relationships/image" Target="media/image123.png"/><Relationship Id="rId413" Type="http://schemas.openxmlformats.org/officeDocument/2006/relationships/image" Target="media/image245.emf"/><Relationship Id="rId497" Type="http://schemas.openxmlformats.org/officeDocument/2006/relationships/image" Target="media/image299.emf"/><Relationship Id="rId357" Type="http://schemas.openxmlformats.org/officeDocument/2006/relationships/image" Target="media/image213.emf"/><Relationship Id="rId54" Type="http://schemas.openxmlformats.org/officeDocument/2006/relationships/image" Target="media/image24.emf"/><Relationship Id="rId217" Type="http://schemas.openxmlformats.org/officeDocument/2006/relationships/oleObject" Target="embeddings/oleObject76.bin"/><Relationship Id="rId564" Type="http://schemas.openxmlformats.org/officeDocument/2006/relationships/oleObject" Target="embeddings/oleObject217.bin"/><Relationship Id="rId424" Type="http://schemas.openxmlformats.org/officeDocument/2006/relationships/image" Target="media/image254.emf"/><Relationship Id="rId270" Type="http://schemas.openxmlformats.org/officeDocument/2006/relationships/oleObject" Target="embeddings/oleObject99.bin"/><Relationship Id="rId65" Type="http://schemas.openxmlformats.org/officeDocument/2006/relationships/oleObject" Target="embeddings/oleObject28.bin"/><Relationship Id="rId130" Type="http://schemas.openxmlformats.org/officeDocument/2006/relationships/image" Target="media/image79.emf"/><Relationship Id="rId368" Type="http://schemas.openxmlformats.org/officeDocument/2006/relationships/image" Target="media/image220.emf"/><Relationship Id="rId575" Type="http://schemas.openxmlformats.org/officeDocument/2006/relationships/oleObject" Target="embeddings/oleObject223.bin"/><Relationship Id="rId228" Type="http://schemas.openxmlformats.org/officeDocument/2006/relationships/image" Target="media/image140.png"/><Relationship Id="rId435" Type="http://schemas.openxmlformats.org/officeDocument/2006/relationships/oleObject" Target="embeddings/oleObject164.bin"/><Relationship Id="rId281" Type="http://schemas.openxmlformats.org/officeDocument/2006/relationships/image" Target="media/image170.emf"/><Relationship Id="rId502" Type="http://schemas.openxmlformats.org/officeDocument/2006/relationships/image" Target="media/image302.emf"/><Relationship Id="rId76" Type="http://schemas.openxmlformats.org/officeDocument/2006/relationships/image" Target="media/image35.emf"/><Relationship Id="rId141" Type="http://schemas.openxmlformats.org/officeDocument/2006/relationships/oleObject" Target="embeddings/oleObject47.bin"/><Relationship Id="rId379" Type="http://schemas.openxmlformats.org/officeDocument/2006/relationships/image" Target="media/image227.emf"/><Relationship Id="rId586" Type="http://schemas.openxmlformats.org/officeDocument/2006/relationships/fontTable" Target="fontTable.xml"/><Relationship Id="rId7" Type="http://schemas.openxmlformats.org/officeDocument/2006/relationships/endnotes" Target="endnotes.xml"/><Relationship Id="rId239" Type="http://schemas.openxmlformats.org/officeDocument/2006/relationships/image" Target="media/image146.emf"/><Relationship Id="rId446" Type="http://schemas.openxmlformats.org/officeDocument/2006/relationships/oleObject" Target="embeddings/oleObject167.bin"/><Relationship Id="rId250" Type="http://schemas.openxmlformats.org/officeDocument/2006/relationships/oleObject" Target="embeddings/oleObject89.bin"/><Relationship Id="rId292" Type="http://schemas.openxmlformats.org/officeDocument/2006/relationships/image" Target="media/image179.emf"/><Relationship Id="rId306" Type="http://schemas.openxmlformats.org/officeDocument/2006/relationships/image" Target="media/image186.emf"/><Relationship Id="rId488" Type="http://schemas.openxmlformats.org/officeDocument/2006/relationships/oleObject" Target="embeddings/oleObject185.bin"/><Relationship Id="rId45" Type="http://schemas.openxmlformats.org/officeDocument/2006/relationships/oleObject" Target="embeddings/oleObject18.bin"/><Relationship Id="rId87" Type="http://schemas.openxmlformats.org/officeDocument/2006/relationships/image" Target="media/image43.emf"/><Relationship Id="rId110" Type="http://schemas.openxmlformats.org/officeDocument/2006/relationships/image" Target="media/image64.png"/><Relationship Id="rId348" Type="http://schemas.openxmlformats.org/officeDocument/2006/relationships/oleObject" Target="embeddings/oleObject130.bin"/><Relationship Id="rId513" Type="http://schemas.openxmlformats.org/officeDocument/2006/relationships/oleObject" Target="embeddings/oleObject196.bin"/><Relationship Id="rId555" Type="http://schemas.openxmlformats.org/officeDocument/2006/relationships/image" Target="media/image321.emf"/><Relationship Id="rId152" Type="http://schemas.openxmlformats.org/officeDocument/2006/relationships/image" Target="media/image90.emf"/><Relationship Id="rId194" Type="http://schemas.openxmlformats.org/officeDocument/2006/relationships/image" Target="media/image114.png"/><Relationship Id="rId208" Type="http://schemas.openxmlformats.org/officeDocument/2006/relationships/image" Target="media/image125.emf"/><Relationship Id="rId415" Type="http://schemas.openxmlformats.org/officeDocument/2006/relationships/image" Target="media/image247.emf"/><Relationship Id="rId457" Type="http://schemas.openxmlformats.org/officeDocument/2006/relationships/oleObject" Target="embeddings/oleObject170.bin"/><Relationship Id="rId261" Type="http://schemas.openxmlformats.org/officeDocument/2006/relationships/image" Target="media/image157.emf"/><Relationship Id="rId499" Type="http://schemas.openxmlformats.org/officeDocument/2006/relationships/image" Target="media/image300.png"/><Relationship Id="rId14" Type="http://schemas.openxmlformats.org/officeDocument/2006/relationships/image" Target="media/image4.emf"/><Relationship Id="rId56" Type="http://schemas.openxmlformats.org/officeDocument/2006/relationships/image" Target="media/image25.emf"/><Relationship Id="rId317" Type="http://schemas.openxmlformats.org/officeDocument/2006/relationships/image" Target="media/image192.emf"/><Relationship Id="rId359" Type="http://schemas.openxmlformats.org/officeDocument/2006/relationships/oleObject" Target="embeddings/oleObject135.bin"/><Relationship Id="rId524" Type="http://schemas.openxmlformats.org/officeDocument/2006/relationships/image" Target="media/image311.emf"/><Relationship Id="rId566" Type="http://schemas.openxmlformats.org/officeDocument/2006/relationships/oleObject" Target="embeddings/oleObject218.bin"/><Relationship Id="rId98" Type="http://schemas.openxmlformats.org/officeDocument/2006/relationships/image" Target="media/image53.emf"/><Relationship Id="rId121" Type="http://schemas.openxmlformats.org/officeDocument/2006/relationships/image" Target="media/image72.png"/><Relationship Id="rId163" Type="http://schemas.openxmlformats.org/officeDocument/2006/relationships/oleObject" Target="embeddings/oleObject60.bin"/><Relationship Id="rId219" Type="http://schemas.openxmlformats.org/officeDocument/2006/relationships/image" Target="media/image133.emf"/><Relationship Id="rId370" Type="http://schemas.openxmlformats.org/officeDocument/2006/relationships/image" Target="media/image221.emf"/><Relationship Id="rId426" Type="http://schemas.openxmlformats.org/officeDocument/2006/relationships/oleObject" Target="embeddings/oleObject161.bin"/><Relationship Id="rId230" Type="http://schemas.openxmlformats.org/officeDocument/2006/relationships/oleObject" Target="embeddings/oleObject79.bin"/><Relationship Id="rId468" Type="http://schemas.openxmlformats.org/officeDocument/2006/relationships/oleObject" Target="embeddings/oleObject175.bin"/><Relationship Id="rId25" Type="http://schemas.openxmlformats.org/officeDocument/2006/relationships/oleObject" Target="embeddings/oleObject8.bin"/><Relationship Id="rId67" Type="http://schemas.openxmlformats.org/officeDocument/2006/relationships/oleObject" Target="embeddings/oleObject29.bin"/><Relationship Id="rId272" Type="http://schemas.openxmlformats.org/officeDocument/2006/relationships/image" Target="media/image163.emf"/><Relationship Id="rId328" Type="http://schemas.openxmlformats.org/officeDocument/2006/relationships/image" Target="media/image198.emf"/><Relationship Id="rId535" Type="http://schemas.openxmlformats.org/officeDocument/2006/relationships/chart" Target="charts/chart4.xml"/><Relationship Id="rId577" Type="http://schemas.openxmlformats.org/officeDocument/2006/relationships/oleObject" Target="embeddings/oleObject224.bin"/><Relationship Id="rId132" Type="http://schemas.openxmlformats.org/officeDocument/2006/relationships/image" Target="media/image80.emf"/><Relationship Id="rId174" Type="http://schemas.openxmlformats.org/officeDocument/2006/relationships/image" Target="media/image102.emf"/><Relationship Id="rId381" Type="http://schemas.openxmlformats.org/officeDocument/2006/relationships/image" Target="media/image228.emf"/><Relationship Id="rId241" Type="http://schemas.openxmlformats.org/officeDocument/2006/relationships/image" Target="media/image147.emf"/><Relationship Id="rId437" Type="http://schemas.openxmlformats.org/officeDocument/2006/relationships/image" Target="media/image263.emf"/><Relationship Id="rId479" Type="http://schemas.openxmlformats.org/officeDocument/2006/relationships/image" Target="media/image289.emf"/><Relationship Id="rId36" Type="http://schemas.openxmlformats.org/officeDocument/2006/relationships/image" Target="media/image15.emf"/><Relationship Id="rId283" Type="http://schemas.openxmlformats.org/officeDocument/2006/relationships/image" Target="media/image172.emf"/><Relationship Id="rId339" Type="http://schemas.openxmlformats.org/officeDocument/2006/relationships/image" Target="media/image204.emf"/><Relationship Id="rId490" Type="http://schemas.openxmlformats.org/officeDocument/2006/relationships/image" Target="media/image295.emf"/><Relationship Id="rId504" Type="http://schemas.openxmlformats.org/officeDocument/2006/relationships/image" Target="media/image303.emf"/><Relationship Id="rId546" Type="http://schemas.openxmlformats.org/officeDocument/2006/relationships/image" Target="media/image316.emf"/><Relationship Id="rId78" Type="http://schemas.openxmlformats.org/officeDocument/2006/relationships/image" Target="media/image36.emf"/><Relationship Id="rId101" Type="http://schemas.openxmlformats.org/officeDocument/2006/relationships/image" Target="media/image56.emf"/><Relationship Id="rId143" Type="http://schemas.openxmlformats.org/officeDocument/2006/relationships/oleObject" Target="embeddings/oleObject48.bin"/><Relationship Id="rId185" Type="http://schemas.openxmlformats.org/officeDocument/2006/relationships/oleObject" Target="embeddings/oleObject68.bin"/><Relationship Id="rId350" Type="http://schemas.openxmlformats.org/officeDocument/2006/relationships/oleObject" Target="embeddings/oleObject131.bin"/><Relationship Id="rId406" Type="http://schemas.openxmlformats.org/officeDocument/2006/relationships/oleObject" Target="embeddings/oleObject156.bin"/><Relationship Id="rId588" Type="http://schemas.openxmlformats.org/officeDocument/2006/relationships/theme" Target="theme/theme1.xml"/><Relationship Id="rId9" Type="http://schemas.openxmlformats.org/officeDocument/2006/relationships/image" Target="media/image1.wmf"/><Relationship Id="rId210" Type="http://schemas.openxmlformats.org/officeDocument/2006/relationships/image" Target="media/image126.png"/><Relationship Id="rId392" Type="http://schemas.openxmlformats.org/officeDocument/2006/relationships/oleObject" Target="embeddings/oleObject149.bin"/><Relationship Id="rId448" Type="http://schemas.openxmlformats.org/officeDocument/2006/relationships/oleObject" Target="embeddings/oleObject168.bin"/><Relationship Id="rId252" Type="http://schemas.openxmlformats.org/officeDocument/2006/relationships/oleObject" Target="embeddings/oleObject90.bin"/><Relationship Id="rId294" Type="http://schemas.openxmlformats.org/officeDocument/2006/relationships/image" Target="media/image180.emf"/><Relationship Id="rId308" Type="http://schemas.openxmlformats.org/officeDocument/2006/relationships/image" Target="media/image187.emf"/><Relationship Id="rId515" Type="http://schemas.openxmlformats.org/officeDocument/2006/relationships/oleObject" Target="embeddings/oleObject197.bin"/><Relationship Id="rId47" Type="http://schemas.openxmlformats.org/officeDocument/2006/relationships/oleObject" Target="embeddings/oleObject19.bin"/><Relationship Id="rId89" Type="http://schemas.openxmlformats.org/officeDocument/2006/relationships/image" Target="media/image45.emf"/><Relationship Id="rId112" Type="http://schemas.openxmlformats.org/officeDocument/2006/relationships/image" Target="media/image66.png"/><Relationship Id="rId154" Type="http://schemas.openxmlformats.org/officeDocument/2006/relationships/oleObject" Target="embeddings/oleObject54.bin"/><Relationship Id="rId361" Type="http://schemas.openxmlformats.org/officeDocument/2006/relationships/oleObject" Target="embeddings/oleObject136.bin"/><Relationship Id="rId557" Type="http://schemas.openxmlformats.org/officeDocument/2006/relationships/image" Target="media/image322.emf"/><Relationship Id="rId196" Type="http://schemas.openxmlformats.org/officeDocument/2006/relationships/image" Target="media/image116.emf"/><Relationship Id="rId417" Type="http://schemas.openxmlformats.org/officeDocument/2006/relationships/image" Target="media/image249.emf"/><Relationship Id="rId459" Type="http://schemas.openxmlformats.org/officeDocument/2006/relationships/image" Target="media/image279.emf"/><Relationship Id="rId16" Type="http://schemas.openxmlformats.org/officeDocument/2006/relationships/image" Target="media/image5.emf"/><Relationship Id="rId221" Type="http://schemas.openxmlformats.org/officeDocument/2006/relationships/oleObject" Target="embeddings/oleObject77.bin"/><Relationship Id="rId263" Type="http://schemas.openxmlformats.org/officeDocument/2006/relationships/image" Target="media/image158.emf"/><Relationship Id="rId319" Type="http://schemas.openxmlformats.org/officeDocument/2006/relationships/image" Target="media/image193.emf"/><Relationship Id="rId470" Type="http://schemas.openxmlformats.org/officeDocument/2006/relationships/oleObject" Target="embeddings/oleObject176.bin"/><Relationship Id="rId526" Type="http://schemas.openxmlformats.org/officeDocument/2006/relationships/image" Target="media/image312.emf"/><Relationship Id="rId58" Type="http://schemas.openxmlformats.org/officeDocument/2006/relationships/image" Target="media/image26.emf"/><Relationship Id="rId123" Type="http://schemas.openxmlformats.org/officeDocument/2006/relationships/image" Target="media/image74.png"/><Relationship Id="rId330" Type="http://schemas.openxmlformats.org/officeDocument/2006/relationships/oleObject" Target="embeddings/oleObject121.bin"/><Relationship Id="rId568" Type="http://schemas.openxmlformats.org/officeDocument/2006/relationships/oleObject" Target="embeddings/oleObject219.bin"/><Relationship Id="rId165" Type="http://schemas.openxmlformats.org/officeDocument/2006/relationships/image" Target="media/image95.png"/><Relationship Id="rId372" Type="http://schemas.openxmlformats.org/officeDocument/2006/relationships/oleObject" Target="embeddings/oleObject140.bin"/><Relationship Id="rId428" Type="http://schemas.openxmlformats.org/officeDocument/2006/relationships/image" Target="media/image257.emf"/><Relationship Id="rId232" Type="http://schemas.openxmlformats.org/officeDocument/2006/relationships/oleObject" Target="embeddings/oleObject80.bin"/><Relationship Id="rId274" Type="http://schemas.openxmlformats.org/officeDocument/2006/relationships/oleObject" Target="embeddings/oleObject100.bin"/><Relationship Id="rId481" Type="http://schemas.openxmlformats.org/officeDocument/2006/relationships/image" Target="media/image290.emf"/><Relationship Id="rId27" Type="http://schemas.openxmlformats.org/officeDocument/2006/relationships/oleObject" Target="embeddings/oleObject9.bin"/><Relationship Id="rId69" Type="http://schemas.openxmlformats.org/officeDocument/2006/relationships/oleObject" Target="embeddings/oleObject30.bin"/><Relationship Id="rId134" Type="http://schemas.openxmlformats.org/officeDocument/2006/relationships/image" Target="media/image81.emf"/><Relationship Id="rId537" Type="http://schemas.openxmlformats.org/officeDocument/2006/relationships/chart" Target="charts/chart6.xml"/><Relationship Id="rId579" Type="http://schemas.openxmlformats.org/officeDocument/2006/relationships/oleObject" Target="embeddings/oleObject225.bin"/><Relationship Id="rId80" Type="http://schemas.openxmlformats.org/officeDocument/2006/relationships/image" Target="media/image37.emf"/><Relationship Id="rId176" Type="http://schemas.openxmlformats.org/officeDocument/2006/relationships/image" Target="media/image103.emf"/><Relationship Id="rId341" Type="http://schemas.openxmlformats.org/officeDocument/2006/relationships/image" Target="media/image205.emf"/><Relationship Id="rId383" Type="http://schemas.openxmlformats.org/officeDocument/2006/relationships/image" Target="media/image229.emf"/><Relationship Id="rId439" Type="http://schemas.openxmlformats.org/officeDocument/2006/relationships/image" Target="media/image264.emf"/><Relationship Id="rId201" Type="http://schemas.openxmlformats.org/officeDocument/2006/relationships/oleObject" Target="embeddings/oleObject72.bin"/><Relationship Id="rId243" Type="http://schemas.openxmlformats.org/officeDocument/2006/relationships/image" Target="media/image148.emf"/><Relationship Id="rId285" Type="http://schemas.openxmlformats.org/officeDocument/2006/relationships/image" Target="media/image174.emf"/><Relationship Id="rId450" Type="http://schemas.openxmlformats.org/officeDocument/2006/relationships/image" Target="media/image272.png"/><Relationship Id="rId506" Type="http://schemas.openxmlformats.org/officeDocument/2006/relationships/image" Target="media/image304.emf"/><Relationship Id="rId38" Type="http://schemas.openxmlformats.org/officeDocument/2006/relationships/image" Target="media/image16.emf"/><Relationship Id="rId103" Type="http://schemas.openxmlformats.org/officeDocument/2006/relationships/image" Target="media/image58.emf"/><Relationship Id="rId310" Type="http://schemas.openxmlformats.org/officeDocument/2006/relationships/image" Target="media/image188.png"/><Relationship Id="rId492" Type="http://schemas.openxmlformats.org/officeDocument/2006/relationships/image" Target="media/image296.png"/><Relationship Id="rId548" Type="http://schemas.openxmlformats.org/officeDocument/2006/relationships/image" Target="media/image317.emf"/><Relationship Id="rId91" Type="http://schemas.openxmlformats.org/officeDocument/2006/relationships/oleObject" Target="embeddings/oleObject37.bin"/><Relationship Id="rId145" Type="http://schemas.openxmlformats.org/officeDocument/2006/relationships/oleObject" Target="embeddings/oleObject49.bin"/><Relationship Id="rId187" Type="http://schemas.openxmlformats.org/officeDocument/2006/relationships/image" Target="media/image109.emf"/><Relationship Id="rId352" Type="http://schemas.openxmlformats.org/officeDocument/2006/relationships/oleObject" Target="embeddings/oleObject132.bin"/><Relationship Id="rId394" Type="http://schemas.openxmlformats.org/officeDocument/2006/relationships/oleObject" Target="embeddings/oleObject150.bin"/><Relationship Id="rId408" Type="http://schemas.openxmlformats.org/officeDocument/2006/relationships/oleObject" Target="embeddings/oleObject157.bin"/><Relationship Id="rId212" Type="http://schemas.openxmlformats.org/officeDocument/2006/relationships/image" Target="media/image128.emf"/><Relationship Id="rId254" Type="http://schemas.openxmlformats.org/officeDocument/2006/relationships/oleObject" Target="embeddings/oleObject91.bin"/><Relationship Id="rId49" Type="http://schemas.openxmlformats.org/officeDocument/2006/relationships/oleObject" Target="embeddings/oleObject20.bin"/><Relationship Id="rId114" Type="http://schemas.openxmlformats.org/officeDocument/2006/relationships/image" Target="media/image68.emf"/><Relationship Id="rId296" Type="http://schemas.openxmlformats.org/officeDocument/2006/relationships/image" Target="media/image181.emf"/><Relationship Id="rId461" Type="http://schemas.openxmlformats.org/officeDocument/2006/relationships/image" Target="media/image280.emf"/><Relationship Id="rId517" Type="http://schemas.openxmlformats.org/officeDocument/2006/relationships/oleObject" Target="embeddings/oleObject199.bin"/><Relationship Id="rId559" Type="http://schemas.openxmlformats.org/officeDocument/2006/relationships/image" Target="media/image323.emf"/><Relationship Id="rId60" Type="http://schemas.openxmlformats.org/officeDocument/2006/relationships/image" Target="media/image27.emf"/><Relationship Id="rId156" Type="http://schemas.openxmlformats.org/officeDocument/2006/relationships/oleObject" Target="embeddings/oleObject56.bin"/><Relationship Id="rId198" Type="http://schemas.openxmlformats.org/officeDocument/2006/relationships/image" Target="media/image117.png"/><Relationship Id="rId321" Type="http://schemas.openxmlformats.org/officeDocument/2006/relationships/image" Target="media/image194.emf"/><Relationship Id="rId363" Type="http://schemas.openxmlformats.org/officeDocument/2006/relationships/image" Target="media/image217.emf"/><Relationship Id="rId419" Type="http://schemas.openxmlformats.org/officeDocument/2006/relationships/image" Target="media/image251.emf"/><Relationship Id="rId570" Type="http://schemas.openxmlformats.org/officeDocument/2006/relationships/oleObject" Target="embeddings/oleObject220.bin"/><Relationship Id="rId223" Type="http://schemas.openxmlformats.org/officeDocument/2006/relationships/image" Target="media/image136.emf"/><Relationship Id="rId430" Type="http://schemas.openxmlformats.org/officeDocument/2006/relationships/image" Target="media/image258.emf"/><Relationship Id="rId18" Type="http://schemas.openxmlformats.org/officeDocument/2006/relationships/image" Target="media/image6.emf"/><Relationship Id="rId265" Type="http://schemas.openxmlformats.org/officeDocument/2006/relationships/image" Target="media/image159.emf"/><Relationship Id="rId472" Type="http://schemas.openxmlformats.org/officeDocument/2006/relationships/oleObject" Target="embeddings/oleObject177.bin"/><Relationship Id="rId528" Type="http://schemas.openxmlformats.org/officeDocument/2006/relationships/image" Target="media/image313.emf"/><Relationship Id="rId125" Type="http://schemas.openxmlformats.org/officeDocument/2006/relationships/image" Target="media/image76.png"/><Relationship Id="rId167" Type="http://schemas.openxmlformats.org/officeDocument/2006/relationships/image" Target="media/image97.png"/><Relationship Id="rId332" Type="http://schemas.openxmlformats.org/officeDocument/2006/relationships/oleObject" Target="embeddings/oleObject122.bin"/><Relationship Id="rId374" Type="http://schemas.openxmlformats.org/officeDocument/2006/relationships/image" Target="media/image224.emf"/><Relationship Id="rId581" Type="http://schemas.openxmlformats.org/officeDocument/2006/relationships/image" Target="media/image334.emf"/><Relationship Id="rId71" Type="http://schemas.openxmlformats.org/officeDocument/2006/relationships/oleObject" Target="embeddings/oleObject31.bin"/><Relationship Id="rId234" Type="http://schemas.openxmlformats.org/officeDocument/2006/relationships/oleObject" Target="embeddings/oleObject81.bin"/><Relationship Id="rId2" Type="http://schemas.openxmlformats.org/officeDocument/2006/relationships/numbering" Target="numbering.xml"/><Relationship Id="rId29" Type="http://schemas.openxmlformats.org/officeDocument/2006/relationships/oleObject" Target="embeddings/oleObject10.bin"/><Relationship Id="rId276" Type="http://schemas.openxmlformats.org/officeDocument/2006/relationships/image" Target="media/image166.emf"/><Relationship Id="rId441" Type="http://schemas.openxmlformats.org/officeDocument/2006/relationships/oleObject" Target="embeddings/oleObject166.bin"/><Relationship Id="rId483" Type="http://schemas.openxmlformats.org/officeDocument/2006/relationships/image" Target="media/image291.emf"/><Relationship Id="rId539" Type="http://schemas.openxmlformats.org/officeDocument/2006/relationships/chart" Target="charts/chart8.xml"/><Relationship Id="rId40" Type="http://schemas.openxmlformats.org/officeDocument/2006/relationships/image" Target="media/image17.emf"/><Relationship Id="rId136" Type="http://schemas.openxmlformats.org/officeDocument/2006/relationships/image" Target="media/image82.emf"/><Relationship Id="rId178" Type="http://schemas.openxmlformats.org/officeDocument/2006/relationships/image" Target="media/image104.emf"/><Relationship Id="rId301" Type="http://schemas.openxmlformats.org/officeDocument/2006/relationships/oleObject" Target="embeddings/oleObject108.bin"/><Relationship Id="rId343" Type="http://schemas.openxmlformats.org/officeDocument/2006/relationships/image" Target="media/image206.emf"/><Relationship Id="rId550" Type="http://schemas.openxmlformats.org/officeDocument/2006/relationships/image" Target="media/image318.emf"/><Relationship Id="rId82" Type="http://schemas.openxmlformats.org/officeDocument/2006/relationships/image" Target="media/image38.emf"/><Relationship Id="rId203" Type="http://schemas.openxmlformats.org/officeDocument/2006/relationships/image" Target="media/image121.emf"/><Relationship Id="rId385" Type="http://schemas.openxmlformats.org/officeDocument/2006/relationships/image" Target="media/image230.emf"/><Relationship Id="rId245" Type="http://schemas.openxmlformats.org/officeDocument/2006/relationships/image" Target="media/image149.emf"/><Relationship Id="rId287" Type="http://schemas.openxmlformats.org/officeDocument/2006/relationships/image" Target="media/image176.emf"/><Relationship Id="rId410" Type="http://schemas.openxmlformats.org/officeDocument/2006/relationships/oleObject" Target="embeddings/oleObject158.bin"/><Relationship Id="rId452" Type="http://schemas.openxmlformats.org/officeDocument/2006/relationships/image" Target="media/image274.png"/><Relationship Id="rId494" Type="http://schemas.openxmlformats.org/officeDocument/2006/relationships/oleObject" Target="embeddings/oleObject187.bin"/><Relationship Id="rId508" Type="http://schemas.openxmlformats.org/officeDocument/2006/relationships/image" Target="media/image305.emf"/><Relationship Id="rId105" Type="http://schemas.openxmlformats.org/officeDocument/2006/relationships/image" Target="media/image59.emf"/><Relationship Id="rId147" Type="http://schemas.openxmlformats.org/officeDocument/2006/relationships/oleObject" Target="embeddings/oleObject50.bin"/><Relationship Id="rId312" Type="http://schemas.openxmlformats.org/officeDocument/2006/relationships/oleObject" Target="embeddings/oleObject113.bin"/><Relationship Id="rId354" Type="http://schemas.openxmlformats.org/officeDocument/2006/relationships/oleObject" Target="embeddings/oleObject133.bin"/><Relationship Id="rId51" Type="http://schemas.openxmlformats.org/officeDocument/2006/relationships/oleObject" Target="embeddings/oleObject21.bin"/><Relationship Id="rId93" Type="http://schemas.openxmlformats.org/officeDocument/2006/relationships/image" Target="media/image48.emf"/><Relationship Id="rId189" Type="http://schemas.openxmlformats.org/officeDocument/2006/relationships/oleObject" Target="embeddings/oleObject69.bin"/><Relationship Id="rId396" Type="http://schemas.openxmlformats.org/officeDocument/2006/relationships/oleObject" Target="embeddings/oleObject151.bin"/><Relationship Id="rId561" Type="http://schemas.openxmlformats.org/officeDocument/2006/relationships/image" Target="media/image324.emf"/><Relationship Id="rId214" Type="http://schemas.openxmlformats.org/officeDocument/2006/relationships/image" Target="media/image129.png"/><Relationship Id="rId256" Type="http://schemas.openxmlformats.org/officeDocument/2006/relationships/oleObject" Target="embeddings/oleObject92.bin"/><Relationship Id="rId298" Type="http://schemas.openxmlformats.org/officeDocument/2006/relationships/image" Target="media/image182.emf"/><Relationship Id="rId421" Type="http://schemas.openxmlformats.org/officeDocument/2006/relationships/image" Target="media/image252.emf"/><Relationship Id="rId463" Type="http://schemas.openxmlformats.org/officeDocument/2006/relationships/image" Target="media/image281.emf"/><Relationship Id="rId519" Type="http://schemas.openxmlformats.org/officeDocument/2006/relationships/oleObject" Target="embeddings/oleObject201.bin"/><Relationship Id="rId116" Type="http://schemas.openxmlformats.org/officeDocument/2006/relationships/image" Target="media/image69.png"/><Relationship Id="rId158" Type="http://schemas.openxmlformats.org/officeDocument/2006/relationships/image" Target="media/image91.emf"/><Relationship Id="rId323" Type="http://schemas.openxmlformats.org/officeDocument/2006/relationships/image" Target="media/image195.emf"/><Relationship Id="rId530" Type="http://schemas.openxmlformats.org/officeDocument/2006/relationships/image" Target="media/image314.emf"/><Relationship Id="rId20" Type="http://schemas.openxmlformats.org/officeDocument/2006/relationships/image" Target="media/image7.emf"/><Relationship Id="rId62" Type="http://schemas.openxmlformats.org/officeDocument/2006/relationships/image" Target="media/image28.emf"/><Relationship Id="rId365" Type="http://schemas.openxmlformats.org/officeDocument/2006/relationships/image" Target="media/image218.emf"/><Relationship Id="rId572" Type="http://schemas.openxmlformats.org/officeDocument/2006/relationships/oleObject" Target="embeddings/oleObject221.bin"/><Relationship Id="rId225" Type="http://schemas.openxmlformats.org/officeDocument/2006/relationships/image" Target="media/image138.png"/><Relationship Id="rId267" Type="http://schemas.openxmlformats.org/officeDocument/2006/relationships/image" Target="media/image160.emf"/><Relationship Id="rId432" Type="http://schemas.openxmlformats.org/officeDocument/2006/relationships/oleObject" Target="embeddings/oleObject163.bin"/><Relationship Id="rId474" Type="http://schemas.openxmlformats.org/officeDocument/2006/relationships/oleObject" Target="embeddings/oleObject178.bin"/><Relationship Id="rId127" Type="http://schemas.openxmlformats.org/officeDocument/2006/relationships/oleObject" Target="embeddings/oleObject40.bin"/><Relationship Id="rId31" Type="http://schemas.openxmlformats.org/officeDocument/2006/relationships/oleObject" Target="embeddings/oleObject11.bin"/><Relationship Id="rId73" Type="http://schemas.openxmlformats.org/officeDocument/2006/relationships/oleObject" Target="embeddings/oleObject32.bin"/><Relationship Id="rId169" Type="http://schemas.openxmlformats.org/officeDocument/2006/relationships/image" Target="media/image99.png"/><Relationship Id="rId334" Type="http://schemas.openxmlformats.org/officeDocument/2006/relationships/oleObject" Target="embeddings/oleObject123.bin"/><Relationship Id="rId376" Type="http://schemas.openxmlformats.org/officeDocument/2006/relationships/image" Target="media/image225.emf"/><Relationship Id="rId541" Type="http://schemas.openxmlformats.org/officeDocument/2006/relationships/chart" Target="charts/chart10.xml"/><Relationship Id="rId583" Type="http://schemas.openxmlformats.org/officeDocument/2006/relationships/image" Target="media/image335.emf"/><Relationship Id="rId4" Type="http://schemas.openxmlformats.org/officeDocument/2006/relationships/settings" Target="settings.xml"/><Relationship Id="rId180" Type="http://schemas.openxmlformats.org/officeDocument/2006/relationships/image" Target="media/image105.emf"/><Relationship Id="rId236" Type="http://schemas.openxmlformats.org/officeDocument/2006/relationships/oleObject" Target="embeddings/oleObject82.bin"/><Relationship Id="rId278" Type="http://schemas.openxmlformats.org/officeDocument/2006/relationships/image" Target="media/image167.emf"/><Relationship Id="rId401" Type="http://schemas.openxmlformats.org/officeDocument/2006/relationships/image" Target="media/image238.emf"/><Relationship Id="rId443" Type="http://schemas.openxmlformats.org/officeDocument/2006/relationships/image" Target="media/image267.emf"/><Relationship Id="rId303" Type="http://schemas.openxmlformats.org/officeDocument/2006/relationships/oleObject" Target="embeddings/oleObject109.bin"/><Relationship Id="rId485" Type="http://schemas.openxmlformats.org/officeDocument/2006/relationships/image" Target="media/image292.emf"/><Relationship Id="rId42" Type="http://schemas.openxmlformats.org/officeDocument/2006/relationships/image" Target="media/image18.emf"/><Relationship Id="rId84" Type="http://schemas.openxmlformats.org/officeDocument/2006/relationships/image" Target="media/image40.emf"/><Relationship Id="rId138" Type="http://schemas.openxmlformats.org/officeDocument/2006/relationships/image" Target="media/image83.emf"/><Relationship Id="rId345" Type="http://schemas.openxmlformats.org/officeDocument/2006/relationships/image" Target="media/image207.emf"/><Relationship Id="rId387" Type="http://schemas.openxmlformats.org/officeDocument/2006/relationships/image" Target="media/image231.emf"/><Relationship Id="rId510" Type="http://schemas.openxmlformats.org/officeDocument/2006/relationships/image" Target="media/image306.emf"/><Relationship Id="rId552" Type="http://schemas.openxmlformats.org/officeDocument/2006/relationships/image" Target="media/image319.emf"/><Relationship Id="rId191" Type="http://schemas.openxmlformats.org/officeDocument/2006/relationships/image" Target="media/image112.emf"/><Relationship Id="rId205" Type="http://schemas.openxmlformats.org/officeDocument/2006/relationships/oleObject" Target="embeddings/oleObject73.bin"/><Relationship Id="rId247" Type="http://schemas.openxmlformats.org/officeDocument/2006/relationships/image" Target="media/image150.emf"/><Relationship Id="rId412" Type="http://schemas.openxmlformats.org/officeDocument/2006/relationships/image" Target="media/image244.emf"/><Relationship Id="rId107" Type="http://schemas.openxmlformats.org/officeDocument/2006/relationships/image" Target="media/image61.png"/><Relationship Id="rId289" Type="http://schemas.openxmlformats.org/officeDocument/2006/relationships/oleObject" Target="embeddings/oleObject102.bin"/><Relationship Id="rId454" Type="http://schemas.openxmlformats.org/officeDocument/2006/relationships/oleObject" Target="embeddings/oleObject169.bin"/><Relationship Id="rId496" Type="http://schemas.openxmlformats.org/officeDocument/2006/relationships/oleObject" Target="embeddings/oleObject188.bin"/><Relationship Id="rId11" Type="http://schemas.openxmlformats.org/officeDocument/2006/relationships/oleObject" Target="embeddings/oleObject1.bin"/><Relationship Id="rId53" Type="http://schemas.openxmlformats.org/officeDocument/2006/relationships/oleObject" Target="embeddings/oleObject22.bin"/><Relationship Id="rId149" Type="http://schemas.openxmlformats.org/officeDocument/2006/relationships/oleObject" Target="embeddings/oleObject51.bin"/><Relationship Id="rId314" Type="http://schemas.openxmlformats.org/officeDocument/2006/relationships/oleObject" Target="embeddings/oleObject114.bin"/><Relationship Id="rId356" Type="http://schemas.openxmlformats.org/officeDocument/2006/relationships/oleObject" Target="embeddings/oleObject134.bin"/><Relationship Id="rId398" Type="http://schemas.openxmlformats.org/officeDocument/2006/relationships/oleObject" Target="embeddings/oleObject152.bin"/><Relationship Id="rId521" Type="http://schemas.openxmlformats.org/officeDocument/2006/relationships/oleObject" Target="embeddings/oleObject202.bin"/><Relationship Id="rId563" Type="http://schemas.openxmlformats.org/officeDocument/2006/relationships/image" Target="media/image325.emf"/><Relationship Id="rId95" Type="http://schemas.openxmlformats.org/officeDocument/2006/relationships/image" Target="media/image50.emf"/><Relationship Id="rId160" Type="http://schemas.openxmlformats.org/officeDocument/2006/relationships/image" Target="media/image92.emf"/><Relationship Id="rId216" Type="http://schemas.openxmlformats.org/officeDocument/2006/relationships/image" Target="media/image131.emf"/><Relationship Id="rId423" Type="http://schemas.openxmlformats.org/officeDocument/2006/relationships/oleObject" Target="embeddings/oleObject160.bin"/><Relationship Id="rId258" Type="http://schemas.openxmlformats.org/officeDocument/2006/relationships/oleObject" Target="embeddings/oleObject93.bin"/><Relationship Id="rId465" Type="http://schemas.openxmlformats.org/officeDocument/2006/relationships/image" Target="media/image282.emf"/><Relationship Id="rId22" Type="http://schemas.openxmlformats.org/officeDocument/2006/relationships/image" Target="media/image8.emf"/><Relationship Id="rId64" Type="http://schemas.openxmlformats.org/officeDocument/2006/relationships/image" Target="media/image29.emf"/><Relationship Id="rId118" Type="http://schemas.openxmlformats.org/officeDocument/2006/relationships/image" Target="media/image70.png"/><Relationship Id="rId325" Type="http://schemas.openxmlformats.org/officeDocument/2006/relationships/image" Target="media/image196.emf"/><Relationship Id="rId367" Type="http://schemas.openxmlformats.org/officeDocument/2006/relationships/oleObject" Target="embeddings/oleObject138.bin"/><Relationship Id="rId532" Type="http://schemas.openxmlformats.org/officeDocument/2006/relationships/chart" Target="charts/chart1.xml"/><Relationship Id="rId574" Type="http://schemas.openxmlformats.org/officeDocument/2006/relationships/oleObject" Target="embeddings/oleObject222.bin"/><Relationship Id="rId171" Type="http://schemas.openxmlformats.org/officeDocument/2006/relationships/oleObject" Target="embeddings/oleObject61.bin"/><Relationship Id="rId227" Type="http://schemas.openxmlformats.org/officeDocument/2006/relationships/oleObject" Target="embeddings/oleObject78.bin"/><Relationship Id="rId269" Type="http://schemas.openxmlformats.org/officeDocument/2006/relationships/image" Target="media/image161.emf"/><Relationship Id="rId434" Type="http://schemas.openxmlformats.org/officeDocument/2006/relationships/image" Target="media/image261.emf"/><Relationship Id="rId476" Type="http://schemas.openxmlformats.org/officeDocument/2006/relationships/oleObject" Target="embeddings/oleObject179.bin"/><Relationship Id="rId33" Type="http://schemas.openxmlformats.org/officeDocument/2006/relationships/oleObject" Target="embeddings/oleObject12.bin"/><Relationship Id="rId129" Type="http://schemas.openxmlformats.org/officeDocument/2006/relationships/oleObject" Target="embeddings/oleObject41.bin"/><Relationship Id="rId280" Type="http://schemas.openxmlformats.org/officeDocument/2006/relationships/image" Target="media/image169.emf"/><Relationship Id="rId336" Type="http://schemas.openxmlformats.org/officeDocument/2006/relationships/oleObject" Target="embeddings/oleObject124.bin"/><Relationship Id="rId501" Type="http://schemas.openxmlformats.org/officeDocument/2006/relationships/oleObject" Target="embeddings/oleObject190.bin"/><Relationship Id="rId543" Type="http://schemas.openxmlformats.org/officeDocument/2006/relationships/chart" Target="charts/chart12.xml"/><Relationship Id="rId75" Type="http://schemas.openxmlformats.org/officeDocument/2006/relationships/oleObject" Target="embeddings/oleObject33.bin"/><Relationship Id="rId140" Type="http://schemas.openxmlformats.org/officeDocument/2006/relationships/image" Target="media/image84.emf"/><Relationship Id="rId182" Type="http://schemas.openxmlformats.org/officeDocument/2006/relationships/image" Target="media/image106.emf"/><Relationship Id="rId378" Type="http://schemas.openxmlformats.org/officeDocument/2006/relationships/oleObject" Target="embeddings/oleObject142.bin"/><Relationship Id="rId403" Type="http://schemas.openxmlformats.org/officeDocument/2006/relationships/image" Target="media/image239.emf"/><Relationship Id="rId585" Type="http://schemas.openxmlformats.org/officeDocument/2006/relationships/footer" Target="footer2.xml"/><Relationship Id="rId6" Type="http://schemas.openxmlformats.org/officeDocument/2006/relationships/footnotes" Target="footnotes.xml"/><Relationship Id="rId238" Type="http://schemas.openxmlformats.org/officeDocument/2006/relationships/oleObject" Target="embeddings/oleObject83.bin"/><Relationship Id="rId445" Type="http://schemas.openxmlformats.org/officeDocument/2006/relationships/image" Target="media/image269.emf"/><Relationship Id="rId487" Type="http://schemas.openxmlformats.org/officeDocument/2006/relationships/image" Target="media/image293.emf"/><Relationship Id="rId291" Type="http://schemas.openxmlformats.org/officeDocument/2006/relationships/oleObject" Target="embeddings/oleObject103.bin"/><Relationship Id="rId305" Type="http://schemas.openxmlformats.org/officeDocument/2006/relationships/oleObject" Target="embeddings/oleObject110.bin"/><Relationship Id="rId347" Type="http://schemas.openxmlformats.org/officeDocument/2006/relationships/image" Target="media/image208.emf"/><Relationship Id="rId512" Type="http://schemas.openxmlformats.org/officeDocument/2006/relationships/image" Target="media/image307.emf"/><Relationship Id="rId44" Type="http://schemas.openxmlformats.org/officeDocument/2006/relationships/image" Target="media/image19.emf"/><Relationship Id="rId86" Type="http://schemas.openxmlformats.org/officeDocument/2006/relationships/image" Target="media/image42.emf"/><Relationship Id="rId151" Type="http://schemas.openxmlformats.org/officeDocument/2006/relationships/oleObject" Target="embeddings/oleObject52.bin"/><Relationship Id="rId389" Type="http://schemas.openxmlformats.org/officeDocument/2006/relationships/image" Target="media/image232.emf"/><Relationship Id="rId554" Type="http://schemas.openxmlformats.org/officeDocument/2006/relationships/image" Target="media/image320.emf"/><Relationship Id="rId193" Type="http://schemas.openxmlformats.org/officeDocument/2006/relationships/oleObject" Target="embeddings/oleObject70.bin"/><Relationship Id="rId207" Type="http://schemas.openxmlformats.org/officeDocument/2006/relationships/image" Target="media/image124.emf"/><Relationship Id="rId249" Type="http://schemas.openxmlformats.org/officeDocument/2006/relationships/image" Target="media/image151.emf"/><Relationship Id="rId414" Type="http://schemas.openxmlformats.org/officeDocument/2006/relationships/image" Target="media/image246.emf"/><Relationship Id="rId456" Type="http://schemas.openxmlformats.org/officeDocument/2006/relationships/image" Target="media/image277.emf"/><Relationship Id="rId498" Type="http://schemas.openxmlformats.org/officeDocument/2006/relationships/oleObject" Target="embeddings/oleObject189.bin"/><Relationship Id="rId13" Type="http://schemas.openxmlformats.org/officeDocument/2006/relationships/oleObject" Target="embeddings/oleObject2.bin"/><Relationship Id="rId109" Type="http://schemas.openxmlformats.org/officeDocument/2006/relationships/image" Target="media/image63.png"/><Relationship Id="rId260" Type="http://schemas.openxmlformats.org/officeDocument/2006/relationships/oleObject" Target="embeddings/oleObject94.bin"/><Relationship Id="rId316" Type="http://schemas.openxmlformats.org/officeDocument/2006/relationships/oleObject" Target="embeddings/oleObject115.bin"/><Relationship Id="rId523" Type="http://schemas.openxmlformats.org/officeDocument/2006/relationships/oleObject" Target="embeddings/oleObject203.bin"/><Relationship Id="rId55" Type="http://schemas.openxmlformats.org/officeDocument/2006/relationships/oleObject" Target="embeddings/oleObject23.bin"/><Relationship Id="rId97" Type="http://schemas.openxmlformats.org/officeDocument/2006/relationships/image" Target="media/image52.emf"/><Relationship Id="rId120" Type="http://schemas.openxmlformats.org/officeDocument/2006/relationships/image" Target="media/image71.png"/><Relationship Id="rId358" Type="http://schemas.openxmlformats.org/officeDocument/2006/relationships/image" Target="media/image214.emf"/><Relationship Id="rId565" Type="http://schemas.openxmlformats.org/officeDocument/2006/relationships/image" Target="media/image326.emf"/><Relationship Id="rId162" Type="http://schemas.openxmlformats.org/officeDocument/2006/relationships/image" Target="media/image93.emf"/><Relationship Id="rId218" Type="http://schemas.openxmlformats.org/officeDocument/2006/relationships/image" Target="media/image132.png"/><Relationship Id="rId425" Type="http://schemas.openxmlformats.org/officeDocument/2006/relationships/image" Target="media/image255.emf"/><Relationship Id="rId467" Type="http://schemas.openxmlformats.org/officeDocument/2006/relationships/image" Target="media/image283.emf"/><Relationship Id="rId271" Type="http://schemas.openxmlformats.org/officeDocument/2006/relationships/image" Target="media/image162.emf"/><Relationship Id="rId24" Type="http://schemas.openxmlformats.org/officeDocument/2006/relationships/image" Target="media/image9.emf"/><Relationship Id="rId66" Type="http://schemas.openxmlformats.org/officeDocument/2006/relationships/image" Target="media/image30.emf"/><Relationship Id="rId131" Type="http://schemas.openxmlformats.org/officeDocument/2006/relationships/oleObject" Target="embeddings/oleObject42.bin"/><Relationship Id="rId327" Type="http://schemas.openxmlformats.org/officeDocument/2006/relationships/image" Target="media/image197.emf"/><Relationship Id="rId369" Type="http://schemas.openxmlformats.org/officeDocument/2006/relationships/oleObject" Target="embeddings/oleObject139.bin"/><Relationship Id="rId534" Type="http://schemas.openxmlformats.org/officeDocument/2006/relationships/chart" Target="charts/chart3.xml"/><Relationship Id="rId576" Type="http://schemas.openxmlformats.org/officeDocument/2006/relationships/image" Target="media/image331.emf"/><Relationship Id="rId173" Type="http://schemas.openxmlformats.org/officeDocument/2006/relationships/oleObject" Target="embeddings/oleObject62.bin"/><Relationship Id="rId229" Type="http://schemas.openxmlformats.org/officeDocument/2006/relationships/image" Target="media/image141.emf"/><Relationship Id="rId380" Type="http://schemas.openxmlformats.org/officeDocument/2006/relationships/oleObject" Target="embeddings/oleObject143.bin"/><Relationship Id="rId436" Type="http://schemas.openxmlformats.org/officeDocument/2006/relationships/image" Target="media/image262.emf"/><Relationship Id="rId240" Type="http://schemas.openxmlformats.org/officeDocument/2006/relationships/oleObject" Target="embeddings/oleObject84.bin"/><Relationship Id="rId478" Type="http://schemas.openxmlformats.org/officeDocument/2006/relationships/oleObject" Target="embeddings/oleObject180.bin"/><Relationship Id="rId35" Type="http://schemas.openxmlformats.org/officeDocument/2006/relationships/oleObject" Target="embeddings/oleObject13.bin"/><Relationship Id="rId77" Type="http://schemas.openxmlformats.org/officeDocument/2006/relationships/oleObject" Target="embeddings/oleObject34.bin"/><Relationship Id="rId100" Type="http://schemas.openxmlformats.org/officeDocument/2006/relationships/image" Target="media/image55.emf"/><Relationship Id="rId282" Type="http://schemas.openxmlformats.org/officeDocument/2006/relationships/image" Target="media/image171.emf"/><Relationship Id="rId338" Type="http://schemas.openxmlformats.org/officeDocument/2006/relationships/oleObject" Target="embeddings/oleObject125.bin"/><Relationship Id="rId503" Type="http://schemas.openxmlformats.org/officeDocument/2006/relationships/oleObject" Target="embeddings/oleObject191.bin"/><Relationship Id="rId545" Type="http://schemas.openxmlformats.org/officeDocument/2006/relationships/oleObject" Target="embeddings/oleObject208.bin"/><Relationship Id="rId587" Type="http://schemas.openxmlformats.org/officeDocument/2006/relationships/glossaryDocument" Target="glossary/document.xml"/><Relationship Id="rId8" Type="http://schemas.openxmlformats.org/officeDocument/2006/relationships/footer" Target="footer1.xml"/><Relationship Id="rId142" Type="http://schemas.openxmlformats.org/officeDocument/2006/relationships/image" Target="media/image85.emf"/><Relationship Id="rId184" Type="http://schemas.openxmlformats.org/officeDocument/2006/relationships/image" Target="media/image107.emf"/><Relationship Id="rId391" Type="http://schemas.openxmlformats.org/officeDocument/2006/relationships/image" Target="media/image233.emf"/><Relationship Id="rId405" Type="http://schemas.openxmlformats.org/officeDocument/2006/relationships/image" Target="media/image240.emf"/><Relationship Id="rId447" Type="http://schemas.openxmlformats.org/officeDocument/2006/relationships/image" Target="media/image270.emf"/><Relationship Id="rId251" Type="http://schemas.openxmlformats.org/officeDocument/2006/relationships/image" Target="media/image152.emf"/><Relationship Id="rId489" Type="http://schemas.openxmlformats.org/officeDocument/2006/relationships/image" Target="media/image294.emf"/><Relationship Id="rId46" Type="http://schemas.openxmlformats.org/officeDocument/2006/relationships/image" Target="media/image20.emf"/><Relationship Id="rId293" Type="http://schemas.openxmlformats.org/officeDocument/2006/relationships/oleObject" Target="embeddings/oleObject104.bin"/><Relationship Id="rId307" Type="http://schemas.openxmlformats.org/officeDocument/2006/relationships/oleObject" Target="embeddings/oleObject111.bin"/><Relationship Id="rId349" Type="http://schemas.openxmlformats.org/officeDocument/2006/relationships/image" Target="media/image209.emf"/><Relationship Id="rId514" Type="http://schemas.openxmlformats.org/officeDocument/2006/relationships/image" Target="media/image308.emf"/><Relationship Id="rId556" Type="http://schemas.openxmlformats.org/officeDocument/2006/relationships/oleObject" Target="embeddings/oleObject213.bin"/><Relationship Id="rId88" Type="http://schemas.openxmlformats.org/officeDocument/2006/relationships/image" Target="media/image44.emf"/><Relationship Id="rId111" Type="http://schemas.openxmlformats.org/officeDocument/2006/relationships/image" Target="media/image65.png"/><Relationship Id="rId153" Type="http://schemas.openxmlformats.org/officeDocument/2006/relationships/oleObject" Target="embeddings/oleObject53.bin"/><Relationship Id="rId195" Type="http://schemas.openxmlformats.org/officeDocument/2006/relationships/image" Target="media/image115.emf"/><Relationship Id="rId209" Type="http://schemas.openxmlformats.org/officeDocument/2006/relationships/oleObject" Target="embeddings/oleObject74.bin"/><Relationship Id="rId360" Type="http://schemas.openxmlformats.org/officeDocument/2006/relationships/image" Target="media/image215.emf"/><Relationship Id="rId416" Type="http://schemas.openxmlformats.org/officeDocument/2006/relationships/image" Target="media/image248.emf"/><Relationship Id="rId220" Type="http://schemas.openxmlformats.org/officeDocument/2006/relationships/image" Target="media/image134.emf"/><Relationship Id="rId458" Type="http://schemas.openxmlformats.org/officeDocument/2006/relationships/image" Target="media/image278.png"/><Relationship Id="rId15" Type="http://schemas.openxmlformats.org/officeDocument/2006/relationships/oleObject" Target="embeddings/oleObject3.bin"/><Relationship Id="rId57" Type="http://schemas.openxmlformats.org/officeDocument/2006/relationships/oleObject" Target="embeddings/oleObject24.bin"/><Relationship Id="rId262" Type="http://schemas.openxmlformats.org/officeDocument/2006/relationships/oleObject" Target="embeddings/oleObject95.bin"/><Relationship Id="rId318" Type="http://schemas.openxmlformats.org/officeDocument/2006/relationships/oleObject" Target="embeddings/oleObject116.bin"/><Relationship Id="rId525" Type="http://schemas.openxmlformats.org/officeDocument/2006/relationships/oleObject" Target="embeddings/oleObject204.bin"/><Relationship Id="rId567" Type="http://schemas.openxmlformats.org/officeDocument/2006/relationships/image" Target="media/image327.emf"/><Relationship Id="rId99" Type="http://schemas.openxmlformats.org/officeDocument/2006/relationships/image" Target="media/image54.emf"/><Relationship Id="rId122" Type="http://schemas.openxmlformats.org/officeDocument/2006/relationships/image" Target="media/image73.png"/><Relationship Id="rId164" Type="http://schemas.openxmlformats.org/officeDocument/2006/relationships/image" Target="media/image94.png"/><Relationship Id="rId371" Type="http://schemas.openxmlformats.org/officeDocument/2006/relationships/image" Target="media/image222.emf"/><Relationship Id="rId427" Type="http://schemas.openxmlformats.org/officeDocument/2006/relationships/image" Target="media/image256.emf"/><Relationship Id="rId469" Type="http://schemas.openxmlformats.org/officeDocument/2006/relationships/image" Target="media/image284.emf"/><Relationship Id="rId26" Type="http://schemas.openxmlformats.org/officeDocument/2006/relationships/image" Target="media/image10.emf"/><Relationship Id="rId231" Type="http://schemas.openxmlformats.org/officeDocument/2006/relationships/image" Target="media/image142.emf"/><Relationship Id="rId273" Type="http://schemas.openxmlformats.org/officeDocument/2006/relationships/image" Target="media/image164.emf"/><Relationship Id="rId329" Type="http://schemas.openxmlformats.org/officeDocument/2006/relationships/image" Target="media/image199.emf"/><Relationship Id="rId480" Type="http://schemas.openxmlformats.org/officeDocument/2006/relationships/oleObject" Target="embeddings/oleObject181.bin"/><Relationship Id="rId536" Type="http://schemas.openxmlformats.org/officeDocument/2006/relationships/chart" Target="charts/chart5.xml"/><Relationship Id="rId68" Type="http://schemas.openxmlformats.org/officeDocument/2006/relationships/image" Target="media/image31.emf"/><Relationship Id="rId133" Type="http://schemas.openxmlformats.org/officeDocument/2006/relationships/oleObject" Target="embeddings/oleObject43.bin"/><Relationship Id="rId175" Type="http://schemas.openxmlformats.org/officeDocument/2006/relationships/oleObject" Target="embeddings/oleObject63.bin"/><Relationship Id="rId340" Type="http://schemas.openxmlformats.org/officeDocument/2006/relationships/oleObject" Target="embeddings/oleObject126.bin"/><Relationship Id="rId578" Type="http://schemas.openxmlformats.org/officeDocument/2006/relationships/image" Target="media/image332.emf"/><Relationship Id="rId200" Type="http://schemas.openxmlformats.org/officeDocument/2006/relationships/image" Target="media/image119.emf"/><Relationship Id="rId382" Type="http://schemas.openxmlformats.org/officeDocument/2006/relationships/oleObject" Target="embeddings/oleObject144.bin"/><Relationship Id="rId438" Type="http://schemas.openxmlformats.org/officeDocument/2006/relationships/oleObject" Target="embeddings/oleObject165.bin"/><Relationship Id="rId242" Type="http://schemas.openxmlformats.org/officeDocument/2006/relationships/oleObject" Target="embeddings/oleObject85.bin"/><Relationship Id="rId284" Type="http://schemas.openxmlformats.org/officeDocument/2006/relationships/image" Target="media/image173.emf"/><Relationship Id="rId491" Type="http://schemas.openxmlformats.org/officeDocument/2006/relationships/oleObject" Target="embeddings/oleObject186.bin"/><Relationship Id="rId505" Type="http://schemas.openxmlformats.org/officeDocument/2006/relationships/oleObject" Target="embeddings/oleObject192.bin"/><Relationship Id="rId37" Type="http://schemas.openxmlformats.org/officeDocument/2006/relationships/oleObject" Target="embeddings/oleObject14.bin"/><Relationship Id="rId79" Type="http://schemas.openxmlformats.org/officeDocument/2006/relationships/oleObject" Target="embeddings/oleObject35.bin"/><Relationship Id="rId102" Type="http://schemas.openxmlformats.org/officeDocument/2006/relationships/image" Target="media/image57.emf"/><Relationship Id="rId144" Type="http://schemas.openxmlformats.org/officeDocument/2006/relationships/image" Target="media/image86.emf"/><Relationship Id="rId547" Type="http://schemas.openxmlformats.org/officeDocument/2006/relationships/oleObject" Target="embeddings/oleObject209.bin"/><Relationship Id="rId90" Type="http://schemas.openxmlformats.org/officeDocument/2006/relationships/image" Target="media/image46.emf"/><Relationship Id="rId186" Type="http://schemas.openxmlformats.org/officeDocument/2006/relationships/image" Target="media/image108.png"/><Relationship Id="rId351" Type="http://schemas.openxmlformats.org/officeDocument/2006/relationships/image" Target="media/image210.emf"/><Relationship Id="rId393" Type="http://schemas.openxmlformats.org/officeDocument/2006/relationships/image" Target="media/image234.emf"/><Relationship Id="rId407" Type="http://schemas.openxmlformats.org/officeDocument/2006/relationships/image" Target="media/image241.emf"/><Relationship Id="rId449" Type="http://schemas.openxmlformats.org/officeDocument/2006/relationships/image" Target="media/image271.png"/><Relationship Id="rId211" Type="http://schemas.openxmlformats.org/officeDocument/2006/relationships/image" Target="media/image127.emf"/><Relationship Id="rId253" Type="http://schemas.openxmlformats.org/officeDocument/2006/relationships/image" Target="media/image153.emf"/><Relationship Id="rId295" Type="http://schemas.openxmlformats.org/officeDocument/2006/relationships/oleObject" Target="embeddings/oleObject105.bin"/><Relationship Id="rId309" Type="http://schemas.openxmlformats.org/officeDocument/2006/relationships/oleObject" Target="embeddings/oleObject112.bin"/><Relationship Id="rId460" Type="http://schemas.openxmlformats.org/officeDocument/2006/relationships/oleObject" Target="embeddings/oleObject171.bin"/><Relationship Id="rId516" Type="http://schemas.openxmlformats.org/officeDocument/2006/relationships/oleObject" Target="embeddings/oleObject198.bin"/><Relationship Id="rId48" Type="http://schemas.openxmlformats.org/officeDocument/2006/relationships/image" Target="media/image21.emf"/><Relationship Id="rId113" Type="http://schemas.openxmlformats.org/officeDocument/2006/relationships/image" Target="media/image67.emf"/><Relationship Id="rId320" Type="http://schemas.openxmlformats.org/officeDocument/2006/relationships/oleObject" Target="embeddings/oleObject117.bin"/><Relationship Id="rId558" Type="http://schemas.openxmlformats.org/officeDocument/2006/relationships/oleObject" Target="embeddings/oleObject214.bin"/><Relationship Id="rId155" Type="http://schemas.openxmlformats.org/officeDocument/2006/relationships/oleObject" Target="embeddings/oleObject55.bin"/><Relationship Id="rId197" Type="http://schemas.openxmlformats.org/officeDocument/2006/relationships/oleObject" Target="embeddings/oleObject71.bin"/><Relationship Id="rId362" Type="http://schemas.openxmlformats.org/officeDocument/2006/relationships/image" Target="media/image216.emf"/><Relationship Id="rId418" Type="http://schemas.openxmlformats.org/officeDocument/2006/relationships/image" Target="media/image250.png"/><Relationship Id="rId222" Type="http://schemas.openxmlformats.org/officeDocument/2006/relationships/image" Target="media/image135.png"/><Relationship Id="rId264" Type="http://schemas.openxmlformats.org/officeDocument/2006/relationships/oleObject" Target="embeddings/oleObject96.bin"/><Relationship Id="rId471" Type="http://schemas.openxmlformats.org/officeDocument/2006/relationships/image" Target="media/image285.emf"/><Relationship Id="rId17" Type="http://schemas.openxmlformats.org/officeDocument/2006/relationships/oleObject" Target="embeddings/oleObject4.bin"/><Relationship Id="rId59" Type="http://schemas.openxmlformats.org/officeDocument/2006/relationships/oleObject" Target="embeddings/oleObject25.bin"/><Relationship Id="rId124" Type="http://schemas.openxmlformats.org/officeDocument/2006/relationships/image" Target="media/image75.png"/><Relationship Id="rId527" Type="http://schemas.openxmlformats.org/officeDocument/2006/relationships/oleObject" Target="embeddings/oleObject205.bin"/><Relationship Id="rId569" Type="http://schemas.openxmlformats.org/officeDocument/2006/relationships/image" Target="media/image328.emf"/><Relationship Id="rId70" Type="http://schemas.openxmlformats.org/officeDocument/2006/relationships/image" Target="media/image32.emf"/><Relationship Id="rId166" Type="http://schemas.openxmlformats.org/officeDocument/2006/relationships/image" Target="media/image96.png"/><Relationship Id="rId331" Type="http://schemas.openxmlformats.org/officeDocument/2006/relationships/image" Target="media/image200.emf"/><Relationship Id="rId373" Type="http://schemas.openxmlformats.org/officeDocument/2006/relationships/image" Target="media/image223.emf"/><Relationship Id="rId429" Type="http://schemas.openxmlformats.org/officeDocument/2006/relationships/oleObject" Target="embeddings/oleObject162.bin"/><Relationship Id="rId580" Type="http://schemas.openxmlformats.org/officeDocument/2006/relationships/image" Target="media/image333.emf"/><Relationship Id="rId1" Type="http://schemas.openxmlformats.org/officeDocument/2006/relationships/customXml" Target="../customXml/item1.xml"/><Relationship Id="rId233" Type="http://schemas.openxmlformats.org/officeDocument/2006/relationships/image" Target="media/image143.emf"/><Relationship Id="rId440" Type="http://schemas.openxmlformats.org/officeDocument/2006/relationships/image" Target="media/image265.emf"/><Relationship Id="rId28" Type="http://schemas.openxmlformats.org/officeDocument/2006/relationships/image" Target="media/image11.emf"/><Relationship Id="rId275" Type="http://schemas.openxmlformats.org/officeDocument/2006/relationships/image" Target="media/image165.emf"/><Relationship Id="rId300" Type="http://schemas.openxmlformats.org/officeDocument/2006/relationships/image" Target="media/image183.emf"/><Relationship Id="rId482" Type="http://schemas.openxmlformats.org/officeDocument/2006/relationships/oleObject" Target="embeddings/oleObject182.bin"/><Relationship Id="rId538" Type="http://schemas.openxmlformats.org/officeDocument/2006/relationships/chart" Target="charts/chart7.xml"/><Relationship Id="rId81" Type="http://schemas.openxmlformats.org/officeDocument/2006/relationships/oleObject" Target="embeddings/oleObject36.bin"/><Relationship Id="rId135" Type="http://schemas.openxmlformats.org/officeDocument/2006/relationships/oleObject" Target="embeddings/oleObject44.bin"/><Relationship Id="rId177" Type="http://schemas.openxmlformats.org/officeDocument/2006/relationships/oleObject" Target="embeddings/oleObject64.bin"/><Relationship Id="rId342" Type="http://schemas.openxmlformats.org/officeDocument/2006/relationships/oleObject" Target="embeddings/oleObject127.bin"/><Relationship Id="rId384" Type="http://schemas.openxmlformats.org/officeDocument/2006/relationships/oleObject" Target="embeddings/oleObject145.bin"/><Relationship Id="rId202" Type="http://schemas.openxmlformats.org/officeDocument/2006/relationships/image" Target="media/image120.png"/><Relationship Id="rId244" Type="http://schemas.openxmlformats.org/officeDocument/2006/relationships/oleObject" Target="embeddings/oleObject86.bin"/><Relationship Id="rId39" Type="http://schemas.openxmlformats.org/officeDocument/2006/relationships/oleObject" Target="embeddings/oleObject15.bin"/><Relationship Id="rId286" Type="http://schemas.openxmlformats.org/officeDocument/2006/relationships/image" Target="media/image175.emf"/><Relationship Id="rId451" Type="http://schemas.openxmlformats.org/officeDocument/2006/relationships/image" Target="media/image273.emf"/><Relationship Id="rId493" Type="http://schemas.openxmlformats.org/officeDocument/2006/relationships/image" Target="media/image297.emf"/><Relationship Id="rId507" Type="http://schemas.openxmlformats.org/officeDocument/2006/relationships/oleObject" Target="embeddings/oleObject193.bin"/><Relationship Id="rId549" Type="http://schemas.openxmlformats.org/officeDocument/2006/relationships/oleObject" Target="embeddings/oleObject210.bin"/><Relationship Id="rId50" Type="http://schemas.openxmlformats.org/officeDocument/2006/relationships/image" Target="media/image22.emf"/><Relationship Id="rId104" Type="http://schemas.openxmlformats.org/officeDocument/2006/relationships/oleObject" Target="embeddings/oleObject38.bin"/><Relationship Id="rId146" Type="http://schemas.openxmlformats.org/officeDocument/2006/relationships/image" Target="media/image87.emf"/><Relationship Id="rId188" Type="http://schemas.openxmlformats.org/officeDocument/2006/relationships/image" Target="media/image110.emf"/><Relationship Id="rId311" Type="http://schemas.openxmlformats.org/officeDocument/2006/relationships/image" Target="media/image189.emf"/><Relationship Id="rId353" Type="http://schemas.openxmlformats.org/officeDocument/2006/relationships/image" Target="media/image211.emf"/><Relationship Id="rId395" Type="http://schemas.openxmlformats.org/officeDocument/2006/relationships/image" Target="media/image235.emf"/><Relationship Id="rId409" Type="http://schemas.openxmlformats.org/officeDocument/2006/relationships/image" Target="media/image242.emf"/><Relationship Id="rId560" Type="http://schemas.openxmlformats.org/officeDocument/2006/relationships/oleObject" Target="embeddings/oleObject215.bin"/><Relationship Id="rId92" Type="http://schemas.openxmlformats.org/officeDocument/2006/relationships/image" Target="media/image47.emf"/><Relationship Id="rId213" Type="http://schemas.openxmlformats.org/officeDocument/2006/relationships/oleObject" Target="embeddings/oleObject75.bin"/><Relationship Id="rId420" Type="http://schemas.openxmlformats.org/officeDocument/2006/relationships/oleObject" Target="embeddings/oleObject159.bin"/><Relationship Id="rId255" Type="http://schemas.openxmlformats.org/officeDocument/2006/relationships/image" Target="media/image154.emf"/><Relationship Id="rId297" Type="http://schemas.openxmlformats.org/officeDocument/2006/relationships/oleObject" Target="embeddings/oleObject106.bin"/><Relationship Id="rId462" Type="http://schemas.openxmlformats.org/officeDocument/2006/relationships/oleObject" Target="embeddings/oleObject172.bin"/><Relationship Id="rId518" Type="http://schemas.openxmlformats.org/officeDocument/2006/relationships/oleObject" Target="embeddings/oleObject200.bin"/><Relationship Id="rId115" Type="http://schemas.openxmlformats.org/officeDocument/2006/relationships/oleObject" Target="embeddings/oleObject39.bin"/><Relationship Id="rId157" Type="http://schemas.openxmlformats.org/officeDocument/2006/relationships/oleObject" Target="embeddings/oleObject57.bin"/><Relationship Id="rId322" Type="http://schemas.openxmlformats.org/officeDocument/2006/relationships/oleObject" Target="embeddings/oleObject118.bin"/><Relationship Id="rId364" Type="http://schemas.openxmlformats.org/officeDocument/2006/relationships/oleObject" Target="embeddings/oleObject137.bin"/><Relationship Id="rId61" Type="http://schemas.openxmlformats.org/officeDocument/2006/relationships/oleObject" Target="embeddings/oleObject26.bin"/><Relationship Id="rId199" Type="http://schemas.openxmlformats.org/officeDocument/2006/relationships/image" Target="media/image118.emf"/><Relationship Id="rId571" Type="http://schemas.openxmlformats.org/officeDocument/2006/relationships/image" Target="media/image329.emf"/><Relationship Id="rId19" Type="http://schemas.openxmlformats.org/officeDocument/2006/relationships/oleObject" Target="embeddings/oleObject5.bin"/><Relationship Id="rId224" Type="http://schemas.openxmlformats.org/officeDocument/2006/relationships/image" Target="media/image137.emf"/><Relationship Id="rId266" Type="http://schemas.openxmlformats.org/officeDocument/2006/relationships/oleObject" Target="embeddings/oleObject97.bin"/><Relationship Id="rId431" Type="http://schemas.openxmlformats.org/officeDocument/2006/relationships/image" Target="media/image259.emf"/><Relationship Id="rId473" Type="http://schemas.openxmlformats.org/officeDocument/2006/relationships/image" Target="media/image286.emf"/><Relationship Id="rId529" Type="http://schemas.openxmlformats.org/officeDocument/2006/relationships/oleObject" Target="embeddings/oleObject206.bin"/><Relationship Id="rId30" Type="http://schemas.openxmlformats.org/officeDocument/2006/relationships/image" Target="media/image12.emf"/><Relationship Id="rId126" Type="http://schemas.openxmlformats.org/officeDocument/2006/relationships/image" Target="media/image77.emf"/><Relationship Id="rId168" Type="http://schemas.openxmlformats.org/officeDocument/2006/relationships/image" Target="media/image98.png"/><Relationship Id="rId333" Type="http://schemas.openxmlformats.org/officeDocument/2006/relationships/image" Target="media/image201.emf"/><Relationship Id="rId540" Type="http://schemas.openxmlformats.org/officeDocument/2006/relationships/chart" Target="charts/chart9.xml"/><Relationship Id="rId72" Type="http://schemas.openxmlformats.org/officeDocument/2006/relationships/image" Target="media/image33.emf"/><Relationship Id="rId375" Type="http://schemas.openxmlformats.org/officeDocument/2006/relationships/oleObject" Target="embeddings/oleObject141.bin"/><Relationship Id="rId582" Type="http://schemas.openxmlformats.org/officeDocument/2006/relationships/oleObject" Target="embeddings/oleObject226.bin"/><Relationship Id="rId3" Type="http://schemas.openxmlformats.org/officeDocument/2006/relationships/styles" Target="styles.xml"/><Relationship Id="rId235" Type="http://schemas.openxmlformats.org/officeDocument/2006/relationships/image" Target="media/image144.emf"/><Relationship Id="rId277" Type="http://schemas.openxmlformats.org/officeDocument/2006/relationships/oleObject" Target="embeddings/oleObject101.bin"/><Relationship Id="rId400" Type="http://schemas.openxmlformats.org/officeDocument/2006/relationships/oleObject" Target="embeddings/oleObject153.bin"/><Relationship Id="rId442" Type="http://schemas.openxmlformats.org/officeDocument/2006/relationships/image" Target="media/image266.emf"/><Relationship Id="rId484" Type="http://schemas.openxmlformats.org/officeDocument/2006/relationships/oleObject" Target="embeddings/oleObject183.bin"/><Relationship Id="rId137" Type="http://schemas.openxmlformats.org/officeDocument/2006/relationships/oleObject" Target="embeddings/oleObject45.bin"/><Relationship Id="rId302" Type="http://schemas.openxmlformats.org/officeDocument/2006/relationships/image" Target="media/image184.emf"/><Relationship Id="rId344" Type="http://schemas.openxmlformats.org/officeDocument/2006/relationships/oleObject" Target="embeddings/oleObject128.bin"/><Relationship Id="rId41" Type="http://schemas.openxmlformats.org/officeDocument/2006/relationships/oleObject" Target="embeddings/oleObject16.bin"/><Relationship Id="rId83" Type="http://schemas.openxmlformats.org/officeDocument/2006/relationships/image" Target="media/image39.emf"/><Relationship Id="rId179" Type="http://schemas.openxmlformats.org/officeDocument/2006/relationships/oleObject" Target="embeddings/oleObject65.bin"/><Relationship Id="rId386" Type="http://schemas.openxmlformats.org/officeDocument/2006/relationships/oleObject" Target="embeddings/oleObject146.bin"/><Relationship Id="rId551" Type="http://schemas.openxmlformats.org/officeDocument/2006/relationships/oleObject" Target="embeddings/oleObject211.bin"/><Relationship Id="rId190" Type="http://schemas.openxmlformats.org/officeDocument/2006/relationships/image" Target="media/image111.png"/><Relationship Id="rId204" Type="http://schemas.openxmlformats.org/officeDocument/2006/relationships/image" Target="media/image122.emf"/><Relationship Id="rId246" Type="http://schemas.openxmlformats.org/officeDocument/2006/relationships/oleObject" Target="embeddings/oleObject87.bin"/><Relationship Id="rId288" Type="http://schemas.openxmlformats.org/officeDocument/2006/relationships/image" Target="media/image177.emf"/><Relationship Id="rId411" Type="http://schemas.openxmlformats.org/officeDocument/2006/relationships/image" Target="media/image243.emf"/><Relationship Id="rId453" Type="http://schemas.openxmlformats.org/officeDocument/2006/relationships/image" Target="media/image275.emf"/><Relationship Id="rId509" Type="http://schemas.openxmlformats.org/officeDocument/2006/relationships/oleObject" Target="embeddings/oleObject194.bin"/><Relationship Id="rId106" Type="http://schemas.openxmlformats.org/officeDocument/2006/relationships/image" Target="media/image60.png"/><Relationship Id="rId313" Type="http://schemas.openxmlformats.org/officeDocument/2006/relationships/image" Target="media/image190.emf"/><Relationship Id="rId495" Type="http://schemas.openxmlformats.org/officeDocument/2006/relationships/image" Target="media/image298.emf"/><Relationship Id="rId10" Type="http://schemas.openxmlformats.org/officeDocument/2006/relationships/image" Target="media/image2.emf"/><Relationship Id="rId52" Type="http://schemas.openxmlformats.org/officeDocument/2006/relationships/image" Target="media/image23.emf"/><Relationship Id="rId94" Type="http://schemas.openxmlformats.org/officeDocument/2006/relationships/image" Target="media/image49.emf"/><Relationship Id="rId148" Type="http://schemas.openxmlformats.org/officeDocument/2006/relationships/image" Target="media/image88.emf"/><Relationship Id="rId355" Type="http://schemas.openxmlformats.org/officeDocument/2006/relationships/image" Target="media/image212.emf"/><Relationship Id="rId397" Type="http://schemas.openxmlformats.org/officeDocument/2006/relationships/image" Target="media/image236.emf"/><Relationship Id="rId520" Type="http://schemas.openxmlformats.org/officeDocument/2006/relationships/image" Target="media/image309.emf"/><Relationship Id="rId562" Type="http://schemas.openxmlformats.org/officeDocument/2006/relationships/oleObject" Target="embeddings/oleObject216.bin"/><Relationship Id="rId215" Type="http://schemas.openxmlformats.org/officeDocument/2006/relationships/image" Target="media/image130.emf"/><Relationship Id="rId257" Type="http://schemas.openxmlformats.org/officeDocument/2006/relationships/image" Target="media/image155.emf"/><Relationship Id="rId422" Type="http://schemas.openxmlformats.org/officeDocument/2006/relationships/image" Target="media/image253.emf"/><Relationship Id="rId464" Type="http://schemas.openxmlformats.org/officeDocument/2006/relationships/oleObject" Target="embeddings/oleObject173.bin"/><Relationship Id="rId299" Type="http://schemas.openxmlformats.org/officeDocument/2006/relationships/oleObject" Target="embeddings/oleObject107.bin"/><Relationship Id="rId63" Type="http://schemas.openxmlformats.org/officeDocument/2006/relationships/oleObject" Target="embeddings/oleObject27.bin"/><Relationship Id="rId159" Type="http://schemas.openxmlformats.org/officeDocument/2006/relationships/oleObject" Target="embeddings/oleObject58.bin"/><Relationship Id="rId366" Type="http://schemas.openxmlformats.org/officeDocument/2006/relationships/image" Target="media/image219.emf"/><Relationship Id="rId573" Type="http://schemas.openxmlformats.org/officeDocument/2006/relationships/image" Target="media/image330.emf"/><Relationship Id="rId226" Type="http://schemas.openxmlformats.org/officeDocument/2006/relationships/image" Target="media/image139.emf"/><Relationship Id="rId433" Type="http://schemas.openxmlformats.org/officeDocument/2006/relationships/image" Target="media/image260.emf"/><Relationship Id="rId74" Type="http://schemas.openxmlformats.org/officeDocument/2006/relationships/image" Target="media/image34.emf"/><Relationship Id="rId377" Type="http://schemas.openxmlformats.org/officeDocument/2006/relationships/image" Target="media/image226.emf"/><Relationship Id="rId500" Type="http://schemas.openxmlformats.org/officeDocument/2006/relationships/image" Target="media/image301.emf"/><Relationship Id="rId584" Type="http://schemas.openxmlformats.org/officeDocument/2006/relationships/oleObject" Target="embeddings/oleObject227.bin"/><Relationship Id="rId5" Type="http://schemas.openxmlformats.org/officeDocument/2006/relationships/webSettings" Target="webSettings.xml"/><Relationship Id="rId237" Type="http://schemas.openxmlformats.org/officeDocument/2006/relationships/image" Target="media/image145.emf"/><Relationship Id="rId444" Type="http://schemas.openxmlformats.org/officeDocument/2006/relationships/image" Target="media/image268.png"/><Relationship Id="rId290" Type="http://schemas.openxmlformats.org/officeDocument/2006/relationships/image" Target="media/image178.emf"/><Relationship Id="rId304" Type="http://schemas.openxmlformats.org/officeDocument/2006/relationships/image" Target="media/image185.emf"/><Relationship Id="rId388" Type="http://schemas.openxmlformats.org/officeDocument/2006/relationships/oleObject" Target="embeddings/oleObject147.bin"/><Relationship Id="rId511" Type="http://schemas.openxmlformats.org/officeDocument/2006/relationships/oleObject" Target="embeddings/oleObject195.bin"/><Relationship Id="rId85" Type="http://schemas.openxmlformats.org/officeDocument/2006/relationships/image" Target="media/image41.emf"/><Relationship Id="rId150" Type="http://schemas.openxmlformats.org/officeDocument/2006/relationships/image" Target="media/image89.emf"/><Relationship Id="rId248" Type="http://schemas.openxmlformats.org/officeDocument/2006/relationships/oleObject" Target="embeddings/oleObject88.bin"/><Relationship Id="rId455" Type="http://schemas.openxmlformats.org/officeDocument/2006/relationships/image" Target="media/image276.png"/><Relationship Id="rId12" Type="http://schemas.openxmlformats.org/officeDocument/2006/relationships/image" Target="media/image3.emf"/><Relationship Id="rId108" Type="http://schemas.openxmlformats.org/officeDocument/2006/relationships/image" Target="media/image62.png"/><Relationship Id="rId315" Type="http://schemas.openxmlformats.org/officeDocument/2006/relationships/image" Target="media/image191.emf"/><Relationship Id="rId522" Type="http://schemas.openxmlformats.org/officeDocument/2006/relationships/image" Target="media/image310.emf"/><Relationship Id="rId96" Type="http://schemas.openxmlformats.org/officeDocument/2006/relationships/image" Target="media/image51.emf"/><Relationship Id="rId161" Type="http://schemas.openxmlformats.org/officeDocument/2006/relationships/oleObject" Target="embeddings/oleObject59.bin"/><Relationship Id="rId399" Type="http://schemas.openxmlformats.org/officeDocument/2006/relationships/image" Target="media/image237.emf"/><Relationship Id="rId259" Type="http://schemas.openxmlformats.org/officeDocument/2006/relationships/image" Target="media/image156.emf"/><Relationship Id="rId466" Type="http://schemas.openxmlformats.org/officeDocument/2006/relationships/oleObject" Target="embeddings/oleObject174.bin"/><Relationship Id="rId23" Type="http://schemas.openxmlformats.org/officeDocument/2006/relationships/oleObject" Target="embeddings/oleObject7.bin"/><Relationship Id="rId119" Type="http://schemas.microsoft.com/office/2007/relationships/hdphoto" Target="media/hdphoto2.wdp"/><Relationship Id="rId326" Type="http://schemas.openxmlformats.org/officeDocument/2006/relationships/oleObject" Target="embeddings/oleObject120.bin"/><Relationship Id="rId533" Type="http://schemas.openxmlformats.org/officeDocument/2006/relationships/chart" Target="charts/chart2.xml"/><Relationship Id="rId172" Type="http://schemas.openxmlformats.org/officeDocument/2006/relationships/image" Target="media/image101.emf"/><Relationship Id="rId477" Type="http://schemas.openxmlformats.org/officeDocument/2006/relationships/image" Target="media/image288.emf"/><Relationship Id="rId337" Type="http://schemas.openxmlformats.org/officeDocument/2006/relationships/image" Target="media/image203.emf"/><Relationship Id="rId34" Type="http://schemas.openxmlformats.org/officeDocument/2006/relationships/image" Target="media/image14.emf"/><Relationship Id="rId544" Type="http://schemas.openxmlformats.org/officeDocument/2006/relationships/image" Target="media/image315.emf"/><Relationship Id="rId183" Type="http://schemas.openxmlformats.org/officeDocument/2006/relationships/oleObject" Target="embeddings/oleObject67.bin"/><Relationship Id="rId390" Type="http://schemas.openxmlformats.org/officeDocument/2006/relationships/oleObject" Target="embeddings/oleObject148.bin"/><Relationship Id="rId404" Type="http://schemas.openxmlformats.org/officeDocument/2006/relationships/oleObject" Target="embeddings/oleObject155.bin"/></Relationships>
</file>

<file path=word/charts/_rels/chart1.xml.rels><?xml version="1.0" encoding="UTF-8" standalone="yes"?>
<Relationships xmlns="http://schemas.openxmlformats.org/package/2006/relationships"><Relationship Id="rId1" Type="http://schemas.openxmlformats.org/officeDocument/2006/relationships/oleObject" Target="file:///C:\Users\Camille\Documents\Research\IReO2TPP2-benzyhydrol%20study\Kinetic%20plan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Camille\Documents\Research\IReO2TPP2-benzyhydrol%20study\Kinetic%20plan5.xlsx" TargetMode="External"/></Relationships>
</file>

<file path=word/charts/_rels/chart11.xml.rels><?xml version="1.0" encoding="UTF-8" standalone="yes"?>
<Relationships xmlns="http://schemas.openxmlformats.org/package/2006/relationships"><Relationship Id="rId3" Type="http://schemas.openxmlformats.org/officeDocument/2006/relationships/oleObject" Target="file:///C:\Users\Camille\Documents\Research\IReO2TPP2-benzyhydrol%20study\Kinetic%20plan5.xlsx" TargetMode="External"/><Relationship Id="rId2" Type="http://schemas.microsoft.com/office/2011/relationships/chartColorStyle" Target="colors7.xml"/><Relationship Id="rId1" Type="http://schemas.microsoft.com/office/2011/relationships/chartStyle" Target="style7.xml"/></Relationships>
</file>

<file path=word/charts/_rels/chart12.xml.rels><?xml version="1.0" encoding="UTF-8" standalone="yes"?>
<Relationships xmlns="http://schemas.openxmlformats.org/package/2006/relationships"><Relationship Id="rId1" Type="http://schemas.openxmlformats.org/officeDocument/2006/relationships/oleObject" Target="file:///C:\Users\Camille\Documents\Research\IReO2TPP2-benzyhydrol%20study\Kinetic%20plan5.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Camille\Documents\Research\IReO2TPP2-benzyhydrol%20study\Kinetic%20plan5.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Camille\Documents\Research\IReO2TPP2-benzyhydrol%20study\Kinetic%20plan5.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Camille\Documents\Research\IReO2TPP2-benzyhydrol%20study\Kinetic%20plan5.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Camille\Documents\Research\IReO2TPP2-benzyhydrol%20study\Kinetic%20plan5.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Camille\Documents\Research\IReO2TPP2-benzyhydrol%20study\Kinetic%20plan5.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Camille\Documents\Research\IReO2TPP2-benzyhydrol%20study\Kinetic%20plan5.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1" Type="http://schemas.openxmlformats.org/officeDocument/2006/relationships/oleObject" Target="file:///C:\Users\Camille\Documents\Research\IReO2TPP2-benzyhydrol%20study\Kinetic%20plan5.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Camille\Documents\Research\IReO2TPP2-benzyhydrol%20study\Kinetic%20plan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t>Sample every 10 min at 150</a:t>
            </a:r>
            <a:r>
              <a:rPr lang="en-US" sz="1100" baseline="30000"/>
              <a:t>o</a:t>
            </a:r>
            <a:r>
              <a:rPr lang="en-US" sz="1100"/>
              <a:t>C </a:t>
            </a:r>
          </a:p>
        </c:rich>
      </c:tx>
      <c:layout>
        <c:manualLayout>
          <c:xMode val="edge"/>
          <c:yMode val="edge"/>
          <c:x val="0.278514704892658"/>
          <c:y val="2.22223129079583E-2"/>
        </c:manualLayout>
      </c:layout>
      <c:overlay val="0"/>
      <c:spPr>
        <a:noFill/>
        <a:ln>
          <a:noFill/>
        </a:ln>
        <a:effectLst/>
      </c:spPr>
    </c:title>
    <c:autoTitleDeleted val="0"/>
    <c:plotArea>
      <c:layout>
        <c:manualLayout>
          <c:layoutTarget val="inner"/>
          <c:xMode val="edge"/>
          <c:yMode val="edge"/>
          <c:x val="0.16580299257464601"/>
          <c:y val="0.13888888888888901"/>
          <c:w val="0.78362243982322699"/>
          <c:h val="0.57181452318460202"/>
        </c:manualLayout>
      </c:layout>
      <c:scatterChart>
        <c:scatterStyle val="smoothMarker"/>
        <c:varyColors val="0"/>
        <c:ser>
          <c:idx val="1"/>
          <c:order val="0"/>
          <c:tx>
            <c:strRef>
              <c:f>'Sheet1 (2)'!$Q$10</c:f>
              <c:strCache>
                <c:ptCount val="1"/>
                <c:pt idx="0">
                  <c:v>Ph2CH(OH) a'</c:v>
                </c:pt>
              </c:strCache>
            </c:strRef>
          </c:tx>
          <c:spPr>
            <a:ln w="19050" cap="rnd">
              <a:solidFill>
                <a:schemeClr val="tx1"/>
              </a:solidFill>
              <a:prstDash val="sysDot"/>
              <a:round/>
            </a:ln>
            <a:effectLst/>
          </c:spPr>
          <c:marker>
            <c:symbol val="circle"/>
            <c:size val="5"/>
            <c:spPr>
              <a:solidFill>
                <a:schemeClr val="tx1"/>
              </a:solidFill>
              <a:ln w="9525">
                <a:solidFill>
                  <a:schemeClr val="tx1"/>
                </a:solidFill>
              </a:ln>
              <a:effectLst/>
            </c:spPr>
          </c:marker>
          <c:xVal>
            <c:numRef>
              <c:f>'Sheet1 (2)'!$P$11:$P$14</c:f>
              <c:numCache>
                <c:formatCode>General</c:formatCode>
                <c:ptCount val="4"/>
                <c:pt idx="0">
                  <c:v>0</c:v>
                </c:pt>
                <c:pt idx="1">
                  <c:v>10</c:v>
                </c:pt>
                <c:pt idx="2">
                  <c:v>20</c:v>
                </c:pt>
                <c:pt idx="3">
                  <c:v>30</c:v>
                </c:pt>
              </c:numCache>
            </c:numRef>
          </c:xVal>
          <c:yVal>
            <c:numRef>
              <c:f>'Sheet1 (2)'!$Q$11:$Q$14</c:f>
              <c:numCache>
                <c:formatCode>General</c:formatCode>
                <c:ptCount val="4"/>
                <c:pt idx="0">
                  <c:v>0.10190217391304347</c:v>
                </c:pt>
                <c:pt idx="1">
                  <c:v>3.6648333333333331E-2</c:v>
                </c:pt>
                <c:pt idx="2">
                  <c:v>1.0003333333333333E-2</c:v>
                </c:pt>
                <c:pt idx="3">
                  <c:v>3.9199999999999999E-3</c:v>
                </c:pt>
              </c:numCache>
            </c:numRef>
          </c:yVal>
          <c:smooth val="1"/>
          <c:extLst xmlns:c16r2="http://schemas.microsoft.com/office/drawing/2015/06/chart">
            <c:ext xmlns:c16="http://schemas.microsoft.com/office/drawing/2014/chart" uri="{C3380CC4-5D6E-409C-BE32-E72D297353CC}">
              <c16:uniqueId val="{00000000-D51E-4C06-80FB-8D390BD05A85}"/>
            </c:ext>
          </c:extLst>
        </c:ser>
        <c:ser>
          <c:idx val="2"/>
          <c:order val="1"/>
          <c:tx>
            <c:strRef>
              <c:f>'Sheet1 (2)'!$R$10</c:f>
              <c:strCache>
                <c:ptCount val="1"/>
                <c:pt idx="0">
                  <c:v>RC product a'</c:v>
                </c:pt>
              </c:strCache>
            </c:strRef>
          </c:tx>
          <c:spPr>
            <a:ln w="19050" cap="rnd">
              <a:solidFill>
                <a:schemeClr val="bg1">
                  <a:lumMod val="50000"/>
                </a:schemeClr>
              </a:solidFill>
              <a:round/>
            </a:ln>
            <a:effectLst/>
          </c:spPr>
          <c:marker>
            <c:symbol val="x"/>
            <c:size val="5"/>
            <c:spPr>
              <a:noFill/>
              <a:ln w="9525">
                <a:solidFill>
                  <a:schemeClr val="bg1">
                    <a:lumMod val="50000"/>
                  </a:schemeClr>
                </a:solidFill>
              </a:ln>
              <a:effectLst/>
            </c:spPr>
          </c:marker>
          <c:dPt>
            <c:idx val="1"/>
            <c:bubble3D val="0"/>
            <c:spPr>
              <a:ln w="19050" cap="rnd">
                <a:solidFill>
                  <a:schemeClr val="bg1">
                    <a:lumMod val="50000"/>
                  </a:schemeClr>
                </a:solidFill>
                <a:prstDash val="sysDot"/>
                <a:round/>
              </a:ln>
              <a:effectLst/>
            </c:spPr>
            <c:extLst xmlns:c16r2="http://schemas.microsoft.com/office/drawing/2015/06/chart">
              <c:ext xmlns:c16="http://schemas.microsoft.com/office/drawing/2014/chart" uri="{C3380CC4-5D6E-409C-BE32-E72D297353CC}">
                <c16:uniqueId val="{00000002-D51E-4C06-80FB-8D390BD05A85}"/>
              </c:ext>
            </c:extLst>
          </c:dPt>
          <c:dPt>
            <c:idx val="2"/>
            <c:bubble3D val="0"/>
            <c:spPr>
              <a:ln w="19050" cap="rnd">
                <a:solidFill>
                  <a:schemeClr val="bg1">
                    <a:lumMod val="50000"/>
                  </a:schemeClr>
                </a:solidFill>
                <a:prstDash val="sysDot"/>
                <a:round/>
              </a:ln>
              <a:effectLst/>
            </c:spPr>
            <c:extLst xmlns:c16r2="http://schemas.microsoft.com/office/drawing/2015/06/chart">
              <c:ext xmlns:c16="http://schemas.microsoft.com/office/drawing/2014/chart" uri="{C3380CC4-5D6E-409C-BE32-E72D297353CC}">
                <c16:uniqueId val="{00000004-D51E-4C06-80FB-8D390BD05A85}"/>
              </c:ext>
            </c:extLst>
          </c:dPt>
          <c:dPt>
            <c:idx val="3"/>
            <c:bubble3D val="0"/>
            <c:spPr>
              <a:ln w="19050" cap="rnd">
                <a:solidFill>
                  <a:schemeClr val="bg1">
                    <a:lumMod val="50000"/>
                  </a:schemeClr>
                </a:solidFill>
                <a:prstDash val="sysDot"/>
                <a:round/>
              </a:ln>
              <a:effectLst/>
            </c:spPr>
            <c:extLst xmlns:c16r2="http://schemas.microsoft.com/office/drawing/2015/06/chart">
              <c:ext xmlns:c16="http://schemas.microsoft.com/office/drawing/2014/chart" uri="{C3380CC4-5D6E-409C-BE32-E72D297353CC}">
                <c16:uniqueId val="{00000006-D51E-4C06-80FB-8D390BD05A85}"/>
              </c:ext>
            </c:extLst>
          </c:dPt>
          <c:xVal>
            <c:numRef>
              <c:f>'Sheet1 (2)'!$P$11:$P$14</c:f>
              <c:numCache>
                <c:formatCode>General</c:formatCode>
                <c:ptCount val="4"/>
                <c:pt idx="0">
                  <c:v>0</c:v>
                </c:pt>
                <c:pt idx="1">
                  <c:v>10</c:v>
                </c:pt>
                <c:pt idx="2">
                  <c:v>20</c:v>
                </c:pt>
                <c:pt idx="3">
                  <c:v>30</c:v>
                </c:pt>
              </c:numCache>
            </c:numRef>
          </c:xVal>
          <c:yVal>
            <c:numRef>
              <c:f>'Sheet1 (2)'!$R$11:$R$14</c:f>
              <c:numCache>
                <c:formatCode>General</c:formatCode>
                <c:ptCount val="4"/>
                <c:pt idx="0">
                  <c:v>0</c:v>
                </c:pt>
                <c:pt idx="1">
                  <c:v>4.2731666666666668E-2</c:v>
                </c:pt>
                <c:pt idx="2">
                  <c:v>9.3171666666666653E-2</c:v>
                </c:pt>
                <c:pt idx="3">
                  <c:v>0.10750666666666665</c:v>
                </c:pt>
              </c:numCache>
            </c:numRef>
          </c:yVal>
          <c:smooth val="1"/>
          <c:extLst xmlns:c16r2="http://schemas.microsoft.com/office/drawing/2015/06/chart">
            <c:ext xmlns:c16="http://schemas.microsoft.com/office/drawing/2014/chart" uri="{C3380CC4-5D6E-409C-BE32-E72D297353CC}">
              <c16:uniqueId val="{00000007-D51E-4C06-80FB-8D390BD05A85}"/>
            </c:ext>
          </c:extLst>
        </c:ser>
        <c:dLbls>
          <c:showLegendKey val="0"/>
          <c:showVal val="0"/>
          <c:showCatName val="0"/>
          <c:showSerName val="0"/>
          <c:showPercent val="0"/>
          <c:showBubbleSize val="0"/>
        </c:dLbls>
        <c:axId val="245248416"/>
        <c:axId val="245258208"/>
        <c:extLst xmlns:c16r2="http://schemas.microsoft.com/office/drawing/2015/06/chart"/>
      </c:scatterChart>
      <c:valAx>
        <c:axId val="2452484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a:t>
                </a:r>
              </a:p>
            </c:rich>
          </c:tx>
          <c:layout>
            <c:manualLayout>
              <c:xMode val="edge"/>
              <c:yMode val="edge"/>
              <c:x val="0.43479198720849599"/>
              <c:y val="0.7840271216097990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258208"/>
        <c:crosses val="autoZero"/>
        <c:crossBetween val="midCat"/>
      </c:valAx>
      <c:valAx>
        <c:axId val="24525820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 (mmol/L)</a:t>
                </a:r>
              </a:p>
            </c:rich>
          </c:tx>
          <c:layout>
            <c:manualLayout>
              <c:xMode val="edge"/>
              <c:yMode val="edge"/>
              <c:x val="0"/>
              <c:y val="0.3258377077865269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248416"/>
        <c:crosses val="autoZero"/>
        <c:crossBetween val="midCat"/>
      </c:valAx>
      <c:spPr>
        <a:noFill/>
        <a:ln>
          <a:noFill/>
        </a:ln>
        <a:effectLst/>
      </c:spPr>
    </c:plotArea>
    <c:legend>
      <c:legendPos val="b"/>
      <c:layout>
        <c:manualLayout>
          <c:xMode val="edge"/>
          <c:yMode val="edge"/>
          <c:x val="7.8605152804175293E-2"/>
          <c:y val="0.87847156605424304"/>
          <c:w val="0.84278969439164897"/>
          <c:h val="9.375065616797899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spc="0" baseline="0">
                <a:solidFill>
                  <a:sysClr val="windowText" lastClr="000000"/>
                </a:solidFill>
                <a:latin typeface="+mn-lt"/>
                <a:ea typeface="+mn-ea"/>
                <a:cs typeface="+mn-cs"/>
              </a:defRPr>
            </a:pPr>
            <a:r>
              <a:rPr lang="en-US" sz="1000" b="1">
                <a:solidFill>
                  <a:sysClr val="windowText" lastClr="000000"/>
                </a:solidFill>
              </a:rPr>
              <a:t>PPh</a:t>
            </a:r>
            <a:r>
              <a:rPr lang="en-US" sz="1000" b="1" baseline="-25000">
                <a:solidFill>
                  <a:sysClr val="windowText" lastClr="000000"/>
                </a:solidFill>
              </a:rPr>
              <a:t>3</a:t>
            </a:r>
            <a:r>
              <a:rPr lang="en-US" sz="1000" b="1">
                <a:solidFill>
                  <a:sysClr val="windowText" lastClr="000000"/>
                </a:solidFill>
              </a:rPr>
              <a:t> </a:t>
            </a:r>
            <a:r>
              <a:rPr lang="en-US" sz="1000" b="1" i="0" baseline="0">
                <a:solidFill>
                  <a:sysClr val="windowText" lastClr="000000"/>
                </a:solidFill>
                <a:effectLst/>
              </a:rPr>
              <a:t>(with Ph</a:t>
            </a:r>
            <a:r>
              <a:rPr lang="en-US" sz="1000" b="1" i="0" baseline="-25000">
                <a:solidFill>
                  <a:sysClr val="windowText" lastClr="000000"/>
                </a:solidFill>
                <a:effectLst/>
              </a:rPr>
              <a:t>2</a:t>
            </a:r>
            <a:r>
              <a:rPr lang="en-US" sz="1000" b="1" i="0" baseline="0">
                <a:solidFill>
                  <a:sysClr val="windowText" lastClr="000000"/>
                </a:solidFill>
                <a:effectLst/>
              </a:rPr>
              <a:t>CHOH 100 mmol/L)</a:t>
            </a:r>
            <a:endParaRPr lang="en-US" sz="1000" b="1">
              <a:solidFill>
                <a:sysClr val="windowText" lastClr="000000"/>
              </a:solidFill>
              <a:effectLst/>
            </a:endParaRPr>
          </a:p>
        </c:rich>
      </c:tx>
      <c:layout>
        <c:manualLayout>
          <c:xMode val="edge"/>
          <c:yMode val="edge"/>
          <c:x val="0.15286866081394998"/>
          <c:y val="1.0872166184804307E-3"/>
        </c:manualLayout>
      </c:layout>
      <c:overlay val="0"/>
      <c:spPr>
        <a:noFill/>
        <a:ln>
          <a:noFill/>
        </a:ln>
        <a:effectLst/>
      </c:spPr>
    </c:title>
    <c:autoTitleDeleted val="0"/>
    <c:plotArea>
      <c:layout>
        <c:manualLayout>
          <c:layoutTarget val="inner"/>
          <c:xMode val="edge"/>
          <c:yMode val="edge"/>
          <c:x val="0.15776540863426555"/>
          <c:y val="8.1444634345058092E-3"/>
          <c:w val="0.77578363049446397"/>
          <c:h val="0.77053742861048802"/>
        </c:manualLayout>
      </c:layout>
      <c:scatterChart>
        <c:scatterStyle val="lineMarker"/>
        <c:varyColors val="0"/>
        <c:ser>
          <c:idx val="53"/>
          <c:order val="1"/>
          <c:tx>
            <c:strRef>
              <c:f>'Sheet1 (2)'!$O$48</c:f>
              <c:strCache>
                <c:ptCount val="1"/>
                <c:pt idx="0">
                  <c:v>a'''</c:v>
                </c:pt>
              </c:strCache>
            </c:strRef>
          </c:tx>
          <c:spPr>
            <a:ln w="25400" cap="rnd">
              <a:noFill/>
              <a:round/>
            </a:ln>
            <a:effectLst/>
          </c:spPr>
          <c:marker>
            <c:symbol val="triangle"/>
            <c:size val="4"/>
            <c:spPr>
              <a:solidFill>
                <a:schemeClr val="bg1"/>
              </a:solidFill>
              <a:ln w="9525">
                <a:solidFill>
                  <a:schemeClr val="tx1">
                    <a:lumMod val="65000"/>
                    <a:lumOff val="35000"/>
                  </a:schemeClr>
                </a:solidFill>
              </a:ln>
              <a:effectLst/>
            </c:spPr>
          </c:marker>
          <c:trendline>
            <c:spPr>
              <a:ln w="19050" cap="rnd">
                <a:solidFill>
                  <a:schemeClr val="tx1">
                    <a:lumMod val="65000"/>
                    <a:lumOff val="35000"/>
                  </a:schemeClr>
                </a:solidFill>
                <a:prstDash val="sysDot"/>
              </a:ln>
              <a:effectLst/>
            </c:spPr>
            <c:trendlineType val="linear"/>
            <c:dispRSqr val="1"/>
            <c:dispEq val="1"/>
            <c:trendlineLbl>
              <c:layout>
                <c:manualLayout>
                  <c:x val="-0.14298529090113701"/>
                  <c:y val="0.10263031710308"/>
                </c:manualLayout>
              </c:layout>
              <c:numFmt formatCode="#,##0.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rendlineLbl>
          </c:trendline>
          <c:xVal>
            <c:numRef>
              <c:f>'Sheet1 (2)'!$P$50:$P$57</c:f>
              <c:numCache>
                <c:formatCode>General</c:formatCode>
                <c:ptCount val="8"/>
                <c:pt idx="0">
                  <c:v>2</c:v>
                </c:pt>
                <c:pt idx="1">
                  <c:v>3</c:v>
                </c:pt>
                <c:pt idx="2">
                  <c:v>4</c:v>
                </c:pt>
                <c:pt idx="3">
                  <c:v>5</c:v>
                </c:pt>
                <c:pt idx="4">
                  <c:v>6</c:v>
                </c:pt>
                <c:pt idx="5">
                  <c:v>7</c:v>
                </c:pt>
                <c:pt idx="6">
                  <c:v>8</c:v>
                </c:pt>
                <c:pt idx="7">
                  <c:v>9</c:v>
                </c:pt>
              </c:numCache>
            </c:numRef>
          </c:xVal>
          <c:yVal>
            <c:numRef>
              <c:f>'Sheet1 (2)'!$R$50:$R$57</c:f>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c:ext xmlns:c16="http://schemas.microsoft.com/office/drawing/2014/chart" uri="{C3380CC4-5D6E-409C-BE32-E72D297353CC}">
              <c16:uniqueId val="{00000000-463C-47AD-9A77-7B9F73FCCF61}"/>
            </c:ext>
          </c:extLst>
        </c:ser>
        <c:ser>
          <c:idx val="58"/>
          <c:order val="6"/>
          <c:tx>
            <c:strRef>
              <c:f>'Sheet1 (2)'!$O$132</c:f>
              <c:strCache>
                <c:ptCount val="1"/>
                <c:pt idx="0">
                  <c:v>f</c:v>
                </c:pt>
              </c:strCache>
            </c:strRef>
          </c:tx>
          <c:spPr>
            <a:ln w="25400" cap="rnd">
              <a:noFill/>
              <a:round/>
            </a:ln>
            <a:effectLst/>
          </c:spPr>
          <c:marker>
            <c:symbol val="square"/>
            <c:size val="3"/>
            <c:spPr>
              <a:solidFill>
                <a:schemeClr val="tx1"/>
              </a:solidFill>
              <a:ln w="9525">
                <a:solidFill>
                  <a:schemeClr val="tx1"/>
                </a:solidFill>
              </a:ln>
              <a:effectLst/>
            </c:spPr>
          </c:marker>
          <c:trendline>
            <c:spPr>
              <a:ln w="19050" cap="rnd">
                <a:solidFill>
                  <a:schemeClr val="tx1"/>
                </a:solidFill>
                <a:prstDash val="sysDot"/>
              </a:ln>
              <a:effectLst/>
            </c:spPr>
            <c:trendlineType val="linear"/>
            <c:dispRSqr val="1"/>
            <c:dispEq val="1"/>
            <c:trendlineLbl>
              <c:layout>
                <c:manualLayout>
                  <c:x val="-4.8649387576552901E-3"/>
                  <c:y val="3.25685125068099E-2"/>
                </c:manualLayout>
              </c:layout>
              <c:numFmt formatCode="#,##0.00" sourceLinked="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trendlineLbl>
          </c:trendline>
          <c:xVal>
            <c:numRef>
              <c:f>('Sheet1 (2)'!$P$134:$P$141,'Sheet1 (2)'!$P$143)</c:f>
              <c:numCache>
                <c:formatCode>General</c:formatCode>
                <c:ptCount val="9"/>
                <c:pt idx="0">
                  <c:v>2</c:v>
                </c:pt>
                <c:pt idx="1">
                  <c:v>3</c:v>
                </c:pt>
                <c:pt idx="2">
                  <c:v>4</c:v>
                </c:pt>
                <c:pt idx="3">
                  <c:v>5</c:v>
                </c:pt>
                <c:pt idx="4">
                  <c:v>6</c:v>
                </c:pt>
                <c:pt idx="5">
                  <c:v>7</c:v>
                </c:pt>
                <c:pt idx="6">
                  <c:v>8</c:v>
                </c:pt>
                <c:pt idx="7">
                  <c:v>9</c:v>
                </c:pt>
                <c:pt idx="8">
                  <c:v>11</c:v>
                </c:pt>
              </c:numCache>
            </c:numRef>
          </c:xVal>
          <c:yVal>
            <c:numRef>
              <c:f>('Sheet1 (2)'!$R$134:$R$141,'Sheet1 (2)'!$R$143)</c:f>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c:ext xmlns:c16="http://schemas.microsoft.com/office/drawing/2014/chart" uri="{C3380CC4-5D6E-409C-BE32-E72D297353CC}">
              <c16:uniqueId val="{00000001-463C-47AD-9A77-7B9F73FCCF61}"/>
            </c:ext>
          </c:extLst>
        </c:ser>
        <c:ser>
          <c:idx val="59"/>
          <c:order val="7"/>
          <c:tx>
            <c:strRef>
              <c:f>'Sheet1 (2)'!$O$146</c:f>
              <c:strCache>
                <c:ptCount val="1"/>
                <c:pt idx="0">
                  <c:v>g</c:v>
                </c:pt>
              </c:strCache>
            </c:strRef>
          </c:tx>
          <c:spPr>
            <a:ln w="25400" cap="rnd">
              <a:noFill/>
              <a:round/>
            </a:ln>
            <a:effectLst/>
          </c:spPr>
          <c:marker>
            <c:symbol val="circle"/>
            <c:size val="3"/>
            <c:spPr>
              <a:solidFill>
                <a:schemeClr val="bg1">
                  <a:lumMod val="75000"/>
                </a:schemeClr>
              </a:solidFill>
              <a:ln w="9525">
                <a:solidFill>
                  <a:schemeClr val="bg1">
                    <a:lumMod val="75000"/>
                  </a:schemeClr>
                </a:solidFill>
              </a:ln>
              <a:effectLst/>
            </c:spPr>
          </c:marker>
          <c:trendline>
            <c:spPr>
              <a:ln w="19050" cap="rnd">
                <a:solidFill>
                  <a:schemeClr val="bg1">
                    <a:lumMod val="75000"/>
                  </a:schemeClr>
                </a:solidFill>
                <a:prstDash val="sysDot"/>
              </a:ln>
              <a:effectLst/>
            </c:spPr>
            <c:trendlineType val="linear"/>
            <c:dispRSqr val="1"/>
            <c:dispEq val="1"/>
            <c:trendlineLbl>
              <c:layout>
                <c:manualLayout>
                  <c:x val="0.19637561468609527"/>
                  <c:y val="0.18850286724527685"/>
                </c:manualLayout>
              </c:layout>
              <c:numFmt formatCode="#,##0.00" sourceLinked="0"/>
              <c:spPr>
                <a:noFill/>
                <a:ln>
                  <a:noFill/>
                </a:ln>
                <a:effectLst/>
              </c:spPr>
              <c:txPr>
                <a:bodyPr rot="0" spcFirstLastPara="1" vertOverflow="ellipsis" vert="horz" wrap="square" anchor="ctr" anchorCtr="1"/>
                <a:lstStyle/>
                <a:p>
                  <a:pPr>
                    <a:defRPr sz="800" b="0" i="0" u="none" strike="noStrike" kern="1200" baseline="0">
                      <a:solidFill>
                        <a:schemeClr val="bg1">
                          <a:lumMod val="75000"/>
                        </a:schemeClr>
                      </a:solidFill>
                      <a:latin typeface="+mn-lt"/>
                      <a:ea typeface="+mn-ea"/>
                      <a:cs typeface="+mn-cs"/>
                    </a:defRPr>
                  </a:pPr>
                  <a:endParaRPr lang="en-US"/>
                </a:p>
              </c:txPr>
            </c:trendlineLbl>
          </c:trendline>
          <c:xVal>
            <c:numRef>
              <c:f>'Sheet1 (2)'!$P$148:$P$156</c:f>
              <c:numCache>
                <c:formatCode>General</c:formatCode>
                <c:ptCount val="9"/>
                <c:pt idx="0">
                  <c:v>2</c:v>
                </c:pt>
                <c:pt idx="1">
                  <c:v>3</c:v>
                </c:pt>
                <c:pt idx="2">
                  <c:v>4</c:v>
                </c:pt>
                <c:pt idx="3">
                  <c:v>5</c:v>
                </c:pt>
                <c:pt idx="4">
                  <c:v>6</c:v>
                </c:pt>
                <c:pt idx="5">
                  <c:v>7</c:v>
                </c:pt>
                <c:pt idx="6">
                  <c:v>8</c:v>
                </c:pt>
                <c:pt idx="7">
                  <c:v>9</c:v>
                </c:pt>
                <c:pt idx="8">
                  <c:v>10</c:v>
                </c:pt>
              </c:numCache>
            </c:numRef>
          </c:xVal>
          <c:yVal>
            <c:numRef>
              <c:f>'Sheet1 (2)'!$R$148:$R$156</c:f>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c:ext xmlns:c16="http://schemas.microsoft.com/office/drawing/2014/chart" uri="{C3380CC4-5D6E-409C-BE32-E72D297353CC}">
              <c16:uniqueId val="{00000002-463C-47AD-9A77-7B9F73FCCF61}"/>
            </c:ext>
          </c:extLst>
        </c:ser>
        <c:ser>
          <c:idx val="60"/>
          <c:order val="8"/>
          <c:tx>
            <c:strRef>
              <c:f>'Sheet1 (2)'!$O$160</c:f>
              <c:strCache>
                <c:ptCount val="1"/>
                <c:pt idx="0">
                  <c:v>i</c:v>
                </c:pt>
              </c:strCache>
            </c:strRef>
          </c:tx>
          <c:spPr>
            <a:ln w="25400" cap="rnd">
              <a:noFill/>
              <a:round/>
            </a:ln>
            <a:effectLst/>
          </c:spPr>
          <c:marker>
            <c:symbol val="diamond"/>
            <c:size val="4"/>
            <c:spPr>
              <a:solidFill>
                <a:schemeClr val="bg1">
                  <a:lumMod val="50000"/>
                </a:schemeClr>
              </a:solidFill>
              <a:ln w="9525">
                <a:solidFill>
                  <a:schemeClr val="bg1">
                    <a:lumMod val="50000"/>
                  </a:schemeClr>
                </a:solidFill>
              </a:ln>
              <a:effectLst/>
            </c:spPr>
          </c:marker>
          <c:trendline>
            <c:spPr>
              <a:ln w="19050" cap="rnd">
                <a:solidFill>
                  <a:schemeClr val="bg1">
                    <a:lumMod val="50000"/>
                  </a:schemeClr>
                </a:solidFill>
                <a:prstDash val="sysDot"/>
              </a:ln>
              <a:effectLst/>
            </c:spPr>
            <c:trendlineType val="linear"/>
            <c:dispRSqr val="1"/>
            <c:dispEq val="1"/>
            <c:trendlineLbl>
              <c:layout>
                <c:manualLayout>
                  <c:x val="4.2603218357190002E-3"/>
                  <c:y val="-4.6588132285771598E-2"/>
                </c:manualLayout>
              </c:layout>
              <c:numFmt formatCode="#,##0.00" sourceLinked="0"/>
              <c:spPr>
                <a:noFill/>
                <a:ln>
                  <a:noFill/>
                </a:ln>
                <a:effectLst/>
              </c:spPr>
              <c:txPr>
                <a:bodyPr rot="0" spcFirstLastPara="1" vertOverflow="ellipsis" vert="horz" wrap="square" anchor="ctr" anchorCtr="1"/>
                <a:lstStyle/>
                <a:p>
                  <a:pPr>
                    <a:defRPr sz="800" b="0" i="0" u="none" strike="noStrike" kern="1200" baseline="0">
                      <a:solidFill>
                        <a:schemeClr val="bg1">
                          <a:lumMod val="50000"/>
                        </a:schemeClr>
                      </a:solidFill>
                      <a:latin typeface="+mn-lt"/>
                      <a:ea typeface="+mn-ea"/>
                      <a:cs typeface="+mn-cs"/>
                    </a:defRPr>
                  </a:pPr>
                  <a:endParaRPr lang="en-US"/>
                </a:p>
              </c:txPr>
            </c:trendlineLbl>
          </c:trendline>
          <c:xVal>
            <c:numRef>
              <c:f>'Sheet1 (2)'!$P$162:$P$170</c:f>
              <c:numCache>
                <c:formatCode>General</c:formatCode>
                <c:ptCount val="9"/>
                <c:pt idx="0">
                  <c:v>3</c:v>
                </c:pt>
                <c:pt idx="1">
                  <c:v>4</c:v>
                </c:pt>
                <c:pt idx="2">
                  <c:v>5</c:v>
                </c:pt>
                <c:pt idx="3">
                  <c:v>6</c:v>
                </c:pt>
                <c:pt idx="4">
                  <c:v>7</c:v>
                </c:pt>
                <c:pt idx="5">
                  <c:v>8</c:v>
                </c:pt>
                <c:pt idx="6">
                  <c:v>9</c:v>
                </c:pt>
                <c:pt idx="7">
                  <c:v>10</c:v>
                </c:pt>
                <c:pt idx="8">
                  <c:v>11</c:v>
                </c:pt>
              </c:numCache>
            </c:numRef>
          </c:xVal>
          <c:yVal>
            <c:numRef>
              <c:f>'Sheet1 (2)'!$R$162:$R$170</c:f>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c:ext xmlns:c16="http://schemas.microsoft.com/office/drawing/2014/chart" uri="{C3380CC4-5D6E-409C-BE32-E72D297353CC}">
              <c16:uniqueId val="{00000003-463C-47AD-9A77-7B9F73FCCF61}"/>
            </c:ext>
          </c:extLst>
        </c:ser>
        <c:dLbls>
          <c:showLegendKey val="0"/>
          <c:showVal val="0"/>
          <c:showCatName val="0"/>
          <c:showSerName val="0"/>
          <c:showPercent val="0"/>
          <c:showBubbleSize val="0"/>
        </c:dLbls>
        <c:axId val="249081904"/>
        <c:axId val="249082448"/>
        <c:extLst xmlns:c16r2="http://schemas.microsoft.com/office/drawing/2015/06/chart">
          <c:ext xmlns:c15="http://schemas.microsoft.com/office/drawing/2012/chart" uri="{02D57815-91ED-43cb-92C2-25804820EDAC}">
            <c15:filteredScatterSeries>
              <c15:ser>
                <c:idx val="52"/>
                <c:order val="0"/>
                <c:tx>
                  <c:strRef>
                    <c:extLst xmlns:c16r2="http://schemas.microsoft.com/office/drawing/2015/06/chart">
                      <c:ex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5">
                        <a:lumMod val="50000"/>
                        <a:lumOff val="50000"/>
                      </a:schemeClr>
                    </a:solidFill>
                    <a:ln w="9525">
                      <a:solidFill>
                        <a:schemeClr val="accent5">
                          <a:lumMod val="50000"/>
                          <a:lumOff val="50000"/>
                        </a:schemeClr>
                      </a:solidFill>
                    </a:ln>
                    <a:effectLst/>
                  </c:spPr>
                </c:marker>
                <c:xVal>
                  <c:numRef>
                    <c:extLst xmlns:c16r2="http://schemas.microsoft.com/office/drawing/2015/06/chart">
                      <c:ex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c:ex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c:ext xmlns:c16="http://schemas.microsoft.com/office/drawing/2014/chart" uri="{C3380CC4-5D6E-409C-BE32-E72D297353CC}">
                    <c16:uniqueId val="{00000004-463C-47AD-9A77-7B9F73FCCF61}"/>
                  </c:ext>
                </c:extLst>
              </c15:ser>
            </c15:filteredScatterSeries>
            <c15:filteredScatterSeries>
              <c15:ser>
                <c:idx val="54"/>
                <c:order val="2"/>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1"/>
                    </a:solidFill>
                    <a:ln w="9525">
                      <a:solidFill>
                        <a:schemeClr val="accent1"/>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5-463C-47AD-9A77-7B9F73FCCF61}"/>
                  </c:ext>
                </c:extLst>
              </c15:ser>
            </c15:filteredScatterSeries>
            <c15:filteredScatterSeries>
              <c15:ser>
                <c:idx val="55"/>
                <c:order val="3"/>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2"/>
                    </a:solidFill>
                    <a:ln w="9525">
                      <a:solidFill>
                        <a:schemeClr val="accent2"/>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6-463C-47AD-9A77-7B9F73FCCF61}"/>
                  </c:ext>
                </c:extLst>
              </c15:ser>
            </c15:filteredScatterSeries>
            <c15:filteredScatterSeries>
              <c15:ser>
                <c:idx val="56"/>
                <c:order val="4"/>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3"/>
                    </a:solidFill>
                    <a:ln w="9525">
                      <a:solidFill>
                        <a:schemeClr val="accent3"/>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7-463C-47AD-9A77-7B9F73FCCF61}"/>
                  </c:ext>
                </c:extLst>
              </c15:ser>
            </c15:filteredScatterSeries>
            <c15:filteredScatterSeries>
              <c15:ser>
                <c:idx val="57"/>
                <c:order val="5"/>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4"/>
                    </a:solidFill>
                    <a:ln w="9525">
                      <a:solidFill>
                        <a:schemeClr val="accent4"/>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8-463C-47AD-9A77-7B9F73FCCF61}"/>
                  </c:ext>
                </c:extLst>
              </c15:ser>
            </c15:filteredScatterSeries>
            <c15:filteredScatterSeries>
              <c15:ser>
                <c:idx val="61"/>
                <c:order val="9"/>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9-463C-47AD-9A77-7B9F73FCCF61}"/>
                  </c:ext>
                </c:extLst>
              </c15:ser>
            </c15:filteredScatterSeries>
            <c15:filteredScatterSeries>
              <c15:ser>
                <c:idx val="62"/>
                <c:order val="10"/>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A-463C-47AD-9A77-7B9F73FCCF61}"/>
                  </c:ext>
                </c:extLst>
              </c15:ser>
            </c15:filteredScatterSeries>
            <c15:filteredScatterSeries>
              <c15:ser>
                <c:idx val="63"/>
                <c:order val="11"/>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B-463C-47AD-9A77-7B9F73FCCF61}"/>
                  </c:ext>
                </c:extLst>
              </c15:ser>
            </c15:filteredScatterSeries>
            <c15:filteredScatterSeries>
              <c15:ser>
                <c:idx val="64"/>
                <c:order val="12"/>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5">
                        <a:lumMod val="60000"/>
                      </a:schemeClr>
                    </a:solidFill>
                    <a:ln w="9525">
                      <a:solidFill>
                        <a:schemeClr val="accent5">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C-463C-47AD-9A77-7B9F73FCCF61}"/>
                  </c:ext>
                </c:extLst>
              </c15:ser>
            </c15:filteredScatterSeries>
            <c15:filteredScatterSeries>
              <c15:ser>
                <c:idx val="65"/>
                <c:order val="13"/>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6">
                        <a:lumMod val="60000"/>
                      </a:schemeClr>
                    </a:solidFill>
                    <a:ln w="9525">
                      <a:solidFill>
                        <a:schemeClr val="accent6">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D-463C-47AD-9A77-7B9F73FCCF61}"/>
                  </c:ext>
                </c:extLst>
              </c15:ser>
            </c15:filteredScatterSeries>
            <c15:filteredScatterSeries>
              <c15:ser>
                <c:idx val="66"/>
                <c:order val="14"/>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E-463C-47AD-9A77-7B9F73FCCF61}"/>
                  </c:ext>
                </c:extLst>
              </c15:ser>
            </c15:filteredScatterSeries>
            <c15:filteredScatterSeries>
              <c15:ser>
                <c:idx val="67"/>
                <c:order val="15"/>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F-463C-47AD-9A77-7B9F73FCCF61}"/>
                  </c:ext>
                </c:extLst>
              </c15:ser>
            </c15:filteredScatterSeries>
            <c15:filteredScatterSeries>
              <c15:ser>
                <c:idx val="68"/>
                <c:order val="16"/>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0-463C-47AD-9A77-7B9F73FCCF61}"/>
                  </c:ext>
                </c:extLst>
              </c15:ser>
            </c15:filteredScatterSeries>
            <c15:filteredScatterSeries>
              <c15:ser>
                <c:idx val="69"/>
                <c:order val="17"/>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1-463C-47AD-9A77-7B9F73FCCF61}"/>
                  </c:ext>
                </c:extLst>
              </c15:ser>
            </c15:filteredScatterSeries>
            <c15:filteredScatterSeries>
              <c15:ser>
                <c:idx val="70"/>
                <c:order val="18"/>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2-463C-47AD-9A77-7B9F73FCCF61}"/>
                  </c:ext>
                </c:extLst>
              </c15:ser>
            </c15:filteredScatterSeries>
            <c15:filteredScatterSeries>
              <c15:ser>
                <c:idx val="71"/>
                <c:order val="19"/>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3-463C-47AD-9A77-7B9F73FCCF61}"/>
                  </c:ext>
                </c:extLst>
              </c15:ser>
            </c15:filteredScatterSeries>
            <c15:filteredScatterSeries>
              <c15:ser>
                <c:idx val="72"/>
                <c:order val="20"/>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1">
                        <a:lumMod val="80000"/>
                      </a:schemeClr>
                    </a:solidFill>
                    <a:ln w="9525">
                      <a:solidFill>
                        <a:schemeClr val="accent1">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4-463C-47AD-9A77-7B9F73FCCF61}"/>
                  </c:ext>
                </c:extLst>
              </c15:ser>
            </c15:filteredScatterSeries>
            <c15:filteredScatterSeries>
              <c15:ser>
                <c:idx val="73"/>
                <c:order val="21"/>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2">
                        <a:lumMod val="80000"/>
                      </a:schemeClr>
                    </a:solidFill>
                    <a:ln w="9525">
                      <a:solidFill>
                        <a:schemeClr val="accent2">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5-463C-47AD-9A77-7B9F73FCCF61}"/>
                  </c:ext>
                </c:extLst>
              </c15:ser>
            </c15:filteredScatterSeries>
            <c15:filteredScatterSeries>
              <c15:ser>
                <c:idx val="74"/>
                <c:order val="22"/>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3">
                        <a:lumMod val="80000"/>
                      </a:schemeClr>
                    </a:solidFill>
                    <a:ln w="9525">
                      <a:solidFill>
                        <a:schemeClr val="accent3">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6-463C-47AD-9A77-7B9F73FCCF61}"/>
                  </c:ext>
                </c:extLst>
              </c15:ser>
            </c15:filteredScatterSeries>
            <c15:filteredScatterSeries>
              <c15:ser>
                <c:idx val="75"/>
                <c:order val="23"/>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4">
                        <a:lumMod val="80000"/>
                      </a:schemeClr>
                    </a:solidFill>
                    <a:ln w="9525">
                      <a:solidFill>
                        <a:schemeClr val="accent4">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7-463C-47AD-9A77-7B9F73FCCF61}"/>
                  </c:ext>
                </c:extLst>
              </c15:ser>
            </c15:filteredScatterSeries>
            <c15:filteredScatterSeries>
              <c15:ser>
                <c:idx val="76"/>
                <c:order val="24"/>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5">
                        <a:lumMod val="80000"/>
                      </a:schemeClr>
                    </a:solidFill>
                    <a:ln w="9525">
                      <a:solidFill>
                        <a:schemeClr val="accent5">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8-463C-47AD-9A77-7B9F73FCCF61}"/>
                  </c:ext>
                </c:extLst>
              </c15:ser>
            </c15:filteredScatterSeries>
            <c15:filteredScatterSeries>
              <c15:ser>
                <c:idx val="77"/>
                <c:order val="25"/>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6">
                        <a:lumMod val="80000"/>
                      </a:schemeClr>
                    </a:solidFill>
                    <a:ln w="9525">
                      <a:solidFill>
                        <a:schemeClr val="accent6">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9-463C-47AD-9A77-7B9F73FCCF61}"/>
                  </c:ext>
                </c:extLst>
              </c15:ser>
            </c15:filteredScatterSeries>
            <c15:filteredScatterSeries>
              <c15:ser>
                <c:idx val="78"/>
                <c:order val="26"/>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A-463C-47AD-9A77-7B9F73FCCF61}"/>
                  </c:ext>
                </c:extLst>
              </c15:ser>
            </c15:filteredScatterSeries>
            <c15:filteredScatterSeries>
              <c15:ser>
                <c:idx val="79"/>
                <c:order val="27"/>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B-463C-47AD-9A77-7B9F73FCCF61}"/>
                  </c:ext>
                </c:extLst>
              </c15:ser>
            </c15:filteredScatterSeries>
            <c15:filteredScatterSeries>
              <c15:ser>
                <c:idx val="80"/>
                <c:order val="28"/>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C-463C-47AD-9A77-7B9F73FCCF61}"/>
                  </c:ext>
                </c:extLst>
              </c15:ser>
            </c15:filteredScatterSeries>
            <c15:filteredScatterSeries>
              <c15:ser>
                <c:idx val="81"/>
                <c:order val="29"/>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D-463C-47AD-9A77-7B9F73FCCF61}"/>
                  </c:ext>
                </c:extLst>
              </c15:ser>
            </c15:filteredScatterSeries>
            <c15:filteredScatterSeries>
              <c15:ser>
                <c:idx val="82"/>
                <c:order val="30"/>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E-463C-47AD-9A77-7B9F73FCCF61}"/>
                  </c:ext>
                </c:extLst>
              </c15:ser>
            </c15:filteredScatterSeries>
            <c15:filteredScatterSeries>
              <c15:ser>
                <c:idx val="83"/>
                <c:order val="31"/>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F-463C-47AD-9A77-7B9F73FCCF61}"/>
                  </c:ext>
                </c:extLst>
              </c15:ser>
            </c15:filteredScatterSeries>
            <c15:filteredScatterSeries>
              <c15:ser>
                <c:idx val="84"/>
                <c:order val="32"/>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1">
                        <a:lumMod val="50000"/>
                      </a:schemeClr>
                    </a:solidFill>
                    <a:ln w="9525">
                      <a:solidFill>
                        <a:schemeClr val="accent1">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0-463C-47AD-9A77-7B9F73FCCF61}"/>
                  </c:ext>
                </c:extLst>
              </c15:ser>
            </c15:filteredScatterSeries>
            <c15:filteredScatterSeries>
              <c15:ser>
                <c:idx val="85"/>
                <c:order val="33"/>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2">
                        <a:lumMod val="50000"/>
                      </a:schemeClr>
                    </a:solidFill>
                    <a:ln w="9525">
                      <a:solidFill>
                        <a:schemeClr val="accent2">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1-463C-47AD-9A77-7B9F73FCCF61}"/>
                  </c:ext>
                </c:extLst>
              </c15:ser>
            </c15:filteredScatterSeries>
            <c15:filteredScatterSeries>
              <c15:ser>
                <c:idx val="86"/>
                <c:order val="34"/>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3">
                        <a:lumMod val="50000"/>
                      </a:schemeClr>
                    </a:solidFill>
                    <a:ln w="9525">
                      <a:solidFill>
                        <a:schemeClr val="accent3">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2-463C-47AD-9A77-7B9F73FCCF61}"/>
                  </c:ext>
                </c:extLst>
              </c15:ser>
            </c15:filteredScatterSeries>
            <c15:filteredScatterSeries>
              <c15:ser>
                <c:idx val="87"/>
                <c:order val="35"/>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4">
                        <a:lumMod val="50000"/>
                      </a:schemeClr>
                    </a:solidFill>
                    <a:ln w="9525">
                      <a:solidFill>
                        <a:schemeClr val="accent4">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3-463C-47AD-9A77-7B9F73FCCF61}"/>
                  </c:ext>
                </c:extLst>
              </c15:ser>
            </c15:filteredScatterSeries>
            <c15:filteredScatterSeries>
              <c15:ser>
                <c:idx val="88"/>
                <c:order val="36"/>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5">
                        <a:lumMod val="50000"/>
                      </a:schemeClr>
                    </a:solidFill>
                    <a:ln w="9525">
                      <a:solidFill>
                        <a:schemeClr val="accent5">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4-463C-47AD-9A77-7B9F73FCCF61}"/>
                  </c:ext>
                </c:extLst>
              </c15:ser>
            </c15:filteredScatterSeries>
            <c15:filteredScatterSeries>
              <c15:ser>
                <c:idx val="89"/>
                <c:order val="37"/>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6">
                        <a:lumMod val="50000"/>
                      </a:schemeClr>
                    </a:solidFill>
                    <a:ln w="9525">
                      <a:solidFill>
                        <a:schemeClr val="accent6">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5-463C-47AD-9A77-7B9F73FCCF61}"/>
                  </c:ext>
                </c:extLst>
              </c15:ser>
            </c15:filteredScatterSeries>
            <c15:filteredScatterSeries>
              <c15:ser>
                <c:idx val="90"/>
                <c:order val="38"/>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6-463C-47AD-9A77-7B9F73FCCF61}"/>
                  </c:ext>
                </c:extLst>
              </c15:ser>
            </c15:filteredScatterSeries>
            <c15:filteredScatterSeries>
              <c15:ser>
                <c:idx val="91"/>
                <c:order val="39"/>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7-463C-47AD-9A77-7B9F73FCCF61}"/>
                  </c:ext>
                </c:extLst>
              </c15:ser>
            </c15:filteredScatterSeries>
            <c15:filteredScatterSeries>
              <c15:ser>
                <c:idx val="92"/>
                <c:order val="40"/>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8-463C-47AD-9A77-7B9F73FCCF61}"/>
                  </c:ext>
                </c:extLst>
              </c15:ser>
            </c15:filteredScatterSeries>
            <c15:filteredScatterSeries>
              <c15:ser>
                <c:idx val="93"/>
                <c:order val="41"/>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9-463C-47AD-9A77-7B9F73FCCF61}"/>
                  </c:ext>
                </c:extLst>
              </c15:ser>
            </c15:filteredScatterSeries>
            <c15:filteredScatterSeries>
              <c15:ser>
                <c:idx val="94"/>
                <c:order val="42"/>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A-463C-47AD-9A77-7B9F73FCCF61}"/>
                  </c:ext>
                </c:extLst>
              </c15:ser>
            </c15:filteredScatterSeries>
            <c15:filteredScatterSeries>
              <c15:ser>
                <c:idx val="95"/>
                <c:order val="43"/>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B-463C-47AD-9A77-7B9F73FCCF61}"/>
                  </c:ext>
                </c:extLst>
              </c15:ser>
            </c15:filteredScatterSeries>
            <c15:filteredScatterSeries>
              <c15:ser>
                <c:idx val="96"/>
                <c:order val="44"/>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1">
                        <a:lumMod val="70000"/>
                      </a:schemeClr>
                    </a:solidFill>
                    <a:ln w="9525">
                      <a:solidFill>
                        <a:schemeClr val="accent1">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C-463C-47AD-9A77-7B9F73FCCF61}"/>
                  </c:ext>
                </c:extLst>
              </c15:ser>
            </c15:filteredScatterSeries>
            <c15:filteredScatterSeries>
              <c15:ser>
                <c:idx val="97"/>
                <c:order val="45"/>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2">
                        <a:lumMod val="70000"/>
                      </a:schemeClr>
                    </a:solidFill>
                    <a:ln w="9525">
                      <a:solidFill>
                        <a:schemeClr val="accent2">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D-463C-47AD-9A77-7B9F73FCCF61}"/>
                  </c:ext>
                </c:extLst>
              </c15:ser>
            </c15:filteredScatterSeries>
            <c15:filteredScatterSeries>
              <c15:ser>
                <c:idx val="98"/>
                <c:order val="46"/>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3">
                        <a:lumMod val="70000"/>
                      </a:schemeClr>
                    </a:solidFill>
                    <a:ln w="9525">
                      <a:solidFill>
                        <a:schemeClr val="accent3">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E-463C-47AD-9A77-7B9F73FCCF61}"/>
                  </c:ext>
                </c:extLst>
              </c15:ser>
            </c15:filteredScatterSeries>
            <c15:filteredScatterSeries>
              <c15:ser>
                <c:idx val="99"/>
                <c:order val="47"/>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4">
                        <a:lumMod val="70000"/>
                      </a:schemeClr>
                    </a:solidFill>
                    <a:ln w="9525">
                      <a:solidFill>
                        <a:schemeClr val="accent4">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F-463C-47AD-9A77-7B9F73FCCF61}"/>
                  </c:ext>
                </c:extLst>
              </c15:ser>
            </c15:filteredScatterSeries>
            <c15:filteredScatterSeries>
              <c15:ser>
                <c:idx val="100"/>
                <c:order val="48"/>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5">
                        <a:lumMod val="70000"/>
                      </a:schemeClr>
                    </a:solidFill>
                    <a:ln w="9525">
                      <a:solidFill>
                        <a:schemeClr val="accent5">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0-463C-47AD-9A77-7B9F73FCCF61}"/>
                  </c:ext>
                </c:extLst>
              </c15:ser>
            </c15:filteredScatterSeries>
            <c15:filteredScatterSeries>
              <c15:ser>
                <c:idx val="101"/>
                <c:order val="49"/>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6">
                        <a:lumMod val="70000"/>
                      </a:schemeClr>
                    </a:solidFill>
                    <a:ln w="9525">
                      <a:solidFill>
                        <a:schemeClr val="accent6">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1-463C-47AD-9A77-7B9F73FCCF61}"/>
                  </c:ext>
                </c:extLst>
              </c15:ser>
            </c15:filteredScatterSeries>
            <c15:filteredScatterSeries>
              <c15:ser>
                <c:idx val="102"/>
                <c:order val="50"/>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1">
                        <a:lumMod val="50000"/>
                        <a:lumOff val="50000"/>
                      </a:schemeClr>
                    </a:solidFill>
                    <a:ln w="9525">
                      <a:solidFill>
                        <a:schemeClr val="accent1">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2-463C-47AD-9A77-7B9F73FCCF61}"/>
                  </c:ext>
                </c:extLst>
              </c15:ser>
            </c15:filteredScatterSeries>
            <c15:filteredScatterSeries>
              <c15:ser>
                <c:idx val="103"/>
                <c:order val="51"/>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2">
                        <a:lumMod val="50000"/>
                        <a:lumOff val="50000"/>
                      </a:schemeClr>
                    </a:solidFill>
                    <a:ln w="9525">
                      <a:solidFill>
                        <a:schemeClr val="accent2">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3-463C-47AD-9A77-7B9F73FCCF61}"/>
                  </c:ext>
                </c:extLst>
              </c15:ser>
            </c15:filteredScatterSeries>
            <c15:filteredScatterSeries>
              <c15:ser>
                <c:idx val="26"/>
                <c:order val="52"/>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4-463C-47AD-9A77-7B9F73FCCF61}"/>
                  </c:ext>
                </c:extLst>
              </c15:ser>
            </c15:filteredScatterSeries>
            <c15:filteredScatterSeries>
              <c15:ser>
                <c:idx val="27"/>
                <c:order val="53"/>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trendline>
                  <c:spPr>
                    <a:ln w="19050" cap="rnd">
                      <a:solidFill>
                        <a:schemeClr val="accent4">
                          <a:lumMod val="60000"/>
                          <a:lumOff val="40000"/>
                        </a:schemeClr>
                      </a:solidFill>
                      <a:prstDash val="sysDot"/>
                    </a:ln>
                    <a:effectLst/>
                  </c:spPr>
                  <c:trendlineType val="linear"/>
                  <c:dispRSqr val="0"/>
                  <c:dispEq val="0"/>
                </c:trendline>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5-463C-47AD-9A77-7B9F73FCCF61}"/>
                  </c:ext>
                </c:extLst>
              </c15:ser>
            </c15:filteredScatterSeries>
            <c15:filteredScatterSeries>
              <c15:ser>
                <c:idx val="28"/>
                <c:order val="54"/>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6-463C-47AD-9A77-7B9F73FCCF61}"/>
                  </c:ext>
                </c:extLst>
              </c15:ser>
            </c15:filteredScatterSeries>
            <c15:filteredScatterSeries>
              <c15:ser>
                <c:idx val="29"/>
                <c:order val="55"/>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trendline>
                  <c:spPr>
                    <a:ln w="19050" cap="rnd">
                      <a:solidFill>
                        <a:schemeClr val="accent6">
                          <a:lumMod val="60000"/>
                          <a:lumOff val="40000"/>
                        </a:schemeClr>
                      </a:solidFill>
                      <a:prstDash val="sysDot"/>
                    </a:ln>
                    <a:effectLst/>
                  </c:spPr>
                  <c:trendlineType val="linear"/>
                  <c:dispRSqr val="0"/>
                  <c:dispEq val="0"/>
                </c:trendline>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7-463C-47AD-9A77-7B9F73FCCF61}"/>
                  </c:ext>
                </c:extLst>
              </c15:ser>
            </c15:filteredScatterSeries>
            <c15:filteredScatterSeries>
              <c15:ser>
                <c:idx val="30"/>
                <c:order val="56"/>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1">
                        <a:lumMod val="50000"/>
                      </a:schemeClr>
                    </a:solidFill>
                    <a:ln w="9525">
                      <a:solidFill>
                        <a:schemeClr val="accent1">
                          <a:lumMod val="50000"/>
                        </a:schemeClr>
                      </a:solidFill>
                    </a:ln>
                    <a:effectLst/>
                  </c:spPr>
                </c:marker>
                <c:trendline>
                  <c:spPr>
                    <a:ln w="19050" cap="rnd">
                      <a:solidFill>
                        <a:schemeClr val="accent1">
                          <a:lumMod val="50000"/>
                        </a:schemeClr>
                      </a:solidFill>
                      <a:prstDash val="sysDot"/>
                    </a:ln>
                    <a:effectLst/>
                  </c:spPr>
                  <c:trendlineType val="linear"/>
                  <c:dispRSqr val="0"/>
                  <c:dispEq val="0"/>
                </c:trendline>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8-463C-47AD-9A77-7B9F73FCCF61}"/>
                  </c:ext>
                </c:extLst>
              </c15:ser>
            </c15:filteredScatterSeries>
            <c15:filteredScatterSeries>
              <c15:ser>
                <c:idx val="31"/>
                <c:order val="57"/>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2">
                        <a:lumMod val="50000"/>
                      </a:schemeClr>
                    </a:solidFill>
                    <a:ln w="9525">
                      <a:solidFill>
                        <a:schemeClr val="accent2">
                          <a:lumMod val="50000"/>
                        </a:schemeClr>
                      </a:solidFill>
                    </a:ln>
                    <a:effectLst/>
                  </c:spPr>
                </c:marker>
                <c:trendline>
                  <c:spPr>
                    <a:ln w="19050" cap="rnd">
                      <a:solidFill>
                        <a:schemeClr val="accent2">
                          <a:lumMod val="50000"/>
                        </a:schemeClr>
                      </a:solidFill>
                      <a:prstDash val="sysDot"/>
                    </a:ln>
                    <a:effectLst/>
                  </c:spPr>
                  <c:trendlineType val="linear"/>
                  <c:dispRSqr val="0"/>
                  <c:dispEq val="0"/>
                </c:trendline>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9-463C-47AD-9A77-7B9F73FCCF61}"/>
                  </c:ext>
                </c:extLst>
              </c15:ser>
            </c15:filteredScatterSeries>
            <c15:filteredScatterSeries>
              <c15:ser>
                <c:idx val="32"/>
                <c:order val="58"/>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3">
                        <a:lumMod val="50000"/>
                      </a:schemeClr>
                    </a:solidFill>
                    <a:ln w="9525">
                      <a:solidFill>
                        <a:schemeClr val="accent3">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A-463C-47AD-9A77-7B9F73FCCF61}"/>
                  </c:ext>
                </c:extLst>
              </c15:ser>
            </c15:filteredScatterSeries>
            <c15:filteredScatterSeries>
              <c15:ser>
                <c:idx val="33"/>
                <c:order val="59"/>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4">
                        <a:lumMod val="50000"/>
                      </a:schemeClr>
                    </a:solidFill>
                    <a:ln w="9525">
                      <a:solidFill>
                        <a:schemeClr val="accent4">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B-463C-47AD-9A77-7B9F73FCCF61}"/>
                  </c:ext>
                </c:extLst>
              </c15:ser>
            </c15:filteredScatterSeries>
            <c15:filteredScatterSeries>
              <c15:ser>
                <c:idx val="34"/>
                <c:order val="60"/>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5">
                        <a:lumMod val="50000"/>
                      </a:schemeClr>
                    </a:solidFill>
                    <a:ln w="9525">
                      <a:solidFill>
                        <a:schemeClr val="accent5">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C-463C-47AD-9A77-7B9F73FCCF61}"/>
                  </c:ext>
                </c:extLst>
              </c15:ser>
            </c15:filteredScatterSeries>
            <c15:filteredScatterSeries>
              <c15:ser>
                <c:idx val="35"/>
                <c:order val="61"/>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6">
                        <a:lumMod val="50000"/>
                      </a:schemeClr>
                    </a:solidFill>
                    <a:ln w="9525">
                      <a:solidFill>
                        <a:schemeClr val="accent6">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D-463C-47AD-9A77-7B9F73FCCF61}"/>
                  </c:ext>
                </c:extLst>
              </c15:ser>
            </c15:filteredScatterSeries>
            <c15:filteredScatterSeries>
              <c15:ser>
                <c:idx val="36"/>
                <c:order val="62"/>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E-463C-47AD-9A77-7B9F73FCCF61}"/>
                  </c:ext>
                </c:extLst>
              </c15:ser>
            </c15:filteredScatterSeries>
            <c15:filteredScatterSeries>
              <c15:ser>
                <c:idx val="37"/>
                <c:order val="63"/>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F-463C-47AD-9A77-7B9F73FCCF61}"/>
                  </c:ext>
                </c:extLst>
              </c15:ser>
            </c15:filteredScatterSeries>
            <c15:filteredScatterSeries>
              <c15:ser>
                <c:idx val="38"/>
                <c:order val="64"/>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0-463C-47AD-9A77-7B9F73FCCF61}"/>
                  </c:ext>
                </c:extLst>
              </c15:ser>
            </c15:filteredScatterSeries>
            <c15:filteredScatterSeries>
              <c15:ser>
                <c:idx val="39"/>
                <c:order val="65"/>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1-463C-47AD-9A77-7B9F73FCCF61}"/>
                  </c:ext>
                </c:extLst>
              </c15:ser>
            </c15:filteredScatterSeries>
            <c15:filteredScatterSeries>
              <c15:ser>
                <c:idx val="40"/>
                <c:order val="66"/>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2-463C-47AD-9A77-7B9F73FCCF61}"/>
                  </c:ext>
                </c:extLst>
              </c15:ser>
            </c15:filteredScatterSeries>
            <c15:filteredScatterSeries>
              <c15:ser>
                <c:idx val="41"/>
                <c:order val="67"/>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3-463C-47AD-9A77-7B9F73FCCF61}"/>
                  </c:ext>
                </c:extLst>
              </c15:ser>
            </c15:filteredScatterSeries>
            <c15:filteredScatterSeries>
              <c15:ser>
                <c:idx val="42"/>
                <c:order val="68"/>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1">
                        <a:lumMod val="70000"/>
                      </a:schemeClr>
                    </a:solidFill>
                    <a:ln w="9525">
                      <a:solidFill>
                        <a:schemeClr val="accent1">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4-463C-47AD-9A77-7B9F73FCCF61}"/>
                  </c:ext>
                </c:extLst>
              </c15:ser>
            </c15:filteredScatterSeries>
            <c15:filteredScatterSeries>
              <c15:ser>
                <c:idx val="43"/>
                <c:order val="69"/>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2">
                        <a:lumMod val="70000"/>
                      </a:schemeClr>
                    </a:solidFill>
                    <a:ln w="9525">
                      <a:solidFill>
                        <a:schemeClr val="accent2">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5-463C-47AD-9A77-7B9F73FCCF61}"/>
                  </c:ext>
                </c:extLst>
              </c15:ser>
            </c15:filteredScatterSeries>
            <c15:filteredScatterSeries>
              <c15:ser>
                <c:idx val="44"/>
                <c:order val="70"/>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3">
                        <a:lumMod val="70000"/>
                      </a:schemeClr>
                    </a:solidFill>
                    <a:ln w="9525">
                      <a:solidFill>
                        <a:schemeClr val="accent3">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6-463C-47AD-9A77-7B9F73FCCF61}"/>
                  </c:ext>
                </c:extLst>
              </c15:ser>
            </c15:filteredScatterSeries>
            <c15:filteredScatterSeries>
              <c15:ser>
                <c:idx val="45"/>
                <c:order val="71"/>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4">
                        <a:lumMod val="70000"/>
                      </a:schemeClr>
                    </a:solidFill>
                    <a:ln w="9525">
                      <a:solidFill>
                        <a:schemeClr val="accent4">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7-463C-47AD-9A77-7B9F73FCCF61}"/>
                  </c:ext>
                </c:extLst>
              </c15:ser>
            </c15:filteredScatterSeries>
            <c15:filteredScatterSeries>
              <c15:ser>
                <c:idx val="46"/>
                <c:order val="72"/>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5">
                        <a:lumMod val="70000"/>
                      </a:schemeClr>
                    </a:solidFill>
                    <a:ln w="9525">
                      <a:solidFill>
                        <a:schemeClr val="accent5">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8-463C-47AD-9A77-7B9F73FCCF61}"/>
                  </c:ext>
                </c:extLst>
              </c15:ser>
            </c15:filteredScatterSeries>
            <c15:filteredScatterSeries>
              <c15:ser>
                <c:idx val="47"/>
                <c:order val="73"/>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6">
                        <a:lumMod val="70000"/>
                      </a:schemeClr>
                    </a:solidFill>
                    <a:ln w="9525">
                      <a:solidFill>
                        <a:schemeClr val="accent6">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9-463C-47AD-9A77-7B9F73FCCF61}"/>
                  </c:ext>
                </c:extLst>
              </c15:ser>
            </c15:filteredScatterSeries>
            <c15:filteredScatterSeries>
              <c15:ser>
                <c:idx val="48"/>
                <c:order val="74"/>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1">
                        <a:lumMod val="50000"/>
                        <a:lumOff val="50000"/>
                      </a:schemeClr>
                    </a:solidFill>
                    <a:ln w="9525">
                      <a:solidFill>
                        <a:schemeClr val="accent1">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A-463C-47AD-9A77-7B9F73FCCF61}"/>
                  </c:ext>
                </c:extLst>
              </c15:ser>
            </c15:filteredScatterSeries>
            <c15:filteredScatterSeries>
              <c15:ser>
                <c:idx val="49"/>
                <c:order val="75"/>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2">
                        <a:lumMod val="50000"/>
                        <a:lumOff val="50000"/>
                      </a:schemeClr>
                    </a:solidFill>
                    <a:ln w="9525">
                      <a:solidFill>
                        <a:schemeClr val="accent2">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B-463C-47AD-9A77-7B9F73FCCF61}"/>
                  </c:ext>
                </c:extLst>
              </c15:ser>
            </c15:filteredScatterSeries>
            <c15:filteredScatterSeries>
              <c15:ser>
                <c:idx val="50"/>
                <c:order val="76"/>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3">
                        <a:lumMod val="50000"/>
                        <a:lumOff val="50000"/>
                      </a:schemeClr>
                    </a:solidFill>
                    <a:ln w="9525">
                      <a:solidFill>
                        <a:schemeClr val="accent3">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C-463C-47AD-9A77-7B9F73FCCF61}"/>
                  </c:ext>
                </c:extLst>
              </c15:ser>
            </c15:filteredScatterSeries>
            <c15:filteredScatterSeries>
              <c15:ser>
                <c:idx val="51"/>
                <c:order val="77"/>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4">
                        <a:lumMod val="50000"/>
                        <a:lumOff val="50000"/>
                      </a:schemeClr>
                    </a:solidFill>
                    <a:ln w="9525">
                      <a:solidFill>
                        <a:schemeClr val="accent4">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D-463C-47AD-9A77-7B9F73FCCF61}"/>
                  </c:ext>
                </c:extLst>
              </c15:ser>
            </c15:filteredScatterSeries>
            <c15:filteredScatterSeries>
              <c15:ser>
                <c:idx val="13"/>
                <c:order val="78"/>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E-463C-47AD-9A77-7B9F73FCCF61}"/>
                  </c:ext>
                </c:extLst>
              </c15:ser>
            </c15:filteredScatterSeries>
            <c15:filteredScatterSeries>
              <c15:ser>
                <c:idx val="14"/>
                <c:order val="79"/>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F-463C-47AD-9A77-7B9F73FCCF61}"/>
                  </c:ext>
                </c:extLst>
              </c15:ser>
            </c15:filteredScatterSeries>
            <c15:filteredScatterSeries>
              <c15:ser>
                <c:idx val="15"/>
                <c:order val="80"/>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0-463C-47AD-9A77-7B9F73FCCF61}"/>
                  </c:ext>
                </c:extLst>
              </c15:ser>
            </c15:filteredScatterSeries>
            <c15:filteredScatterSeries>
              <c15:ser>
                <c:idx val="16"/>
                <c:order val="81"/>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1-463C-47AD-9A77-7B9F73FCCF61}"/>
                  </c:ext>
                </c:extLst>
              </c15:ser>
            </c15:filteredScatterSeries>
            <c15:filteredScatterSeries>
              <c15:ser>
                <c:idx val="17"/>
                <c:order val="82"/>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2-463C-47AD-9A77-7B9F73FCCF61}"/>
                  </c:ext>
                </c:extLst>
              </c15:ser>
            </c15:filteredScatterSeries>
            <c15:filteredScatterSeries>
              <c15:ser>
                <c:idx val="18"/>
                <c:order val="83"/>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1">
                        <a:lumMod val="80000"/>
                      </a:schemeClr>
                    </a:solidFill>
                    <a:ln w="9525">
                      <a:solidFill>
                        <a:schemeClr val="accent1">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3-463C-47AD-9A77-7B9F73FCCF61}"/>
                  </c:ext>
                </c:extLst>
              </c15:ser>
            </c15:filteredScatterSeries>
            <c15:filteredScatterSeries>
              <c15:ser>
                <c:idx val="19"/>
                <c:order val="84"/>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2">
                        <a:lumMod val="80000"/>
                      </a:schemeClr>
                    </a:solidFill>
                    <a:ln w="9525">
                      <a:solidFill>
                        <a:schemeClr val="accent2">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4-463C-47AD-9A77-7B9F73FCCF61}"/>
                  </c:ext>
                </c:extLst>
              </c15:ser>
            </c15:filteredScatterSeries>
            <c15:filteredScatterSeries>
              <c15:ser>
                <c:idx val="20"/>
                <c:order val="85"/>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3">
                        <a:lumMod val="80000"/>
                      </a:schemeClr>
                    </a:solidFill>
                    <a:ln w="9525">
                      <a:solidFill>
                        <a:schemeClr val="accent3">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5-463C-47AD-9A77-7B9F73FCCF61}"/>
                  </c:ext>
                </c:extLst>
              </c15:ser>
            </c15:filteredScatterSeries>
            <c15:filteredScatterSeries>
              <c15:ser>
                <c:idx val="21"/>
                <c:order val="86"/>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4">
                        <a:lumMod val="80000"/>
                      </a:schemeClr>
                    </a:solidFill>
                    <a:ln w="9525">
                      <a:solidFill>
                        <a:schemeClr val="accent4">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6-463C-47AD-9A77-7B9F73FCCF61}"/>
                  </c:ext>
                </c:extLst>
              </c15:ser>
            </c15:filteredScatterSeries>
            <c15:filteredScatterSeries>
              <c15:ser>
                <c:idx val="22"/>
                <c:order val="87"/>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5">
                        <a:lumMod val="80000"/>
                      </a:schemeClr>
                    </a:solidFill>
                    <a:ln w="9525">
                      <a:solidFill>
                        <a:schemeClr val="accent5">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7-463C-47AD-9A77-7B9F73FCCF61}"/>
                  </c:ext>
                </c:extLst>
              </c15:ser>
            </c15:filteredScatterSeries>
            <c15:filteredScatterSeries>
              <c15:ser>
                <c:idx val="23"/>
                <c:order val="88"/>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6">
                        <a:lumMod val="80000"/>
                      </a:schemeClr>
                    </a:solidFill>
                    <a:ln w="9525">
                      <a:solidFill>
                        <a:schemeClr val="accent6">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8-463C-47AD-9A77-7B9F73FCCF61}"/>
                  </c:ext>
                </c:extLst>
              </c15:ser>
            </c15:filteredScatterSeries>
            <c15:filteredScatterSeries>
              <c15:ser>
                <c:idx val="24"/>
                <c:order val="89"/>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9-463C-47AD-9A77-7B9F73FCCF61}"/>
                  </c:ext>
                </c:extLst>
              </c15:ser>
            </c15:filteredScatterSeries>
            <c15:filteredScatterSeries>
              <c15:ser>
                <c:idx val="25"/>
                <c:order val="90"/>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A-463C-47AD-9A77-7B9F73FCCF61}"/>
                  </c:ext>
                </c:extLst>
              </c15:ser>
            </c15:filteredScatterSeries>
            <c15:filteredScatterSeries>
              <c15:ser>
                <c:idx val="0"/>
                <c:order val="91"/>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7.9242807822705208E-2"/>
                        <c:y val="1.7720583530579013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1"/>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B-463C-47AD-9A77-7B9F73FCCF61}"/>
                  </c:ext>
                </c:extLst>
              </c15:ser>
            </c15:filteredScatterSeries>
            <c15:filteredScatterSeries>
              <c15:ser>
                <c:idx val="1"/>
                <c:order val="92"/>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8.0899155004265963E-2"/>
                        <c:y val="-3.0237320242100321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2"/>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C-463C-47AD-9A77-7B9F73FCCF61}"/>
                  </c:ext>
                </c:extLst>
              </c15:ser>
            </c15:filteredScatterSeries>
            <c15:filteredScatterSeries>
              <c15:ser>
                <c:idx val="2"/>
                <c:order val="93"/>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1"/>
                  <c:dispEq val="1"/>
                  <c:trendlineLbl>
                    <c:layout>
                      <c:manualLayout>
                        <c:x val="8.3339618672912716E-2"/>
                        <c:y val="6.5016459959785786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bg1">
                                <a:lumMod val="65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D-463C-47AD-9A77-7B9F73FCCF61}"/>
                  </c:ext>
                </c:extLst>
              </c15:ser>
            </c15:filteredScatterSeries>
            <c15:filteredScatterSeries>
              <c15:ser>
                <c:idx val="3"/>
                <c:order val="94"/>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1"/>
                  <c:dispEq val="1"/>
                  <c:trendlineLbl>
                    <c:layout>
                      <c:manualLayout>
                        <c:x val="8.1715285891431996E-2"/>
                        <c:y val="-8.8608858332598316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4"/>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E-463C-47AD-9A77-7B9F73FCCF61}"/>
                  </c:ext>
                </c:extLst>
              </c15:ser>
            </c15:filteredScatterSeries>
            <c15:filteredScatterSeries>
              <c15:ser>
                <c:idx val="4"/>
                <c:order val="95"/>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linear"/>
                  <c:dispRSqr val="1"/>
                  <c:dispEq val="1"/>
                  <c:trendlineLbl>
                    <c:layout>
                      <c:manualLayout>
                        <c:x val="8.0119032469765109E-2"/>
                        <c:y val="-1.1135328051023852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5"/>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F-463C-47AD-9A77-7B9F73FCCF61}"/>
                  </c:ext>
                </c:extLst>
              </c15:ser>
            </c15:filteredScatterSeries>
            <c15:filteredScatterSeries>
              <c15:ser>
                <c:idx val="5"/>
                <c:order val="96"/>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6"/>
                    </a:solidFill>
                    <a:ln w="9525">
                      <a:solidFill>
                        <a:schemeClr val="accent6"/>
                      </a:solidFill>
                    </a:ln>
                    <a:effectLst/>
                  </c:spPr>
                </c:marker>
                <c:trendline>
                  <c:spPr>
                    <a:ln w="19050" cap="rnd">
                      <a:solidFill>
                        <a:schemeClr val="accent6"/>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6"/>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0-463C-47AD-9A77-7B9F73FCCF61}"/>
                  </c:ext>
                </c:extLst>
              </c15:ser>
            </c15:filteredScatterSeries>
            <c15:filteredScatterSeries>
              <c15:ser>
                <c:idx val="6"/>
                <c:order val="97"/>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trendline>
                  <c:spPr>
                    <a:ln w="19050" cap="rnd">
                      <a:solidFill>
                        <a:schemeClr val="accent1">
                          <a:lumMod val="60000"/>
                        </a:schemeClr>
                      </a:solidFill>
                      <a:prstDash val="sysDot"/>
                    </a:ln>
                    <a:effectLst/>
                  </c:spPr>
                  <c:trendlineType val="linear"/>
                  <c:dispRSqr val="1"/>
                  <c:dispEq val="1"/>
                  <c:trendlineLbl>
                    <c:layout>
                      <c:manualLayout>
                        <c:x val="8.2711294316068343E-2"/>
                        <c:y val="-1.2961556257832711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trendlineLbl>
                </c:trendline>
                <c:trendline>
                  <c:spPr>
                    <a:ln w="19050" cap="rnd">
                      <a:solidFill>
                        <a:schemeClr val="accent1">
                          <a:lumMod val="60000"/>
                        </a:schemeClr>
                      </a:solidFill>
                      <a:prstDash val="sysDot"/>
                    </a:ln>
                    <a:effectLst/>
                  </c:spPr>
                  <c:trendlineType val="linear"/>
                  <c:dispRSqr val="0"/>
                  <c:dispEq val="0"/>
                </c:trendline>
                <c:trendline>
                  <c:spPr>
                    <a:ln w="19050" cap="rnd">
                      <a:solidFill>
                        <a:schemeClr val="accent1">
                          <a:lumMod val="60000"/>
                        </a:schemeClr>
                      </a:solidFill>
                      <a:prstDash val="sysDot"/>
                    </a:ln>
                    <a:effectLst/>
                  </c:spPr>
                  <c:trendlineType val="linear"/>
                  <c:dispRSqr val="0"/>
                  <c:dispEq val="0"/>
                </c:trendline>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1-463C-47AD-9A77-7B9F73FCCF61}"/>
                  </c:ext>
                </c:extLst>
              </c15:ser>
            </c15:filteredScatterSeries>
            <c15:filteredScatterSeries>
              <c15:ser>
                <c:idx val="7"/>
                <c:order val="98"/>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trendline>
                  <c:spPr>
                    <a:ln w="19050" cap="rnd">
                      <a:solidFill>
                        <a:schemeClr val="accent2">
                          <a:lumMod val="60000"/>
                        </a:schemeClr>
                      </a:solidFill>
                      <a:prstDash val="sysDot"/>
                    </a:ln>
                    <a:effectLst/>
                  </c:spPr>
                  <c:trendlineType val="linear"/>
                  <c:dispRSqr val="1"/>
                  <c:dispEq val="1"/>
                  <c:trendlineLbl>
                    <c:layout>
                      <c:manualLayout>
                        <c:x val="8.6250673773576897E-2"/>
                        <c:y val="5.2052073091470245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2">
                                <a:lumMod val="50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2-463C-47AD-9A77-7B9F73FCCF61}"/>
                  </c:ext>
                </c:extLst>
              </c15:ser>
            </c15:filteredScatterSeries>
            <c15:filteredScatterSeries>
              <c15:ser>
                <c:idx val="8"/>
                <c:order val="99"/>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trendline>
                  <c:spPr>
                    <a:ln w="19050" cap="rnd">
                      <a:solidFill>
                        <a:schemeClr val="accent3">
                          <a:lumMod val="60000"/>
                        </a:schemeClr>
                      </a:solidFill>
                      <a:prstDash val="sysDot"/>
                    </a:ln>
                    <a:effectLst/>
                  </c:spPr>
                  <c:trendlineType val="linear"/>
                  <c:dispRSqr val="1"/>
                  <c:dispEq val="1"/>
                  <c:trendlineLbl>
                    <c:layout>
                      <c:manualLayout>
                        <c:x val="8.4989031673134555E-2"/>
                        <c:y val="4.7691978794429917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3-463C-47AD-9A77-7B9F73FCCF61}"/>
                  </c:ext>
                </c:extLst>
              </c15:ser>
            </c15:filteredScatterSeries>
            <c15:filteredScatterSeries>
              <c15:ser>
                <c:idx val="9"/>
                <c:order val="100"/>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4">
                        <a:lumMod val="60000"/>
                      </a:schemeClr>
                    </a:solidFill>
                    <a:ln w="9525">
                      <a:solidFill>
                        <a:schemeClr val="accent4">
                          <a:lumMod val="60000"/>
                        </a:schemeClr>
                      </a:solidFill>
                    </a:ln>
                    <a:effectLst/>
                  </c:spPr>
                </c:marker>
                <c:trendline>
                  <c:spPr>
                    <a:ln w="19050" cap="rnd">
                      <a:solidFill>
                        <a:schemeClr val="accent4">
                          <a:lumMod val="60000"/>
                        </a:schemeClr>
                      </a:solidFill>
                      <a:prstDash val="sysDot"/>
                    </a:ln>
                    <a:effectLst/>
                  </c:spPr>
                  <c:trendlineType val="linear"/>
                  <c:dispRSqr val="1"/>
                  <c:dispEq val="1"/>
                  <c:trendlineLbl>
                    <c:layout>
                      <c:manualLayout>
                        <c:x val="7.4297230453732072E-2"/>
                        <c:y val="-1.15030110754428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4">
                                <a:lumMod val="50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4-463C-47AD-9A77-7B9F73FCCF61}"/>
                  </c:ext>
                </c:extLst>
              </c15:ser>
            </c15:filteredScatterSeries>
            <c15:filteredScatterSeries>
              <c15:ser>
                <c:idx val="10"/>
                <c:order val="101"/>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5">
                        <a:lumMod val="60000"/>
                      </a:schemeClr>
                    </a:solidFill>
                    <a:ln w="9525">
                      <a:solidFill>
                        <a:schemeClr val="accent5">
                          <a:lumMod val="60000"/>
                        </a:schemeClr>
                      </a:solidFill>
                    </a:ln>
                    <a:effectLst/>
                  </c:spPr>
                </c:marker>
                <c:trendline>
                  <c:spPr>
                    <a:ln w="19050" cap="rnd">
                      <a:solidFill>
                        <a:schemeClr val="accent5">
                          <a:lumMod val="60000"/>
                        </a:schemeClr>
                      </a:solidFill>
                      <a:prstDash val="sysDot"/>
                    </a:ln>
                    <a:effectLst/>
                  </c:spPr>
                  <c:trendlineType val="linear"/>
                  <c:dispRSqr val="1"/>
                  <c:dispEq val="1"/>
                  <c:trendlineLbl>
                    <c:layout>
                      <c:manualLayout>
                        <c:x val="8.5137871247375679E-2"/>
                        <c:y val="4.8361938682016182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5">
                                <a:lumMod val="50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5-463C-47AD-9A77-7B9F73FCCF61}"/>
                  </c:ext>
                </c:extLst>
              </c15:ser>
            </c15:filteredScatterSeries>
            <c15:filteredScatterSeries>
              <c15:ser>
                <c:idx val="11"/>
                <c:order val="102"/>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6">
                        <a:lumMod val="60000"/>
                      </a:schemeClr>
                    </a:solidFill>
                    <a:ln w="9525">
                      <a:solidFill>
                        <a:schemeClr val="accent6">
                          <a:lumMod val="60000"/>
                        </a:schemeClr>
                      </a:solidFill>
                    </a:ln>
                    <a:effectLst/>
                  </c:spPr>
                </c:marker>
                <c:trendline>
                  <c:spPr>
                    <a:ln w="19050" cap="rnd">
                      <a:solidFill>
                        <a:schemeClr val="accent6">
                          <a:lumMod val="60000"/>
                        </a:schemeClr>
                      </a:solidFill>
                      <a:prstDash val="sysDot"/>
                    </a:ln>
                    <a:effectLst/>
                  </c:spPr>
                  <c:trendlineType val="linear"/>
                  <c:dispRSqr val="1"/>
                  <c:dispEq val="1"/>
                  <c:trendlineLbl>
                    <c:layout>
                      <c:manualLayout>
                        <c:x val="8.6870178479455773E-2"/>
                        <c:y val="-1.7836036584407206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6">
                                <a:lumMod val="50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6-463C-47AD-9A77-7B9F73FCCF61}"/>
                  </c:ext>
                </c:extLst>
              </c15:ser>
            </c15:filteredScatterSeries>
            <c15:filteredScatterSeries>
              <c15:ser>
                <c:idx val="12"/>
                <c:order val="103"/>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trendline>
                  <c:spPr>
                    <a:ln w="19050" cap="rnd">
                      <a:solidFill>
                        <a:schemeClr val="accent1">
                          <a:lumMod val="80000"/>
                          <a:lumOff val="20000"/>
                        </a:schemeClr>
                      </a:solidFill>
                      <a:prstDash val="sysDot"/>
                    </a:ln>
                    <a:effectLst/>
                  </c:spPr>
                  <c:trendlineType val="linear"/>
                  <c:dispRSqr val="1"/>
                  <c:dispEq val="1"/>
                  <c:trendlineLbl>
                    <c:layout>
                      <c:manualLayout>
                        <c:x val="4.4708872807170411E-2"/>
                        <c:y val="5.3000317496397234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1"/>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7-463C-47AD-9A77-7B9F73FCCF61}"/>
                  </c:ext>
                </c:extLst>
              </c15:ser>
            </c15:filteredScatterSeries>
          </c:ext>
        </c:extLst>
      </c:scatterChart>
      <c:valAx>
        <c:axId val="249081904"/>
        <c:scaling>
          <c:orientation val="minMax"/>
          <c:max val="11.5"/>
          <c:min val="0"/>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sz="900">
                    <a:solidFill>
                      <a:sysClr val="windowText" lastClr="000000"/>
                    </a:solidFill>
                  </a:rPr>
                  <a:t>time (min)</a:t>
                </a:r>
              </a:p>
            </c:rich>
          </c:tx>
          <c:layout>
            <c:manualLayout>
              <c:xMode val="edge"/>
              <c:yMode val="edge"/>
              <c:x val="0.78493151718104193"/>
              <c:y val="0.8974953479402847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49082448"/>
        <c:crosses val="autoZero"/>
        <c:crossBetween val="midCat"/>
      </c:valAx>
      <c:valAx>
        <c:axId val="249082448"/>
        <c:scaling>
          <c:orientation val="minMax"/>
          <c:max val="32"/>
          <c:min val="0"/>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sz="900" b="0" i="0" baseline="0">
                    <a:effectLst/>
                  </a:rPr>
                  <a:t>[</a:t>
                </a:r>
                <a:r>
                  <a:rPr lang="en-US" sz="900" b="0" i="0" u="none" strike="noStrike" baseline="0">
                    <a:effectLst/>
                  </a:rPr>
                  <a:t>Ph</a:t>
                </a:r>
                <a:r>
                  <a:rPr lang="en-US" sz="900" b="0" i="0" u="none" strike="noStrike" baseline="-25000">
                    <a:effectLst/>
                  </a:rPr>
                  <a:t>2</a:t>
                </a:r>
                <a:r>
                  <a:rPr lang="en-US" sz="900" b="0" i="0" u="none" strike="noStrike" baseline="0">
                    <a:effectLst/>
                  </a:rPr>
                  <a:t>CHCHPh</a:t>
                </a:r>
                <a:r>
                  <a:rPr lang="en-US" sz="900" b="0" i="0" u="none" strike="noStrike" baseline="-25000">
                    <a:effectLst/>
                  </a:rPr>
                  <a:t>2</a:t>
                </a:r>
                <a:r>
                  <a:rPr lang="en-US" sz="900" b="0" i="0" baseline="0">
                    <a:effectLst/>
                  </a:rPr>
                  <a:t>] (mmol/L)</a:t>
                </a:r>
                <a:endParaRPr lang="en-US" sz="900">
                  <a:effectLst/>
                </a:endParaRPr>
              </a:p>
            </c:rich>
          </c:tx>
          <c:layout>
            <c:manualLayout>
              <c:xMode val="edge"/>
              <c:yMode val="edge"/>
              <c:x val="0"/>
              <c:y val="0.1302544619082499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49081904"/>
        <c:crosses val="autoZero"/>
        <c:crossBetween val="midCat"/>
      </c:valAx>
      <c:spPr>
        <a:noFill/>
        <a:ln>
          <a:noFill/>
        </a:ln>
        <a:effectLst/>
      </c:spPr>
    </c:plotArea>
    <c:legend>
      <c:legendPos val="r"/>
      <c:legendEntry>
        <c:idx val="4"/>
        <c:delete val="1"/>
      </c:legendEntry>
      <c:legendEntry>
        <c:idx val="5"/>
        <c:delete val="1"/>
      </c:legendEntry>
      <c:legendEntry>
        <c:idx val="6"/>
        <c:delete val="1"/>
      </c:legendEntry>
      <c:legendEntry>
        <c:idx val="7"/>
        <c:delete val="1"/>
      </c:legendEntry>
      <c:layout>
        <c:manualLayout>
          <c:xMode val="edge"/>
          <c:yMode val="edge"/>
          <c:x val="0"/>
          <c:y val="0.92140904625034137"/>
          <c:w val="0.55966414758500016"/>
          <c:h val="7.7405769398596364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spc="0" baseline="0">
                <a:solidFill>
                  <a:sysClr val="windowText" lastClr="000000"/>
                </a:solidFill>
                <a:latin typeface="+mn-lt"/>
                <a:ea typeface="+mn-ea"/>
                <a:cs typeface="+mn-cs"/>
              </a:defRPr>
            </a:pPr>
            <a:r>
              <a:rPr lang="en-US" sz="1000" b="1">
                <a:solidFill>
                  <a:sysClr val="windowText" lastClr="000000"/>
                </a:solidFill>
              </a:rPr>
              <a:t>PPh</a:t>
            </a:r>
            <a:r>
              <a:rPr lang="en-US" sz="1000" b="1" baseline="-25000">
                <a:solidFill>
                  <a:sysClr val="windowText" lastClr="000000"/>
                </a:solidFill>
              </a:rPr>
              <a:t>3</a:t>
            </a:r>
            <a:r>
              <a:rPr lang="en-US" sz="1000" b="1">
                <a:solidFill>
                  <a:sysClr val="windowText" lastClr="000000"/>
                </a:solidFill>
              </a:rPr>
              <a:t> </a:t>
            </a:r>
            <a:r>
              <a:rPr lang="en-US" sz="1000" b="1" i="0" baseline="0">
                <a:solidFill>
                  <a:sysClr val="windowText" lastClr="000000"/>
                </a:solidFill>
                <a:effectLst/>
              </a:rPr>
              <a:t>(with </a:t>
            </a:r>
            <a:r>
              <a:rPr lang="en-US" sz="1000" b="1" i="0" u="none" strike="noStrike" baseline="0">
                <a:effectLst/>
              </a:rPr>
              <a:t>Ph</a:t>
            </a:r>
            <a:r>
              <a:rPr lang="en-US" sz="1000" b="1" i="0" u="none" strike="noStrike" baseline="-25000">
                <a:effectLst/>
              </a:rPr>
              <a:t>2</a:t>
            </a:r>
            <a:r>
              <a:rPr lang="en-US" sz="1000" b="1" i="0" u="none" strike="noStrike" baseline="0">
                <a:effectLst/>
              </a:rPr>
              <a:t>CHOH</a:t>
            </a:r>
            <a:r>
              <a:rPr lang="en-US" sz="1000" b="1" i="0" baseline="0">
                <a:solidFill>
                  <a:sysClr val="windowText" lastClr="000000"/>
                </a:solidFill>
                <a:effectLst/>
              </a:rPr>
              <a:t> 200 mmol/L)</a:t>
            </a:r>
            <a:endParaRPr lang="en-US" sz="1000" b="1">
              <a:solidFill>
                <a:sysClr val="windowText" lastClr="000000"/>
              </a:solidFill>
              <a:effectLst/>
            </a:endParaRPr>
          </a:p>
        </c:rich>
      </c:tx>
      <c:layout>
        <c:manualLayout>
          <c:xMode val="edge"/>
          <c:yMode val="edge"/>
          <c:x val="0.14376904395571244"/>
          <c:y val="1.0769040136077435E-3"/>
        </c:manualLayout>
      </c:layout>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468696262105168"/>
          <c:y val="8.1444634345058092E-3"/>
          <c:w val="0.78667941291821275"/>
          <c:h val="0.76408715377686598"/>
        </c:manualLayout>
      </c:layout>
      <c:scatterChart>
        <c:scatterStyle val="lineMarker"/>
        <c:varyColors val="0"/>
        <c:ser>
          <c:idx val="107"/>
          <c:order val="3"/>
          <c:tx>
            <c:strRef>
              <c:f>'Sheet1 (2)'!$O$90</c:f>
              <c:strCache>
                <c:ptCount val="1"/>
                <c:pt idx="0">
                  <c:v>d''</c:v>
                </c:pt>
              </c:strCache>
            </c:strRef>
          </c:tx>
          <c:spPr>
            <a:ln w="25400" cap="rnd">
              <a:noFill/>
              <a:round/>
            </a:ln>
            <a:effectLst/>
          </c:spPr>
          <c:marker>
            <c:symbol val="triangle"/>
            <c:size val="4"/>
            <c:spPr>
              <a:solidFill>
                <a:schemeClr val="bg1"/>
              </a:solidFill>
              <a:ln w="9525">
                <a:solidFill>
                  <a:schemeClr val="tx1">
                    <a:lumMod val="65000"/>
                    <a:lumOff val="35000"/>
                  </a:schemeClr>
                </a:solidFill>
              </a:ln>
              <a:effectLst/>
            </c:spPr>
          </c:marker>
          <c:trendline>
            <c:spPr>
              <a:ln w="19050" cap="rnd">
                <a:solidFill>
                  <a:schemeClr val="tx1">
                    <a:lumMod val="65000"/>
                    <a:lumOff val="35000"/>
                  </a:schemeClr>
                </a:solidFill>
                <a:prstDash val="sysDot"/>
              </a:ln>
              <a:effectLst/>
            </c:spPr>
            <c:trendlineType val="linear"/>
            <c:dispRSqr val="1"/>
            <c:dispEq val="1"/>
            <c:trendlineLbl>
              <c:layout>
                <c:manualLayout>
                  <c:x val="-0.2485549220140586"/>
                  <c:y val="0.29375767406756559"/>
                </c:manualLayout>
              </c:layout>
              <c:numFmt formatCode="#,##0.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rendlineLbl>
          </c:trendline>
          <c:xVal>
            <c:numRef>
              <c:f>('Sheet1 (2)'!$P$92:$P$93,'Sheet1 (2)'!$P$96:$P$99)</c:f>
              <c:numCache>
                <c:formatCode>General</c:formatCode>
                <c:ptCount val="6"/>
                <c:pt idx="0">
                  <c:v>3</c:v>
                </c:pt>
                <c:pt idx="1">
                  <c:v>4</c:v>
                </c:pt>
                <c:pt idx="2">
                  <c:v>7</c:v>
                </c:pt>
                <c:pt idx="3">
                  <c:v>8</c:v>
                </c:pt>
                <c:pt idx="4">
                  <c:v>9</c:v>
                </c:pt>
                <c:pt idx="5">
                  <c:v>10</c:v>
                </c:pt>
              </c:numCache>
            </c:numRef>
          </c:xVal>
          <c:yVal>
            <c:numRef>
              <c:f>('Sheet1 (2)'!$R$92:$R$93,'Sheet1 (2)'!$R$96:$R$99)</c:f>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c:ext xmlns:c16="http://schemas.microsoft.com/office/drawing/2014/chart" uri="{C3380CC4-5D6E-409C-BE32-E72D297353CC}">
              <c16:uniqueId val="{00000000-40FF-44CE-9162-929975E22E13}"/>
            </c:ext>
          </c:extLst>
        </c:ser>
        <c:ser>
          <c:idx val="115"/>
          <c:order val="11"/>
          <c:tx>
            <c:strRef>
              <c:f>'Sheet1 (2)'!$O$202</c:f>
              <c:strCache>
                <c:ptCount val="1"/>
                <c:pt idx="0">
                  <c:v>l'</c:v>
                </c:pt>
              </c:strCache>
            </c:strRef>
          </c:tx>
          <c:spPr>
            <a:ln w="25400" cap="rnd">
              <a:noFill/>
              <a:round/>
            </a:ln>
            <a:effectLst/>
          </c:spPr>
          <c:marker>
            <c:symbol val="square"/>
            <c:size val="3"/>
            <c:spPr>
              <a:solidFill>
                <a:schemeClr val="tx1"/>
              </a:solidFill>
              <a:ln w="9525">
                <a:solidFill>
                  <a:schemeClr val="tx1"/>
                </a:solidFill>
              </a:ln>
              <a:effectLst/>
            </c:spPr>
          </c:marker>
          <c:trendline>
            <c:spPr>
              <a:ln w="19050" cap="rnd">
                <a:solidFill>
                  <a:schemeClr val="tx1"/>
                </a:solidFill>
                <a:prstDash val="sysDot"/>
              </a:ln>
              <a:effectLst/>
            </c:spPr>
            <c:trendlineType val="linear"/>
            <c:dispRSqr val="1"/>
            <c:dispEq val="1"/>
            <c:trendlineLbl>
              <c:layout>
                <c:manualLayout>
                  <c:x val="-0.14874286699564016"/>
                  <c:y val="8.7712268604232008E-2"/>
                </c:manualLayout>
              </c:layout>
              <c:numFmt formatCode="#,##0.00" sourceLinked="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trendlineLbl>
          </c:trendline>
          <c:xVal>
            <c:numRef>
              <c:f>'Sheet1 (2)'!$P$205:$P$212</c:f>
              <c:numCache>
                <c:formatCode>General</c:formatCode>
                <c:ptCount val="8"/>
                <c:pt idx="0">
                  <c:v>4</c:v>
                </c:pt>
                <c:pt idx="1">
                  <c:v>5</c:v>
                </c:pt>
                <c:pt idx="2">
                  <c:v>6</c:v>
                </c:pt>
                <c:pt idx="3">
                  <c:v>7</c:v>
                </c:pt>
                <c:pt idx="4">
                  <c:v>8</c:v>
                </c:pt>
                <c:pt idx="5">
                  <c:v>9</c:v>
                </c:pt>
                <c:pt idx="6">
                  <c:v>10</c:v>
                </c:pt>
                <c:pt idx="7">
                  <c:v>11</c:v>
                </c:pt>
              </c:numCache>
            </c:numRef>
          </c:xVal>
          <c:yVal>
            <c:numRef>
              <c:f>'Sheet1 (2)'!$R$205:$R$212</c:f>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c:ext xmlns:c16="http://schemas.microsoft.com/office/drawing/2014/chart" uri="{C3380CC4-5D6E-409C-BE32-E72D297353CC}">
              <c16:uniqueId val="{00000001-40FF-44CE-9162-929975E22E13}"/>
            </c:ext>
          </c:extLst>
        </c:ser>
        <c:ser>
          <c:idx val="116"/>
          <c:order val="12"/>
          <c:tx>
            <c:strRef>
              <c:f>'Sheet1 (2)'!$O$216</c:f>
              <c:strCache>
                <c:ptCount val="1"/>
                <c:pt idx="0">
                  <c:v>m</c:v>
                </c:pt>
              </c:strCache>
            </c:strRef>
          </c:tx>
          <c:spPr>
            <a:ln w="25400" cap="rnd">
              <a:noFill/>
              <a:round/>
            </a:ln>
            <a:effectLst/>
          </c:spPr>
          <c:marker>
            <c:symbol val="circle"/>
            <c:size val="3"/>
            <c:spPr>
              <a:solidFill>
                <a:schemeClr val="bg1">
                  <a:lumMod val="65000"/>
                </a:schemeClr>
              </a:solidFill>
              <a:ln w="9525">
                <a:solidFill>
                  <a:schemeClr val="bg1">
                    <a:lumMod val="65000"/>
                  </a:schemeClr>
                </a:solidFill>
              </a:ln>
              <a:effectLst/>
            </c:spPr>
          </c:marker>
          <c:trendline>
            <c:spPr>
              <a:ln w="19050" cap="rnd">
                <a:solidFill>
                  <a:schemeClr val="bg1">
                    <a:lumMod val="65000"/>
                  </a:schemeClr>
                </a:solidFill>
                <a:prstDash val="sysDot"/>
              </a:ln>
              <a:effectLst/>
            </c:spPr>
            <c:trendlineType val="linear"/>
            <c:dispRSqr val="1"/>
            <c:dispEq val="1"/>
            <c:trendlineLbl>
              <c:layout>
                <c:manualLayout>
                  <c:x val="-2.3236146576568438E-3"/>
                  <c:y val="0.40356206642030223"/>
                </c:manualLayout>
              </c:layout>
              <c:numFmt formatCode="#,##0.00" sourceLinked="0"/>
              <c:spPr>
                <a:noFill/>
                <a:ln>
                  <a:noFill/>
                </a:ln>
                <a:effectLst/>
              </c:spPr>
              <c:txPr>
                <a:bodyPr rot="0" spcFirstLastPara="1" vertOverflow="ellipsis" vert="horz" wrap="square" anchor="ctr" anchorCtr="1"/>
                <a:lstStyle/>
                <a:p>
                  <a:pPr>
                    <a:defRPr sz="800" b="0" i="0" u="none" strike="noStrike" kern="1200" baseline="0">
                      <a:solidFill>
                        <a:schemeClr val="bg1">
                          <a:lumMod val="65000"/>
                        </a:schemeClr>
                      </a:solidFill>
                      <a:latin typeface="+mn-lt"/>
                      <a:ea typeface="+mn-ea"/>
                      <a:cs typeface="+mn-cs"/>
                    </a:defRPr>
                  </a:pPr>
                  <a:endParaRPr lang="en-US"/>
                </a:p>
              </c:txPr>
            </c:trendlineLbl>
          </c:trendline>
          <c:xVal>
            <c:numRef>
              <c:f>('Sheet1 (2)'!$P$218,'Sheet1 (2)'!$P$220:$P$227)</c:f>
              <c:numCache>
                <c:formatCode>General</c:formatCode>
                <c:ptCount val="9"/>
                <c:pt idx="0">
                  <c:v>3</c:v>
                </c:pt>
                <c:pt idx="1">
                  <c:v>5</c:v>
                </c:pt>
                <c:pt idx="2">
                  <c:v>6</c:v>
                </c:pt>
                <c:pt idx="3">
                  <c:v>7</c:v>
                </c:pt>
                <c:pt idx="4">
                  <c:v>8</c:v>
                </c:pt>
                <c:pt idx="5">
                  <c:v>9</c:v>
                </c:pt>
                <c:pt idx="6">
                  <c:v>10</c:v>
                </c:pt>
                <c:pt idx="7">
                  <c:v>11</c:v>
                </c:pt>
                <c:pt idx="8">
                  <c:v>12</c:v>
                </c:pt>
              </c:numCache>
            </c:numRef>
          </c:xVal>
          <c:yVal>
            <c:numRef>
              <c:f>('Sheet1 (2)'!$R$218,'Sheet1 (2)'!$R$220:$R$227)</c:f>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c:ext xmlns:c16="http://schemas.microsoft.com/office/drawing/2014/chart" uri="{C3380CC4-5D6E-409C-BE32-E72D297353CC}">
              <c16:uniqueId val="{00000002-40FF-44CE-9162-929975E22E13}"/>
            </c:ext>
          </c:extLst>
        </c:ser>
        <c:dLbls>
          <c:showLegendKey val="0"/>
          <c:showVal val="0"/>
          <c:showCatName val="0"/>
          <c:showSerName val="0"/>
          <c:showPercent val="0"/>
          <c:showBubbleSize val="0"/>
        </c:dLbls>
        <c:axId val="249079728"/>
        <c:axId val="249081360"/>
        <c:extLst xmlns:c16r2="http://schemas.microsoft.com/office/drawing/2015/06/chart">
          <c:ext xmlns:c15="http://schemas.microsoft.com/office/drawing/2012/chart" uri="{02D57815-91ED-43cb-92C2-25804820EDAC}">
            <c15:filteredScatterSeries>
              <c15:ser>
                <c:idx val="104"/>
                <c:order val="0"/>
                <c:tx>
                  <c:strRef>
                    <c:extLst xmlns:c16r2="http://schemas.microsoft.com/office/drawing/2015/06/chart">
                      <c:ex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3">
                        <a:lumMod val="50000"/>
                        <a:lumOff val="50000"/>
                      </a:schemeClr>
                    </a:solidFill>
                    <a:ln w="9525">
                      <a:solidFill>
                        <a:schemeClr val="accent3">
                          <a:lumMod val="50000"/>
                          <a:lumOff val="50000"/>
                        </a:schemeClr>
                      </a:solidFill>
                    </a:ln>
                    <a:effectLst/>
                  </c:spPr>
                </c:marker>
                <c:xVal>
                  <c:numRef>
                    <c:extLst xmlns:c16r2="http://schemas.microsoft.com/office/drawing/2015/06/chart">
                      <c:ex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c:ex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c:ext xmlns:c16="http://schemas.microsoft.com/office/drawing/2014/chart" uri="{C3380CC4-5D6E-409C-BE32-E72D297353CC}">
                    <c16:uniqueId val="{00000003-40FF-44CE-9162-929975E22E13}"/>
                  </c:ext>
                </c:extLst>
              </c15:ser>
            </c15:filteredScatterSeries>
            <c15:filteredScatterSeries>
              <c15:ser>
                <c:idx val="105"/>
                <c:order val="1"/>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4">
                        <a:lumMod val="50000"/>
                        <a:lumOff val="50000"/>
                      </a:schemeClr>
                    </a:solidFill>
                    <a:ln w="9525">
                      <a:solidFill>
                        <a:schemeClr val="accent4">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4-40FF-44CE-9162-929975E22E13}"/>
                  </c:ext>
                </c:extLst>
              </c15:ser>
            </c15:filteredScatterSeries>
            <c15:filteredScatterSeries>
              <c15:ser>
                <c:idx val="106"/>
                <c:order val="2"/>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5">
                        <a:lumMod val="50000"/>
                        <a:lumOff val="50000"/>
                      </a:schemeClr>
                    </a:solidFill>
                    <a:ln w="9525">
                      <a:solidFill>
                        <a:schemeClr val="accent5">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5-40FF-44CE-9162-929975E22E13}"/>
                  </c:ext>
                </c:extLst>
              </c15:ser>
            </c15:filteredScatterSeries>
            <c15:filteredScatterSeries>
              <c15:ser>
                <c:idx val="108"/>
                <c:order val="4"/>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1"/>
                    </a:solidFill>
                    <a:ln w="9525">
                      <a:solidFill>
                        <a:schemeClr val="accent1"/>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6-40FF-44CE-9162-929975E22E13}"/>
                  </c:ext>
                </c:extLst>
              </c15:ser>
            </c15:filteredScatterSeries>
            <c15:filteredScatterSeries>
              <c15:ser>
                <c:idx val="109"/>
                <c:order val="5"/>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2"/>
                    </a:solidFill>
                    <a:ln w="9525">
                      <a:solidFill>
                        <a:schemeClr val="accent2"/>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7-40FF-44CE-9162-929975E22E13}"/>
                  </c:ext>
                </c:extLst>
              </c15:ser>
            </c15:filteredScatterSeries>
            <c15:filteredScatterSeries>
              <c15:ser>
                <c:idx val="110"/>
                <c:order val="6"/>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3"/>
                    </a:solidFill>
                    <a:ln w="9525">
                      <a:solidFill>
                        <a:schemeClr val="accent3"/>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8-40FF-44CE-9162-929975E22E13}"/>
                  </c:ext>
                </c:extLst>
              </c15:ser>
            </c15:filteredScatterSeries>
            <c15:filteredScatterSeries>
              <c15:ser>
                <c:idx val="111"/>
                <c:order val="7"/>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4"/>
                    </a:solidFill>
                    <a:ln w="9525">
                      <a:solidFill>
                        <a:schemeClr val="accent4"/>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9-40FF-44CE-9162-929975E22E13}"/>
                  </c:ext>
                </c:extLst>
              </c15:ser>
            </c15:filteredScatterSeries>
            <c15:filteredScatterSeries>
              <c15:ser>
                <c:idx val="112"/>
                <c:order val="8"/>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5"/>
                    </a:solidFill>
                    <a:ln w="9525">
                      <a:solidFill>
                        <a:schemeClr val="accent5"/>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A-40FF-44CE-9162-929975E22E13}"/>
                  </c:ext>
                </c:extLst>
              </c15:ser>
            </c15:filteredScatterSeries>
            <c15:filteredScatterSeries>
              <c15:ser>
                <c:idx val="113"/>
                <c:order val="9"/>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6"/>
                    </a:solidFill>
                    <a:ln w="9525">
                      <a:solidFill>
                        <a:schemeClr val="accent6"/>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B-40FF-44CE-9162-929975E22E13}"/>
                  </c:ext>
                </c:extLst>
              </c15:ser>
            </c15:filteredScatterSeries>
            <c15:filteredScatterSeries>
              <c15:ser>
                <c:idx val="114"/>
                <c:order val="10"/>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C-40FF-44CE-9162-929975E22E13}"/>
                  </c:ext>
                </c:extLst>
              </c15:ser>
            </c15:filteredScatterSeries>
            <c15:filteredScatterSeries>
              <c15:ser>
                <c:idx val="117"/>
                <c:order val="13"/>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D-40FF-44CE-9162-929975E22E13}"/>
                  </c:ext>
                </c:extLst>
              </c15:ser>
            </c15:filteredScatterSeries>
            <c15:filteredScatterSeries>
              <c15:ser>
                <c:idx val="118"/>
                <c:order val="14"/>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5">
                        <a:lumMod val="60000"/>
                      </a:schemeClr>
                    </a:solidFill>
                    <a:ln w="9525">
                      <a:solidFill>
                        <a:schemeClr val="accent5">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E-40FF-44CE-9162-929975E22E13}"/>
                  </c:ext>
                </c:extLst>
              </c15:ser>
            </c15:filteredScatterSeries>
            <c15:filteredScatterSeries>
              <c15:ser>
                <c:idx val="119"/>
                <c:order val="15"/>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6">
                        <a:lumMod val="60000"/>
                      </a:schemeClr>
                    </a:solidFill>
                    <a:ln w="9525">
                      <a:solidFill>
                        <a:schemeClr val="accent6">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F-40FF-44CE-9162-929975E22E13}"/>
                  </c:ext>
                </c:extLst>
              </c15:ser>
            </c15:filteredScatterSeries>
            <c15:filteredScatterSeries>
              <c15:ser>
                <c:idx val="120"/>
                <c:order val="16"/>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0-40FF-44CE-9162-929975E22E13}"/>
                  </c:ext>
                </c:extLst>
              </c15:ser>
            </c15:filteredScatterSeries>
            <c15:filteredScatterSeries>
              <c15:ser>
                <c:idx val="121"/>
                <c:order val="17"/>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1-40FF-44CE-9162-929975E22E13}"/>
                  </c:ext>
                </c:extLst>
              </c15:ser>
            </c15:filteredScatterSeries>
            <c15:filteredScatterSeries>
              <c15:ser>
                <c:idx val="122"/>
                <c:order val="18"/>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2-40FF-44CE-9162-929975E22E13}"/>
                  </c:ext>
                </c:extLst>
              </c15:ser>
            </c15:filteredScatterSeries>
            <c15:filteredScatterSeries>
              <c15:ser>
                <c:idx val="123"/>
                <c:order val="19"/>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3-40FF-44CE-9162-929975E22E13}"/>
                  </c:ext>
                </c:extLst>
              </c15:ser>
            </c15:filteredScatterSeries>
            <c15:filteredScatterSeries>
              <c15:ser>
                <c:idx val="124"/>
                <c:order val="20"/>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4-40FF-44CE-9162-929975E22E13}"/>
                  </c:ext>
                </c:extLst>
              </c15:ser>
            </c15:filteredScatterSeries>
            <c15:filteredScatterSeries>
              <c15:ser>
                <c:idx val="125"/>
                <c:order val="21"/>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5-40FF-44CE-9162-929975E22E13}"/>
                  </c:ext>
                </c:extLst>
              </c15:ser>
            </c15:filteredScatterSeries>
            <c15:filteredScatterSeries>
              <c15:ser>
                <c:idx val="126"/>
                <c:order val="22"/>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1">
                        <a:lumMod val="80000"/>
                      </a:schemeClr>
                    </a:solidFill>
                    <a:ln w="9525">
                      <a:solidFill>
                        <a:schemeClr val="accent1">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6-40FF-44CE-9162-929975E22E13}"/>
                  </c:ext>
                </c:extLst>
              </c15:ser>
            </c15:filteredScatterSeries>
            <c15:filteredScatterSeries>
              <c15:ser>
                <c:idx val="127"/>
                <c:order val="23"/>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2">
                        <a:lumMod val="80000"/>
                      </a:schemeClr>
                    </a:solidFill>
                    <a:ln w="9525">
                      <a:solidFill>
                        <a:schemeClr val="accent2">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7-40FF-44CE-9162-929975E22E13}"/>
                  </c:ext>
                </c:extLst>
              </c15:ser>
            </c15:filteredScatterSeries>
            <c15:filteredScatterSeries>
              <c15:ser>
                <c:idx val="128"/>
                <c:order val="24"/>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3">
                        <a:lumMod val="80000"/>
                      </a:schemeClr>
                    </a:solidFill>
                    <a:ln w="9525">
                      <a:solidFill>
                        <a:schemeClr val="accent3">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8-40FF-44CE-9162-929975E22E13}"/>
                  </c:ext>
                </c:extLst>
              </c15:ser>
            </c15:filteredScatterSeries>
            <c15:filteredScatterSeries>
              <c15:ser>
                <c:idx val="129"/>
                <c:order val="25"/>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4">
                        <a:lumMod val="80000"/>
                      </a:schemeClr>
                    </a:solidFill>
                    <a:ln w="9525">
                      <a:solidFill>
                        <a:schemeClr val="accent4">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9-40FF-44CE-9162-929975E22E13}"/>
                  </c:ext>
                </c:extLst>
              </c15:ser>
            </c15:filteredScatterSeries>
            <c15:filteredScatterSeries>
              <c15:ser>
                <c:idx val="130"/>
                <c:order val="26"/>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5">
                        <a:lumMod val="80000"/>
                      </a:schemeClr>
                    </a:solidFill>
                    <a:ln w="9525">
                      <a:solidFill>
                        <a:schemeClr val="accent5">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A-40FF-44CE-9162-929975E22E13}"/>
                  </c:ext>
                </c:extLst>
              </c15:ser>
            </c15:filteredScatterSeries>
            <c15:filteredScatterSeries>
              <c15:ser>
                <c:idx val="131"/>
                <c:order val="27"/>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6">
                        <a:lumMod val="80000"/>
                      </a:schemeClr>
                    </a:solidFill>
                    <a:ln w="9525">
                      <a:solidFill>
                        <a:schemeClr val="accent6">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B-40FF-44CE-9162-929975E22E13}"/>
                  </c:ext>
                </c:extLst>
              </c15:ser>
            </c15:filteredScatterSeries>
            <c15:filteredScatterSeries>
              <c15:ser>
                <c:idx val="132"/>
                <c:order val="28"/>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C-40FF-44CE-9162-929975E22E13}"/>
                  </c:ext>
                </c:extLst>
              </c15:ser>
            </c15:filteredScatterSeries>
            <c15:filteredScatterSeries>
              <c15:ser>
                <c:idx val="133"/>
                <c:order val="29"/>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D-40FF-44CE-9162-929975E22E13}"/>
                  </c:ext>
                </c:extLst>
              </c15:ser>
            </c15:filteredScatterSeries>
            <c15:filteredScatterSeries>
              <c15:ser>
                <c:idx val="134"/>
                <c:order val="30"/>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E-40FF-44CE-9162-929975E22E13}"/>
                  </c:ext>
                </c:extLst>
              </c15:ser>
            </c15:filteredScatterSeries>
            <c15:filteredScatterSeries>
              <c15:ser>
                <c:idx val="135"/>
                <c:order val="31"/>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F-40FF-44CE-9162-929975E22E13}"/>
                  </c:ext>
                </c:extLst>
              </c15:ser>
            </c15:filteredScatterSeries>
            <c15:filteredScatterSeries>
              <c15:ser>
                <c:idx val="136"/>
                <c:order val="32"/>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0-40FF-44CE-9162-929975E22E13}"/>
                  </c:ext>
                </c:extLst>
              </c15:ser>
            </c15:filteredScatterSeries>
            <c15:filteredScatterSeries>
              <c15:ser>
                <c:idx val="137"/>
                <c:order val="33"/>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1-40FF-44CE-9162-929975E22E13}"/>
                  </c:ext>
                </c:extLst>
              </c15:ser>
            </c15:filteredScatterSeries>
            <c15:filteredScatterSeries>
              <c15:ser>
                <c:idx val="138"/>
                <c:order val="34"/>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1">
                        <a:lumMod val="50000"/>
                      </a:schemeClr>
                    </a:solidFill>
                    <a:ln w="9525">
                      <a:solidFill>
                        <a:schemeClr val="accent1">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2-40FF-44CE-9162-929975E22E13}"/>
                  </c:ext>
                </c:extLst>
              </c15:ser>
            </c15:filteredScatterSeries>
            <c15:filteredScatterSeries>
              <c15:ser>
                <c:idx val="139"/>
                <c:order val="35"/>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2">
                        <a:lumMod val="50000"/>
                      </a:schemeClr>
                    </a:solidFill>
                    <a:ln w="9525">
                      <a:solidFill>
                        <a:schemeClr val="accent2">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3-40FF-44CE-9162-929975E22E13}"/>
                  </c:ext>
                </c:extLst>
              </c15:ser>
            </c15:filteredScatterSeries>
            <c15:filteredScatterSeries>
              <c15:ser>
                <c:idx val="140"/>
                <c:order val="36"/>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3">
                        <a:lumMod val="50000"/>
                      </a:schemeClr>
                    </a:solidFill>
                    <a:ln w="9525">
                      <a:solidFill>
                        <a:schemeClr val="accent3">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4-40FF-44CE-9162-929975E22E13}"/>
                  </c:ext>
                </c:extLst>
              </c15:ser>
            </c15:filteredScatterSeries>
            <c15:filteredScatterSeries>
              <c15:ser>
                <c:idx val="141"/>
                <c:order val="37"/>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4">
                        <a:lumMod val="50000"/>
                      </a:schemeClr>
                    </a:solidFill>
                    <a:ln w="9525">
                      <a:solidFill>
                        <a:schemeClr val="accent4">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5-40FF-44CE-9162-929975E22E13}"/>
                  </c:ext>
                </c:extLst>
              </c15:ser>
            </c15:filteredScatterSeries>
            <c15:filteredScatterSeries>
              <c15:ser>
                <c:idx val="142"/>
                <c:order val="38"/>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5">
                        <a:lumMod val="50000"/>
                      </a:schemeClr>
                    </a:solidFill>
                    <a:ln w="9525">
                      <a:solidFill>
                        <a:schemeClr val="accent5">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6-40FF-44CE-9162-929975E22E13}"/>
                  </c:ext>
                </c:extLst>
              </c15:ser>
            </c15:filteredScatterSeries>
            <c15:filteredScatterSeries>
              <c15:ser>
                <c:idx val="143"/>
                <c:order val="39"/>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6">
                        <a:lumMod val="50000"/>
                      </a:schemeClr>
                    </a:solidFill>
                    <a:ln w="9525">
                      <a:solidFill>
                        <a:schemeClr val="accent6">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7-40FF-44CE-9162-929975E22E13}"/>
                  </c:ext>
                </c:extLst>
              </c15:ser>
            </c15:filteredScatterSeries>
            <c15:filteredScatterSeries>
              <c15:ser>
                <c:idx val="144"/>
                <c:order val="40"/>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8-40FF-44CE-9162-929975E22E13}"/>
                  </c:ext>
                </c:extLst>
              </c15:ser>
            </c15:filteredScatterSeries>
            <c15:filteredScatterSeries>
              <c15:ser>
                <c:idx val="145"/>
                <c:order val="41"/>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9-40FF-44CE-9162-929975E22E13}"/>
                  </c:ext>
                </c:extLst>
              </c15:ser>
            </c15:filteredScatterSeries>
            <c15:filteredScatterSeries>
              <c15:ser>
                <c:idx val="146"/>
                <c:order val="42"/>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A-40FF-44CE-9162-929975E22E13}"/>
                  </c:ext>
                </c:extLst>
              </c15:ser>
            </c15:filteredScatterSeries>
            <c15:filteredScatterSeries>
              <c15:ser>
                <c:idx val="147"/>
                <c:order val="43"/>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B-40FF-44CE-9162-929975E22E13}"/>
                  </c:ext>
                </c:extLst>
              </c15:ser>
            </c15:filteredScatterSeries>
            <c15:filteredScatterSeries>
              <c15:ser>
                <c:idx val="148"/>
                <c:order val="44"/>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C-40FF-44CE-9162-929975E22E13}"/>
                  </c:ext>
                </c:extLst>
              </c15:ser>
            </c15:filteredScatterSeries>
            <c15:filteredScatterSeries>
              <c15:ser>
                <c:idx val="149"/>
                <c:order val="45"/>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D-40FF-44CE-9162-929975E22E13}"/>
                  </c:ext>
                </c:extLst>
              </c15:ser>
            </c15:filteredScatterSeries>
            <c15:filteredScatterSeries>
              <c15:ser>
                <c:idx val="150"/>
                <c:order val="46"/>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1">
                        <a:lumMod val="70000"/>
                      </a:schemeClr>
                    </a:solidFill>
                    <a:ln w="9525">
                      <a:solidFill>
                        <a:schemeClr val="accent1">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E-40FF-44CE-9162-929975E22E13}"/>
                  </c:ext>
                </c:extLst>
              </c15:ser>
            </c15:filteredScatterSeries>
            <c15:filteredScatterSeries>
              <c15:ser>
                <c:idx val="151"/>
                <c:order val="47"/>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2">
                        <a:lumMod val="70000"/>
                      </a:schemeClr>
                    </a:solidFill>
                    <a:ln w="9525">
                      <a:solidFill>
                        <a:schemeClr val="accent2">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F-40FF-44CE-9162-929975E22E13}"/>
                  </c:ext>
                </c:extLst>
              </c15:ser>
            </c15:filteredScatterSeries>
            <c15:filteredScatterSeries>
              <c15:ser>
                <c:idx val="152"/>
                <c:order val="48"/>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3">
                        <a:lumMod val="70000"/>
                      </a:schemeClr>
                    </a:solidFill>
                    <a:ln w="9525">
                      <a:solidFill>
                        <a:schemeClr val="accent3">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0-40FF-44CE-9162-929975E22E13}"/>
                  </c:ext>
                </c:extLst>
              </c15:ser>
            </c15:filteredScatterSeries>
            <c15:filteredScatterSeries>
              <c15:ser>
                <c:idx val="153"/>
                <c:order val="49"/>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4">
                        <a:lumMod val="70000"/>
                      </a:schemeClr>
                    </a:solidFill>
                    <a:ln w="9525">
                      <a:solidFill>
                        <a:schemeClr val="accent4">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1-40FF-44CE-9162-929975E22E13}"/>
                  </c:ext>
                </c:extLst>
              </c15:ser>
            </c15:filteredScatterSeries>
            <c15:filteredScatterSeries>
              <c15:ser>
                <c:idx val="154"/>
                <c:order val="50"/>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5">
                        <a:lumMod val="70000"/>
                      </a:schemeClr>
                    </a:solidFill>
                    <a:ln w="9525">
                      <a:solidFill>
                        <a:schemeClr val="accent5">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2-40FF-44CE-9162-929975E22E13}"/>
                  </c:ext>
                </c:extLst>
              </c15:ser>
            </c15:filteredScatterSeries>
            <c15:filteredScatterSeries>
              <c15:ser>
                <c:idx val="155"/>
                <c:order val="51"/>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6">
                        <a:lumMod val="70000"/>
                      </a:schemeClr>
                    </a:solidFill>
                    <a:ln w="9525">
                      <a:solidFill>
                        <a:schemeClr val="accent6">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3-40FF-44CE-9162-929975E22E13}"/>
                  </c:ext>
                </c:extLst>
              </c15:ser>
            </c15:filteredScatterSeries>
            <c15:filteredScatterSeries>
              <c15:ser>
                <c:idx val="52"/>
                <c:order val="52"/>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5">
                        <a:lumMod val="50000"/>
                        <a:lumOff val="50000"/>
                      </a:schemeClr>
                    </a:solidFill>
                    <a:ln w="9525">
                      <a:solidFill>
                        <a:schemeClr val="accent5">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4-40FF-44CE-9162-929975E22E13}"/>
                  </c:ext>
                </c:extLst>
              </c15:ser>
            </c15:filteredScatterSeries>
            <c15:filteredScatterSeries>
              <c15:ser>
                <c:idx val="53"/>
                <c:order val="53"/>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6">
                        <a:lumMod val="50000"/>
                        <a:lumOff val="50000"/>
                      </a:schemeClr>
                    </a:solidFill>
                    <a:ln w="9525">
                      <a:solidFill>
                        <a:schemeClr val="accent6">
                          <a:lumMod val="50000"/>
                          <a:lumOff val="50000"/>
                        </a:schemeClr>
                      </a:solidFill>
                    </a:ln>
                    <a:effectLst/>
                  </c:spPr>
                </c:marker>
                <c:trendline>
                  <c:spPr>
                    <a:ln w="19050" cap="rnd">
                      <a:solidFill>
                        <a:schemeClr val="accent6">
                          <a:lumMod val="50000"/>
                          <a:lumOff val="50000"/>
                        </a:schemeClr>
                      </a:solidFill>
                      <a:prstDash val="sysDot"/>
                    </a:ln>
                    <a:effectLst/>
                  </c:spPr>
                  <c:trendlineType val="linear"/>
                  <c:dispRSqr val="0"/>
                  <c:dispEq val="0"/>
                </c:trendline>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5-40FF-44CE-9162-929975E22E13}"/>
                  </c:ext>
                </c:extLst>
              </c15:ser>
            </c15:filteredScatterSeries>
            <c15:filteredScatterSeries>
              <c15:ser>
                <c:idx val="54"/>
                <c:order val="54"/>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1"/>
                    </a:solidFill>
                    <a:ln w="9525">
                      <a:solidFill>
                        <a:schemeClr val="accent1"/>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6-40FF-44CE-9162-929975E22E13}"/>
                  </c:ext>
                </c:extLst>
              </c15:ser>
            </c15:filteredScatterSeries>
            <c15:filteredScatterSeries>
              <c15:ser>
                <c:idx val="55"/>
                <c:order val="55"/>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2"/>
                    </a:solidFill>
                    <a:ln w="9525">
                      <a:solidFill>
                        <a:schemeClr val="accent2"/>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7-40FF-44CE-9162-929975E22E13}"/>
                  </c:ext>
                </c:extLst>
              </c15:ser>
            </c15:filteredScatterSeries>
            <c15:filteredScatterSeries>
              <c15:ser>
                <c:idx val="56"/>
                <c:order val="56"/>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3"/>
                    </a:solidFill>
                    <a:ln w="9525">
                      <a:solidFill>
                        <a:schemeClr val="accent3"/>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8-40FF-44CE-9162-929975E22E13}"/>
                  </c:ext>
                </c:extLst>
              </c15:ser>
            </c15:filteredScatterSeries>
            <c15:filteredScatterSeries>
              <c15:ser>
                <c:idx val="57"/>
                <c:order val="57"/>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4"/>
                    </a:solidFill>
                    <a:ln w="9525">
                      <a:solidFill>
                        <a:schemeClr val="accent4"/>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9-40FF-44CE-9162-929975E22E13}"/>
                  </c:ext>
                </c:extLst>
              </c15:ser>
            </c15:filteredScatterSeries>
            <c15:filteredScatterSeries>
              <c15:ser>
                <c:idx val="58"/>
                <c:order val="58"/>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linear"/>
                  <c:dispRSqr val="0"/>
                  <c:dispEq val="0"/>
                </c:trendline>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A-40FF-44CE-9162-929975E22E13}"/>
                  </c:ext>
                </c:extLst>
              </c15:ser>
            </c15:filteredScatterSeries>
            <c15:filteredScatterSeries>
              <c15:ser>
                <c:idx val="59"/>
                <c:order val="59"/>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6"/>
                    </a:solidFill>
                    <a:ln w="9525">
                      <a:solidFill>
                        <a:schemeClr val="accent6"/>
                      </a:solidFill>
                    </a:ln>
                    <a:effectLst/>
                  </c:spPr>
                </c:marker>
                <c:trendline>
                  <c:spPr>
                    <a:ln w="19050" cap="rnd">
                      <a:solidFill>
                        <a:schemeClr val="accent6"/>
                      </a:solidFill>
                      <a:prstDash val="sysDot"/>
                    </a:ln>
                    <a:effectLst/>
                  </c:spPr>
                  <c:trendlineType val="linear"/>
                  <c:dispRSqr val="0"/>
                  <c:dispEq val="0"/>
                </c:trendline>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B-40FF-44CE-9162-929975E22E13}"/>
                  </c:ext>
                </c:extLst>
              </c15:ser>
            </c15:filteredScatterSeries>
            <c15:filteredScatterSeries>
              <c15:ser>
                <c:idx val="60"/>
                <c:order val="60"/>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trendline>
                  <c:spPr>
                    <a:ln w="19050" cap="rnd">
                      <a:solidFill>
                        <a:schemeClr val="accent1">
                          <a:lumMod val="60000"/>
                        </a:schemeClr>
                      </a:solidFill>
                      <a:prstDash val="sysDot"/>
                    </a:ln>
                    <a:effectLst/>
                  </c:spPr>
                  <c:trendlineType val="linear"/>
                  <c:dispRSqr val="0"/>
                  <c:dispEq val="0"/>
                </c:trendline>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C-40FF-44CE-9162-929975E22E13}"/>
                  </c:ext>
                </c:extLst>
              </c15:ser>
            </c15:filteredScatterSeries>
            <c15:filteredScatterSeries>
              <c15:ser>
                <c:idx val="61"/>
                <c:order val="61"/>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D-40FF-44CE-9162-929975E22E13}"/>
                  </c:ext>
                </c:extLst>
              </c15:ser>
            </c15:filteredScatterSeries>
            <c15:filteredScatterSeries>
              <c15:ser>
                <c:idx val="62"/>
                <c:order val="62"/>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E-40FF-44CE-9162-929975E22E13}"/>
                  </c:ext>
                </c:extLst>
              </c15:ser>
            </c15:filteredScatterSeries>
            <c15:filteredScatterSeries>
              <c15:ser>
                <c:idx val="63"/>
                <c:order val="63"/>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F-40FF-44CE-9162-929975E22E13}"/>
                  </c:ext>
                </c:extLst>
              </c15:ser>
            </c15:filteredScatterSeries>
            <c15:filteredScatterSeries>
              <c15:ser>
                <c:idx val="64"/>
                <c:order val="64"/>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5">
                        <a:lumMod val="60000"/>
                      </a:schemeClr>
                    </a:solidFill>
                    <a:ln w="9525">
                      <a:solidFill>
                        <a:schemeClr val="accent5">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0-40FF-44CE-9162-929975E22E13}"/>
                  </c:ext>
                </c:extLst>
              </c15:ser>
            </c15:filteredScatterSeries>
            <c15:filteredScatterSeries>
              <c15:ser>
                <c:idx val="65"/>
                <c:order val="65"/>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6">
                        <a:lumMod val="60000"/>
                      </a:schemeClr>
                    </a:solidFill>
                    <a:ln w="9525">
                      <a:solidFill>
                        <a:schemeClr val="accent6">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1-40FF-44CE-9162-929975E22E13}"/>
                  </c:ext>
                </c:extLst>
              </c15:ser>
            </c15:filteredScatterSeries>
            <c15:filteredScatterSeries>
              <c15:ser>
                <c:idx val="66"/>
                <c:order val="66"/>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2-40FF-44CE-9162-929975E22E13}"/>
                  </c:ext>
                </c:extLst>
              </c15:ser>
            </c15:filteredScatterSeries>
            <c15:filteredScatterSeries>
              <c15:ser>
                <c:idx val="67"/>
                <c:order val="67"/>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3-40FF-44CE-9162-929975E22E13}"/>
                  </c:ext>
                </c:extLst>
              </c15:ser>
            </c15:filteredScatterSeries>
            <c15:filteredScatterSeries>
              <c15:ser>
                <c:idx val="68"/>
                <c:order val="68"/>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4-40FF-44CE-9162-929975E22E13}"/>
                  </c:ext>
                </c:extLst>
              </c15:ser>
            </c15:filteredScatterSeries>
            <c15:filteredScatterSeries>
              <c15:ser>
                <c:idx val="69"/>
                <c:order val="69"/>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5-40FF-44CE-9162-929975E22E13}"/>
                  </c:ext>
                </c:extLst>
              </c15:ser>
            </c15:filteredScatterSeries>
            <c15:filteredScatterSeries>
              <c15:ser>
                <c:idx val="70"/>
                <c:order val="70"/>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6-40FF-44CE-9162-929975E22E13}"/>
                  </c:ext>
                </c:extLst>
              </c15:ser>
            </c15:filteredScatterSeries>
            <c15:filteredScatterSeries>
              <c15:ser>
                <c:idx val="71"/>
                <c:order val="71"/>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7-40FF-44CE-9162-929975E22E13}"/>
                  </c:ext>
                </c:extLst>
              </c15:ser>
            </c15:filteredScatterSeries>
            <c15:filteredScatterSeries>
              <c15:ser>
                <c:idx val="72"/>
                <c:order val="72"/>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1">
                        <a:lumMod val="80000"/>
                      </a:schemeClr>
                    </a:solidFill>
                    <a:ln w="9525">
                      <a:solidFill>
                        <a:schemeClr val="accent1">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8-40FF-44CE-9162-929975E22E13}"/>
                  </c:ext>
                </c:extLst>
              </c15:ser>
            </c15:filteredScatterSeries>
            <c15:filteredScatterSeries>
              <c15:ser>
                <c:idx val="73"/>
                <c:order val="73"/>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2">
                        <a:lumMod val="80000"/>
                      </a:schemeClr>
                    </a:solidFill>
                    <a:ln w="9525">
                      <a:solidFill>
                        <a:schemeClr val="accent2">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9-40FF-44CE-9162-929975E22E13}"/>
                  </c:ext>
                </c:extLst>
              </c15:ser>
            </c15:filteredScatterSeries>
            <c15:filteredScatterSeries>
              <c15:ser>
                <c:idx val="74"/>
                <c:order val="74"/>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3">
                        <a:lumMod val="80000"/>
                      </a:schemeClr>
                    </a:solidFill>
                    <a:ln w="9525">
                      <a:solidFill>
                        <a:schemeClr val="accent3">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A-40FF-44CE-9162-929975E22E13}"/>
                  </c:ext>
                </c:extLst>
              </c15:ser>
            </c15:filteredScatterSeries>
            <c15:filteredScatterSeries>
              <c15:ser>
                <c:idx val="75"/>
                <c:order val="75"/>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4">
                        <a:lumMod val="80000"/>
                      </a:schemeClr>
                    </a:solidFill>
                    <a:ln w="9525">
                      <a:solidFill>
                        <a:schemeClr val="accent4">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B-40FF-44CE-9162-929975E22E13}"/>
                  </c:ext>
                </c:extLst>
              </c15:ser>
            </c15:filteredScatterSeries>
            <c15:filteredScatterSeries>
              <c15:ser>
                <c:idx val="76"/>
                <c:order val="76"/>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5">
                        <a:lumMod val="80000"/>
                      </a:schemeClr>
                    </a:solidFill>
                    <a:ln w="9525">
                      <a:solidFill>
                        <a:schemeClr val="accent5">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C-40FF-44CE-9162-929975E22E13}"/>
                  </c:ext>
                </c:extLst>
              </c15:ser>
            </c15:filteredScatterSeries>
            <c15:filteredScatterSeries>
              <c15:ser>
                <c:idx val="77"/>
                <c:order val="77"/>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6">
                        <a:lumMod val="80000"/>
                      </a:schemeClr>
                    </a:solidFill>
                    <a:ln w="9525">
                      <a:solidFill>
                        <a:schemeClr val="accent6">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D-40FF-44CE-9162-929975E22E13}"/>
                  </c:ext>
                </c:extLst>
              </c15:ser>
            </c15:filteredScatterSeries>
            <c15:filteredScatterSeries>
              <c15:ser>
                <c:idx val="78"/>
                <c:order val="78"/>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E-40FF-44CE-9162-929975E22E13}"/>
                  </c:ext>
                </c:extLst>
              </c15:ser>
            </c15:filteredScatterSeries>
            <c15:filteredScatterSeries>
              <c15:ser>
                <c:idx val="79"/>
                <c:order val="79"/>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F-40FF-44CE-9162-929975E22E13}"/>
                  </c:ext>
                </c:extLst>
              </c15:ser>
            </c15:filteredScatterSeries>
            <c15:filteredScatterSeries>
              <c15:ser>
                <c:idx val="80"/>
                <c:order val="80"/>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0-40FF-44CE-9162-929975E22E13}"/>
                  </c:ext>
                </c:extLst>
              </c15:ser>
            </c15:filteredScatterSeries>
            <c15:filteredScatterSeries>
              <c15:ser>
                <c:idx val="81"/>
                <c:order val="81"/>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1-40FF-44CE-9162-929975E22E13}"/>
                  </c:ext>
                </c:extLst>
              </c15:ser>
            </c15:filteredScatterSeries>
            <c15:filteredScatterSeries>
              <c15:ser>
                <c:idx val="82"/>
                <c:order val="82"/>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2-40FF-44CE-9162-929975E22E13}"/>
                  </c:ext>
                </c:extLst>
              </c15:ser>
            </c15:filteredScatterSeries>
            <c15:filteredScatterSeries>
              <c15:ser>
                <c:idx val="83"/>
                <c:order val="83"/>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3-40FF-44CE-9162-929975E22E13}"/>
                  </c:ext>
                </c:extLst>
              </c15:ser>
            </c15:filteredScatterSeries>
            <c15:filteredScatterSeries>
              <c15:ser>
                <c:idx val="84"/>
                <c:order val="84"/>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1">
                        <a:lumMod val="50000"/>
                      </a:schemeClr>
                    </a:solidFill>
                    <a:ln w="9525">
                      <a:solidFill>
                        <a:schemeClr val="accent1">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4-40FF-44CE-9162-929975E22E13}"/>
                  </c:ext>
                </c:extLst>
              </c15:ser>
            </c15:filteredScatterSeries>
            <c15:filteredScatterSeries>
              <c15:ser>
                <c:idx val="85"/>
                <c:order val="85"/>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2">
                        <a:lumMod val="50000"/>
                      </a:schemeClr>
                    </a:solidFill>
                    <a:ln w="9525">
                      <a:solidFill>
                        <a:schemeClr val="accent2">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5-40FF-44CE-9162-929975E22E13}"/>
                  </c:ext>
                </c:extLst>
              </c15:ser>
            </c15:filteredScatterSeries>
            <c15:filteredScatterSeries>
              <c15:ser>
                <c:idx val="86"/>
                <c:order val="86"/>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3">
                        <a:lumMod val="50000"/>
                      </a:schemeClr>
                    </a:solidFill>
                    <a:ln w="9525">
                      <a:solidFill>
                        <a:schemeClr val="accent3">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6-40FF-44CE-9162-929975E22E13}"/>
                  </c:ext>
                </c:extLst>
              </c15:ser>
            </c15:filteredScatterSeries>
            <c15:filteredScatterSeries>
              <c15:ser>
                <c:idx val="87"/>
                <c:order val="87"/>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4">
                        <a:lumMod val="50000"/>
                      </a:schemeClr>
                    </a:solidFill>
                    <a:ln w="9525">
                      <a:solidFill>
                        <a:schemeClr val="accent4">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7-40FF-44CE-9162-929975E22E13}"/>
                  </c:ext>
                </c:extLst>
              </c15:ser>
            </c15:filteredScatterSeries>
            <c15:filteredScatterSeries>
              <c15:ser>
                <c:idx val="88"/>
                <c:order val="88"/>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5">
                        <a:lumMod val="50000"/>
                      </a:schemeClr>
                    </a:solidFill>
                    <a:ln w="9525">
                      <a:solidFill>
                        <a:schemeClr val="accent5">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8-40FF-44CE-9162-929975E22E13}"/>
                  </c:ext>
                </c:extLst>
              </c15:ser>
            </c15:filteredScatterSeries>
            <c15:filteredScatterSeries>
              <c15:ser>
                <c:idx val="89"/>
                <c:order val="89"/>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6">
                        <a:lumMod val="50000"/>
                      </a:schemeClr>
                    </a:solidFill>
                    <a:ln w="9525">
                      <a:solidFill>
                        <a:schemeClr val="accent6">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9-40FF-44CE-9162-929975E22E13}"/>
                  </c:ext>
                </c:extLst>
              </c15:ser>
            </c15:filteredScatterSeries>
            <c15:filteredScatterSeries>
              <c15:ser>
                <c:idx val="90"/>
                <c:order val="90"/>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A-40FF-44CE-9162-929975E22E13}"/>
                  </c:ext>
                </c:extLst>
              </c15:ser>
            </c15:filteredScatterSeries>
            <c15:filteredScatterSeries>
              <c15:ser>
                <c:idx val="91"/>
                <c:order val="91"/>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B-40FF-44CE-9162-929975E22E13}"/>
                  </c:ext>
                </c:extLst>
              </c15:ser>
            </c15:filteredScatterSeries>
            <c15:filteredScatterSeries>
              <c15:ser>
                <c:idx val="92"/>
                <c:order val="92"/>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C-40FF-44CE-9162-929975E22E13}"/>
                  </c:ext>
                </c:extLst>
              </c15:ser>
            </c15:filteredScatterSeries>
            <c15:filteredScatterSeries>
              <c15:ser>
                <c:idx val="93"/>
                <c:order val="93"/>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D-40FF-44CE-9162-929975E22E13}"/>
                  </c:ext>
                </c:extLst>
              </c15:ser>
            </c15:filteredScatterSeries>
            <c15:filteredScatterSeries>
              <c15:ser>
                <c:idx val="94"/>
                <c:order val="94"/>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E-40FF-44CE-9162-929975E22E13}"/>
                  </c:ext>
                </c:extLst>
              </c15:ser>
            </c15:filteredScatterSeries>
            <c15:filteredScatterSeries>
              <c15:ser>
                <c:idx val="95"/>
                <c:order val="95"/>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F-40FF-44CE-9162-929975E22E13}"/>
                  </c:ext>
                </c:extLst>
              </c15:ser>
            </c15:filteredScatterSeries>
            <c15:filteredScatterSeries>
              <c15:ser>
                <c:idx val="96"/>
                <c:order val="96"/>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1">
                        <a:lumMod val="70000"/>
                      </a:schemeClr>
                    </a:solidFill>
                    <a:ln w="9525">
                      <a:solidFill>
                        <a:schemeClr val="accent1">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0-40FF-44CE-9162-929975E22E13}"/>
                  </c:ext>
                </c:extLst>
              </c15:ser>
            </c15:filteredScatterSeries>
            <c15:filteredScatterSeries>
              <c15:ser>
                <c:idx val="97"/>
                <c:order val="97"/>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2">
                        <a:lumMod val="70000"/>
                      </a:schemeClr>
                    </a:solidFill>
                    <a:ln w="9525">
                      <a:solidFill>
                        <a:schemeClr val="accent2">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1-40FF-44CE-9162-929975E22E13}"/>
                  </c:ext>
                </c:extLst>
              </c15:ser>
            </c15:filteredScatterSeries>
            <c15:filteredScatterSeries>
              <c15:ser>
                <c:idx val="98"/>
                <c:order val="98"/>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3">
                        <a:lumMod val="70000"/>
                      </a:schemeClr>
                    </a:solidFill>
                    <a:ln w="9525">
                      <a:solidFill>
                        <a:schemeClr val="accent3">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2-40FF-44CE-9162-929975E22E13}"/>
                  </c:ext>
                </c:extLst>
              </c15:ser>
            </c15:filteredScatterSeries>
            <c15:filteredScatterSeries>
              <c15:ser>
                <c:idx val="99"/>
                <c:order val="99"/>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4">
                        <a:lumMod val="70000"/>
                      </a:schemeClr>
                    </a:solidFill>
                    <a:ln w="9525">
                      <a:solidFill>
                        <a:schemeClr val="accent4">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3-40FF-44CE-9162-929975E22E13}"/>
                  </c:ext>
                </c:extLst>
              </c15:ser>
            </c15:filteredScatterSeries>
            <c15:filteredScatterSeries>
              <c15:ser>
                <c:idx val="100"/>
                <c:order val="100"/>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5">
                        <a:lumMod val="70000"/>
                      </a:schemeClr>
                    </a:solidFill>
                    <a:ln w="9525">
                      <a:solidFill>
                        <a:schemeClr val="accent5">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4-40FF-44CE-9162-929975E22E13}"/>
                  </c:ext>
                </c:extLst>
              </c15:ser>
            </c15:filteredScatterSeries>
            <c15:filteredScatterSeries>
              <c15:ser>
                <c:idx val="101"/>
                <c:order val="101"/>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6">
                        <a:lumMod val="70000"/>
                      </a:schemeClr>
                    </a:solidFill>
                    <a:ln w="9525">
                      <a:solidFill>
                        <a:schemeClr val="accent6">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5-40FF-44CE-9162-929975E22E13}"/>
                  </c:ext>
                </c:extLst>
              </c15:ser>
            </c15:filteredScatterSeries>
            <c15:filteredScatterSeries>
              <c15:ser>
                <c:idx val="102"/>
                <c:order val="102"/>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1">
                        <a:lumMod val="50000"/>
                        <a:lumOff val="50000"/>
                      </a:schemeClr>
                    </a:solidFill>
                    <a:ln w="9525">
                      <a:solidFill>
                        <a:schemeClr val="accent1">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6-40FF-44CE-9162-929975E22E13}"/>
                  </c:ext>
                </c:extLst>
              </c15:ser>
            </c15:filteredScatterSeries>
            <c15:filteredScatterSeries>
              <c15:ser>
                <c:idx val="103"/>
                <c:order val="103"/>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2">
                        <a:lumMod val="50000"/>
                        <a:lumOff val="50000"/>
                      </a:schemeClr>
                    </a:solidFill>
                    <a:ln w="9525">
                      <a:solidFill>
                        <a:schemeClr val="accent2">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7-40FF-44CE-9162-929975E22E13}"/>
                  </c:ext>
                </c:extLst>
              </c15:ser>
            </c15:filteredScatterSeries>
            <c15:filteredScatterSeries>
              <c15:ser>
                <c:idx val="26"/>
                <c:order val="104"/>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8-40FF-44CE-9162-929975E22E13}"/>
                  </c:ext>
                </c:extLst>
              </c15:ser>
            </c15:filteredScatterSeries>
            <c15:filteredScatterSeries>
              <c15:ser>
                <c:idx val="27"/>
                <c:order val="105"/>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trendline>
                  <c:spPr>
                    <a:ln w="19050" cap="rnd">
                      <a:solidFill>
                        <a:schemeClr val="accent4">
                          <a:lumMod val="60000"/>
                          <a:lumOff val="40000"/>
                        </a:schemeClr>
                      </a:solidFill>
                      <a:prstDash val="sysDot"/>
                    </a:ln>
                    <a:effectLst/>
                  </c:spPr>
                  <c:trendlineType val="linear"/>
                  <c:dispRSqr val="0"/>
                  <c:dispEq val="0"/>
                </c:trendline>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9-40FF-44CE-9162-929975E22E13}"/>
                  </c:ext>
                </c:extLst>
              </c15:ser>
            </c15:filteredScatterSeries>
            <c15:filteredScatterSeries>
              <c15:ser>
                <c:idx val="28"/>
                <c:order val="106"/>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A-40FF-44CE-9162-929975E22E13}"/>
                  </c:ext>
                </c:extLst>
              </c15:ser>
            </c15:filteredScatterSeries>
            <c15:filteredScatterSeries>
              <c15:ser>
                <c:idx val="29"/>
                <c:order val="107"/>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trendline>
                  <c:spPr>
                    <a:ln w="19050" cap="rnd">
                      <a:solidFill>
                        <a:schemeClr val="accent6">
                          <a:lumMod val="60000"/>
                          <a:lumOff val="40000"/>
                        </a:schemeClr>
                      </a:solidFill>
                      <a:prstDash val="sysDot"/>
                    </a:ln>
                    <a:effectLst/>
                  </c:spPr>
                  <c:trendlineType val="linear"/>
                  <c:dispRSqr val="0"/>
                  <c:dispEq val="0"/>
                </c:trendline>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B-40FF-44CE-9162-929975E22E13}"/>
                  </c:ext>
                </c:extLst>
              </c15:ser>
            </c15:filteredScatterSeries>
            <c15:filteredScatterSeries>
              <c15:ser>
                <c:idx val="30"/>
                <c:order val="108"/>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1">
                        <a:lumMod val="50000"/>
                      </a:schemeClr>
                    </a:solidFill>
                    <a:ln w="9525">
                      <a:solidFill>
                        <a:schemeClr val="accent1">
                          <a:lumMod val="50000"/>
                        </a:schemeClr>
                      </a:solidFill>
                    </a:ln>
                    <a:effectLst/>
                  </c:spPr>
                </c:marker>
                <c:trendline>
                  <c:spPr>
                    <a:ln w="19050" cap="rnd">
                      <a:solidFill>
                        <a:schemeClr val="accent1">
                          <a:lumMod val="50000"/>
                        </a:schemeClr>
                      </a:solidFill>
                      <a:prstDash val="sysDot"/>
                    </a:ln>
                    <a:effectLst/>
                  </c:spPr>
                  <c:trendlineType val="linear"/>
                  <c:dispRSqr val="0"/>
                  <c:dispEq val="0"/>
                </c:trendline>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C-40FF-44CE-9162-929975E22E13}"/>
                  </c:ext>
                </c:extLst>
              </c15:ser>
            </c15:filteredScatterSeries>
            <c15:filteredScatterSeries>
              <c15:ser>
                <c:idx val="31"/>
                <c:order val="109"/>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2">
                        <a:lumMod val="50000"/>
                      </a:schemeClr>
                    </a:solidFill>
                    <a:ln w="9525">
                      <a:solidFill>
                        <a:schemeClr val="accent2">
                          <a:lumMod val="50000"/>
                        </a:schemeClr>
                      </a:solidFill>
                    </a:ln>
                    <a:effectLst/>
                  </c:spPr>
                </c:marker>
                <c:trendline>
                  <c:spPr>
                    <a:ln w="19050" cap="rnd">
                      <a:solidFill>
                        <a:schemeClr val="accent2">
                          <a:lumMod val="50000"/>
                        </a:schemeClr>
                      </a:solidFill>
                      <a:prstDash val="sysDot"/>
                    </a:ln>
                    <a:effectLst/>
                  </c:spPr>
                  <c:trendlineType val="linear"/>
                  <c:dispRSqr val="0"/>
                  <c:dispEq val="0"/>
                </c:trendline>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D-40FF-44CE-9162-929975E22E13}"/>
                  </c:ext>
                </c:extLst>
              </c15:ser>
            </c15:filteredScatterSeries>
            <c15:filteredScatterSeries>
              <c15:ser>
                <c:idx val="32"/>
                <c:order val="110"/>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3">
                        <a:lumMod val="50000"/>
                      </a:schemeClr>
                    </a:solidFill>
                    <a:ln w="9525">
                      <a:solidFill>
                        <a:schemeClr val="accent3">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E-40FF-44CE-9162-929975E22E13}"/>
                  </c:ext>
                </c:extLst>
              </c15:ser>
            </c15:filteredScatterSeries>
            <c15:filteredScatterSeries>
              <c15:ser>
                <c:idx val="33"/>
                <c:order val="111"/>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4">
                        <a:lumMod val="50000"/>
                      </a:schemeClr>
                    </a:solidFill>
                    <a:ln w="9525">
                      <a:solidFill>
                        <a:schemeClr val="accent4">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F-40FF-44CE-9162-929975E22E13}"/>
                  </c:ext>
                </c:extLst>
              </c15:ser>
            </c15:filteredScatterSeries>
            <c15:filteredScatterSeries>
              <c15:ser>
                <c:idx val="34"/>
                <c:order val="112"/>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5">
                        <a:lumMod val="50000"/>
                      </a:schemeClr>
                    </a:solidFill>
                    <a:ln w="9525">
                      <a:solidFill>
                        <a:schemeClr val="accent5">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70-40FF-44CE-9162-929975E22E13}"/>
                  </c:ext>
                </c:extLst>
              </c15:ser>
            </c15:filteredScatterSeries>
            <c15:filteredScatterSeries>
              <c15:ser>
                <c:idx val="35"/>
                <c:order val="113"/>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6">
                        <a:lumMod val="50000"/>
                      </a:schemeClr>
                    </a:solidFill>
                    <a:ln w="9525">
                      <a:solidFill>
                        <a:schemeClr val="accent6">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71-40FF-44CE-9162-929975E22E13}"/>
                  </c:ext>
                </c:extLst>
              </c15:ser>
            </c15:filteredScatterSeries>
            <c15:filteredScatterSeries>
              <c15:ser>
                <c:idx val="36"/>
                <c:order val="114"/>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72-40FF-44CE-9162-929975E22E13}"/>
                  </c:ext>
                </c:extLst>
              </c15:ser>
            </c15:filteredScatterSeries>
            <c15:filteredScatterSeries>
              <c15:ser>
                <c:idx val="37"/>
                <c:order val="115"/>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73-40FF-44CE-9162-929975E22E13}"/>
                  </c:ext>
                </c:extLst>
              </c15:ser>
            </c15:filteredScatterSeries>
            <c15:filteredScatterSeries>
              <c15:ser>
                <c:idx val="38"/>
                <c:order val="116"/>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74-40FF-44CE-9162-929975E22E13}"/>
                  </c:ext>
                </c:extLst>
              </c15:ser>
            </c15:filteredScatterSeries>
            <c15:filteredScatterSeries>
              <c15:ser>
                <c:idx val="39"/>
                <c:order val="117"/>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75-40FF-44CE-9162-929975E22E13}"/>
                  </c:ext>
                </c:extLst>
              </c15:ser>
            </c15:filteredScatterSeries>
            <c15:filteredScatterSeries>
              <c15:ser>
                <c:idx val="40"/>
                <c:order val="118"/>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76-40FF-44CE-9162-929975E22E13}"/>
                  </c:ext>
                </c:extLst>
              </c15:ser>
            </c15:filteredScatterSeries>
            <c15:filteredScatterSeries>
              <c15:ser>
                <c:idx val="41"/>
                <c:order val="119"/>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77-40FF-44CE-9162-929975E22E13}"/>
                  </c:ext>
                </c:extLst>
              </c15:ser>
            </c15:filteredScatterSeries>
            <c15:filteredScatterSeries>
              <c15:ser>
                <c:idx val="42"/>
                <c:order val="120"/>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1">
                        <a:lumMod val="70000"/>
                      </a:schemeClr>
                    </a:solidFill>
                    <a:ln w="9525">
                      <a:solidFill>
                        <a:schemeClr val="accent1">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78-40FF-44CE-9162-929975E22E13}"/>
                  </c:ext>
                </c:extLst>
              </c15:ser>
            </c15:filteredScatterSeries>
            <c15:filteredScatterSeries>
              <c15:ser>
                <c:idx val="43"/>
                <c:order val="121"/>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2">
                        <a:lumMod val="70000"/>
                      </a:schemeClr>
                    </a:solidFill>
                    <a:ln w="9525">
                      <a:solidFill>
                        <a:schemeClr val="accent2">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79-40FF-44CE-9162-929975E22E13}"/>
                  </c:ext>
                </c:extLst>
              </c15:ser>
            </c15:filteredScatterSeries>
            <c15:filteredScatterSeries>
              <c15:ser>
                <c:idx val="44"/>
                <c:order val="122"/>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3">
                        <a:lumMod val="70000"/>
                      </a:schemeClr>
                    </a:solidFill>
                    <a:ln w="9525">
                      <a:solidFill>
                        <a:schemeClr val="accent3">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7A-40FF-44CE-9162-929975E22E13}"/>
                  </c:ext>
                </c:extLst>
              </c15:ser>
            </c15:filteredScatterSeries>
            <c15:filteredScatterSeries>
              <c15:ser>
                <c:idx val="45"/>
                <c:order val="123"/>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4">
                        <a:lumMod val="70000"/>
                      </a:schemeClr>
                    </a:solidFill>
                    <a:ln w="9525">
                      <a:solidFill>
                        <a:schemeClr val="accent4">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7B-40FF-44CE-9162-929975E22E13}"/>
                  </c:ext>
                </c:extLst>
              </c15:ser>
            </c15:filteredScatterSeries>
            <c15:filteredScatterSeries>
              <c15:ser>
                <c:idx val="46"/>
                <c:order val="124"/>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5">
                        <a:lumMod val="70000"/>
                      </a:schemeClr>
                    </a:solidFill>
                    <a:ln w="9525">
                      <a:solidFill>
                        <a:schemeClr val="accent5">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7C-40FF-44CE-9162-929975E22E13}"/>
                  </c:ext>
                </c:extLst>
              </c15:ser>
            </c15:filteredScatterSeries>
            <c15:filteredScatterSeries>
              <c15:ser>
                <c:idx val="47"/>
                <c:order val="125"/>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6">
                        <a:lumMod val="70000"/>
                      </a:schemeClr>
                    </a:solidFill>
                    <a:ln w="9525">
                      <a:solidFill>
                        <a:schemeClr val="accent6">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7D-40FF-44CE-9162-929975E22E13}"/>
                  </c:ext>
                </c:extLst>
              </c15:ser>
            </c15:filteredScatterSeries>
            <c15:filteredScatterSeries>
              <c15:ser>
                <c:idx val="48"/>
                <c:order val="126"/>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1">
                        <a:lumMod val="50000"/>
                        <a:lumOff val="50000"/>
                      </a:schemeClr>
                    </a:solidFill>
                    <a:ln w="9525">
                      <a:solidFill>
                        <a:schemeClr val="accent1">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7E-40FF-44CE-9162-929975E22E13}"/>
                  </c:ext>
                </c:extLst>
              </c15:ser>
            </c15:filteredScatterSeries>
            <c15:filteredScatterSeries>
              <c15:ser>
                <c:idx val="49"/>
                <c:order val="127"/>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2">
                        <a:lumMod val="50000"/>
                        <a:lumOff val="50000"/>
                      </a:schemeClr>
                    </a:solidFill>
                    <a:ln w="9525">
                      <a:solidFill>
                        <a:schemeClr val="accent2">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7F-40FF-44CE-9162-929975E22E13}"/>
                  </c:ext>
                </c:extLst>
              </c15:ser>
            </c15:filteredScatterSeries>
            <c15:filteredScatterSeries>
              <c15:ser>
                <c:idx val="50"/>
                <c:order val="128"/>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3">
                        <a:lumMod val="50000"/>
                        <a:lumOff val="50000"/>
                      </a:schemeClr>
                    </a:solidFill>
                    <a:ln w="9525">
                      <a:solidFill>
                        <a:schemeClr val="accent3">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80-40FF-44CE-9162-929975E22E13}"/>
                  </c:ext>
                </c:extLst>
              </c15:ser>
            </c15:filteredScatterSeries>
            <c15:filteredScatterSeries>
              <c15:ser>
                <c:idx val="51"/>
                <c:order val="129"/>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4">
                        <a:lumMod val="50000"/>
                        <a:lumOff val="50000"/>
                      </a:schemeClr>
                    </a:solidFill>
                    <a:ln w="9525">
                      <a:solidFill>
                        <a:schemeClr val="accent4">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81-40FF-44CE-9162-929975E22E13}"/>
                  </c:ext>
                </c:extLst>
              </c15:ser>
            </c15:filteredScatterSeries>
            <c15:filteredScatterSeries>
              <c15:ser>
                <c:idx val="13"/>
                <c:order val="130"/>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82-40FF-44CE-9162-929975E22E13}"/>
                  </c:ext>
                </c:extLst>
              </c15:ser>
            </c15:filteredScatterSeries>
            <c15:filteredScatterSeries>
              <c15:ser>
                <c:idx val="14"/>
                <c:order val="131"/>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83-40FF-44CE-9162-929975E22E13}"/>
                  </c:ext>
                </c:extLst>
              </c15:ser>
            </c15:filteredScatterSeries>
            <c15:filteredScatterSeries>
              <c15:ser>
                <c:idx val="15"/>
                <c:order val="132"/>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84-40FF-44CE-9162-929975E22E13}"/>
                  </c:ext>
                </c:extLst>
              </c15:ser>
            </c15:filteredScatterSeries>
            <c15:filteredScatterSeries>
              <c15:ser>
                <c:idx val="16"/>
                <c:order val="133"/>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85-40FF-44CE-9162-929975E22E13}"/>
                  </c:ext>
                </c:extLst>
              </c15:ser>
            </c15:filteredScatterSeries>
            <c15:filteredScatterSeries>
              <c15:ser>
                <c:idx val="17"/>
                <c:order val="134"/>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86-40FF-44CE-9162-929975E22E13}"/>
                  </c:ext>
                </c:extLst>
              </c15:ser>
            </c15:filteredScatterSeries>
            <c15:filteredScatterSeries>
              <c15:ser>
                <c:idx val="18"/>
                <c:order val="135"/>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1">
                        <a:lumMod val="80000"/>
                      </a:schemeClr>
                    </a:solidFill>
                    <a:ln w="9525">
                      <a:solidFill>
                        <a:schemeClr val="accent1">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87-40FF-44CE-9162-929975E22E13}"/>
                  </c:ext>
                </c:extLst>
              </c15:ser>
            </c15:filteredScatterSeries>
            <c15:filteredScatterSeries>
              <c15:ser>
                <c:idx val="19"/>
                <c:order val="136"/>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2">
                        <a:lumMod val="80000"/>
                      </a:schemeClr>
                    </a:solidFill>
                    <a:ln w="9525">
                      <a:solidFill>
                        <a:schemeClr val="accent2">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88-40FF-44CE-9162-929975E22E13}"/>
                  </c:ext>
                </c:extLst>
              </c15:ser>
            </c15:filteredScatterSeries>
            <c15:filteredScatterSeries>
              <c15:ser>
                <c:idx val="20"/>
                <c:order val="137"/>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3">
                        <a:lumMod val="80000"/>
                      </a:schemeClr>
                    </a:solidFill>
                    <a:ln w="9525">
                      <a:solidFill>
                        <a:schemeClr val="accent3">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89-40FF-44CE-9162-929975E22E13}"/>
                  </c:ext>
                </c:extLst>
              </c15:ser>
            </c15:filteredScatterSeries>
            <c15:filteredScatterSeries>
              <c15:ser>
                <c:idx val="21"/>
                <c:order val="138"/>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4">
                        <a:lumMod val="80000"/>
                      </a:schemeClr>
                    </a:solidFill>
                    <a:ln w="9525">
                      <a:solidFill>
                        <a:schemeClr val="accent4">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8A-40FF-44CE-9162-929975E22E13}"/>
                  </c:ext>
                </c:extLst>
              </c15:ser>
            </c15:filteredScatterSeries>
            <c15:filteredScatterSeries>
              <c15:ser>
                <c:idx val="22"/>
                <c:order val="139"/>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5">
                        <a:lumMod val="80000"/>
                      </a:schemeClr>
                    </a:solidFill>
                    <a:ln w="9525">
                      <a:solidFill>
                        <a:schemeClr val="accent5">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8B-40FF-44CE-9162-929975E22E13}"/>
                  </c:ext>
                </c:extLst>
              </c15:ser>
            </c15:filteredScatterSeries>
            <c15:filteredScatterSeries>
              <c15:ser>
                <c:idx val="23"/>
                <c:order val="140"/>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6">
                        <a:lumMod val="80000"/>
                      </a:schemeClr>
                    </a:solidFill>
                    <a:ln w="9525">
                      <a:solidFill>
                        <a:schemeClr val="accent6">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8C-40FF-44CE-9162-929975E22E13}"/>
                  </c:ext>
                </c:extLst>
              </c15:ser>
            </c15:filteredScatterSeries>
            <c15:filteredScatterSeries>
              <c15:ser>
                <c:idx val="24"/>
                <c:order val="141"/>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8D-40FF-44CE-9162-929975E22E13}"/>
                  </c:ext>
                </c:extLst>
              </c15:ser>
            </c15:filteredScatterSeries>
            <c15:filteredScatterSeries>
              <c15:ser>
                <c:idx val="25"/>
                <c:order val="142"/>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8E-40FF-44CE-9162-929975E22E13}"/>
                  </c:ext>
                </c:extLst>
              </c15:ser>
            </c15:filteredScatterSeries>
            <c15:filteredScatterSeries>
              <c15:ser>
                <c:idx val="0"/>
                <c:order val="143"/>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7.9242807822705208E-2"/>
                        <c:y val="1.7720583530579013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1"/>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8F-40FF-44CE-9162-929975E22E13}"/>
                  </c:ext>
                </c:extLst>
              </c15:ser>
            </c15:filteredScatterSeries>
            <c15:filteredScatterSeries>
              <c15:ser>
                <c:idx val="1"/>
                <c:order val="144"/>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8.0899155004265963E-2"/>
                        <c:y val="-3.0237320242100321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2"/>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90-40FF-44CE-9162-929975E22E13}"/>
                  </c:ext>
                </c:extLst>
              </c15:ser>
            </c15:filteredScatterSeries>
            <c15:filteredScatterSeries>
              <c15:ser>
                <c:idx val="2"/>
                <c:order val="145"/>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1"/>
                  <c:dispEq val="1"/>
                  <c:trendlineLbl>
                    <c:layout>
                      <c:manualLayout>
                        <c:x val="8.3339618672912716E-2"/>
                        <c:y val="6.5016459959785786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bg1">
                                <a:lumMod val="65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91-40FF-44CE-9162-929975E22E13}"/>
                  </c:ext>
                </c:extLst>
              </c15:ser>
            </c15:filteredScatterSeries>
            <c15:filteredScatterSeries>
              <c15:ser>
                <c:idx val="3"/>
                <c:order val="146"/>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1"/>
                  <c:dispEq val="1"/>
                  <c:trendlineLbl>
                    <c:layout>
                      <c:manualLayout>
                        <c:x val="8.1715285891431996E-2"/>
                        <c:y val="-8.8608858332598316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4"/>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92-40FF-44CE-9162-929975E22E13}"/>
                  </c:ext>
                </c:extLst>
              </c15:ser>
            </c15:filteredScatterSeries>
            <c15:filteredScatterSeries>
              <c15:ser>
                <c:idx val="4"/>
                <c:order val="147"/>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linear"/>
                  <c:dispRSqr val="1"/>
                  <c:dispEq val="1"/>
                  <c:trendlineLbl>
                    <c:layout>
                      <c:manualLayout>
                        <c:x val="8.0119032469765109E-2"/>
                        <c:y val="-1.1135328051023852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5"/>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93-40FF-44CE-9162-929975E22E13}"/>
                  </c:ext>
                </c:extLst>
              </c15:ser>
            </c15:filteredScatterSeries>
            <c15:filteredScatterSeries>
              <c15:ser>
                <c:idx val="5"/>
                <c:order val="148"/>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6"/>
                    </a:solidFill>
                    <a:ln w="9525">
                      <a:solidFill>
                        <a:schemeClr val="accent6"/>
                      </a:solidFill>
                    </a:ln>
                    <a:effectLst/>
                  </c:spPr>
                </c:marker>
                <c:trendline>
                  <c:spPr>
                    <a:ln w="19050" cap="rnd">
                      <a:solidFill>
                        <a:schemeClr val="accent6"/>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6"/>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94-40FF-44CE-9162-929975E22E13}"/>
                  </c:ext>
                </c:extLst>
              </c15:ser>
            </c15:filteredScatterSeries>
            <c15:filteredScatterSeries>
              <c15:ser>
                <c:idx val="6"/>
                <c:order val="149"/>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trendline>
                  <c:spPr>
                    <a:ln w="19050" cap="rnd">
                      <a:solidFill>
                        <a:schemeClr val="accent1">
                          <a:lumMod val="60000"/>
                        </a:schemeClr>
                      </a:solidFill>
                      <a:prstDash val="sysDot"/>
                    </a:ln>
                    <a:effectLst/>
                  </c:spPr>
                  <c:trendlineType val="linear"/>
                  <c:dispRSqr val="1"/>
                  <c:dispEq val="1"/>
                  <c:trendlineLbl>
                    <c:layout>
                      <c:manualLayout>
                        <c:x val="8.2711294316068343E-2"/>
                        <c:y val="-1.2961556257832711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trendlineLbl>
                </c:trendline>
                <c:trendline>
                  <c:spPr>
                    <a:ln w="19050" cap="rnd">
                      <a:solidFill>
                        <a:schemeClr val="accent1">
                          <a:lumMod val="60000"/>
                        </a:schemeClr>
                      </a:solidFill>
                      <a:prstDash val="sysDot"/>
                    </a:ln>
                    <a:effectLst/>
                  </c:spPr>
                  <c:trendlineType val="linear"/>
                  <c:dispRSqr val="0"/>
                  <c:dispEq val="0"/>
                </c:trendline>
                <c:trendline>
                  <c:spPr>
                    <a:ln w="19050" cap="rnd">
                      <a:solidFill>
                        <a:schemeClr val="accent1">
                          <a:lumMod val="60000"/>
                        </a:schemeClr>
                      </a:solidFill>
                      <a:prstDash val="sysDot"/>
                    </a:ln>
                    <a:effectLst/>
                  </c:spPr>
                  <c:trendlineType val="linear"/>
                  <c:dispRSqr val="0"/>
                  <c:dispEq val="0"/>
                </c:trendline>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95-40FF-44CE-9162-929975E22E13}"/>
                  </c:ext>
                </c:extLst>
              </c15:ser>
            </c15:filteredScatterSeries>
            <c15:filteredScatterSeries>
              <c15:ser>
                <c:idx val="7"/>
                <c:order val="150"/>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trendline>
                  <c:spPr>
                    <a:ln w="19050" cap="rnd">
                      <a:solidFill>
                        <a:schemeClr val="accent2">
                          <a:lumMod val="60000"/>
                        </a:schemeClr>
                      </a:solidFill>
                      <a:prstDash val="sysDot"/>
                    </a:ln>
                    <a:effectLst/>
                  </c:spPr>
                  <c:trendlineType val="linear"/>
                  <c:dispRSqr val="1"/>
                  <c:dispEq val="1"/>
                  <c:trendlineLbl>
                    <c:layout>
                      <c:manualLayout>
                        <c:x val="8.6250673773576897E-2"/>
                        <c:y val="5.2052073091470245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2">
                                <a:lumMod val="50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96-40FF-44CE-9162-929975E22E13}"/>
                  </c:ext>
                </c:extLst>
              </c15:ser>
            </c15:filteredScatterSeries>
            <c15:filteredScatterSeries>
              <c15:ser>
                <c:idx val="8"/>
                <c:order val="151"/>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trendline>
                  <c:spPr>
                    <a:ln w="19050" cap="rnd">
                      <a:solidFill>
                        <a:schemeClr val="accent3">
                          <a:lumMod val="60000"/>
                        </a:schemeClr>
                      </a:solidFill>
                      <a:prstDash val="sysDot"/>
                    </a:ln>
                    <a:effectLst/>
                  </c:spPr>
                  <c:trendlineType val="linear"/>
                  <c:dispRSqr val="1"/>
                  <c:dispEq val="1"/>
                  <c:trendlineLbl>
                    <c:layout>
                      <c:manualLayout>
                        <c:x val="8.4989031673134555E-2"/>
                        <c:y val="4.7691978794429917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97-40FF-44CE-9162-929975E22E13}"/>
                  </c:ext>
                </c:extLst>
              </c15:ser>
            </c15:filteredScatterSeries>
            <c15:filteredScatterSeries>
              <c15:ser>
                <c:idx val="9"/>
                <c:order val="152"/>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4">
                        <a:lumMod val="60000"/>
                      </a:schemeClr>
                    </a:solidFill>
                    <a:ln w="9525">
                      <a:solidFill>
                        <a:schemeClr val="accent4">
                          <a:lumMod val="60000"/>
                        </a:schemeClr>
                      </a:solidFill>
                    </a:ln>
                    <a:effectLst/>
                  </c:spPr>
                </c:marker>
                <c:trendline>
                  <c:spPr>
                    <a:ln w="19050" cap="rnd">
                      <a:solidFill>
                        <a:schemeClr val="accent4">
                          <a:lumMod val="60000"/>
                        </a:schemeClr>
                      </a:solidFill>
                      <a:prstDash val="sysDot"/>
                    </a:ln>
                    <a:effectLst/>
                  </c:spPr>
                  <c:trendlineType val="linear"/>
                  <c:dispRSqr val="1"/>
                  <c:dispEq val="1"/>
                  <c:trendlineLbl>
                    <c:layout>
                      <c:manualLayout>
                        <c:x val="7.4297230453732072E-2"/>
                        <c:y val="-1.15030110754428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4">
                                <a:lumMod val="50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98-40FF-44CE-9162-929975E22E13}"/>
                  </c:ext>
                </c:extLst>
              </c15:ser>
            </c15:filteredScatterSeries>
            <c15:filteredScatterSeries>
              <c15:ser>
                <c:idx val="10"/>
                <c:order val="153"/>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5">
                        <a:lumMod val="60000"/>
                      </a:schemeClr>
                    </a:solidFill>
                    <a:ln w="9525">
                      <a:solidFill>
                        <a:schemeClr val="accent5">
                          <a:lumMod val="60000"/>
                        </a:schemeClr>
                      </a:solidFill>
                    </a:ln>
                    <a:effectLst/>
                  </c:spPr>
                </c:marker>
                <c:trendline>
                  <c:spPr>
                    <a:ln w="19050" cap="rnd">
                      <a:solidFill>
                        <a:schemeClr val="accent5">
                          <a:lumMod val="60000"/>
                        </a:schemeClr>
                      </a:solidFill>
                      <a:prstDash val="sysDot"/>
                    </a:ln>
                    <a:effectLst/>
                  </c:spPr>
                  <c:trendlineType val="linear"/>
                  <c:dispRSqr val="1"/>
                  <c:dispEq val="1"/>
                  <c:trendlineLbl>
                    <c:layout>
                      <c:manualLayout>
                        <c:x val="8.5137871247375679E-2"/>
                        <c:y val="4.8361938682016182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5">
                                <a:lumMod val="50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99-40FF-44CE-9162-929975E22E13}"/>
                  </c:ext>
                </c:extLst>
              </c15:ser>
            </c15:filteredScatterSeries>
            <c15:filteredScatterSeries>
              <c15:ser>
                <c:idx val="11"/>
                <c:order val="154"/>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6">
                        <a:lumMod val="60000"/>
                      </a:schemeClr>
                    </a:solidFill>
                    <a:ln w="9525">
                      <a:solidFill>
                        <a:schemeClr val="accent6">
                          <a:lumMod val="60000"/>
                        </a:schemeClr>
                      </a:solidFill>
                    </a:ln>
                    <a:effectLst/>
                  </c:spPr>
                </c:marker>
                <c:trendline>
                  <c:spPr>
                    <a:ln w="19050" cap="rnd">
                      <a:solidFill>
                        <a:schemeClr val="accent6">
                          <a:lumMod val="60000"/>
                        </a:schemeClr>
                      </a:solidFill>
                      <a:prstDash val="sysDot"/>
                    </a:ln>
                    <a:effectLst/>
                  </c:spPr>
                  <c:trendlineType val="linear"/>
                  <c:dispRSqr val="1"/>
                  <c:dispEq val="1"/>
                  <c:trendlineLbl>
                    <c:layout>
                      <c:manualLayout>
                        <c:x val="8.6870178479455773E-2"/>
                        <c:y val="-1.7836036584407206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6">
                                <a:lumMod val="50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9A-40FF-44CE-9162-929975E22E13}"/>
                  </c:ext>
                </c:extLst>
              </c15:ser>
            </c15:filteredScatterSeries>
            <c15:filteredScatterSeries>
              <c15:ser>
                <c:idx val="12"/>
                <c:order val="155"/>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trendline>
                  <c:spPr>
                    <a:ln w="19050" cap="rnd">
                      <a:solidFill>
                        <a:schemeClr val="accent1">
                          <a:lumMod val="80000"/>
                          <a:lumOff val="20000"/>
                        </a:schemeClr>
                      </a:solidFill>
                      <a:prstDash val="sysDot"/>
                    </a:ln>
                    <a:effectLst/>
                  </c:spPr>
                  <c:trendlineType val="linear"/>
                  <c:dispRSqr val="1"/>
                  <c:dispEq val="1"/>
                  <c:trendlineLbl>
                    <c:layout>
                      <c:manualLayout>
                        <c:x val="4.4708872807170411E-2"/>
                        <c:y val="5.3000317496397234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1"/>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9B-40FF-44CE-9162-929975E22E13}"/>
                  </c:ext>
                </c:extLst>
              </c15:ser>
            </c15:filteredScatterSeries>
          </c:ext>
        </c:extLst>
      </c:scatterChart>
      <c:valAx>
        <c:axId val="249079728"/>
        <c:scaling>
          <c:orientation val="minMax"/>
          <c:max val="12.5"/>
          <c:min val="0"/>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US" sz="800">
                    <a:solidFill>
                      <a:sysClr val="windowText" lastClr="000000"/>
                    </a:solidFill>
                  </a:rPr>
                  <a:t>time (min)</a:t>
                </a:r>
              </a:p>
            </c:rich>
          </c:tx>
          <c:layout>
            <c:manualLayout>
              <c:xMode val="edge"/>
              <c:yMode val="edge"/>
              <c:x val="0.78563029836787646"/>
              <c:y val="0.89913036621495279"/>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49081360"/>
        <c:crosses val="autoZero"/>
        <c:crossBetween val="midCat"/>
      </c:valAx>
      <c:valAx>
        <c:axId val="249081360"/>
        <c:scaling>
          <c:orientation val="minMax"/>
          <c:max val="21"/>
          <c:min val="0"/>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sz="900" b="0" i="0" baseline="0">
                    <a:effectLst/>
                  </a:rPr>
                  <a:t>[</a:t>
                </a:r>
                <a:r>
                  <a:rPr lang="en-US" sz="900" b="0" i="0" u="none" strike="noStrike" baseline="0">
                    <a:effectLst/>
                  </a:rPr>
                  <a:t>Ph</a:t>
                </a:r>
                <a:r>
                  <a:rPr lang="en-US" sz="900" b="0" i="0" u="none" strike="noStrike" baseline="-25000">
                    <a:effectLst/>
                  </a:rPr>
                  <a:t>2</a:t>
                </a:r>
                <a:r>
                  <a:rPr lang="en-US" sz="900" b="0" i="0" u="none" strike="noStrike" baseline="0">
                    <a:effectLst/>
                  </a:rPr>
                  <a:t>CHCHPh</a:t>
                </a:r>
                <a:r>
                  <a:rPr lang="en-US" sz="900" b="0" i="0" u="none" strike="noStrike" baseline="-25000">
                    <a:effectLst/>
                  </a:rPr>
                  <a:t>2</a:t>
                </a:r>
                <a:r>
                  <a:rPr lang="en-US" sz="900" b="0" i="0" u="none" strike="noStrike" baseline="0">
                    <a:effectLst/>
                  </a:rPr>
                  <a:t>] </a:t>
                </a:r>
                <a:r>
                  <a:rPr lang="en-US" sz="900" b="0" i="0" baseline="0">
                    <a:effectLst/>
                  </a:rPr>
                  <a:t>(mmol/L)</a:t>
                </a:r>
                <a:endParaRPr lang="en-US" sz="900">
                  <a:effectLst/>
                </a:endParaRP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49079728"/>
        <c:crosses val="autoZero"/>
        <c:crossBetween val="midCat"/>
      </c:valAx>
      <c:spPr>
        <a:noFill/>
        <a:ln>
          <a:noFill/>
        </a:ln>
        <a:effectLst/>
      </c:spPr>
    </c:plotArea>
    <c:legend>
      <c:legendPos val="r"/>
      <c:legendEntry>
        <c:idx val="3"/>
        <c:delete val="1"/>
      </c:legendEntry>
      <c:legendEntry>
        <c:idx val="4"/>
        <c:delete val="1"/>
      </c:legendEntry>
      <c:legendEntry>
        <c:idx val="5"/>
        <c:delete val="1"/>
      </c:legendEntry>
      <c:layout>
        <c:manualLayout>
          <c:xMode val="edge"/>
          <c:yMode val="edge"/>
          <c:x val="0"/>
          <c:y val="0.92001678438263879"/>
          <c:w val="0.46606818678915102"/>
          <c:h val="7.94227974722043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en-US" sz="1100">
                <a:solidFill>
                  <a:sysClr val="windowText" lastClr="000000"/>
                </a:solidFill>
              </a:rPr>
              <a:t>Added Ph</a:t>
            </a:r>
            <a:r>
              <a:rPr lang="en-US" sz="1100" baseline="-25000">
                <a:solidFill>
                  <a:sysClr val="windowText" lastClr="000000"/>
                </a:solidFill>
              </a:rPr>
              <a:t>3</a:t>
            </a:r>
            <a:r>
              <a:rPr lang="en-US" sz="1100">
                <a:solidFill>
                  <a:sysClr val="windowText" lastClr="000000"/>
                </a:solidFill>
              </a:rPr>
              <a:t>P=O</a:t>
            </a:r>
          </a:p>
        </c:rich>
      </c:tx>
      <c:layout>
        <c:manualLayout>
          <c:xMode val="edge"/>
          <c:yMode val="edge"/>
          <c:x val="0.157956856955381"/>
          <c:y val="2.7347054538628401E-2"/>
        </c:manualLayout>
      </c:layout>
      <c:overlay val="0"/>
      <c:spPr>
        <a:noFill/>
        <a:ln>
          <a:noFill/>
        </a:ln>
        <a:effectLst/>
      </c:spPr>
    </c:title>
    <c:autoTitleDeleted val="0"/>
    <c:plotArea>
      <c:layout>
        <c:manualLayout>
          <c:layoutTarget val="inner"/>
          <c:xMode val="edge"/>
          <c:yMode val="edge"/>
          <c:x val="0.14911171259842501"/>
          <c:y val="2.84660258359128E-2"/>
          <c:w val="0.80236411854768097"/>
          <c:h val="0.75596672468286596"/>
        </c:manualLayout>
      </c:layout>
      <c:scatterChart>
        <c:scatterStyle val="lineMarker"/>
        <c:varyColors val="0"/>
        <c:ser>
          <c:idx val="1"/>
          <c:order val="1"/>
          <c:tx>
            <c:strRef>
              <c:f>'Sheet1 (2)'!$O$48</c:f>
              <c:strCache>
                <c:ptCount val="1"/>
                <c:pt idx="0">
                  <c:v>a'''</c:v>
                </c:pt>
              </c:strCache>
            </c:strRef>
          </c:tx>
          <c:spPr>
            <a:ln w="25400" cap="rnd">
              <a:noFill/>
              <a:round/>
            </a:ln>
            <a:effectLst/>
          </c:spPr>
          <c:marker>
            <c:symbol val="triangle"/>
            <c:size val="4"/>
            <c:spPr>
              <a:solidFill>
                <a:schemeClr val="bg1"/>
              </a:solidFill>
              <a:ln w="9525">
                <a:solidFill>
                  <a:schemeClr val="bg1">
                    <a:lumMod val="50000"/>
                  </a:schemeClr>
                </a:solidFill>
              </a:ln>
              <a:effectLst/>
            </c:spPr>
          </c:marker>
          <c:trendline>
            <c:spPr>
              <a:ln w="19050" cap="rnd">
                <a:solidFill>
                  <a:schemeClr val="bg1">
                    <a:lumMod val="50000"/>
                  </a:schemeClr>
                </a:solidFill>
                <a:prstDash val="sysDot"/>
              </a:ln>
              <a:effectLst/>
            </c:spPr>
            <c:trendlineType val="linear"/>
            <c:dispRSqr val="1"/>
            <c:dispEq val="1"/>
            <c:trendlineLbl>
              <c:layout>
                <c:manualLayout>
                  <c:x val="-0.21469570209973801"/>
                  <c:y val="0.116649289012494"/>
                </c:manualLayout>
              </c:layout>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bg1">
                          <a:lumMod val="50000"/>
                        </a:schemeClr>
                      </a:solidFill>
                      <a:latin typeface="+mn-lt"/>
                      <a:ea typeface="+mn-ea"/>
                      <a:cs typeface="+mn-cs"/>
                    </a:defRPr>
                  </a:pPr>
                  <a:endParaRPr lang="en-US"/>
                </a:p>
              </c:txPr>
            </c:trendlineLbl>
          </c:trendline>
          <c:xVal>
            <c:numRef>
              <c:f>'Sheet1 (2)'!$P$50:$P$57</c:f>
              <c:numCache>
                <c:formatCode>General</c:formatCode>
                <c:ptCount val="8"/>
                <c:pt idx="0">
                  <c:v>2</c:v>
                </c:pt>
                <c:pt idx="1">
                  <c:v>3</c:v>
                </c:pt>
                <c:pt idx="2">
                  <c:v>4</c:v>
                </c:pt>
                <c:pt idx="3">
                  <c:v>5</c:v>
                </c:pt>
                <c:pt idx="4">
                  <c:v>6</c:v>
                </c:pt>
                <c:pt idx="5">
                  <c:v>7</c:v>
                </c:pt>
                <c:pt idx="6">
                  <c:v>8</c:v>
                </c:pt>
                <c:pt idx="7">
                  <c:v>9</c:v>
                </c:pt>
              </c:numCache>
            </c:numRef>
          </c:xVal>
          <c:yVal>
            <c:numRef>
              <c:f>'Sheet1 (2)'!$R$50:$R$57</c:f>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c:ext xmlns:c16="http://schemas.microsoft.com/office/drawing/2014/chart" uri="{C3380CC4-5D6E-409C-BE32-E72D297353CC}">
              <c16:uniqueId val="{00000000-BA3A-44C7-9819-68FD6C76F6D8}"/>
            </c:ext>
          </c:extLst>
        </c:ser>
        <c:ser>
          <c:idx val="13"/>
          <c:order val="13"/>
          <c:tx>
            <c:strRef>
              <c:f>'Sheet1 (2)'!$O$231</c:f>
              <c:strCache>
                <c:ptCount val="1"/>
                <c:pt idx="0">
                  <c:v>n</c:v>
                </c:pt>
              </c:strCache>
            </c:strRef>
          </c:tx>
          <c:spPr>
            <a:ln w="25400" cap="rnd">
              <a:noFill/>
              <a:round/>
            </a:ln>
            <a:effectLst/>
          </c:spPr>
          <c:marker>
            <c:symbol val="circle"/>
            <c:size val="3"/>
            <c:spPr>
              <a:solidFill>
                <a:schemeClr val="tx1"/>
              </a:solidFill>
              <a:ln w="9525">
                <a:solidFill>
                  <a:schemeClr val="tx1"/>
                </a:solidFill>
              </a:ln>
              <a:effectLst/>
            </c:spPr>
          </c:marker>
          <c:trendline>
            <c:spPr>
              <a:ln w="19050" cap="rnd">
                <a:solidFill>
                  <a:schemeClr val="tx1"/>
                </a:solidFill>
                <a:prstDash val="sysDot"/>
              </a:ln>
              <a:effectLst/>
            </c:spPr>
            <c:trendlineType val="linear"/>
            <c:dispRSqr val="1"/>
            <c:dispEq val="1"/>
            <c:trendlineLbl>
              <c:layout>
                <c:manualLayout>
                  <c:x val="-8.7541010498687663E-2"/>
                  <c:y val="2.5731034721981291E-2"/>
                </c:manualLayout>
              </c:layout>
              <c:numFmt formatCode="#,##0.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rendlineLbl>
          </c:trendline>
          <c:xVal>
            <c:numRef>
              <c:f>('Sheet1 (2)'!$P$233:$P$238,'Sheet1 (2)'!$P$241:$P$242)</c:f>
              <c:numCache>
                <c:formatCode>General</c:formatCode>
                <c:ptCount val="8"/>
                <c:pt idx="0">
                  <c:v>3</c:v>
                </c:pt>
                <c:pt idx="1">
                  <c:v>4</c:v>
                </c:pt>
                <c:pt idx="2">
                  <c:v>5</c:v>
                </c:pt>
                <c:pt idx="3">
                  <c:v>6</c:v>
                </c:pt>
                <c:pt idx="4">
                  <c:v>7</c:v>
                </c:pt>
                <c:pt idx="5">
                  <c:v>8</c:v>
                </c:pt>
                <c:pt idx="6">
                  <c:v>11</c:v>
                </c:pt>
                <c:pt idx="7">
                  <c:v>12</c:v>
                </c:pt>
              </c:numCache>
            </c:numRef>
          </c:xVal>
          <c:yVal>
            <c:numRef>
              <c:f>('Sheet1 (2)'!$R$233:$R$238,'Sheet1 (2)'!$R$241:$R$242)</c:f>
              <c:numCache>
                <c:formatCode>General</c:formatCode>
                <c:ptCount val="8"/>
                <c:pt idx="0">
                  <c:v>3.2716666666666665</c:v>
                </c:pt>
                <c:pt idx="1">
                  <c:v>2.3433333333333337</c:v>
                </c:pt>
                <c:pt idx="2">
                  <c:v>3.5583333333333336</c:v>
                </c:pt>
                <c:pt idx="3">
                  <c:v>4.5616666666666674</c:v>
                </c:pt>
                <c:pt idx="4">
                  <c:v>5.4766666666666666</c:v>
                </c:pt>
                <c:pt idx="5">
                  <c:v>6.0966666666666658</c:v>
                </c:pt>
                <c:pt idx="6">
                  <c:v>9.6933333333333334</c:v>
                </c:pt>
                <c:pt idx="7">
                  <c:v>12.345000000000001</c:v>
                </c:pt>
              </c:numCache>
            </c:numRef>
          </c:yVal>
          <c:smooth val="0"/>
          <c:extLst xmlns:c16r2="http://schemas.microsoft.com/office/drawing/2015/06/chart">
            <c:ext xmlns:c16="http://schemas.microsoft.com/office/drawing/2014/chart" uri="{C3380CC4-5D6E-409C-BE32-E72D297353CC}">
              <c16:uniqueId val="{00000001-BA3A-44C7-9819-68FD6C76F6D8}"/>
            </c:ext>
          </c:extLst>
        </c:ser>
        <c:dLbls>
          <c:showLegendKey val="0"/>
          <c:showVal val="0"/>
          <c:showCatName val="0"/>
          <c:showSerName val="0"/>
          <c:showPercent val="0"/>
          <c:showBubbleSize val="0"/>
        </c:dLbls>
        <c:axId val="249080272"/>
        <c:axId val="249071568"/>
        <c:extLst xmlns:c16r2="http://schemas.microsoft.com/office/drawing/2015/06/chart">
          <c:ext xmlns:c15="http://schemas.microsoft.com/office/drawing/2012/chart" uri="{02D57815-91ED-43cb-92C2-25804820EDAC}">
            <c15:filteredScatterSeries>
              <c15:ser>
                <c:idx val="0"/>
                <c:order val="0"/>
                <c:tx>
                  <c:strRef>
                    <c:extLst xmlns:c16r2="http://schemas.microsoft.com/office/drawing/2015/06/chart">
                      <c:ex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3.9266914904677371E-3"/>
                        <c:y val="-2.3860911722571043E-2"/>
                      </c:manualLayout>
                    </c:layout>
                    <c:tx>
                      <c:rich>
                        <a:bodyPr rot="0" spcFirstLastPara="1" vertOverflow="ellipsis" vert="horz" wrap="square" anchor="ctr" anchorCtr="1"/>
                        <a:lstStyle/>
                        <a:p>
                          <a:pPr>
                            <a:defRPr sz="900" b="0" i="0" u="none" strike="noStrike" kern="1200" baseline="0">
                              <a:solidFill>
                                <a:srgbClr val="00B0F0"/>
                              </a:solidFill>
                              <a:latin typeface="+mn-lt"/>
                              <a:ea typeface="+mn-ea"/>
                              <a:cs typeface="+mn-cs"/>
                            </a:defRPr>
                          </a:pPr>
                          <a:r>
                            <a:rPr lang="en-US" baseline="0">
                              <a:solidFill>
                                <a:schemeClr val="accent1"/>
                              </a:solidFill>
                            </a:rPr>
                            <a:t>y = 0.0016x - 0.002</a:t>
                          </a:r>
                          <a:br>
                            <a:rPr lang="en-US" baseline="0">
                              <a:solidFill>
                                <a:schemeClr val="accent1"/>
                              </a:solidFill>
                            </a:rPr>
                          </a:br>
                          <a:r>
                            <a:rPr lang="en-US" baseline="0">
                              <a:solidFill>
                                <a:schemeClr val="accent1"/>
                              </a:solidFill>
                            </a:rPr>
                            <a:t>R² = 0.9175</a:t>
                          </a:r>
                          <a:endParaRPr lang="en-US">
                            <a:solidFill>
                              <a:schemeClr val="accent1"/>
                            </a:solidFill>
                          </a:endParaRPr>
                        </a:p>
                      </c:rich>
                    </c:tx>
                    <c:numFmt formatCode="General" sourceLinked="0"/>
                    <c:spPr>
                      <a:noFill/>
                      <a:ln>
                        <a:noFill/>
                      </a:ln>
                      <a:effectLst/>
                    </c:spPr>
                  </c:trendlineLbl>
                </c:trendline>
                <c:xVal>
                  <c:numRef>
                    <c:extLst xmlns:c16r2="http://schemas.microsoft.com/office/drawing/2015/06/chart">
                      <c:ext uri="{02D57815-91ED-43cb-92C2-25804820EDAC}">
                        <c15:formulaRef>
                          <c15:sqref>'Sheet1 (2)'!$P$64:$P$73</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c:ext uri="{02D57815-91ED-43cb-92C2-25804820EDAC}">
                        <c15:formulaRef>
                          <c15:sqref>'Sheet1 (2)'!$R$64:$R$73</c15:sqref>
                        </c15:formulaRef>
                      </c:ext>
                    </c:extLst>
                    <c:numCache>
                      <c:formatCode>General</c:formatCode>
                      <c:ptCount val="10"/>
                      <c:pt idx="0">
                        <c:v>0.29833333333333334</c:v>
                      </c:pt>
                      <c:pt idx="1">
                        <c:v>4.5166666666666666</c:v>
                      </c:pt>
                      <c:pt idx="2">
                        <c:v>5.1016666666666666</c:v>
                      </c:pt>
                      <c:pt idx="3">
                        <c:v>6.5933333333333328</c:v>
                      </c:pt>
                      <c:pt idx="4">
                        <c:v>6.9849999999999994</c:v>
                      </c:pt>
                      <c:pt idx="5">
                        <c:v>7.15</c:v>
                      </c:pt>
                      <c:pt idx="6">
                        <c:v>11.313333333333333</c:v>
                      </c:pt>
                      <c:pt idx="7">
                        <c:v>12.233333333333334</c:v>
                      </c:pt>
                      <c:pt idx="8">
                        <c:v>17.150000000000002</c:v>
                      </c:pt>
                      <c:pt idx="9">
                        <c:v>14.746666666666668</c:v>
                      </c:pt>
                    </c:numCache>
                  </c:numRef>
                </c:yVal>
                <c:smooth val="0"/>
                <c:extLst xmlns:c16r2="http://schemas.microsoft.com/office/drawing/2015/06/chart">
                  <c:ext xmlns:c16="http://schemas.microsoft.com/office/drawing/2014/chart" uri="{C3380CC4-5D6E-409C-BE32-E72D297353CC}">
                    <c16:uniqueId val="{00000002-BA3A-44C7-9819-68FD6C76F6D8}"/>
                  </c:ext>
                </c:extLst>
              </c15:ser>
            </c15:filteredScatterSeries>
            <c15:filteredScatterSeries>
              <c15:ser>
                <c:idx val="2"/>
                <c:order val="2"/>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1"/>
                  <c:dispEq val="1"/>
                  <c:trendlineLbl>
                    <c:layout>
                      <c:manualLayout>
                        <c:x val="8.3339618672912716E-2"/>
                        <c:y val="6.5016459959785786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bg1">
                                <a:lumMod val="65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3-BA3A-44C7-9819-68FD6C76F6D8}"/>
                  </c:ext>
                </c:extLst>
              </c15:ser>
            </c15:filteredScatterSeries>
            <c15:filteredScatterSeries>
              <c15:ser>
                <c:idx val="3"/>
                <c:order val="3"/>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1"/>
                  <c:dispEq val="1"/>
                  <c:trendlineLbl>
                    <c:layout>
                      <c:manualLayout>
                        <c:x val="7.4481519693482615E-2"/>
                        <c:y val="8.97698421210779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4"/>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(2)'!$P$92:$P$101</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(2)'!$R$92:$R$101</c15:sqref>
                        </c15:formulaRef>
                      </c:ext>
                    </c:extLst>
                    <c:numCache>
                      <c:formatCode>General</c:formatCode>
                      <c:ptCount val="10"/>
                      <c:pt idx="0">
                        <c:v>3.6083333333333329</c:v>
                      </c:pt>
                      <c:pt idx="1">
                        <c:v>5.5133333333333336</c:v>
                      </c:pt>
                      <c:pt idx="2">
                        <c:v>4.4349999999999996</c:v>
                      </c:pt>
                      <c:pt idx="3">
                        <c:v>6.5150000000000006</c:v>
                      </c:pt>
                      <c:pt idx="4">
                        <c:v>9.6349999999999998</c:v>
                      </c:pt>
                      <c:pt idx="5">
                        <c:v>11.236666666666666</c:v>
                      </c:pt>
                      <c:pt idx="6">
                        <c:v>16.181666666666668</c:v>
                      </c:pt>
                      <c:pt idx="7">
                        <c:v>19.244999999999997</c:v>
                      </c:pt>
                      <c:pt idx="8">
                        <c:v>15.145</c:v>
                      </c:pt>
                      <c:pt idx="9">
                        <c:v>8.5649999999999995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4-BA3A-44C7-9819-68FD6C76F6D8}"/>
                  </c:ext>
                </c:extLst>
              </c15:ser>
            </c15:filteredScatterSeries>
            <c15:filteredScatterSeries>
              <c15:ser>
                <c:idx val="4"/>
                <c:order val="4"/>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linear"/>
                  <c:dispRSqr val="1"/>
                  <c:dispEq val="1"/>
                  <c:trendlineLbl>
                    <c:layout>
                      <c:manualLayout>
                        <c:x val="8.0119032469765109E-2"/>
                        <c:y val="-1.1135328051023852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5"/>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5-BA3A-44C7-9819-68FD6C76F6D8}"/>
                  </c:ext>
                </c:extLst>
              </c15:ser>
            </c15:filteredScatterSeries>
            <c15:filteredScatterSeries>
              <c15:ser>
                <c:idx val="5"/>
                <c:order val="5"/>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6"/>
                    </a:solidFill>
                    <a:ln w="9525">
                      <a:solidFill>
                        <a:schemeClr val="accent6"/>
                      </a:solidFill>
                    </a:ln>
                    <a:effectLst/>
                  </c:spPr>
                </c:marker>
                <c:trendline>
                  <c:spPr>
                    <a:ln w="19050" cap="rnd">
                      <a:solidFill>
                        <a:schemeClr val="accent6"/>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6"/>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(2)'!$P$120:$P$129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(2)'!$R$120:$R$129</c15:sqref>
                        </c15:formulaRef>
                      </c:ext>
                    </c:extLst>
                    <c:numCache>
                      <c:formatCode>General</c:formatCode>
                      <c:ptCount val="10"/>
                      <c:pt idx="0">
                        <c:v>4.8866666666666667</c:v>
                      </c:pt>
                      <c:pt idx="1">
                        <c:v>6.69</c:v>
                      </c:pt>
                      <c:pt idx="2">
                        <c:v>10.403333333333334</c:v>
                      </c:pt>
                      <c:pt idx="3">
                        <c:v>12.664999999999999</c:v>
                      </c:pt>
                      <c:pt idx="4">
                        <c:v>21.958333333333332</c:v>
                      </c:pt>
                      <c:pt idx="5">
                        <c:v>22.744999999999997</c:v>
                      </c:pt>
                      <c:pt idx="6">
                        <c:v>24.964999999999996</c:v>
                      </c:pt>
                      <c:pt idx="7">
                        <c:v>26.448333333333331</c:v>
                      </c:pt>
                      <c:pt idx="8">
                        <c:v>41.303333333333327</c:v>
                      </c:pt>
                      <c:pt idx="9">
                        <c:v>48.193333333333335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6-BA3A-44C7-9819-68FD6C76F6D8}"/>
                  </c:ext>
                </c:extLst>
              </c15:ser>
            </c15:filteredScatterSeries>
            <c15:filteredScatterSeries>
              <c15:ser>
                <c:idx val="6"/>
                <c:order val="6"/>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trendline>
                  <c:spPr>
                    <a:ln w="19050" cap="rnd">
                      <a:solidFill>
                        <a:schemeClr val="accent1">
                          <a:lumMod val="60000"/>
                        </a:schemeClr>
                      </a:solidFill>
                      <a:prstDash val="sysDot"/>
                    </a:ln>
                    <a:effectLst/>
                  </c:spPr>
                  <c:trendlineType val="linear"/>
                  <c:dispRSqr val="1"/>
                  <c:dispEq val="1"/>
                  <c:trendlineLbl>
                    <c:layout>
                      <c:manualLayout>
                        <c:x val="8.2711294316068343E-2"/>
                        <c:y val="-1.2961556257832711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trendlineLbl>
                </c:trendline>
                <c:trendline>
                  <c:spPr>
                    <a:ln w="19050" cap="rnd">
                      <a:solidFill>
                        <a:schemeClr val="accent1">
                          <a:lumMod val="60000"/>
                        </a:schemeClr>
                      </a:solidFill>
                      <a:prstDash val="sysDot"/>
                    </a:ln>
                    <a:effectLst/>
                  </c:spPr>
                  <c:trendlineType val="linear"/>
                  <c:dispRSqr val="0"/>
                  <c:dispEq val="0"/>
                </c:trendline>
                <c:trendline>
                  <c:spPr>
                    <a:ln w="19050" cap="rnd">
                      <a:solidFill>
                        <a:schemeClr val="accent1">
                          <a:lumMod val="60000"/>
                        </a:schemeClr>
                      </a:solidFill>
                      <a:prstDash val="sysDot"/>
                    </a:ln>
                    <a:effectLst/>
                  </c:spPr>
                  <c:trendlineType val="linear"/>
                  <c:dispRSqr val="0"/>
                  <c:dispEq val="0"/>
                </c:trendline>
                <c:xVal>
                  <c:numRef>
                    <c:extLst xmlns:c16r2="http://schemas.microsoft.com/office/drawing/2015/06/chart" xmlns:c15="http://schemas.microsoft.com/office/drawing/2012/chart">
                      <c:ext xmlns:c15="http://schemas.microsoft.com/office/drawing/2012/chart" uri="{02D57815-91ED-43cb-92C2-25804820EDAC}">
                        <c15:formulaRef>
                          <c15:sqref>'Sheet1 (2)'!$P$134:$P$143</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(2)'!$R$134:$R$143</c15:sqref>
                        </c15:formulaRef>
                      </c:ext>
                    </c:extLst>
                    <c:numCache>
                      <c:formatCode>General</c:formatCode>
                      <c:ptCount val="10"/>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49.013333333333328</c:v>
                      </c:pt>
                      <c:pt idx="9">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7-BA3A-44C7-9819-68FD6C76F6D8}"/>
                  </c:ext>
                </c:extLst>
              </c15:ser>
            </c15:filteredScatterSeries>
            <c15:filteredScatterSeries>
              <c15:ser>
                <c:idx val="7"/>
                <c:order val="7"/>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trendline>
                  <c:spPr>
                    <a:ln w="19050" cap="rnd">
                      <a:solidFill>
                        <a:schemeClr val="accent2">
                          <a:lumMod val="60000"/>
                        </a:schemeClr>
                      </a:solidFill>
                      <a:prstDash val="sysDot"/>
                    </a:ln>
                    <a:effectLst/>
                  </c:spPr>
                  <c:trendlineType val="linear"/>
                  <c:dispRSqr val="1"/>
                  <c:dispEq val="1"/>
                  <c:trendlineLbl>
                    <c:layout>
                      <c:manualLayout>
                        <c:x val="7.783320843267777E-2"/>
                        <c:y val="1.3971678148809081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2">
                                <a:lumMod val="50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(2)'!$P$148:$P$157</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(2)'!$R$148:$R$157</c15:sqref>
                        </c15:formulaRef>
                      </c:ext>
                    </c:extLst>
                    <c:numCache>
                      <c:formatCode>General</c:formatCode>
                      <c:ptCount val="10"/>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pt idx="9">
                        <c:v>18.066666666666666</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8-BA3A-44C7-9819-68FD6C76F6D8}"/>
                  </c:ext>
                </c:extLst>
              </c15:ser>
            </c15:filteredScatterSeries>
            <c15:filteredScatterSeries>
              <c15:ser>
                <c:idx val="8"/>
                <c:order val="8"/>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trendline>
                  <c:spPr>
                    <a:ln w="19050" cap="rnd">
                      <a:solidFill>
                        <a:schemeClr val="accent3">
                          <a:lumMod val="60000"/>
                        </a:schemeClr>
                      </a:solidFill>
                      <a:prstDash val="sysDot"/>
                    </a:ln>
                    <a:effectLst/>
                  </c:spPr>
                  <c:trendlineType val="linear"/>
                  <c:dispRSqr val="1"/>
                  <c:dispEq val="1"/>
                  <c:trendlineLbl>
                    <c:layout>
                      <c:manualLayout>
                        <c:x val="8.4989031673134555E-2"/>
                        <c:y val="4.7691978794429917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9-BA3A-44C7-9819-68FD6C76F6D8}"/>
                  </c:ext>
                </c:extLst>
              </c15:ser>
            </c15:filteredScatterSeries>
            <c15:filteredScatterSeries>
              <c15:ser>
                <c:idx val="9"/>
                <c:order val="9"/>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4">
                        <a:lumMod val="60000"/>
                      </a:schemeClr>
                    </a:solidFill>
                    <a:ln w="9525">
                      <a:solidFill>
                        <a:schemeClr val="accent4">
                          <a:lumMod val="60000"/>
                        </a:schemeClr>
                      </a:solidFill>
                    </a:ln>
                    <a:effectLst/>
                  </c:spPr>
                </c:marker>
                <c:trendline>
                  <c:spPr>
                    <a:ln w="19050" cap="rnd">
                      <a:solidFill>
                        <a:schemeClr val="accent4">
                          <a:lumMod val="60000"/>
                        </a:schemeClr>
                      </a:solidFill>
                      <a:prstDash val="sysDot"/>
                    </a:ln>
                    <a:effectLst/>
                  </c:spPr>
                  <c:trendlineType val="linear"/>
                  <c:dispRSqr val="1"/>
                  <c:dispEq val="1"/>
                  <c:trendlineLbl>
                    <c:layout>
                      <c:manualLayout>
                        <c:x val="7.4297230453732072E-2"/>
                        <c:y val="-1.15030110754428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4">
                                <a:lumMod val="50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A-BA3A-44C7-9819-68FD6C76F6D8}"/>
                  </c:ext>
                </c:extLst>
              </c15:ser>
            </c15:filteredScatterSeries>
            <c15:filteredScatterSeries>
              <c15:ser>
                <c:idx val="10"/>
                <c:order val="10"/>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5">
                        <a:lumMod val="60000"/>
                      </a:schemeClr>
                    </a:solidFill>
                    <a:ln w="9525">
                      <a:solidFill>
                        <a:schemeClr val="accent5">
                          <a:lumMod val="60000"/>
                        </a:schemeClr>
                      </a:solidFill>
                    </a:ln>
                    <a:effectLst/>
                  </c:spPr>
                </c:marker>
                <c:trendline>
                  <c:spPr>
                    <a:ln w="19050" cap="rnd">
                      <a:solidFill>
                        <a:schemeClr val="accent5">
                          <a:lumMod val="60000"/>
                        </a:schemeClr>
                      </a:solidFill>
                      <a:prstDash val="sysDot"/>
                    </a:ln>
                    <a:effectLst/>
                  </c:spPr>
                  <c:trendlineType val="linear"/>
                  <c:dispRSqr val="1"/>
                  <c:dispEq val="1"/>
                  <c:trendlineLbl>
                    <c:layout>
                      <c:manualLayout>
                        <c:x val="7.8709421833002557E-2"/>
                        <c:y val="2.0147601312006463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5">
                                <a:lumMod val="50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(2)'!$P$190:$P$193,'Sheet1 (2)'!$P$195:$P$198)</c15:sqref>
                        </c15:formulaRef>
                      </c:ext>
                    </c:extLst>
                    <c:numCache>
                      <c:formatCode>General</c:formatCode>
                      <c:ptCount val="8"/>
                      <c:pt idx="0">
                        <c:v>3</c:v>
                      </c:pt>
                      <c:pt idx="1">
                        <c:v>4</c:v>
                      </c:pt>
                      <c:pt idx="2">
                        <c:v>5</c:v>
                      </c:pt>
                      <c:pt idx="3">
                        <c:v>6</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(2)'!$R$190:$R$193,'Sheet1 (2)'!$R$195:$R$198)</c15:sqref>
                        </c15:formulaRef>
                      </c:ext>
                    </c:extLst>
                    <c:numCache>
                      <c:formatCode>General</c:formatCode>
                      <c:ptCount val="8"/>
                      <c:pt idx="0">
                        <c:v>0.13666666666666666</c:v>
                      </c:pt>
                      <c:pt idx="1">
                        <c:v>0.57666666666666666</c:v>
                      </c:pt>
                      <c:pt idx="2">
                        <c:v>0.40833333333333333</c:v>
                      </c:pt>
                      <c:pt idx="3">
                        <c:v>0.6133333333333334</c:v>
                      </c:pt>
                      <c:pt idx="4">
                        <c:v>2.7649999999999997</c:v>
                      </c:pt>
                      <c:pt idx="5">
                        <c:v>3.0533333333333332</c:v>
                      </c:pt>
                      <c:pt idx="6">
                        <c:v>2.8883333333333328</c:v>
                      </c:pt>
                      <c:pt idx="7">
                        <c:v>4.3633333333333324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B-BA3A-44C7-9819-68FD6C76F6D8}"/>
                  </c:ext>
                </c:extLst>
              </c15:ser>
            </c15:filteredScatterSeries>
            <c15:filteredScatterSeries>
              <c15:ser>
                <c:idx val="11"/>
                <c:order val="11"/>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6">
                        <a:lumMod val="60000"/>
                      </a:schemeClr>
                    </a:solidFill>
                    <a:ln w="9525">
                      <a:solidFill>
                        <a:schemeClr val="accent6">
                          <a:lumMod val="60000"/>
                        </a:schemeClr>
                      </a:solidFill>
                    </a:ln>
                    <a:effectLst/>
                  </c:spPr>
                </c:marker>
                <c:trendline>
                  <c:spPr>
                    <a:ln w="19050" cap="rnd">
                      <a:solidFill>
                        <a:schemeClr val="accent6">
                          <a:lumMod val="60000"/>
                        </a:schemeClr>
                      </a:solidFill>
                      <a:prstDash val="sysDot"/>
                    </a:ln>
                    <a:effectLst/>
                  </c:spPr>
                  <c:trendlineType val="linear"/>
                  <c:dispRSqr val="1"/>
                  <c:dispEq val="1"/>
                  <c:trendlineLbl>
                    <c:layout>
                      <c:manualLayout>
                        <c:x val="8.2142843390566697E-2"/>
                        <c:y val="-1.6268519909064076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6">
                                <a:lumMod val="50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(2)'!$P$204:$P$212</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(2)'!$R$204:$R$213</c15:sqref>
                        </c15:formulaRef>
                      </c:ext>
                    </c:extLst>
                    <c:numCache>
                      <c:formatCode>General</c:formatCode>
                      <c:ptCount val="10"/>
                      <c:pt idx="0">
                        <c:v>4.543333333333333</c:v>
                      </c:pt>
                      <c:pt idx="1">
                        <c:v>3.5566666666666666</c:v>
                      </c:pt>
                      <c:pt idx="2">
                        <c:v>3.91</c:v>
                      </c:pt>
                      <c:pt idx="3">
                        <c:v>5.5966666666666667</c:v>
                      </c:pt>
                      <c:pt idx="4">
                        <c:v>7.3316666666666679</c:v>
                      </c:pt>
                      <c:pt idx="5">
                        <c:v>13.729999999999999</c:v>
                      </c:pt>
                      <c:pt idx="6">
                        <c:v>14.625</c:v>
                      </c:pt>
                      <c:pt idx="7">
                        <c:v>14.318333333333332</c:v>
                      </c:pt>
                      <c:pt idx="8">
                        <c:v>17.236666666666668</c:v>
                      </c:pt>
                      <c:pt idx="9">
                        <c:v>27.911666666666669</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C-BA3A-44C7-9819-68FD6C76F6D8}"/>
                  </c:ext>
                </c:extLst>
              </c15:ser>
            </c15:filteredScatterSeries>
            <c15:filteredScatterSeries>
              <c15:ser>
                <c:idx val="12"/>
                <c:order val="12"/>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trendline>
                  <c:spPr>
                    <a:ln w="19050" cap="rnd">
                      <a:solidFill>
                        <a:schemeClr val="accent1">
                          <a:lumMod val="80000"/>
                          <a:lumOff val="20000"/>
                        </a:schemeClr>
                      </a:solidFill>
                      <a:prstDash val="sysDot"/>
                    </a:ln>
                    <a:effectLst/>
                  </c:spPr>
                  <c:trendlineType val="linear"/>
                  <c:dispRSqr val="1"/>
                  <c:dispEq val="1"/>
                  <c:trendlineLbl>
                    <c:layout>
                      <c:manualLayout>
                        <c:x val="-8.4921081106058213E-3"/>
                        <c:y val="5.3234660918125183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5">
                                <a:lumMod val="40000"/>
                                <a:lumOff val="60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(2)'!$P$218:$P$227</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(2)'!$R$218:$R$227</c15:sqref>
                        </c15:formulaRef>
                      </c:ext>
                    </c:extLst>
                    <c:numCache>
                      <c:formatCode>General</c:formatCode>
                      <c:ptCount val="10"/>
                      <c:pt idx="0">
                        <c:v>3.11</c:v>
                      </c:pt>
                      <c:pt idx="1">
                        <c:v>6.7349999999999994</c:v>
                      </c:pt>
                      <c:pt idx="2">
                        <c:v>4.7316666666666674</c:v>
                      </c:pt>
                      <c:pt idx="3">
                        <c:v>6.39</c:v>
                      </c:pt>
                      <c:pt idx="4">
                        <c:v>7.9216666666666669</c:v>
                      </c:pt>
                      <c:pt idx="5">
                        <c:v>9.8183333333333316</c:v>
                      </c:pt>
                      <c:pt idx="6">
                        <c:v>10.663333333333334</c:v>
                      </c:pt>
                      <c:pt idx="7">
                        <c:v>12.945</c:v>
                      </c:pt>
                      <c:pt idx="8">
                        <c:v>13.534999999999998</c:v>
                      </c:pt>
                      <c:pt idx="9">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D-BA3A-44C7-9819-68FD6C76F6D8}"/>
                  </c:ext>
                </c:extLst>
              </c15:ser>
            </c15:filteredScatterSeries>
          </c:ext>
        </c:extLst>
      </c:scatterChart>
      <c:valAx>
        <c:axId val="249080272"/>
        <c:scaling>
          <c:orientation val="minMax"/>
          <c:max val="12.5"/>
          <c:min val="0"/>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time (min)</a:t>
                </a:r>
              </a:p>
            </c:rich>
          </c:tx>
          <c:layout>
            <c:manualLayout>
              <c:xMode val="edge"/>
              <c:yMode val="edge"/>
              <c:x val="0.77984224628171483"/>
              <c:y val="0.87874872728237297"/>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49071568"/>
        <c:crosses val="autoZero"/>
        <c:crossBetween val="midCat"/>
      </c:valAx>
      <c:valAx>
        <c:axId val="249071568"/>
        <c:scaling>
          <c:orientation val="minMax"/>
          <c:max val="23"/>
          <c:min val="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000" b="0" i="0" baseline="0">
                    <a:effectLst/>
                  </a:rPr>
                  <a:t>[Ph</a:t>
                </a:r>
                <a:r>
                  <a:rPr lang="en-US" sz="1000" b="0" i="0" baseline="-25000">
                    <a:effectLst/>
                  </a:rPr>
                  <a:t>2</a:t>
                </a:r>
                <a:r>
                  <a:rPr lang="en-US" sz="1000" b="0" i="0" baseline="0">
                    <a:effectLst/>
                  </a:rPr>
                  <a:t>CHCH</a:t>
                </a:r>
                <a:r>
                  <a:rPr lang="en-US" sz="1000" b="0" i="0" u="none" strike="noStrike" baseline="0">
                    <a:effectLst/>
                  </a:rPr>
                  <a:t>Ph</a:t>
                </a:r>
                <a:r>
                  <a:rPr lang="en-US" sz="1000" b="0" i="0" u="none" strike="noStrike" baseline="-25000">
                    <a:effectLst/>
                  </a:rPr>
                  <a:t>2</a:t>
                </a:r>
                <a:r>
                  <a:rPr lang="en-US" sz="1000" b="0" i="0" baseline="0">
                    <a:effectLst/>
                  </a:rPr>
                  <a:t>] (mmol/L)</a:t>
                </a:r>
                <a:endParaRPr lang="en-US" sz="1000">
                  <a:effectLst/>
                </a:endParaRPr>
              </a:p>
            </c:rich>
          </c:tx>
          <c:layout>
            <c:manualLayout>
              <c:xMode val="edge"/>
              <c:yMode val="edge"/>
              <c:x val="2.7602799650043698E-3"/>
              <c:y val="0.18759704790723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49080272"/>
        <c:crosses val="autoZero"/>
        <c:crossBetween val="midCat"/>
      </c:valAx>
      <c:spPr>
        <a:noFill/>
        <a:ln>
          <a:noFill/>
        </a:ln>
        <a:effectLst/>
      </c:spPr>
    </c:plotArea>
    <c:legend>
      <c:legendPos val="r"/>
      <c:legendEntry>
        <c:idx val="2"/>
        <c:delete val="1"/>
      </c:legendEntry>
      <c:legendEntry>
        <c:idx val="3"/>
        <c:delete val="1"/>
      </c:legendEntry>
      <c:layout>
        <c:manualLayout>
          <c:xMode val="edge"/>
          <c:yMode val="edge"/>
          <c:x val="0"/>
          <c:y val="0.937291901741098"/>
          <c:w val="0.35158026971862899"/>
          <c:h val="5.7985729239144398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b="0" i="0" baseline="0">
                <a:effectLst/>
              </a:rPr>
              <a:t>Sample every 5 min at 125</a:t>
            </a:r>
            <a:r>
              <a:rPr lang="en-US" sz="1100" b="0" i="0" baseline="30000">
                <a:effectLst/>
              </a:rPr>
              <a:t>o</a:t>
            </a:r>
            <a:r>
              <a:rPr lang="en-US" sz="1100" b="0" i="0" baseline="0">
                <a:effectLst/>
              </a:rPr>
              <a:t>C </a:t>
            </a:r>
            <a:endParaRPr lang="en-US" sz="1100">
              <a:effectLst/>
            </a:endParaRPr>
          </a:p>
        </c:rich>
      </c:tx>
      <c:layout>
        <c:manualLayout>
          <c:xMode val="edge"/>
          <c:yMode val="edge"/>
          <c:x val="0.27690364135517498"/>
          <c:y val="1.1111111111111099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7141692515708262"/>
          <c:y val="3.2774315382918202E-2"/>
          <c:w val="0.78221728694169601"/>
          <c:h val="0.64157986341367901"/>
        </c:manualLayout>
      </c:layout>
      <c:scatterChart>
        <c:scatterStyle val="lineMarker"/>
        <c:varyColors val="0"/>
        <c:ser>
          <c:idx val="0"/>
          <c:order val="0"/>
          <c:tx>
            <c:strRef>
              <c:f>'Sheet1 (2)'!$Q$19</c:f>
              <c:strCache>
                <c:ptCount val="1"/>
                <c:pt idx="0">
                  <c:v>Ph2CH(OH) a''</c:v>
                </c:pt>
              </c:strCache>
            </c:strRef>
          </c:tx>
          <c:spPr>
            <a:ln w="25400" cap="rnd">
              <a:noFill/>
              <a:round/>
            </a:ln>
            <a:effectLst/>
          </c:spPr>
          <c:marker>
            <c:symbol val="circle"/>
            <c:size val="3"/>
            <c:spPr>
              <a:solidFill>
                <a:schemeClr val="tx1">
                  <a:lumMod val="85000"/>
                  <a:lumOff val="15000"/>
                </a:schemeClr>
              </a:solidFill>
              <a:ln w="9525">
                <a:solidFill>
                  <a:schemeClr val="tx1">
                    <a:lumMod val="85000"/>
                    <a:lumOff val="15000"/>
                  </a:schemeClr>
                </a:solidFill>
              </a:ln>
              <a:effectLst/>
            </c:spPr>
          </c:marker>
          <c:trendline>
            <c:spPr>
              <a:ln w="19050" cap="rnd">
                <a:solidFill>
                  <a:schemeClr val="accent1"/>
                </a:solidFill>
                <a:prstDash val="sysDot"/>
              </a:ln>
              <a:effectLst/>
            </c:spPr>
            <c:trendlineType val="power"/>
            <c:dispRSqr val="0"/>
            <c:dispEq val="0"/>
          </c:trendline>
          <c:xVal>
            <c:numRef>
              <c:f>'Sheet1 (2)'!$P$20:$P$30</c:f>
              <c:numCache>
                <c:formatCode>General</c:formatCode>
                <c:ptCount val="11"/>
                <c:pt idx="0">
                  <c:v>0</c:v>
                </c:pt>
                <c:pt idx="1">
                  <c:v>5</c:v>
                </c:pt>
                <c:pt idx="2">
                  <c:v>10</c:v>
                </c:pt>
                <c:pt idx="3">
                  <c:v>15</c:v>
                </c:pt>
                <c:pt idx="4">
                  <c:v>20</c:v>
                </c:pt>
                <c:pt idx="5">
                  <c:v>25</c:v>
                </c:pt>
                <c:pt idx="6">
                  <c:v>30</c:v>
                </c:pt>
                <c:pt idx="7">
                  <c:v>35</c:v>
                </c:pt>
                <c:pt idx="8">
                  <c:v>40</c:v>
                </c:pt>
                <c:pt idx="9">
                  <c:v>45</c:v>
                </c:pt>
                <c:pt idx="10">
                  <c:v>50</c:v>
                </c:pt>
              </c:numCache>
            </c:numRef>
          </c:xVal>
          <c:yVal>
            <c:numRef>
              <c:f>'Sheet1 (2)'!$Q$20:$Q$30</c:f>
              <c:numCache>
                <c:formatCode>General</c:formatCode>
                <c:ptCount val="11"/>
                <c:pt idx="0">
                  <c:v>9.978260869565217E-2</c:v>
                </c:pt>
                <c:pt idx="1">
                  <c:v>76.166666666666657</c:v>
                </c:pt>
                <c:pt idx="2">
                  <c:v>56.959999999999994</c:v>
                </c:pt>
                <c:pt idx="3">
                  <c:v>51.844999999999999</c:v>
                </c:pt>
                <c:pt idx="4">
                  <c:v>46.318333333333335</c:v>
                </c:pt>
                <c:pt idx="5">
                  <c:v>35.884999999999998</c:v>
                </c:pt>
                <c:pt idx="6">
                  <c:v>34.543333333333329</c:v>
                </c:pt>
                <c:pt idx="7">
                  <c:v>18.841666666666665</c:v>
                </c:pt>
                <c:pt idx="8">
                  <c:v>16.128333333333334</c:v>
                </c:pt>
                <c:pt idx="9">
                  <c:v>14.304999999999998</c:v>
                </c:pt>
                <c:pt idx="10">
                  <c:v>8.7966666666666686</c:v>
                </c:pt>
              </c:numCache>
            </c:numRef>
          </c:yVal>
          <c:smooth val="0"/>
          <c:extLst xmlns:c16r2="http://schemas.microsoft.com/office/drawing/2015/06/chart">
            <c:ext xmlns:c16="http://schemas.microsoft.com/office/drawing/2014/chart" uri="{C3380CC4-5D6E-409C-BE32-E72D297353CC}">
              <c16:uniqueId val="{00000000-388C-4325-9FD3-FDEA545E3ACE}"/>
            </c:ext>
          </c:extLst>
        </c:ser>
        <c:ser>
          <c:idx val="1"/>
          <c:order val="1"/>
          <c:tx>
            <c:strRef>
              <c:f>'Sheet1 (2)'!$Q$33</c:f>
              <c:strCache>
                <c:ptCount val="1"/>
                <c:pt idx="0">
                  <c:v>Ph2CH(OH) b</c:v>
                </c:pt>
              </c:strCache>
            </c:strRef>
          </c:tx>
          <c:spPr>
            <a:ln w="25400" cap="rnd">
              <a:noFill/>
              <a:round/>
            </a:ln>
            <a:effectLst/>
          </c:spPr>
          <c:marker>
            <c:symbol val="x"/>
            <c:size val="3"/>
            <c:spPr>
              <a:solidFill>
                <a:schemeClr val="tx1"/>
              </a:solidFill>
              <a:ln w="9525">
                <a:solidFill>
                  <a:schemeClr val="tx1"/>
                </a:solidFill>
                <a:prstDash val="dash"/>
              </a:ln>
              <a:effectLst/>
            </c:spPr>
          </c:marker>
          <c:xVal>
            <c:numRef>
              <c:f>'Sheet1 (2)'!$P$34:$P$43</c:f>
              <c:numCache>
                <c:formatCode>General</c:formatCode>
                <c:ptCount val="10"/>
                <c:pt idx="0">
                  <c:v>0</c:v>
                </c:pt>
                <c:pt idx="1">
                  <c:v>5</c:v>
                </c:pt>
                <c:pt idx="2">
                  <c:v>10</c:v>
                </c:pt>
                <c:pt idx="3">
                  <c:v>15</c:v>
                </c:pt>
                <c:pt idx="4">
                  <c:v>20</c:v>
                </c:pt>
                <c:pt idx="5">
                  <c:v>30</c:v>
                </c:pt>
                <c:pt idx="6">
                  <c:v>35</c:v>
                </c:pt>
                <c:pt idx="7">
                  <c:v>40</c:v>
                </c:pt>
                <c:pt idx="8">
                  <c:v>45</c:v>
                </c:pt>
                <c:pt idx="9">
                  <c:v>50</c:v>
                </c:pt>
              </c:numCache>
            </c:numRef>
          </c:xVal>
          <c:yVal>
            <c:numRef>
              <c:f>'Sheet1 (2)'!$Q$34:$Q$43</c:f>
              <c:numCache>
                <c:formatCode>General</c:formatCode>
                <c:ptCount val="10"/>
                <c:pt idx="0">
                  <c:v>9.6739130434782619E-2</c:v>
                </c:pt>
                <c:pt idx="1">
                  <c:v>76.538333333333327</c:v>
                </c:pt>
                <c:pt idx="2">
                  <c:v>68.165000000000006</c:v>
                </c:pt>
                <c:pt idx="3">
                  <c:v>56.6</c:v>
                </c:pt>
                <c:pt idx="4">
                  <c:v>54.586666666666659</c:v>
                </c:pt>
                <c:pt idx="5">
                  <c:v>43.931666666666658</c:v>
                </c:pt>
                <c:pt idx="6">
                  <c:v>48.263333333333328</c:v>
                </c:pt>
                <c:pt idx="7">
                  <c:v>33.586666666666666</c:v>
                </c:pt>
                <c:pt idx="8">
                  <c:v>31.016666666666666</c:v>
                </c:pt>
                <c:pt idx="9">
                  <c:v>27.18</c:v>
                </c:pt>
              </c:numCache>
            </c:numRef>
          </c:yVal>
          <c:smooth val="0"/>
          <c:extLst xmlns:c16r2="http://schemas.microsoft.com/office/drawing/2015/06/chart">
            <c:ext xmlns:c16="http://schemas.microsoft.com/office/drawing/2014/chart" uri="{C3380CC4-5D6E-409C-BE32-E72D297353CC}">
              <c16:uniqueId val="{00000001-388C-4325-9FD3-FDEA545E3ACE}"/>
            </c:ext>
          </c:extLst>
        </c:ser>
        <c:ser>
          <c:idx val="2"/>
          <c:order val="2"/>
          <c:tx>
            <c:strRef>
              <c:f>'Sheet1 (2)'!$R$19</c:f>
              <c:strCache>
                <c:ptCount val="1"/>
                <c:pt idx="0">
                  <c:v>RC product a''</c:v>
                </c:pt>
              </c:strCache>
            </c:strRef>
          </c:tx>
          <c:spPr>
            <a:ln w="25400" cap="rnd">
              <a:noFill/>
              <a:round/>
            </a:ln>
            <a:effectLst/>
          </c:spPr>
          <c:marker>
            <c:symbol val="circle"/>
            <c:size val="3"/>
            <c:spPr>
              <a:solidFill>
                <a:schemeClr val="bg1">
                  <a:lumMod val="75000"/>
                </a:schemeClr>
              </a:solidFill>
              <a:ln w="9525">
                <a:solidFill>
                  <a:schemeClr val="bg1">
                    <a:lumMod val="75000"/>
                  </a:schemeClr>
                </a:solidFill>
              </a:ln>
              <a:effectLst/>
            </c:spPr>
          </c:marker>
          <c:xVal>
            <c:numRef>
              <c:f>'Sheet1 (2)'!$P$20:$P$30</c:f>
              <c:numCache>
                <c:formatCode>General</c:formatCode>
                <c:ptCount val="11"/>
                <c:pt idx="0">
                  <c:v>0</c:v>
                </c:pt>
                <c:pt idx="1">
                  <c:v>5</c:v>
                </c:pt>
                <c:pt idx="2">
                  <c:v>10</c:v>
                </c:pt>
                <c:pt idx="3">
                  <c:v>15</c:v>
                </c:pt>
                <c:pt idx="4">
                  <c:v>20</c:v>
                </c:pt>
                <c:pt idx="5">
                  <c:v>25</c:v>
                </c:pt>
                <c:pt idx="6">
                  <c:v>30</c:v>
                </c:pt>
                <c:pt idx="7">
                  <c:v>35</c:v>
                </c:pt>
                <c:pt idx="8">
                  <c:v>40</c:v>
                </c:pt>
                <c:pt idx="9">
                  <c:v>45</c:v>
                </c:pt>
                <c:pt idx="10">
                  <c:v>50</c:v>
                </c:pt>
              </c:numCache>
            </c:numRef>
          </c:xVal>
          <c:yVal>
            <c:numRef>
              <c:f>'Sheet1 (2)'!$R$20:$R$30</c:f>
              <c:numCache>
                <c:formatCode>General</c:formatCode>
                <c:ptCount val="11"/>
                <c:pt idx="0">
                  <c:v>0</c:v>
                </c:pt>
                <c:pt idx="1">
                  <c:v>11.076666666666664</c:v>
                </c:pt>
                <c:pt idx="2">
                  <c:v>19.175000000000001</c:v>
                </c:pt>
                <c:pt idx="3">
                  <c:v>27.011666666666667</c:v>
                </c:pt>
                <c:pt idx="4">
                  <c:v>41.108333333333334</c:v>
                </c:pt>
                <c:pt idx="5">
                  <c:v>56.198333333333331</c:v>
                </c:pt>
                <c:pt idx="6">
                  <c:v>55.884999999999998</c:v>
                </c:pt>
                <c:pt idx="7">
                  <c:v>74.603333333333339</c:v>
                </c:pt>
                <c:pt idx="8">
                  <c:v>75.893333333333331</c:v>
                </c:pt>
                <c:pt idx="9">
                  <c:v>76.443333333333342</c:v>
                </c:pt>
                <c:pt idx="10">
                  <c:v>76.333333333333329</c:v>
                </c:pt>
              </c:numCache>
            </c:numRef>
          </c:yVal>
          <c:smooth val="0"/>
          <c:extLst xmlns:c16r2="http://schemas.microsoft.com/office/drawing/2015/06/chart">
            <c:ext xmlns:c16="http://schemas.microsoft.com/office/drawing/2014/chart" uri="{C3380CC4-5D6E-409C-BE32-E72D297353CC}">
              <c16:uniqueId val="{00000002-388C-4325-9FD3-FDEA545E3ACE}"/>
            </c:ext>
          </c:extLst>
        </c:ser>
        <c:ser>
          <c:idx val="3"/>
          <c:order val="3"/>
          <c:tx>
            <c:strRef>
              <c:f>'Sheet1 (2)'!$R$33</c:f>
              <c:strCache>
                <c:ptCount val="1"/>
                <c:pt idx="0">
                  <c:v>RC product b</c:v>
                </c:pt>
              </c:strCache>
            </c:strRef>
          </c:tx>
          <c:spPr>
            <a:ln w="25400" cap="rnd">
              <a:noFill/>
              <a:round/>
            </a:ln>
            <a:effectLst/>
          </c:spPr>
          <c:marker>
            <c:symbol val="x"/>
            <c:size val="3"/>
            <c:spPr>
              <a:solidFill>
                <a:schemeClr val="bg1">
                  <a:lumMod val="50000"/>
                </a:schemeClr>
              </a:solidFill>
              <a:ln w="9525">
                <a:solidFill>
                  <a:schemeClr val="bg1">
                    <a:lumMod val="50000"/>
                  </a:schemeClr>
                </a:solidFill>
                <a:prstDash val="dash"/>
              </a:ln>
              <a:effectLst/>
            </c:spPr>
          </c:marker>
          <c:xVal>
            <c:numRef>
              <c:f>'Sheet1 (2)'!$P$34:$P$43</c:f>
              <c:numCache>
                <c:formatCode>General</c:formatCode>
                <c:ptCount val="10"/>
                <c:pt idx="0">
                  <c:v>0</c:v>
                </c:pt>
                <c:pt idx="1">
                  <c:v>5</c:v>
                </c:pt>
                <c:pt idx="2">
                  <c:v>10</c:v>
                </c:pt>
                <c:pt idx="3">
                  <c:v>15</c:v>
                </c:pt>
                <c:pt idx="4">
                  <c:v>20</c:v>
                </c:pt>
                <c:pt idx="5">
                  <c:v>30</c:v>
                </c:pt>
                <c:pt idx="6">
                  <c:v>35</c:v>
                </c:pt>
                <c:pt idx="7">
                  <c:v>40</c:v>
                </c:pt>
                <c:pt idx="8">
                  <c:v>45</c:v>
                </c:pt>
                <c:pt idx="9">
                  <c:v>50</c:v>
                </c:pt>
              </c:numCache>
            </c:numRef>
          </c:xVal>
          <c:yVal>
            <c:numRef>
              <c:f>'Sheet1 (2)'!$R$34:$R$43</c:f>
              <c:numCache>
                <c:formatCode>General</c:formatCode>
                <c:ptCount val="10"/>
                <c:pt idx="0">
                  <c:v>0</c:v>
                </c:pt>
                <c:pt idx="1">
                  <c:v>5.97</c:v>
                </c:pt>
                <c:pt idx="2">
                  <c:v>11.118333333333332</c:v>
                </c:pt>
                <c:pt idx="3">
                  <c:v>12.498333333333331</c:v>
                </c:pt>
                <c:pt idx="4">
                  <c:v>18.933333333333334</c:v>
                </c:pt>
                <c:pt idx="5">
                  <c:v>28.72133333333333</c:v>
                </c:pt>
                <c:pt idx="6">
                  <c:v>35.111666666666665</c:v>
                </c:pt>
                <c:pt idx="7">
                  <c:v>43.468333333333341</c:v>
                </c:pt>
                <c:pt idx="8">
                  <c:v>59.973333333333329</c:v>
                </c:pt>
                <c:pt idx="9">
                  <c:v>58.741666666666667</c:v>
                </c:pt>
              </c:numCache>
            </c:numRef>
          </c:yVal>
          <c:smooth val="0"/>
          <c:extLst xmlns:c16r2="http://schemas.microsoft.com/office/drawing/2015/06/chart">
            <c:ext xmlns:c16="http://schemas.microsoft.com/office/drawing/2014/chart" uri="{C3380CC4-5D6E-409C-BE32-E72D297353CC}">
              <c16:uniqueId val="{00000003-388C-4325-9FD3-FDEA545E3ACE}"/>
            </c:ext>
          </c:extLst>
        </c:ser>
        <c:dLbls>
          <c:showLegendKey val="0"/>
          <c:showVal val="0"/>
          <c:showCatName val="0"/>
          <c:showSerName val="0"/>
          <c:showPercent val="0"/>
          <c:showBubbleSize val="0"/>
        </c:dLbls>
        <c:axId val="245263648"/>
        <c:axId val="245254400"/>
      </c:scatterChart>
      <c:valAx>
        <c:axId val="245263648"/>
        <c:scaling>
          <c:orientation val="minMax"/>
          <c:max val="51"/>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a:t>
                </a:r>
              </a:p>
            </c:rich>
          </c:tx>
          <c:layout>
            <c:manualLayout>
              <c:xMode val="edge"/>
              <c:yMode val="edge"/>
              <c:x val="0.52545235822794878"/>
              <c:y val="0.71800537587215574"/>
            </c:manualLayout>
          </c:layout>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254400"/>
        <c:crosses val="autoZero"/>
        <c:crossBetween val="midCat"/>
      </c:valAx>
      <c:valAx>
        <c:axId val="245254400"/>
        <c:scaling>
          <c:orientation val="minMax"/>
          <c:max val="100"/>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effectLst/>
                  </a:rPr>
                  <a:t>[c] (mol/L)</a:t>
                </a:r>
                <a:endParaRPr lang="en-US" sz="400">
                  <a:effectLst/>
                </a:endParaRPr>
              </a:p>
            </c:rich>
          </c:tx>
          <c:layout>
            <c:manualLayout>
              <c:xMode val="edge"/>
              <c:yMode val="edge"/>
              <c:x val="4.7892720306513398E-3"/>
              <c:y val="0.2282629046369200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263648"/>
        <c:crosses val="autoZero"/>
        <c:crossBetween val="midCat"/>
      </c:valAx>
      <c:spPr>
        <a:noFill/>
        <a:ln>
          <a:noFill/>
        </a:ln>
        <a:effectLst/>
      </c:spPr>
    </c:plotArea>
    <c:legend>
      <c:legendPos val="b"/>
      <c:legendEntry>
        <c:idx val="4"/>
        <c:delete val="1"/>
      </c:legendEntry>
      <c:layout>
        <c:manualLayout>
          <c:xMode val="edge"/>
          <c:yMode val="edge"/>
          <c:x val="6.5119700946472605E-4"/>
          <c:y val="0.8399826339875639"/>
          <c:w val="0.92980586478414295"/>
          <c:h val="0.1588990137907964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r>
              <a:rPr lang="en-US" sz="1100" b="1">
                <a:solidFill>
                  <a:sysClr val="windowText" lastClr="000000"/>
                </a:solidFill>
              </a:rPr>
              <a:t>Catalyst</a:t>
            </a:r>
          </a:p>
        </c:rich>
      </c:tx>
      <c:layout>
        <c:manualLayout>
          <c:xMode val="edge"/>
          <c:yMode val="edge"/>
          <c:x val="0.171005491182253"/>
          <c:y val="3.1152647975077899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53677323929234"/>
          <c:y val="2.2755947709108701E-2"/>
          <c:w val="0.80868232675691898"/>
          <c:h val="0.76575293742487804"/>
        </c:manualLayout>
      </c:layout>
      <c:scatterChart>
        <c:scatterStyle val="lineMarker"/>
        <c:varyColors val="0"/>
        <c:ser>
          <c:idx val="26"/>
          <c:order val="0"/>
          <c:tx>
            <c:strRef>
              <c:f>'Sheet1 (2)'!$O$62</c:f>
              <c:strCache>
                <c:ptCount val="1"/>
                <c:pt idx="0">
                  <c:v>b'</c:v>
                </c:pt>
              </c:strCache>
            </c:strRef>
          </c:tx>
          <c:spPr>
            <a:ln w="25400" cap="rnd">
              <a:noFill/>
              <a:round/>
            </a:ln>
            <a:effectLst/>
          </c:spPr>
          <c:marker>
            <c:symbol val="circle"/>
            <c:size val="3"/>
            <c:spPr>
              <a:solidFill>
                <a:schemeClr val="bg1">
                  <a:lumMod val="50000"/>
                </a:schemeClr>
              </a:solidFill>
              <a:ln w="9525">
                <a:solidFill>
                  <a:schemeClr val="bg1">
                    <a:lumMod val="50000"/>
                  </a:schemeClr>
                </a:solidFill>
              </a:ln>
              <a:effectLst/>
            </c:spPr>
          </c:marker>
          <c:trendline>
            <c:spPr>
              <a:ln w="19050" cap="rnd">
                <a:solidFill>
                  <a:schemeClr val="bg1">
                    <a:lumMod val="50000"/>
                  </a:schemeClr>
                </a:solidFill>
                <a:prstDash val="sysDot"/>
              </a:ln>
              <a:effectLst/>
            </c:spPr>
            <c:trendlineType val="linear"/>
            <c:dispRSqr val="1"/>
            <c:dispEq val="1"/>
            <c:trendlineLbl>
              <c:layout>
                <c:manualLayout>
                  <c:x val="9.9421131438947957E-2"/>
                  <c:y val="0.24238763378876707"/>
                </c:manualLayout>
              </c:layout>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bg1">
                          <a:lumMod val="50000"/>
                        </a:schemeClr>
                      </a:solidFill>
                      <a:latin typeface="+mn-lt"/>
                      <a:ea typeface="+mn-ea"/>
                      <a:cs typeface="+mn-cs"/>
                    </a:defRPr>
                  </a:pPr>
                  <a:endParaRPr lang="en-US"/>
                </a:p>
              </c:txPr>
            </c:trendlineLbl>
          </c:trendline>
          <c:xVal>
            <c:numRef>
              <c:f>('Sheet1 (2)'!$P$64:$P$68,'Sheet1 (2)'!$P$70,'Sheet1 (2)'!$P$72)</c:f>
              <c:numCache>
                <c:formatCode>General</c:formatCode>
                <c:ptCount val="7"/>
                <c:pt idx="0">
                  <c:v>2</c:v>
                </c:pt>
                <c:pt idx="1">
                  <c:v>3</c:v>
                </c:pt>
                <c:pt idx="2">
                  <c:v>4</c:v>
                </c:pt>
                <c:pt idx="3">
                  <c:v>5</c:v>
                </c:pt>
                <c:pt idx="4">
                  <c:v>6</c:v>
                </c:pt>
                <c:pt idx="5">
                  <c:v>8</c:v>
                </c:pt>
                <c:pt idx="6">
                  <c:v>10</c:v>
                </c:pt>
              </c:numCache>
            </c:numRef>
          </c:xVal>
          <c:yVal>
            <c:numRef>
              <c:f>('Sheet1 (2)'!$R$64:$R$68,'Sheet1 (2)'!$R$70,'Sheet1 (2)'!$R$72)</c:f>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c:ext xmlns:c16="http://schemas.microsoft.com/office/drawing/2014/chart" uri="{C3380CC4-5D6E-409C-BE32-E72D297353CC}">
              <c16:uniqueId val="{00000000-5541-429F-8259-8FE2774937FE}"/>
            </c:ext>
          </c:extLst>
        </c:ser>
        <c:ser>
          <c:idx val="27"/>
          <c:order val="1"/>
          <c:tx>
            <c:strRef>
              <c:f>'Sheet1 (2)'!$O$48</c:f>
              <c:strCache>
                <c:ptCount val="1"/>
                <c:pt idx="0">
                  <c:v>a'''</c:v>
                </c:pt>
              </c:strCache>
            </c:strRef>
          </c:tx>
          <c:spPr>
            <a:ln w="25400" cap="rnd">
              <a:noFill/>
              <a:round/>
            </a:ln>
            <a:effectLst/>
          </c:spPr>
          <c:marker>
            <c:symbol val="triangle"/>
            <c:size val="4"/>
            <c:spPr>
              <a:solidFill>
                <a:schemeClr val="bg1"/>
              </a:solidFill>
              <a:ln w="9525">
                <a:solidFill>
                  <a:schemeClr val="tx1"/>
                </a:solidFill>
              </a:ln>
              <a:effectLst/>
            </c:spPr>
          </c:marker>
          <c:trendline>
            <c:spPr>
              <a:ln w="19050" cap="rnd">
                <a:solidFill>
                  <a:schemeClr val="tx1"/>
                </a:solidFill>
                <a:prstDash val="sysDot"/>
              </a:ln>
              <a:effectLst/>
            </c:spPr>
            <c:trendlineType val="linear"/>
            <c:dispRSqr val="1"/>
            <c:dispEq val="1"/>
            <c:trendlineLbl>
              <c:layout>
                <c:manualLayout>
                  <c:x val="-0.117599245406824"/>
                  <c:y val="2.6348926010416902E-3"/>
                </c:manualLayout>
              </c:layout>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trendlineLbl>
          </c:trendline>
          <c:xVal>
            <c:numRef>
              <c:f>'Sheet1 (2)'!$P$50:$P$57</c:f>
              <c:numCache>
                <c:formatCode>General</c:formatCode>
                <c:ptCount val="8"/>
                <c:pt idx="0">
                  <c:v>2</c:v>
                </c:pt>
                <c:pt idx="1">
                  <c:v>3</c:v>
                </c:pt>
                <c:pt idx="2">
                  <c:v>4</c:v>
                </c:pt>
                <c:pt idx="3">
                  <c:v>5</c:v>
                </c:pt>
                <c:pt idx="4">
                  <c:v>6</c:v>
                </c:pt>
                <c:pt idx="5">
                  <c:v>7</c:v>
                </c:pt>
                <c:pt idx="6">
                  <c:v>8</c:v>
                </c:pt>
                <c:pt idx="7">
                  <c:v>9</c:v>
                </c:pt>
              </c:numCache>
            </c:numRef>
          </c:xVal>
          <c:yVal>
            <c:numRef>
              <c:f>'Sheet1 (2)'!$R$50:$R$57</c:f>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c:ext xmlns:c16="http://schemas.microsoft.com/office/drawing/2014/chart" uri="{C3380CC4-5D6E-409C-BE32-E72D297353CC}">
              <c16:uniqueId val="{00000001-5541-429F-8259-8FE2774937FE}"/>
            </c:ext>
          </c:extLst>
        </c:ser>
        <c:ser>
          <c:idx val="28"/>
          <c:order val="2"/>
          <c:tx>
            <c:strRef>
              <c:f>'Sheet1 (2)'!$O$76</c:f>
              <c:strCache>
                <c:ptCount val="1"/>
                <c:pt idx="0">
                  <c:v>c</c:v>
                </c:pt>
              </c:strCache>
            </c:strRef>
          </c:tx>
          <c:spPr>
            <a:ln w="25400" cap="rnd">
              <a:noFill/>
              <a:round/>
            </a:ln>
            <a:effectLst/>
          </c:spPr>
          <c:marker>
            <c:symbol val="x"/>
            <c:size val="3"/>
            <c:spPr>
              <a:solidFill>
                <a:schemeClr val="tx1">
                  <a:lumMod val="65000"/>
                  <a:lumOff val="35000"/>
                </a:schemeClr>
              </a:solidFill>
              <a:ln w="9525">
                <a:solidFill>
                  <a:schemeClr val="tx1">
                    <a:lumMod val="65000"/>
                    <a:lumOff val="35000"/>
                  </a:schemeClr>
                </a:solidFill>
              </a:ln>
              <a:effectLst/>
            </c:spPr>
          </c:marker>
          <c:trendline>
            <c:spPr>
              <a:ln w="19050" cap="rnd">
                <a:solidFill>
                  <a:schemeClr val="tx1">
                    <a:lumMod val="65000"/>
                    <a:lumOff val="35000"/>
                  </a:schemeClr>
                </a:solidFill>
                <a:prstDash val="sysDot"/>
              </a:ln>
              <a:effectLst/>
            </c:spPr>
            <c:trendlineType val="linear"/>
            <c:dispRSqr val="1"/>
            <c:dispEq val="1"/>
            <c:trendlineLbl>
              <c:layout>
                <c:manualLayout>
                  <c:x val="0.28521787209320276"/>
                  <c:y val="-4.7628392245361853E-3"/>
                </c:manualLayout>
              </c:layout>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 (2)'!$P$78:$P$82</c:f>
              <c:numCache>
                <c:formatCode>General</c:formatCode>
                <c:ptCount val="5"/>
                <c:pt idx="0">
                  <c:v>2</c:v>
                </c:pt>
                <c:pt idx="1">
                  <c:v>3</c:v>
                </c:pt>
                <c:pt idx="2">
                  <c:v>4</c:v>
                </c:pt>
                <c:pt idx="3">
                  <c:v>5</c:v>
                </c:pt>
                <c:pt idx="4">
                  <c:v>6</c:v>
                </c:pt>
              </c:numCache>
            </c:numRef>
          </c:xVal>
          <c:yVal>
            <c:numRef>
              <c:f>'Sheet1 (2)'!$R$78:$R$82</c:f>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c:ext xmlns:c16="http://schemas.microsoft.com/office/drawing/2014/chart" uri="{C3380CC4-5D6E-409C-BE32-E72D297353CC}">
              <c16:uniqueId val="{00000002-5541-429F-8259-8FE2774937FE}"/>
            </c:ext>
          </c:extLst>
        </c:ser>
        <c:dLbls>
          <c:showLegendKey val="0"/>
          <c:showVal val="0"/>
          <c:showCatName val="0"/>
          <c:showSerName val="0"/>
          <c:showPercent val="0"/>
          <c:showBubbleSize val="0"/>
        </c:dLbls>
        <c:axId val="245260928"/>
        <c:axId val="245262016"/>
        <c:extLst xmlns:c16r2="http://schemas.microsoft.com/office/drawing/2015/06/chart">
          <c:ext xmlns:c15="http://schemas.microsoft.com/office/drawing/2012/chart" uri="{02D57815-91ED-43cb-92C2-25804820EDAC}">
            <c15:filteredScatterSeries>
              <c15:ser>
                <c:idx val="29"/>
                <c:order val="3"/>
                <c:tx>
                  <c:strRef>
                    <c:extLst xmlns:c16r2="http://schemas.microsoft.com/office/drawing/2015/06/chart">
                      <c:ex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extLst xmlns:c16r2="http://schemas.microsoft.com/office/drawing/2015/06/chart">
                      <c:ex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c:ex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c:ext xmlns:c16="http://schemas.microsoft.com/office/drawing/2014/chart" uri="{C3380CC4-5D6E-409C-BE32-E72D297353CC}">
                    <c16:uniqueId val="{00000003-5541-429F-8259-8FE2774937FE}"/>
                  </c:ext>
                </c:extLst>
              </c15:ser>
            </c15:filteredScatterSeries>
            <c15:filteredScatterSeries>
              <c15:ser>
                <c:idx val="30"/>
                <c:order val="4"/>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1">
                        <a:lumMod val="50000"/>
                      </a:schemeClr>
                    </a:solidFill>
                    <a:ln w="9525">
                      <a:solidFill>
                        <a:schemeClr val="accent1">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4-5541-429F-8259-8FE2774937FE}"/>
                  </c:ext>
                </c:extLst>
              </c15:ser>
            </c15:filteredScatterSeries>
            <c15:filteredScatterSeries>
              <c15:ser>
                <c:idx val="31"/>
                <c:order val="5"/>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2">
                        <a:lumMod val="50000"/>
                      </a:schemeClr>
                    </a:solidFill>
                    <a:ln w="9525">
                      <a:solidFill>
                        <a:schemeClr val="accent2">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5-5541-429F-8259-8FE2774937FE}"/>
                  </c:ext>
                </c:extLst>
              </c15:ser>
            </c15:filteredScatterSeries>
            <c15:filteredScatterSeries>
              <c15:ser>
                <c:idx val="32"/>
                <c:order val="6"/>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3">
                        <a:lumMod val="50000"/>
                      </a:schemeClr>
                    </a:solidFill>
                    <a:ln w="9525">
                      <a:solidFill>
                        <a:schemeClr val="accent3">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6-5541-429F-8259-8FE2774937FE}"/>
                  </c:ext>
                </c:extLst>
              </c15:ser>
            </c15:filteredScatterSeries>
            <c15:filteredScatterSeries>
              <c15:ser>
                <c:idx val="33"/>
                <c:order val="7"/>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4">
                        <a:lumMod val="50000"/>
                      </a:schemeClr>
                    </a:solidFill>
                    <a:ln w="9525">
                      <a:solidFill>
                        <a:schemeClr val="accent4">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7-5541-429F-8259-8FE2774937FE}"/>
                  </c:ext>
                </c:extLst>
              </c15:ser>
            </c15:filteredScatterSeries>
            <c15:filteredScatterSeries>
              <c15:ser>
                <c:idx val="34"/>
                <c:order val="8"/>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5">
                        <a:lumMod val="50000"/>
                      </a:schemeClr>
                    </a:solidFill>
                    <a:ln w="9525">
                      <a:solidFill>
                        <a:schemeClr val="accent5">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8-5541-429F-8259-8FE2774937FE}"/>
                  </c:ext>
                </c:extLst>
              </c15:ser>
            </c15:filteredScatterSeries>
            <c15:filteredScatterSeries>
              <c15:ser>
                <c:idx val="35"/>
                <c:order val="9"/>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6">
                        <a:lumMod val="50000"/>
                      </a:schemeClr>
                    </a:solidFill>
                    <a:ln w="9525">
                      <a:solidFill>
                        <a:schemeClr val="accent6">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9-5541-429F-8259-8FE2774937FE}"/>
                  </c:ext>
                </c:extLst>
              </c15:ser>
            </c15:filteredScatterSeries>
            <c15:filteredScatterSeries>
              <c15:ser>
                <c:idx val="36"/>
                <c:order val="10"/>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A-5541-429F-8259-8FE2774937FE}"/>
                  </c:ext>
                </c:extLst>
              </c15:ser>
            </c15:filteredScatterSeries>
            <c15:filteredScatterSeries>
              <c15:ser>
                <c:idx val="37"/>
                <c:order val="11"/>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B-5541-429F-8259-8FE2774937FE}"/>
                  </c:ext>
                </c:extLst>
              </c15:ser>
            </c15:filteredScatterSeries>
            <c15:filteredScatterSeries>
              <c15:ser>
                <c:idx val="38"/>
                <c:order val="12"/>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C-5541-429F-8259-8FE2774937FE}"/>
                  </c:ext>
                </c:extLst>
              </c15:ser>
            </c15:filteredScatterSeries>
            <c15:filteredScatterSeries>
              <c15:ser>
                <c:idx val="39"/>
                <c:order val="13"/>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D-5541-429F-8259-8FE2774937FE}"/>
                  </c:ext>
                </c:extLst>
              </c15:ser>
            </c15:filteredScatterSeries>
            <c15:filteredScatterSeries>
              <c15:ser>
                <c:idx val="40"/>
                <c:order val="14"/>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E-5541-429F-8259-8FE2774937FE}"/>
                  </c:ext>
                </c:extLst>
              </c15:ser>
            </c15:filteredScatterSeries>
            <c15:filteredScatterSeries>
              <c15:ser>
                <c:idx val="41"/>
                <c:order val="15"/>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F-5541-429F-8259-8FE2774937FE}"/>
                  </c:ext>
                </c:extLst>
              </c15:ser>
            </c15:filteredScatterSeries>
            <c15:filteredScatterSeries>
              <c15:ser>
                <c:idx val="42"/>
                <c:order val="16"/>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1">
                        <a:lumMod val="70000"/>
                      </a:schemeClr>
                    </a:solidFill>
                    <a:ln w="9525">
                      <a:solidFill>
                        <a:schemeClr val="accent1">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0-5541-429F-8259-8FE2774937FE}"/>
                  </c:ext>
                </c:extLst>
              </c15:ser>
            </c15:filteredScatterSeries>
            <c15:filteredScatterSeries>
              <c15:ser>
                <c:idx val="43"/>
                <c:order val="17"/>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2">
                        <a:lumMod val="70000"/>
                      </a:schemeClr>
                    </a:solidFill>
                    <a:ln w="9525">
                      <a:solidFill>
                        <a:schemeClr val="accent2">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1-5541-429F-8259-8FE2774937FE}"/>
                  </c:ext>
                </c:extLst>
              </c15:ser>
            </c15:filteredScatterSeries>
            <c15:filteredScatterSeries>
              <c15:ser>
                <c:idx val="44"/>
                <c:order val="18"/>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3">
                        <a:lumMod val="70000"/>
                      </a:schemeClr>
                    </a:solidFill>
                    <a:ln w="9525">
                      <a:solidFill>
                        <a:schemeClr val="accent3">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2-5541-429F-8259-8FE2774937FE}"/>
                  </c:ext>
                </c:extLst>
              </c15:ser>
            </c15:filteredScatterSeries>
            <c15:filteredScatterSeries>
              <c15:ser>
                <c:idx val="45"/>
                <c:order val="19"/>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4">
                        <a:lumMod val="70000"/>
                      </a:schemeClr>
                    </a:solidFill>
                    <a:ln w="9525">
                      <a:solidFill>
                        <a:schemeClr val="accent4">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3-5541-429F-8259-8FE2774937FE}"/>
                  </c:ext>
                </c:extLst>
              </c15:ser>
            </c15:filteredScatterSeries>
            <c15:filteredScatterSeries>
              <c15:ser>
                <c:idx val="46"/>
                <c:order val="20"/>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5">
                        <a:lumMod val="70000"/>
                      </a:schemeClr>
                    </a:solidFill>
                    <a:ln w="9525">
                      <a:solidFill>
                        <a:schemeClr val="accent5">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4-5541-429F-8259-8FE2774937FE}"/>
                  </c:ext>
                </c:extLst>
              </c15:ser>
            </c15:filteredScatterSeries>
            <c15:filteredScatterSeries>
              <c15:ser>
                <c:idx val="47"/>
                <c:order val="21"/>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6">
                        <a:lumMod val="70000"/>
                      </a:schemeClr>
                    </a:solidFill>
                    <a:ln w="9525">
                      <a:solidFill>
                        <a:schemeClr val="accent6">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5-5541-429F-8259-8FE2774937FE}"/>
                  </c:ext>
                </c:extLst>
              </c15:ser>
            </c15:filteredScatterSeries>
            <c15:filteredScatterSeries>
              <c15:ser>
                <c:idx val="48"/>
                <c:order val="22"/>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1">
                        <a:lumMod val="50000"/>
                        <a:lumOff val="50000"/>
                      </a:schemeClr>
                    </a:solidFill>
                    <a:ln w="9525">
                      <a:solidFill>
                        <a:schemeClr val="accent1">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6-5541-429F-8259-8FE2774937FE}"/>
                  </c:ext>
                </c:extLst>
              </c15:ser>
            </c15:filteredScatterSeries>
            <c15:filteredScatterSeries>
              <c15:ser>
                <c:idx val="49"/>
                <c:order val="23"/>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2">
                        <a:lumMod val="50000"/>
                        <a:lumOff val="50000"/>
                      </a:schemeClr>
                    </a:solidFill>
                    <a:ln w="9525">
                      <a:solidFill>
                        <a:schemeClr val="accent2">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7-5541-429F-8259-8FE2774937FE}"/>
                  </c:ext>
                </c:extLst>
              </c15:ser>
            </c15:filteredScatterSeries>
            <c15:filteredScatterSeries>
              <c15:ser>
                <c:idx val="50"/>
                <c:order val="24"/>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3">
                        <a:lumMod val="50000"/>
                        <a:lumOff val="50000"/>
                      </a:schemeClr>
                    </a:solidFill>
                    <a:ln w="9525">
                      <a:solidFill>
                        <a:schemeClr val="accent3">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8-5541-429F-8259-8FE2774937FE}"/>
                  </c:ext>
                </c:extLst>
              </c15:ser>
            </c15:filteredScatterSeries>
            <c15:filteredScatterSeries>
              <c15:ser>
                <c:idx val="51"/>
                <c:order val="25"/>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4">
                        <a:lumMod val="50000"/>
                        <a:lumOff val="50000"/>
                      </a:schemeClr>
                    </a:solidFill>
                    <a:ln w="9525">
                      <a:solidFill>
                        <a:schemeClr val="accent4">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9-5541-429F-8259-8FE2774937FE}"/>
                  </c:ext>
                </c:extLst>
              </c15:ser>
            </c15:filteredScatterSeries>
            <c15:filteredScatterSeries>
              <c15:ser>
                <c:idx val="13"/>
                <c:order val="26"/>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A-5541-429F-8259-8FE2774937FE}"/>
                  </c:ext>
                </c:extLst>
              </c15:ser>
            </c15:filteredScatterSeries>
            <c15:filteredScatterSeries>
              <c15:ser>
                <c:idx val="14"/>
                <c:order val="27"/>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2"/>
                    </a:solidFill>
                    <a:ln w="9525">
                      <a:solidFill>
                        <a:schemeClr val="accent2"/>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B-5541-429F-8259-8FE2774937FE}"/>
                  </c:ext>
                </c:extLst>
              </c15:ser>
            </c15:filteredScatterSeries>
            <c15:filteredScatterSeries>
              <c15:ser>
                <c:idx val="15"/>
                <c:order val="28"/>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C-5541-429F-8259-8FE2774937FE}"/>
                  </c:ext>
                </c:extLst>
              </c15:ser>
            </c15:filteredScatterSeries>
            <c15:filteredScatterSeries>
              <c15:ser>
                <c:idx val="16"/>
                <c:order val="29"/>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D-5541-429F-8259-8FE2774937FE}"/>
                  </c:ext>
                </c:extLst>
              </c15:ser>
            </c15:filteredScatterSeries>
            <c15:filteredScatterSeries>
              <c15:ser>
                <c:idx val="17"/>
                <c:order val="30"/>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E-5541-429F-8259-8FE2774937FE}"/>
                  </c:ext>
                </c:extLst>
              </c15:ser>
            </c15:filteredScatterSeries>
            <c15:filteredScatterSeries>
              <c15:ser>
                <c:idx val="18"/>
                <c:order val="31"/>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1">
                        <a:lumMod val="80000"/>
                      </a:schemeClr>
                    </a:solidFill>
                    <a:ln w="9525">
                      <a:solidFill>
                        <a:schemeClr val="accent1">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F-5541-429F-8259-8FE2774937FE}"/>
                  </c:ext>
                </c:extLst>
              </c15:ser>
            </c15:filteredScatterSeries>
            <c15:filteredScatterSeries>
              <c15:ser>
                <c:idx val="19"/>
                <c:order val="32"/>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2">
                        <a:lumMod val="80000"/>
                      </a:schemeClr>
                    </a:solidFill>
                    <a:ln w="9525">
                      <a:solidFill>
                        <a:schemeClr val="accent2">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0-5541-429F-8259-8FE2774937FE}"/>
                  </c:ext>
                </c:extLst>
              </c15:ser>
            </c15:filteredScatterSeries>
            <c15:filteredScatterSeries>
              <c15:ser>
                <c:idx val="20"/>
                <c:order val="33"/>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3">
                        <a:lumMod val="80000"/>
                      </a:schemeClr>
                    </a:solidFill>
                    <a:ln w="9525">
                      <a:solidFill>
                        <a:schemeClr val="accent3">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1-5541-429F-8259-8FE2774937FE}"/>
                  </c:ext>
                </c:extLst>
              </c15:ser>
            </c15:filteredScatterSeries>
            <c15:filteredScatterSeries>
              <c15:ser>
                <c:idx val="21"/>
                <c:order val="34"/>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4">
                        <a:lumMod val="80000"/>
                      </a:schemeClr>
                    </a:solidFill>
                    <a:ln w="9525">
                      <a:solidFill>
                        <a:schemeClr val="accent4">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2-5541-429F-8259-8FE2774937FE}"/>
                  </c:ext>
                </c:extLst>
              </c15:ser>
            </c15:filteredScatterSeries>
            <c15:filteredScatterSeries>
              <c15:ser>
                <c:idx val="22"/>
                <c:order val="35"/>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5">
                        <a:lumMod val="80000"/>
                      </a:schemeClr>
                    </a:solidFill>
                    <a:ln w="9525">
                      <a:solidFill>
                        <a:schemeClr val="accent5">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3-5541-429F-8259-8FE2774937FE}"/>
                  </c:ext>
                </c:extLst>
              </c15:ser>
            </c15:filteredScatterSeries>
            <c15:filteredScatterSeries>
              <c15:ser>
                <c:idx val="23"/>
                <c:order val="36"/>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6">
                        <a:lumMod val="80000"/>
                      </a:schemeClr>
                    </a:solidFill>
                    <a:ln w="9525">
                      <a:solidFill>
                        <a:schemeClr val="accent6">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4-5541-429F-8259-8FE2774937FE}"/>
                  </c:ext>
                </c:extLst>
              </c15:ser>
            </c15:filteredScatterSeries>
            <c15:filteredScatterSeries>
              <c15:ser>
                <c:idx val="24"/>
                <c:order val="37"/>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5-5541-429F-8259-8FE2774937FE}"/>
                  </c:ext>
                </c:extLst>
              </c15:ser>
            </c15:filteredScatterSeries>
            <c15:filteredScatterSeries>
              <c15:ser>
                <c:idx val="25"/>
                <c:order val="38"/>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6-5541-429F-8259-8FE2774937FE}"/>
                  </c:ext>
                </c:extLst>
              </c15:ser>
            </c15:filteredScatterSeries>
            <c15:filteredScatterSeries>
              <c15:ser>
                <c:idx val="0"/>
                <c:order val="39"/>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7.9242807822705208E-2"/>
                        <c:y val="1.7720583530579013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1"/>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7-5541-429F-8259-8FE2774937FE}"/>
                  </c:ext>
                </c:extLst>
              </c15:ser>
            </c15:filteredScatterSeries>
            <c15:filteredScatterSeries>
              <c15:ser>
                <c:idx val="2"/>
                <c:order val="40"/>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1"/>
                  <c:dispEq val="1"/>
                  <c:trendlineLbl>
                    <c:layout>
                      <c:manualLayout>
                        <c:x val="8.3339618672912716E-2"/>
                        <c:y val="6.5016459959785786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bg1">
                                <a:lumMod val="65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8-5541-429F-8259-8FE2774937FE}"/>
                  </c:ext>
                </c:extLst>
              </c15:ser>
            </c15:filteredScatterSeries>
            <c15:filteredScatterSeries>
              <c15:ser>
                <c:idx val="3"/>
                <c:order val="41"/>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1"/>
                  <c:dispEq val="1"/>
                  <c:trendlineLbl>
                    <c:layout>
                      <c:manualLayout>
                        <c:x val="8.1715285891431996E-2"/>
                        <c:y val="-8.8608858332598316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4"/>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9-5541-429F-8259-8FE2774937FE}"/>
                  </c:ext>
                </c:extLst>
              </c15:ser>
            </c15:filteredScatterSeries>
            <c15:filteredScatterSeries>
              <c15:ser>
                <c:idx val="4"/>
                <c:order val="42"/>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linear"/>
                  <c:dispRSqr val="1"/>
                  <c:dispEq val="1"/>
                  <c:trendlineLbl>
                    <c:layout>
                      <c:manualLayout>
                        <c:x val="8.0119032469765109E-2"/>
                        <c:y val="-1.1135328051023852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5"/>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A-5541-429F-8259-8FE2774937FE}"/>
                  </c:ext>
                </c:extLst>
              </c15:ser>
            </c15:filteredScatterSeries>
            <c15:filteredScatterSeries>
              <c15:ser>
                <c:idx val="5"/>
                <c:order val="43"/>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6"/>
                    </a:solidFill>
                    <a:ln w="9525">
                      <a:solidFill>
                        <a:schemeClr val="accent6"/>
                      </a:solidFill>
                    </a:ln>
                    <a:effectLst/>
                  </c:spPr>
                </c:marker>
                <c:trendline>
                  <c:spPr>
                    <a:ln w="19050" cap="rnd">
                      <a:solidFill>
                        <a:schemeClr val="accent6"/>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6"/>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B-5541-429F-8259-8FE2774937FE}"/>
                  </c:ext>
                </c:extLst>
              </c15:ser>
            </c15:filteredScatterSeries>
            <c15:filteredScatterSeries>
              <c15:ser>
                <c:idx val="6"/>
                <c:order val="44"/>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trendline>
                  <c:spPr>
                    <a:ln w="19050" cap="rnd">
                      <a:solidFill>
                        <a:schemeClr val="accent1">
                          <a:lumMod val="60000"/>
                        </a:schemeClr>
                      </a:solidFill>
                      <a:prstDash val="sysDot"/>
                    </a:ln>
                    <a:effectLst/>
                  </c:spPr>
                  <c:trendlineType val="linear"/>
                  <c:dispRSqr val="1"/>
                  <c:dispEq val="1"/>
                  <c:trendlineLbl>
                    <c:layout>
                      <c:manualLayout>
                        <c:x val="8.2711294316068343E-2"/>
                        <c:y val="-1.2961556257832711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trendlineLbl>
                </c:trendline>
                <c:trendline>
                  <c:spPr>
                    <a:ln w="19050" cap="rnd">
                      <a:solidFill>
                        <a:schemeClr val="accent1">
                          <a:lumMod val="60000"/>
                        </a:schemeClr>
                      </a:solidFill>
                      <a:prstDash val="sysDot"/>
                    </a:ln>
                    <a:effectLst/>
                  </c:spPr>
                  <c:trendlineType val="linear"/>
                  <c:dispRSqr val="0"/>
                  <c:dispEq val="0"/>
                </c:trendline>
                <c:trendline>
                  <c:spPr>
                    <a:ln w="19050" cap="rnd">
                      <a:solidFill>
                        <a:schemeClr val="accent1">
                          <a:lumMod val="60000"/>
                        </a:schemeClr>
                      </a:solidFill>
                      <a:prstDash val="sysDot"/>
                    </a:ln>
                    <a:effectLst/>
                  </c:spPr>
                  <c:trendlineType val="linear"/>
                  <c:dispRSqr val="0"/>
                  <c:dispEq val="0"/>
                </c:trendline>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C-5541-429F-8259-8FE2774937FE}"/>
                  </c:ext>
                </c:extLst>
              </c15:ser>
            </c15:filteredScatterSeries>
            <c15:filteredScatterSeries>
              <c15:ser>
                <c:idx val="7"/>
                <c:order val="45"/>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trendline>
                  <c:spPr>
                    <a:ln w="19050" cap="rnd">
                      <a:solidFill>
                        <a:schemeClr val="accent2">
                          <a:lumMod val="60000"/>
                        </a:schemeClr>
                      </a:solidFill>
                      <a:prstDash val="sysDot"/>
                    </a:ln>
                    <a:effectLst/>
                  </c:spPr>
                  <c:trendlineType val="linear"/>
                  <c:dispRSqr val="1"/>
                  <c:dispEq val="1"/>
                  <c:trendlineLbl>
                    <c:layout>
                      <c:manualLayout>
                        <c:x val="8.6250673773576897E-2"/>
                        <c:y val="5.2052073091470245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2">
                                <a:lumMod val="50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D-5541-429F-8259-8FE2774937FE}"/>
                  </c:ext>
                </c:extLst>
              </c15:ser>
            </c15:filteredScatterSeries>
            <c15:filteredScatterSeries>
              <c15:ser>
                <c:idx val="8"/>
                <c:order val="46"/>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trendline>
                  <c:spPr>
                    <a:ln w="19050" cap="rnd">
                      <a:solidFill>
                        <a:schemeClr val="accent3">
                          <a:lumMod val="60000"/>
                        </a:schemeClr>
                      </a:solidFill>
                      <a:prstDash val="sysDot"/>
                    </a:ln>
                    <a:effectLst/>
                  </c:spPr>
                  <c:trendlineType val="linear"/>
                  <c:dispRSqr val="1"/>
                  <c:dispEq val="1"/>
                  <c:trendlineLbl>
                    <c:layout>
                      <c:manualLayout>
                        <c:x val="8.4989031673134555E-2"/>
                        <c:y val="4.7691978794429917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E-5541-429F-8259-8FE2774937FE}"/>
                  </c:ext>
                </c:extLst>
              </c15:ser>
            </c15:filteredScatterSeries>
            <c15:filteredScatterSeries>
              <c15:ser>
                <c:idx val="9"/>
                <c:order val="47"/>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4">
                        <a:lumMod val="60000"/>
                      </a:schemeClr>
                    </a:solidFill>
                    <a:ln w="9525">
                      <a:solidFill>
                        <a:schemeClr val="accent4">
                          <a:lumMod val="60000"/>
                        </a:schemeClr>
                      </a:solidFill>
                    </a:ln>
                    <a:effectLst/>
                  </c:spPr>
                </c:marker>
                <c:trendline>
                  <c:spPr>
                    <a:ln w="19050" cap="rnd">
                      <a:solidFill>
                        <a:schemeClr val="accent4">
                          <a:lumMod val="60000"/>
                        </a:schemeClr>
                      </a:solidFill>
                      <a:prstDash val="sysDot"/>
                    </a:ln>
                    <a:effectLst/>
                  </c:spPr>
                  <c:trendlineType val="linear"/>
                  <c:dispRSqr val="1"/>
                  <c:dispEq val="1"/>
                  <c:trendlineLbl>
                    <c:layout>
                      <c:manualLayout>
                        <c:x val="7.4297230453732072E-2"/>
                        <c:y val="-1.15030110754428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4">
                                <a:lumMod val="50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F-5541-429F-8259-8FE2774937FE}"/>
                  </c:ext>
                </c:extLst>
              </c15:ser>
            </c15:filteredScatterSeries>
            <c15:filteredScatterSeries>
              <c15:ser>
                <c:idx val="10"/>
                <c:order val="48"/>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5">
                        <a:lumMod val="60000"/>
                      </a:schemeClr>
                    </a:solidFill>
                    <a:ln w="9525">
                      <a:solidFill>
                        <a:schemeClr val="accent5">
                          <a:lumMod val="60000"/>
                        </a:schemeClr>
                      </a:solidFill>
                    </a:ln>
                    <a:effectLst/>
                  </c:spPr>
                </c:marker>
                <c:trendline>
                  <c:spPr>
                    <a:ln w="19050" cap="rnd">
                      <a:solidFill>
                        <a:schemeClr val="accent5">
                          <a:lumMod val="60000"/>
                        </a:schemeClr>
                      </a:solidFill>
                      <a:prstDash val="sysDot"/>
                    </a:ln>
                    <a:effectLst/>
                  </c:spPr>
                  <c:trendlineType val="linear"/>
                  <c:dispRSqr val="1"/>
                  <c:dispEq val="1"/>
                  <c:trendlineLbl>
                    <c:layout>
                      <c:manualLayout>
                        <c:x val="8.5137871247375679E-2"/>
                        <c:y val="4.8361938682016182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5">
                                <a:lumMod val="50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0-5541-429F-8259-8FE2774937FE}"/>
                  </c:ext>
                </c:extLst>
              </c15:ser>
            </c15:filteredScatterSeries>
            <c15:filteredScatterSeries>
              <c15:ser>
                <c:idx val="11"/>
                <c:order val="49"/>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6">
                        <a:lumMod val="60000"/>
                      </a:schemeClr>
                    </a:solidFill>
                    <a:ln w="9525">
                      <a:solidFill>
                        <a:schemeClr val="accent6">
                          <a:lumMod val="60000"/>
                        </a:schemeClr>
                      </a:solidFill>
                    </a:ln>
                    <a:effectLst/>
                  </c:spPr>
                </c:marker>
                <c:trendline>
                  <c:spPr>
                    <a:ln w="19050" cap="rnd">
                      <a:solidFill>
                        <a:schemeClr val="accent6">
                          <a:lumMod val="60000"/>
                        </a:schemeClr>
                      </a:solidFill>
                      <a:prstDash val="sysDot"/>
                    </a:ln>
                    <a:effectLst/>
                  </c:spPr>
                  <c:trendlineType val="linear"/>
                  <c:dispRSqr val="1"/>
                  <c:dispEq val="1"/>
                  <c:trendlineLbl>
                    <c:layout>
                      <c:manualLayout>
                        <c:x val="8.6870178479455773E-2"/>
                        <c:y val="-1.7836036584407206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6">
                                <a:lumMod val="50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1-5541-429F-8259-8FE2774937FE}"/>
                  </c:ext>
                </c:extLst>
              </c15:ser>
            </c15:filteredScatterSeries>
            <c15:filteredScatterSeries>
              <c15:ser>
                <c:idx val="12"/>
                <c:order val="50"/>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trendline>
                  <c:spPr>
                    <a:ln w="19050" cap="rnd">
                      <a:solidFill>
                        <a:schemeClr val="accent1">
                          <a:lumMod val="80000"/>
                          <a:lumOff val="20000"/>
                        </a:schemeClr>
                      </a:solidFill>
                      <a:prstDash val="sysDot"/>
                    </a:ln>
                    <a:effectLst/>
                  </c:spPr>
                  <c:trendlineType val="linear"/>
                  <c:dispRSqr val="1"/>
                  <c:dispEq val="1"/>
                  <c:trendlineLbl>
                    <c:layout>
                      <c:manualLayout>
                        <c:x val="4.4708872807170411E-2"/>
                        <c:y val="5.3000317496397234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1"/>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2-5541-429F-8259-8FE2774937FE}"/>
                  </c:ext>
                </c:extLst>
              </c15:ser>
            </c15:filteredScatterSeries>
          </c:ext>
        </c:extLst>
      </c:scatterChart>
      <c:valAx>
        <c:axId val="245260928"/>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time (min)</a:t>
                </a:r>
              </a:p>
            </c:rich>
          </c:tx>
          <c:layout>
            <c:manualLayout>
              <c:xMode val="edge"/>
              <c:yMode val="edge"/>
              <c:x val="0.8245128733351389"/>
              <c:y val="0.92143850009403028"/>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45262016"/>
        <c:crosses val="autoZero"/>
        <c:crossBetween val="midCat"/>
      </c:valAx>
      <c:valAx>
        <c:axId val="245262016"/>
        <c:scaling>
          <c:orientation val="minMax"/>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a:t>
                </a:r>
                <a:r>
                  <a:rPr lang="en-US" sz="1000" b="0" i="0" u="none" strike="noStrike" baseline="0">
                    <a:effectLst/>
                  </a:rPr>
                  <a:t>Ph</a:t>
                </a:r>
                <a:r>
                  <a:rPr lang="en-US" sz="1000" b="0" i="0" u="none" strike="noStrike" baseline="-25000">
                    <a:effectLst/>
                  </a:rPr>
                  <a:t>2</a:t>
                </a:r>
                <a:r>
                  <a:rPr lang="en-US" sz="1000" b="0" i="0" u="none" strike="noStrike" baseline="0">
                    <a:effectLst/>
                  </a:rPr>
                  <a:t>CHCHPh</a:t>
                </a:r>
                <a:r>
                  <a:rPr lang="en-US" sz="1000" b="0" i="0" u="none" strike="noStrike" baseline="-25000">
                    <a:effectLst/>
                  </a:rPr>
                  <a:t>2</a:t>
                </a:r>
                <a:r>
                  <a:rPr lang="en-US" sz="1000" b="0" i="0" u="none" strike="noStrike" baseline="0">
                    <a:effectLst/>
                  </a:rPr>
                  <a:t>]</a:t>
                </a:r>
                <a:r>
                  <a:rPr lang="en-US">
                    <a:solidFill>
                      <a:sysClr val="windowText" lastClr="000000"/>
                    </a:solidFill>
                  </a:rPr>
                  <a:t>(mmol/L)</a:t>
                </a:r>
              </a:p>
            </c:rich>
          </c:tx>
          <c:layout>
            <c:manualLayout>
              <c:xMode val="edge"/>
              <c:yMode val="edge"/>
              <c:x val="3.1956351205520098E-3"/>
              <c:y val="0.1583956795120239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45260928"/>
        <c:crossesAt val="0"/>
        <c:crossBetween val="midCat"/>
      </c:valAx>
      <c:spPr>
        <a:noFill/>
        <a:ln>
          <a:noFill/>
        </a:ln>
        <a:effectLst/>
      </c:spPr>
    </c:plotArea>
    <c:legend>
      <c:legendPos val="r"/>
      <c:legendEntry>
        <c:idx val="3"/>
        <c:delete val="1"/>
      </c:legendEntry>
      <c:legendEntry>
        <c:idx val="4"/>
        <c:delete val="1"/>
      </c:legendEntry>
      <c:legendEntry>
        <c:idx val="5"/>
        <c:delete val="1"/>
      </c:legendEntry>
      <c:layout>
        <c:manualLayout>
          <c:xMode val="edge"/>
          <c:yMode val="edge"/>
          <c:x val="3.7215986034182502E-4"/>
          <c:y val="0.92003049852413299"/>
          <c:w val="0.59229522436945403"/>
          <c:h val="7.8494861039566294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a:solidFill>
                  <a:sysClr val="windowText" lastClr="000000"/>
                </a:solidFill>
              </a:rPr>
              <a:t>rate=f(</a:t>
            </a:r>
            <a:r>
              <a:rPr lang="en-US" sz="1000" b="0" i="0" u="none" strike="noStrike" baseline="0">
                <a:solidFill>
                  <a:sysClr val="windowText" lastClr="000000"/>
                </a:solidFill>
                <a:effectLst/>
              </a:rPr>
              <a:t>[IReO</a:t>
            </a:r>
            <a:r>
              <a:rPr lang="en-US" sz="1000" b="0" i="0" u="none" strike="noStrike" baseline="-25000">
                <a:solidFill>
                  <a:sysClr val="windowText" lastClr="000000"/>
                </a:solidFill>
                <a:effectLst/>
              </a:rPr>
              <a:t>2</a:t>
            </a:r>
            <a:r>
              <a:rPr lang="en-US" sz="1000" b="0" i="0" u="none" strike="noStrike" baseline="0">
                <a:solidFill>
                  <a:sysClr val="windowText" lastClr="000000"/>
                </a:solidFill>
                <a:effectLst/>
              </a:rPr>
              <a:t>TPP</a:t>
            </a:r>
            <a:r>
              <a:rPr lang="en-US" sz="1000" b="0" i="0" u="none" strike="noStrike" baseline="-25000">
                <a:solidFill>
                  <a:sysClr val="windowText" lastClr="000000"/>
                </a:solidFill>
                <a:effectLst/>
              </a:rPr>
              <a:t>2</a:t>
            </a:r>
            <a:r>
              <a:rPr lang="en-US" sz="1000" b="0" i="0" u="none" strike="noStrike" baseline="0">
                <a:solidFill>
                  <a:sysClr val="windowText" lastClr="000000"/>
                </a:solidFill>
                <a:effectLst/>
              </a:rPr>
              <a:t>]</a:t>
            </a:r>
            <a:r>
              <a:rPr lang="en-US" sz="1000">
                <a:solidFill>
                  <a:sysClr val="windowText" lastClr="000000"/>
                </a:solidFill>
              </a:rPr>
              <a:t>)</a:t>
            </a:r>
          </a:p>
        </c:rich>
      </c:tx>
      <c:layout>
        <c:manualLayout>
          <c:xMode val="edge"/>
          <c:yMode val="edge"/>
          <c:x val="0.30192111402741301"/>
          <c:y val="0"/>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4699021997250345"/>
          <c:y val="0.13256944444444399"/>
          <c:w val="0.67775551493563302"/>
          <c:h val="0.64935203412073506"/>
        </c:manualLayout>
      </c:layout>
      <c:scatterChart>
        <c:scatterStyle val="lineMarker"/>
        <c:varyColors val="0"/>
        <c:ser>
          <c:idx val="1"/>
          <c:order val="0"/>
          <c:tx>
            <c:v>rate=f(concentration)</c:v>
          </c:tx>
          <c:spPr>
            <a:ln w="19050" cap="rnd">
              <a:noFill/>
              <a:round/>
            </a:ln>
            <a:effectLst/>
          </c:spPr>
          <c:marker>
            <c:symbol val="circle"/>
            <c:size val="3"/>
            <c:spPr>
              <a:solidFill>
                <a:schemeClr val="tx1"/>
              </a:solidFill>
              <a:ln w="9525">
                <a:solidFill>
                  <a:schemeClr val="tx1"/>
                </a:solidFill>
              </a:ln>
              <a:effectLst/>
            </c:spPr>
          </c:marker>
          <c:trendline>
            <c:spPr>
              <a:ln w="19050" cap="rnd">
                <a:solidFill>
                  <a:schemeClr val="tx1"/>
                </a:solidFill>
                <a:prstDash val="sysDot"/>
              </a:ln>
              <a:effectLst/>
            </c:spPr>
            <c:trendlineType val="linear"/>
            <c:dispRSqr val="1"/>
            <c:dispEq val="1"/>
            <c:trendlineLbl>
              <c:layout>
                <c:manualLayout>
                  <c:x val="1.5955427446569179E-2"/>
                  <c:y val="0.29104166666666664"/>
                </c:manualLayout>
              </c:layout>
              <c:numFmt formatCode="#,##0.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rendlineLbl>
          </c:trendline>
          <c:xVal>
            <c:numRef>
              <c:f>'Cat (2)'!$U$20:$U$22</c:f>
              <c:numCache>
                <c:formatCode>General</c:formatCode>
                <c:ptCount val="3"/>
                <c:pt idx="0">
                  <c:v>10.35632183908046</c:v>
                </c:pt>
                <c:pt idx="1">
                  <c:v>5.2758620689655178</c:v>
                </c:pt>
                <c:pt idx="2">
                  <c:v>1.2873563218390804</c:v>
                </c:pt>
              </c:numCache>
            </c:numRef>
          </c:xVal>
          <c:yVal>
            <c:numRef>
              <c:f>'Cat (2)'!$V$20:$V$22</c:f>
              <c:numCache>
                <c:formatCode>General</c:formatCode>
                <c:ptCount val="3"/>
                <c:pt idx="0">
                  <c:v>2.61</c:v>
                </c:pt>
                <c:pt idx="1">
                  <c:v>1.87</c:v>
                </c:pt>
                <c:pt idx="2">
                  <c:v>0.62</c:v>
                </c:pt>
              </c:numCache>
            </c:numRef>
          </c:yVal>
          <c:smooth val="0"/>
          <c:extLst xmlns:c16r2="http://schemas.microsoft.com/office/drawing/2015/06/chart">
            <c:ext xmlns:c16="http://schemas.microsoft.com/office/drawing/2014/chart" uri="{C3380CC4-5D6E-409C-BE32-E72D297353CC}">
              <c16:uniqueId val="{00000000-2882-43EF-B060-6483EC5A2473}"/>
            </c:ext>
          </c:extLst>
        </c:ser>
        <c:dLbls>
          <c:showLegendKey val="0"/>
          <c:showVal val="0"/>
          <c:showCatName val="0"/>
          <c:showSerName val="0"/>
          <c:showPercent val="0"/>
          <c:showBubbleSize val="0"/>
        </c:dLbls>
        <c:axId val="245256032"/>
        <c:axId val="245261472"/>
      </c:scatterChart>
      <c:valAx>
        <c:axId val="245256032"/>
        <c:scaling>
          <c:orientation val="minMax"/>
          <c:max val="11"/>
          <c:min val="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000" b="0" i="0" u="none" strike="noStrike" baseline="0">
                    <a:solidFill>
                      <a:sysClr val="windowText" lastClr="000000"/>
                    </a:solidFill>
                    <a:effectLst/>
                  </a:rPr>
                  <a:t>[IReO</a:t>
                </a:r>
                <a:r>
                  <a:rPr lang="en-US" sz="1000" b="0" i="0" u="none" strike="noStrike" baseline="-25000">
                    <a:solidFill>
                      <a:sysClr val="windowText" lastClr="000000"/>
                    </a:solidFill>
                    <a:effectLst/>
                  </a:rPr>
                  <a:t>2</a:t>
                </a:r>
                <a:r>
                  <a:rPr lang="en-US" sz="1000" b="0" i="0" u="none" strike="noStrike" baseline="0">
                    <a:solidFill>
                      <a:sysClr val="windowText" lastClr="000000"/>
                    </a:solidFill>
                    <a:effectLst/>
                  </a:rPr>
                  <a:t>TPP</a:t>
                </a:r>
                <a:r>
                  <a:rPr lang="en-US" sz="1000" b="0" i="0" u="none" strike="noStrike" baseline="-25000">
                    <a:solidFill>
                      <a:sysClr val="windowText" lastClr="000000"/>
                    </a:solidFill>
                    <a:effectLst/>
                  </a:rPr>
                  <a:t>2</a:t>
                </a:r>
                <a:r>
                  <a:rPr lang="en-US" sz="1000" b="0" i="0" u="none" strike="noStrike" baseline="0">
                    <a:solidFill>
                      <a:sysClr val="windowText" lastClr="000000"/>
                    </a:solidFill>
                    <a:effectLst/>
                  </a:rPr>
                  <a:t>] (mol/min)</a:t>
                </a:r>
                <a:endParaRPr lang="en-US" baseline="0">
                  <a:solidFill>
                    <a:sysClr val="windowText" lastClr="000000"/>
                  </a:solidFill>
                </a:endParaRPr>
              </a:p>
            </c:rich>
          </c:tx>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45261472"/>
        <c:crosses val="autoZero"/>
        <c:crossBetween val="midCat"/>
      </c:valAx>
      <c:valAx>
        <c:axId val="24526147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rate (mmol/min)</a:t>
                </a:r>
              </a:p>
            </c:rich>
          </c:tx>
          <c:layout>
            <c:manualLayout>
              <c:xMode val="edge"/>
              <c:yMode val="edge"/>
              <c:x val="1.44444444444444E-2"/>
              <c:y val="0.20075240594925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4525603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ysClr val="windowText" lastClr="000000"/>
                </a:solidFill>
                <a:latin typeface="+mn-lt"/>
                <a:ea typeface="+mn-ea"/>
                <a:cs typeface="+mn-cs"/>
              </a:defRPr>
            </a:pPr>
            <a:r>
              <a:rPr lang="en-US" sz="1050" b="0" i="0" baseline="0">
                <a:solidFill>
                  <a:sysClr val="windowText" lastClr="000000"/>
                </a:solidFill>
                <a:effectLst/>
              </a:rPr>
              <a:t>rate=f(</a:t>
            </a:r>
            <a:r>
              <a:rPr lang="en-US" sz="1050" b="0" i="0" u="none" strike="noStrike" baseline="0">
                <a:solidFill>
                  <a:sysClr val="windowText" lastClr="000000"/>
                </a:solidFill>
                <a:effectLst/>
              </a:rPr>
              <a:t>[IReO</a:t>
            </a:r>
            <a:r>
              <a:rPr lang="en-US" sz="1050" b="0" i="0" u="none" strike="noStrike" baseline="-25000">
                <a:solidFill>
                  <a:sysClr val="windowText" lastClr="000000"/>
                </a:solidFill>
                <a:effectLst/>
              </a:rPr>
              <a:t>2</a:t>
            </a:r>
            <a:r>
              <a:rPr lang="en-US" sz="1050" b="0" i="0" u="none" strike="noStrike" baseline="0">
                <a:solidFill>
                  <a:sysClr val="windowText" lastClr="000000"/>
                </a:solidFill>
                <a:effectLst/>
              </a:rPr>
              <a:t>TPP</a:t>
            </a:r>
            <a:r>
              <a:rPr lang="en-US" sz="1050" b="0" i="0" u="none" strike="noStrike" baseline="-25000">
                <a:solidFill>
                  <a:sysClr val="windowText" lastClr="000000"/>
                </a:solidFill>
                <a:effectLst/>
              </a:rPr>
              <a:t>2</a:t>
            </a:r>
            <a:r>
              <a:rPr lang="en-US" sz="1050" b="0" i="0" u="none" strike="noStrike" baseline="0">
                <a:solidFill>
                  <a:sysClr val="windowText" lastClr="000000"/>
                </a:solidFill>
                <a:effectLst/>
              </a:rPr>
              <a:t>]</a:t>
            </a:r>
            <a:r>
              <a:rPr lang="en-US" sz="1050" b="0" i="0" u="none" strike="noStrike" baseline="30000">
                <a:solidFill>
                  <a:sysClr val="windowText" lastClr="000000"/>
                </a:solidFill>
                <a:effectLst/>
              </a:rPr>
              <a:t>1/2</a:t>
            </a:r>
            <a:r>
              <a:rPr lang="en-US" sz="1050" b="0" i="0" u="none" strike="noStrike" baseline="0">
                <a:solidFill>
                  <a:sysClr val="windowText" lastClr="000000"/>
                </a:solidFill>
                <a:effectLst/>
              </a:rPr>
              <a:t>)</a:t>
            </a:r>
            <a:endParaRPr lang="en-US" sz="1050">
              <a:solidFill>
                <a:sysClr val="windowText" lastClr="000000"/>
              </a:solidFill>
              <a:effectLst/>
            </a:endParaRPr>
          </a:p>
        </c:rich>
      </c:tx>
      <c:layout>
        <c:manualLayout>
          <c:xMode val="edge"/>
          <c:yMode val="edge"/>
          <c:x val="0.29078703703703701"/>
          <c:y val="0"/>
        </c:manualLayout>
      </c:layout>
      <c:overlay val="0"/>
      <c:spPr>
        <a:noFill/>
        <a:ln>
          <a:noFill/>
        </a:ln>
        <a:effectLst/>
      </c:spPr>
      <c:txPr>
        <a:bodyPr rot="0" spcFirstLastPara="1" vertOverflow="ellipsis" vert="horz" wrap="square" anchor="ctr" anchorCtr="1"/>
        <a:lstStyle/>
        <a:p>
          <a:pPr>
            <a:defRPr sz="105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230551545640128"/>
          <c:y val="0.15847222222222199"/>
          <c:w val="0.69419400699912504"/>
          <c:h val="0.61185148731408601"/>
        </c:manualLayout>
      </c:layout>
      <c:scatterChart>
        <c:scatterStyle val="lineMarker"/>
        <c:varyColors val="0"/>
        <c:ser>
          <c:idx val="1"/>
          <c:order val="0"/>
          <c:spPr>
            <a:ln w="25400" cap="rnd">
              <a:noFill/>
              <a:round/>
            </a:ln>
            <a:effectLst/>
          </c:spPr>
          <c:marker>
            <c:symbol val="circle"/>
            <c:size val="3"/>
            <c:spPr>
              <a:solidFill>
                <a:schemeClr val="tx1"/>
              </a:solidFill>
              <a:ln w="9525">
                <a:solidFill>
                  <a:schemeClr val="tx1"/>
                </a:solidFill>
              </a:ln>
              <a:effectLst/>
            </c:spPr>
          </c:marker>
          <c:trendline>
            <c:spPr>
              <a:ln w="19050" cap="rnd">
                <a:solidFill>
                  <a:schemeClr val="tx1"/>
                </a:solidFill>
                <a:prstDash val="sysDot"/>
              </a:ln>
              <a:effectLst/>
            </c:spPr>
            <c:trendlineType val="linear"/>
            <c:dispRSqr val="1"/>
            <c:dispEq val="1"/>
            <c:trendlineLbl>
              <c:layout>
                <c:manualLayout>
                  <c:x val="-0.115487386993292"/>
                  <c:y val="8.1944444444444504E-3"/>
                </c:manualLayout>
              </c:layout>
              <c:numFmt formatCode="#,##0.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rendlineLbl>
          </c:trendline>
          <c:xVal>
            <c:numRef>
              <c:f>'Cat (2)'!$Y$20:$Y$22</c:f>
              <c:numCache>
                <c:formatCode>General</c:formatCode>
                <c:ptCount val="3"/>
                <c:pt idx="0">
                  <c:v>3.2181239626652762</c:v>
                </c:pt>
                <c:pt idx="1">
                  <c:v>2.2969244804663296</c:v>
                </c:pt>
                <c:pt idx="2">
                  <c:v>1.1346172578623508</c:v>
                </c:pt>
              </c:numCache>
            </c:numRef>
          </c:xVal>
          <c:yVal>
            <c:numRef>
              <c:f>'Cat (2)'!$V$20:$V$22</c:f>
              <c:numCache>
                <c:formatCode>General</c:formatCode>
                <c:ptCount val="3"/>
                <c:pt idx="0">
                  <c:v>2.61</c:v>
                </c:pt>
                <c:pt idx="1">
                  <c:v>1.87</c:v>
                </c:pt>
                <c:pt idx="2">
                  <c:v>0.62</c:v>
                </c:pt>
              </c:numCache>
            </c:numRef>
          </c:yVal>
          <c:smooth val="0"/>
          <c:extLst xmlns:c16r2="http://schemas.microsoft.com/office/drawing/2015/06/chart">
            <c:ext xmlns:c16="http://schemas.microsoft.com/office/drawing/2014/chart" uri="{C3380CC4-5D6E-409C-BE32-E72D297353CC}">
              <c16:uniqueId val="{00000000-6371-4D3B-98FE-81779DE19519}"/>
            </c:ext>
          </c:extLst>
        </c:ser>
        <c:dLbls>
          <c:showLegendKey val="0"/>
          <c:showVal val="0"/>
          <c:showCatName val="0"/>
          <c:showSerName val="0"/>
          <c:showPercent val="0"/>
          <c:showBubbleSize val="0"/>
        </c:dLbls>
        <c:axId val="245262560"/>
        <c:axId val="245256576"/>
      </c:scatterChart>
      <c:valAx>
        <c:axId val="245262560"/>
        <c:scaling>
          <c:orientation val="minMax"/>
          <c:max val="3.5"/>
          <c:min val="0"/>
        </c:scaling>
        <c:delete val="0"/>
        <c:axPos val="b"/>
        <c:majorGridlines>
          <c:spPr>
            <a:ln w="9525" cap="flat" cmpd="sng" algn="ctr">
              <a:noFill/>
              <a:round/>
            </a:ln>
            <a:effectLst/>
          </c:spPr>
        </c:majorGridlines>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r>
                  <a:rPr lang="en-US" sz="1000" b="0" i="0" baseline="0">
                    <a:solidFill>
                      <a:sysClr val="windowText" lastClr="000000"/>
                    </a:solidFill>
                    <a:effectLst/>
                  </a:rPr>
                  <a:t>[IReO</a:t>
                </a:r>
                <a:r>
                  <a:rPr lang="en-US" sz="1000" b="0" i="0" baseline="-25000">
                    <a:solidFill>
                      <a:sysClr val="windowText" lastClr="000000"/>
                    </a:solidFill>
                    <a:effectLst/>
                  </a:rPr>
                  <a:t>2</a:t>
                </a:r>
                <a:r>
                  <a:rPr lang="en-US" sz="1000" b="0" i="0" baseline="0">
                    <a:solidFill>
                      <a:sysClr val="windowText" lastClr="000000"/>
                    </a:solidFill>
                    <a:effectLst/>
                  </a:rPr>
                  <a:t>TPP</a:t>
                </a:r>
                <a:r>
                  <a:rPr lang="en-US" sz="1000" b="0" i="0" baseline="-25000">
                    <a:solidFill>
                      <a:sysClr val="windowText" lastClr="000000"/>
                    </a:solidFill>
                    <a:effectLst/>
                  </a:rPr>
                  <a:t>2</a:t>
                </a:r>
                <a:r>
                  <a:rPr lang="en-US" sz="1000" b="0" i="0" baseline="0">
                    <a:solidFill>
                      <a:sysClr val="windowText" lastClr="000000"/>
                    </a:solidFill>
                    <a:effectLst/>
                  </a:rPr>
                  <a:t>]</a:t>
                </a:r>
                <a:r>
                  <a:rPr lang="en-US" sz="1000" b="0" i="0" baseline="30000">
                    <a:solidFill>
                      <a:sysClr val="windowText" lastClr="000000"/>
                    </a:solidFill>
                    <a:effectLst/>
                  </a:rPr>
                  <a:t>1/2</a:t>
                </a:r>
                <a:r>
                  <a:rPr lang="en-US" sz="1000" b="0" i="0" baseline="0">
                    <a:solidFill>
                      <a:sysClr val="windowText" lastClr="000000"/>
                    </a:solidFill>
                    <a:effectLst/>
                  </a:rPr>
                  <a:t> </a:t>
                </a:r>
                <a:r>
                  <a:rPr lang="en-US" sz="1000" b="0" i="0" baseline="0">
                    <a:effectLst/>
                  </a:rPr>
                  <a:t>(mol/min)</a:t>
                </a:r>
                <a:endParaRPr lang="en-US" sz="1000">
                  <a:effectLst/>
                </a:endParaRPr>
              </a:p>
            </c:rich>
          </c:tx>
          <c:layout>
            <c:manualLayout>
              <c:xMode val="edge"/>
              <c:yMode val="edge"/>
              <c:x val="0.319372995042287"/>
              <c:y val="0.89013888888888903"/>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45256576"/>
        <c:crosses val="autoZero"/>
        <c:crossBetween val="midCat"/>
      </c:valAx>
      <c:valAx>
        <c:axId val="24525657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000" b="0" i="0" baseline="0">
                    <a:solidFill>
                      <a:sysClr val="windowText" lastClr="000000"/>
                    </a:solidFill>
                    <a:effectLst/>
                  </a:rPr>
                  <a:t>rate (mmol/min)</a:t>
                </a:r>
                <a:endParaRPr lang="en-US" sz="1000">
                  <a:solidFill>
                    <a:sysClr val="windowText" lastClr="000000"/>
                  </a:solidFill>
                  <a:effectLst/>
                </a:endParaRP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4526256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spc="0" baseline="0">
                <a:solidFill>
                  <a:sysClr val="windowText" lastClr="000000"/>
                </a:solidFill>
                <a:latin typeface="+mn-lt"/>
                <a:ea typeface="+mn-ea"/>
                <a:cs typeface="+mn-cs"/>
              </a:defRPr>
            </a:pPr>
            <a:r>
              <a:rPr lang="en-US" sz="1000" b="1" i="0" u="none" strike="noStrike" baseline="0">
                <a:effectLst/>
              </a:rPr>
              <a:t>Ph</a:t>
            </a:r>
            <a:r>
              <a:rPr lang="en-US" sz="1000" b="1" i="0" u="none" strike="noStrike" baseline="-25000">
                <a:effectLst/>
              </a:rPr>
              <a:t>2</a:t>
            </a:r>
            <a:r>
              <a:rPr lang="en-US" sz="1000" b="1" i="0" u="none" strike="noStrike" baseline="0">
                <a:effectLst/>
              </a:rPr>
              <a:t>CH</a:t>
            </a:r>
            <a:r>
              <a:rPr lang="en-US" sz="1000" b="1">
                <a:solidFill>
                  <a:sysClr val="windowText" lastClr="000000"/>
                </a:solidFill>
              </a:rPr>
              <a:t>OH </a:t>
            </a:r>
            <a:r>
              <a:rPr lang="en-US" sz="1000" b="1" i="0" baseline="0">
                <a:solidFill>
                  <a:sysClr val="windowText" lastClr="000000"/>
                </a:solidFill>
                <a:effectLst/>
              </a:rPr>
              <a:t>(with </a:t>
            </a:r>
            <a:r>
              <a:rPr lang="en-US" sz="1000" b="1" i="0" u="none" strike="noStrike" baseline="0">
                <a:solidFill>
                  <a:sysClr val="windowText" lastClr="000000"/>
                </a:solidFill>
                <a:effectLst/>
              </a:rPr>
              <a:t>PPh</a:t>
            </a:r>
            <a:r>
              <a:rPr lang="en-US" sz="1000" b="1" i="0" u="none" strike="noStrike" baseline="-25000">
                <a:solidFill>
                  <a:sysClr val="windowText" lastClr="000000"/>
                </a:solidFill>
                <a:effectLst/>
              </a:rPr>
              <a:t>3</a:t>
            </a:r>
            <a:r>
              <a:rPr lang="en-US" sz="1000" b="1" i="0" baseline="0">
                <a:solidFill>
                  <a:sysClr val="windowText" lastClr="000000"/>
                </a:solidFill>
                <a:effectLst/>
              </a:rPr>
              <a:t> 50 mmol/L)</a:t>
            </a:r>
            <a:endParaRPr lang="en-US" sz="1000" b="1">
              <a:solidFill>
                <a:sysClr val="windowText" lastClr="000000"/>
              </a:solidFill>
              <a:effectLst/>
            </a:endParaRPr>
          </a:p>
        </c:rich>
      </c:tx>
      <c:layout>
        <c:manualLayout>
          <c:xMode val="edge"/>
          <c:yMode val="edge"/>
          <c:x val="0.2173525184351956"/>
          <c:y val="7.054838248884198E-5"/>
        </c:manualLayout>
      </c:layout>
      <c:overlay val="0"/>
      <c:spPr>
        <a:solidFill>
          <a:schemeClr val="bg1"/>
        </a:solid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20668861704786901"/>
          <c:y val="2.7986525006478399E-2"/>
          <c:w val="0.72448717347831526"/>
          <c:h val="0.75680778954198502"/>
        </c:manualLayout>
      </c:layout>
      <c:scatterChart>
        <c:scatterStyle val="lineMarker"/>
        <c:varyColors val="0"/>
        <c:ser>
          <c:idx val="32"/>
          <c:order val="6"/>
          <c:tx>
            <c:strRef>
              <c:f>'Sheet1 (2)'!$O$132</c:f>
              <c:strCache>
                <c:ptCount val="1"/>
                <c:pt idx="0">
                  <c:v>f</c:v>
                </c:pt>
              </c:strCache>
              <c:extLst xmlns:c16r2="http://schemas.microsoft.com/office/drawing/2015/06/chart" xmlns:c15="http://schemas.microsoft.com/office/drawing/2012/chart"/>
            </c:strRef>
          </c:tx>
          <c:spPr>
            <a:ln w="25400" cap="rnd">
              <a:noFill/>
              <a:round/>
            </a:ln>
            <a:effectLst/>
          </c:spPr>
          <c:marker>
            <c:symbol val="circle"/>
            <c:size val="3"/>
            <c:spPr>
              <a:solidFill>
                <a:schemeClr val="bg1">
                  <a:lumMod val="50000"/>
                </a:schemeClr>
              </a:solidFill>
              <a:ln w="9525">
                <a:solidFill>
                  <a:schemeClr val="bg1">
                    <a:lumMod val="50000"/>
                  </a:schemeClr>
                </a:solidFill>
              </a:ln>
              <a:effectLst/>
            </c:spPr>
          </c:marker>
          <c:trendline>
            <c:spPr>
              <a:ln w="19050" cap="rnd">
                <a:solidFill>
                  <a:schemeClr val="accent3">
                    <a:lumMod val="50000"/>
                  </a:schemeClr>
                </a:solidFill>
                <a:prstDash val="sysDot"/>
              </a:ln>
              <a:effectLst/>
            </c:spPr>
            <c:trendlineType val="linear"/>
            <c:dispRSqr val="1"/>
            <c:dispEq val="1"/>
            <c:trendlineLbl>
              <c:layout>
                <c:manualLayout>
                  <c:x val="-0.11807899012623423"/>
                  <c:y val="4.455742550877919E-2"/>
                </c:manualLayout>
              </c:layout>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trendlineLbl>
          </c:trendline>
          <c:xVal>
            <c:numRef>
              <c:f>('Sheet1 (2)'!$P$134:$P$141,'Sheet1 (2)'!$P$143)</c:f>
              <c:numCache>
                <c:formatCode>General</c:formatCode>
                <c:ptCount val="9"/>
                <c:pt idx="0">
                  <c:v>2</c:v>
                </c:pt>
                <c:pt idx="1">
                  <c:v>3</c:v>
                </c:pt>
                <c:pt idx="2">
                  <c:v>4</c:v>
                </c:pt>
                <c:pt idx="3">
                  <c:v>5</c:v>
                </c:pt>
                <c:pt idx="4">
                  <c:v>6</c:v>
                </c:pt>
                <c:pt idx="5">
                  <c:v>7</c:v>
                </c:pt>
                <c:pt idx="6">
                  <c:v>8</c:v>
                </c:pt>
                <c:pt idx="7">
                  <c:v>9</c:v>
                </c:pt>
                <c:pt idx="8">
                  <c:v>11</c:v>
                </c:pt>
              </c:numCache>
              <c:extLst xmlns:c16r2="http://schemas.microsoft.com/office/drawing/2015/06/chart" xmlns:c15="http://schemas.microsoft.com/office/drawing/2012/chart"/>
            </c:numRef>
          </c:xVal>
          <c:yVal>
            <c:numRef>
              <c:f>('Sheet1 (2)'!$R$134:$R$141,'Sheet1 (2)'!$R$143)</c:f>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extLst xmlns:c16r2="http://schemas.microsoft.com/office/drawing/2015/06/chart" xmlns:c15="http://schemas.microsoft.com/office/drawing/2012/chart"/>
            </c:numRef>
          </c:yVal>
          <c:smooth val="0"/>
          <c:extLst xmlns:c16r2="http://schemas.microsoft.com/office/drawing/2015/06/chart" xmlns:c15="http://schemas.microsoft.com/office/drawing/2012/chart">
            <c:ext xmlns:c16="http://schemas.microsoft.com/office/drawing/2014/chart" uri="{C3380CC4-5D6E-409C-BE32-E72D297353CC}">
              <c16:uniqueId val="{00000006-1B85-414D-86A1-94F54BFCEE84}"/>
            </c:ext>
          </c:extLst>
        </c:ser>
        <c:ser>
          <c:idx val="48"/>
          <c:order val="22"/>
          <c:tx>
            <c:strRef>
              <c:f>'Sheet1 (2)'!$O$174</c:f>
              <c:strCache>
                <c:ptCount val="1"/>
                <c:pt idx="0">
                  <c:v>j</c:v>
                </c:pt>
              </c:strCache>
              <c:extLst xmlns:c16r2="http://schemas.microsoft.com/office/drawing/2015/06/chart" xmlns:c15="http://schemas.microsoft.com/office/drawing/2012/chart"/>
            </c:strRef>
          </c:tx>
          <c:spPr>
            <a:ln w="25400" cap="rnd">
              <a:noFill/>
              <a:round/>
            </a:ln>
            <a:effectLst/>
          </c:spPr>
          <c:marker>
            <c:symbol val="square"/>
            <c:size val="3"/>
            <c:spPr>
              <a:solidFill>
                <a:schemeClr val="tx1"/>
              </a:solidFill>
              <a:ln w="9525">
                <a:solidFill>
                  <a:schemeClr val="tx1"/>
                </a:solidFill>
              </a:ln>
              <a:effectLst/>
            </c:spPr>
          </c:marker>
          <c:trendline>
            <c:spPr>
              <a:ln w="19050" cap="rnd">
                <a:solidFill>
                  <a:schemeClr val="tx1"/>
                </a:solidFill>
                <a:prstDash val="sysDot"/>
              </a:ln>
              <a:effectLst/>
            </c:spPr>
            <c:trendlineType val="linear"/>
            <c:dispRSqr val="1"/>
            <c:dispEq val="1"/>
            <c:trendlineLbl>
              <c:layout>
                <c:manualLayout>
                  <c:x val="-0.20537510936132983"/>
                  <c:y val="0.26814915443973797"/>
                </c:manualLayout>
              </c:layout>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bg1">
                          <a:lumMod val="50000"/>
                        </a:schemeClr>
                      </a:solidFill>
                      <a:latin typeface="+mn-lt"/>
                      <a:ea typeface="+mn-ea"/>
                      <a:cs typeface="+mn-cs"/>
                    </a:defRPr>
                  </a:pPr>
                  <a:endParaRPr lang="en-US"/>
                </a:p>
              </c:txPr>
            </c:trendlineLbl>
          </c:trendline>
          <c:xVal>
            <c:numRef>
              <c:f>('Sheet1 (2)'!$P$176:$P$179,'Sheet1 (2)'!$P$181:$P$182)</c:f>
              <c:numCache>
                <c:formatCode>General</c:formatCode>
                <c:ptCount val="6"/>
                <c:pt idx="0">
                  <c:v>3</c:v>
                </c:pt>
                <c:pt idx="1">
                  <c:v>4</c:v>
                </c:pt>
                <c:pt idx="2">
                  <c:v>5</c:v>
                </c:pt>
                <c:pt idx="3">
                  <c:v>6</c:v>
                </c:pt>
                <c:pt idx="4">
                  <c:v>8</c:v>
                </c:pt>
                <c:pt idx="5">
                  <c:v>9</c:v>
                </c:pt>
              </c:numCache>
              <c:extLst xmlns:c16r2="http://schemas.microsoft.com/office/drawing/2015/06/chart" xmlns:c15="http://schemas.microsoft.com/office/drawing/2012/chart"/>
            </c:numRef>
          </c:xVal>
          <c:yVal>
            <c:numRef>
              <c:f>('Sheet1 (2)'!$R$176:$R$179,'Sheet1 (2)'!$R$181:$R$182)</c:f>
              <c:numCache>
                <c:formatCode>General</c:formatCode>
                <c:ptCount val="6"/>
                <c:pt idx="0">
                  <c:v>1.4183333333333332</c:v>
                </c:pt>
                <c:pt idx="1">
                  <c:v>4.9399999999999995</c:v>
                </c:pt>
                <c:pt idx="2">
                  <c:v>11.986666666666668</c:v>
                </c:pt>
                <c:pt idx="3">
                  <c:v>10.821666666666667</c:v>
                </c:pt>
                <c:pt idx="4">
                  <c:v>17.451666666666664</c:v>
                </c:pt>
                <c:pt idx="5">
                  <c:v>21.326666666666668</c:v>
                </c:pt>
              </c:numCache>
              <c:extLst xmlns:c16r2="http://schemas.microsoft.com/office/drawing/2015/06/chart" xmlns:c15="http://schemas.microsoft.com/office/drawing/2012/chart"/>
            </c:numRef>
          </c:yVal>
          <c:smooth val="0"/>
          <c:extLst xmlns:c16r2="http://schemas.microsoft.com/office/drawing/2015/06/chart" xmlns:c15="http://schemas.microsoft.com/office/drawing/2012/chart">
            <c:ext xmlns:c16="http://schemas.microsoft.com/office/drawing/2014/chart" uri="{C3380CC4-5D6E-409C-BE32-E72D297353CC}">
              <c16:uniqueId val="{00000016-1B85-414D-86A1-94F54BFCEE84}"/>
            </c:ext>
          </c:extLst>
        </c:ser>
        <c:ser>
          <c:idx val="50"/>
          <c:order val="24"/>
          <c:tx>
            <c:strRef>
              <c:f>'Sheet1 (2)'!$O$202</c:f>
              <c:strCache>
                <c:ptCount val="1"/>
                <c:pt idx="0">
                  <c:v>l'</c:v>
                </c:pt>
              </c:strCache>
              <c:extLst xmlns:c16r2="http://schemas.microsoft.com/office/drawing/2015/06/chart" xmlns:c15="http://schemas.microsoft.com/office/drawing/2012/chart"/>
            </c:strRef>
          </c:tx>
          <c:spPr>
            <a:ln w="25400" cap="rnd">
              <a:noFill/>
              <a:round/>
            </a:ln>
            <a:effectLst/>
          </c:spPr>
          <c:marker>
            <c:symbol val="triangle"/>
            <c:size val="5"/>
            <c:spPr>
              <a:solidFill>
                <a:schemeClr val="bg1"/>
              </a:solidFill>
              <a:ln w="9525">
                <a:solidFill>
                  <a:schemeClr val="tx1">
                    <a:lumMod val="75000"/>
                    <a:lumOff val="25000"/>
                  </a:schemeClr>
                </a:solidFill>
              </a:ln>
              <a:effectLst/>
            </c:spPr>
          </c:marker>
          <c:trendline>
            <c:spPr>
              <a:ln w="19050" cap="rnd">
                <a:solidFill>
                  <a:schemeClr val="tx1">
                    <a:lumMod val="75000"/>
                    <a:lumOff val="25000"/>
                  </a:schemeClr>
                </a:solidFill>
                <a:prstDash val="sysDot"/>
              </a:ln>
              <a:effectLst/>
            </c:spPr>
            <c:trendlineType val="linear"/>
            <c:dispRSqr val="1"/>
            <c:dispEq val="1"/>
            <c:trendlineLbl>
              <c:layout>
                <c:manualLayout>
                  <c:x val="0.11009561304836896"/>
                  <c:y val="0.33964789943648749"/>
                </c:manualLayout>
              </c:layout>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n-US"/>
                </a:p>
              </c:txPr>
            </c:trendlineLbl>
          </c:trendline>
          <c:xVal>
            <c:numRef>
              <c:f>'Sheet1 (2)'!$P$205:$P$212</c:f>
              <c:numCache>
                <c:formatCode>General</c:formatCode>
                <c:ptCount val="8"/>
                <c:pt idx="0">
                  <c:v>4</c:v>
                </c:pt>
                <c:pt idx="1">
                  <c:v>5</c:v>
                </c:pt>
                <c:pt idx="2">
                  <c:v>6</c:v>
                </c:pt>
                <c:pt idx="3">
                  <c:v>7</c:v>
                </c:pt>
                <c:pt idx="4">
                  <c:v>8</c:v>
                </c:pt>
                <c:pt idx="5">
                  <c:v>9</c:v>
                </c:pt>
                <c:pt idx="6">
                  <c:v>10</c:v>
                </c:pt>
                <c:pt idx="7">
                  <c:v>11</c:v>
                </c:pt>
              </c:numCache>
              <c:extLst xmlns:c16r2="http://schemas.microsoft.com/office/drawing/2015/06/chart" xmlns:c15="http://schemas.microsoft.com/office/drawing/2012/chart"/>
            </c:numRef>
          </c:xVal>
          <c:yVal>
            <c:numRef>
              <c:f>'Sheet1 (2)'!$R$205:$R$212</c:f>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extLst xmlns:c16r2="http://schemas.microsoft.com/office/drawing/2015/06/chart" xmlns:c15="http://schemas.microsoft.com/office/drawing/2012/chart"/>
            </c:numRef>
          </c:yVal>
          <c:smooth val="0"/>
          <c:extLst xmlns:c16r2="http://schemas.microsoft.com/office/drawing/2015/06/chart" xmlns:c15="http://schemas.microsoft.com/office/drawing/2012/chart">
            <c:ext xmlns:c16="http://schemas.microsoft.com/office/drawing/2014/chart" uri="{C3380CC4-5D6E-409C-BE32-E72D297353CC}">
              <c16:uniqueId val="{00000018-1B85-414D-86A1-94F54BFCEE84}"/>
            </c:ext>
          </c:extLst>
        </c:ser>
        <c:dLbls>
          <c:showLegendKey val="0"/>
          <c:showVal val="0"/>
          <c:showCatName val="0"/>
          <c:showSerName val="0"/>
          <c:showPercent val="0"/>
          <c:showBubbleSize val="0"/>
        </c:dLbls>
        <c:axId val="192960720"/>
        <c:axId val="192961264"/>
        <c:extLst xmlns:c16r2="http://schemas.microsoft.com/office/drawing/2015/06/chart">
          <c:ext xmlns:c15="http://schemas.microsoft.com/office/drawing/2012/chart" uri="{02D57815-91ED-43cb-92C2-25804820EDAC}">
            <c15:filteredScatterSeries>
              <c15:ser>
                <c:idx val="26"/>
                <c:order val="0"/>
                <c:tx>
                  <c:strRef>
                    <c:extLst xmlns:c16r2="http://schemas.microsoft.com/office/drawing/2015/06/chart">
                      <c:ex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6r2="http://schemas.microsoft.com/office/drawing/2015/06/chart">
                      <c:ex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c:ex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c:ext xmlns:c16="http://schemas.microsoft.com/office/drawing/2014/chart" uri="{C3380CC4-5D6E-409C-BE32-E72D297353CC}">
                    <c16:uniqueId val="{00000004-1B85-414D-86A1-94F54BFCEE84}"/>
                  </c:ext>
                </c:extLst>
              </c15:ser>
            </c15:filteredScatterSeries>
            <c15:filteredScatterSeries>
              <c15:ser>
                <c:idx val="27"/>
                <c:order val="1"/>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square"/>
                  <c:size val="3"/>
                  <c:spPr>
                    <a:solidFill>
                      <a:schemeClr val="tx1"/>
                    </a:solidFill>
                    <a:ln w="9525">
                      <a:solidFill>
                        <a:schemeClr val="tx1"/>
                      </a:solidFill>
                    </a:ln>
                    <a:effectLst/>
                  </c:spPr>
                </c:marker>
                <c:trendline>
                  <c:spPr>
                    <a:ln w="19050" cap="rnd">
                      <a:solidFill>
                        <a:schemeClr val="tx1"/>
                      </a:solidFill>
                      <a:prstDash val="sysDot"/>
                    </a:ln>
                    <a:effectLst/>
                  </c:spPr>
                  <c:trendlineType val="linear"/>
                  <c:dispRSqr val="1"/>
                  <c:dispEq val="1"/>
                  <c:trendlineLbl>
                    <c:layout>
                      <c:manualLayout>
                        <c:x val="-0.23761717285339332"/>
                        <c:y val="0.2900582169916654"/>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0-1B85-414D-86A1-94F54BFCEE84}"/>
                  </c:ext>
                </c:extLst>
              </c15:ser>
            </c15:filteredScatterSeries>
            <c15:filteredScatterSeries>
              <c15:ser>
                <c:idx val="28"/>
                <c:order val="2"/>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5-1B85-414D-86A1-94F54BFCEE84}"/>
                  </c:ext>
                </c:extLst>
              </c15:ser>
            </c15:filteredScatterSeries>
            <c15:filteredScatterSeries>
              <c15:ser>
                <c:idx val="29"/>
                <c:order val="3"/>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diamond"/>
                  <c:size val="4"/>
                  <c:spPr>
                    <a:solidFill>
                      <a:schemeClr val="bg1">
                        <a:lumMod val="65000"/>
                      </a:schemeClr>
                    </a:solidFill>
                    <a:ln w="9525">
                      <a:solidFill>
                        <a:schemeClr val="bg1">
                          <a:lumMod val="65000"/>
                        </a:schemeClr>
                      </a:solidFill>
                    </a:ln>
                    <a:effectLst/>
                  </c:spPr>
                </c:marker>
                <c:trendline>
                  <c:spPr>
                    <a:ln w="19050" cap="rnd">
                      <a:solidFill>
                        <a:schemeClr val="bg1">
                          <a:lumMod val="65000"/>
                        </a:schemeClr>
                      </a:solidFill>
                      <a:prstDash val="sysDot"/>
                    </a:ln>
                    <a:effectLst/>
                  </c:spPr>
                  <c:trendlineType val="linear"/>
                  <c:dispRSqr val="1"/>
                  <c:dispEq val="1"/>
                  <c:trendlineLbl>
                    <c:layout>
                      <c:manualLayout>
                        <c:x val="0.18601620109986253"/>
                        <c:y val="0.26286385619790864"/>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bg1">
                                <a:lumMod val="65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1-1B85-414D-86A1-94F54BFCEE84}"/>
                  </c:ext>
                </c:extLst>
              </c15:ser>
            </c15:filteredScatterSeries>
            <c15:filteredScatterSeries>
              <c15:ser>
                <c:idx val="30"/>
                <c:order val="4"/>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triangle"/>
                  <c:size val="4"/>
                  <c:spPr>
                    <a:solidFill>
                      <a:schemeClr val="bg1"/>
                    </a:solidFill>
                    <a:ln w="9525">
                      <a:solidFill>
                        <a:schemeClr val="tx1">
                          <a:lumMod val="75000"/>
                          <a:lumOff val="25000"/>
                        </a:schemeClr>
                      </a:solidFill>
                    </a:ln>
                    <a:effectLst/>
                  </c:spPr>
                </c:marker>
                <c:trendline>
                  <c:spPr>
                    <a:ln w="19050" cap="rnd">
                      <a:solidFill>
                        <a:schemeClr val="tx1">
                          <a:lumMod val="75000"/>
                          <a:lumOff val="25000"/>
                        </a:schemeClr>
                      </a:solidFill>
                      <a:prstDash val="sysDot"/>
                    </a:ln>
                    <a:effectLst/>
                  </c:spPr>
                  <c:trendlineType val="linear"/>
                  <c:dispRSqr val="1"/>
                  <c:dispEq val="1"/>
                  <c:trendlineLbl>
                    <c:layout>
                      <c:manualLayout>
                        <c:x val="-0.10515716785401824"/>
                        <c:y val="0.62212129074387734"/>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2-1B85-414D-86A1-94F54BFCEE84}"/>
                  </c:ext>
                </c:extLst>
              </c15:ser>
            </c15:filteredScatterSeries>
            <c15:filteredScatterSeries>
              <c15:ser>
                <c:idx val="31"/>
                <c:order val="5"/>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3"/>
                  <c:spPr>
                    <a:solidFill>
                      <a:schemeClr val="bg1">
                        <a:lumMod val="50000"/>
                      </a:schemeClr>
                    </a:solidFill>
                    <a:ln w="9525">
                      <a:solidFill>
                        <a:schemeClr val="bg1">
                          <a:lumMod val="50000"/>
                        </a:schemeClr>
                      </a:solidFill>
                    </a:ln>
                    <a:effectLst/>
                  </c:spPr>
                </c:marker>
                <c:trendline>
                  <c:spPr>
                    <a:ln w="19050" cap="rnd">
                      <a:solidFill>
                        <a:schemeClr val="bg1">
                          <a:lumMod val="50000"/>
                        </a:schemeClr>
                      </a:solidFill>
                      <a:prstDash val="sysDot"/>
                    </a:ln>
                    <a:effectLst/>
                  </c:spPr>
                  <c:trendlineType val="linear"/>
                  <c:dispRSqr val="1"/>
                  <c:dispEq val="1"/>
                  <c:trendlineLbl>
                    <c:layout>
                      <c:manualLayout>
                        <c:x val="-0.21154582239720035"/>
                        <c:y val="0.12600873983680586"/>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bg1">
                                <a:lumMod val="50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3-1B85-414D-86A1-94F54BFCEE84}"/>
                  </c:ext>
                </c:extLst>
              </c15:ser>
            </c15:filteredScatterSeries>
            <c15:filteredScatterSeries>
              <c15:ser>
                <c:idx val="33"/>
                <c:order val="7"/>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4">
                        <a:lumMod val="50000"/>
                      </a:schemeClr>
                    </a:solidFill>
                    <a:ln w="9525">
                      <a:solidFill>
                        <a:schemeClr val="accent4">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7-1B85-414D-86A1-94F54BFCEE84}"/>
                  </c:ext>
                </c:extLst>
              </c15:ser>
            </c15:filteredScatterSeries>
            <c15:filteredScatterSeries>
              <c15:ser>
                <c:idx val="34"/>
                <c:order val="8"/>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5">
                        <a:lumMod val="50000"/>
                      </a:schemeClr>
                    </a:solidFill>
                    <a:ln w="9525">
                      <a:solidFill>
                        <a:schemeClr val="accent5">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8-1B85-414D-86A1-94F54BFCEE84}"/>
                  </c:ext>
                </c:extLst>
              </c15:ser>
            </c15:filteredScatterSeries>
            <c15:filteredScatterSeries>
              <c15:ser>
                <c:idx val="35"/>
                <c:order val="9"/>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6">
                        <a:lumMod val="50000"/>
                      </a:schemeClr>
                    </a:solidFill>
                    <a:ln w="9525">
                      <a:solidFill>
                        <a:schemeClr val="accent6">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9-1B85-414D-86A1-94F54BFCEE84}"/>
                  </c:ext>
                </c:extLst>
              </c15:ser>
            </c15:filteredScatterSeries>
            <c15:filteredScatterSeries>
              <c15:ser>
                <c:idx val="36"/>
                <c:order val="10"/>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A-1B85-414D-86A1-94F54BFCEE84}"/>
                  </c:ext>
                </c:extLst>
              </c15:ser>
            </c15:filteredScatterSeries>
            <c15:filteredScatterSeries>
              <c15:ser>
                <c:idx val="37"/>
                <c:order val="11"/>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B-1B85-414D-86A1-94F54BFCEE84}"/>
                  </c:ext>
                </c:extLst>
              </c15:ser>
            </c15:filteredScatterSeries>
            <c15:filteredScatterSeries>
              <c15:ser>
                <c:idx val="38"/>
                <c:order val="12"/>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C-1B85-414D-86A1-94F54BFCEE84}"/>
                  </c:ext>
                </c:extLst>
              </c15:ser>
            </c15:filteredScatterSeries>
            <c15:filteredScatterSeries>
              <c15:ser>
                <c:idx val="39"/>
                <c:order val="13"/>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D-1B85-414D-86A1-94F54BFCEE84}"/>
                  </c:ext>
                </c:extLst>
              </c15:ser>
            </c15:filteredScatterSeries>
            <c15:filteredScatterSeries>
              <c15:ser>
                <c:idx val="40"/>
                <c:order val="14"/>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E-1B85-414D-86A1-94F54BFCEE84}"/>
                  </c:ext>
                </c:extLst>
              </c15:ser>
            </c15:filteredScatterSeries>
            <c15:filteredScatterSeries>
              <c15:ser>
                <c:idx val="41"/>
                <c:order val="15"/>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F-1B85-414D-86A1-94F54BFCEE84}"/>
                  </c:ext>
                </c:extLst>
              </c15:ser>
            </c15:filteredScatterSeries>
            <c15:filteredScatterSeries>
              <c15:ser>
                <c:idx val="42"/>
                <c:order val="16"/>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1">
                        <a:lumMod val="70000"/>
                      </a:schemeClr>
                    </a:solidFill>
                    <a:ln w="9525">
                      <a:solidFill>
                        <a:schemeClr val="accent1">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0-1B85-414D-86A1-94F54BFCEE84}"/>
                  </c:ext>
                </c:extLst>
              </c15:ser>
            </c15:filteredScatterSeries>
            <c15:filteredScatterSeries>
              <c15:ser>
                <c:idx val="43"/>
                <c:order val="17"/>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2">
                        <a:lumMod val="70000"/>
                      </a:schemeClr>
                    </a:solidFill>
                    <a:ln w="9525">
                      <a:solidFill>
                        <a:schemeClr val="accent2">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1-1B85-414D-86A1-94F54BFCEE84}"/>
                  </c:ext>
                </c:extLst>
              </c15:ser>
            </c15:filteredScatterSeries>
            <c15:filteredScatterSeries>
              <c15:ser>
                <c:idx val="44"/>
                <c:order val="18"/>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3">
                        <a:lumMod val="70000"/>
                      </a:schemeClr>
                    </a:solidFill>
                    <a:ln w="9525">
                      <a:solidFill>
                        <a:schemeClr val="accent3">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2-1B85-414D-86A1-94F54BFCEE84}"/>
                  </c:ext>
                </c:extLst>
              </c15:ser>
            </c15:filteredScatterSeries>
            <c15:filteredScatterSeries>
              <c15:ser>
                <c:idx val="45"/>
                <c:order val="19"/>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4">
                        <a:lumMod val="70000"/>
                      </a:schemeClr>
                    </a:solidFill>
                    <a:ln w="9525">
                      <a:solidFill>
                        <a:schemeClr val="accent4">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3-1B85-414D-86A1-94F54BFCEE84}"/>
                  </c:ext>
                </c:extLst>
              </c15:ser>
            </c15:filteredScatterSeries>
            <c15:filteredScatterSeries>
              <c15:ser>
                <c:idx val="46"/>
                <c:order val="20"/>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5">
                        <a:lumMod val="70000"/>
                      </a:schemeClr>
                    </a:solidFill>
                    <a:ln w="9525">
                      <a:solidFill>
                        <a:schemeClr val="accent5">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4-1B85-414D-86A1-94F54BFCEE84}"/>
                  </c:ext>
                </c:extLst>
              </c15:ser>
            </c15:filteredScatterSeries>
            <c15:filteredScatterSeries>
              <c15:ser>
                <c:idx val="47"/>
                <c:order val="21"/>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6">
                        <a:lumMod val="70000"/>
                      </a:schemeClr>
                    </a:solidFill>
                    <a:ln w="9525">
                      <a:solidFill>
                        <a:schemeClr val="accent6">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5-1B85-414D-86A1-94F54BFCEE84}"/>
                  </c:ext>
                </c:extLst>
              </c15:ser>
            </c15:filteredScatterSeries>
            <c15:filteredScatterSeries>
              <c15:ser>
                <c:idx val="49"/>
                <c:order val="23"/>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2">
                        <a:lumMod val="50000"/>
                        <a:lumOff val="50000"/>
                      </a:schemeClr>
                    </a:solidFill>
                    <a:ln w="9525">
                      <a:solidFill>
                        <a:schemeClr val="accent2">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7-1B85-414D-86A1-94F54BFCEE84}"/>
                  </c:ext>
                </c:extLst>
              </c15:ser>
            </c15:filteredScatterSeries>
            <c15:filteredScatterSeries>
              <c15:ser>
                <c:idx val="51"/>
                <c:order val="25"/>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4">
                        <a:lumMod val="50000"/>
                        <a:lumOff val="50000"/>
                      </a:schemeClr>
                    </a:solidFill>
                    <a:ln w="9525">
                      <a:solidFill>
                        <a:schemeClr val="accent4">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9-1B85-414D-86A1-94F54BFCEE84}"/>
                  </c:ext>
                </c:extLst>
              </c15:ser>
            </c15:filteredScatterSeries>
            <c15:filteredScatterSeries>
              <c15:ser>
                <c:idx val="13"/>
                <c:order val="26"/>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A-1B85-414D-86A1-94F54BFCEE84}"/>
                  </c:ext>
                </c:extLst>
              </c15:ser>
            </c15:filteredScatterSeries>
            <c15:filteredScatterSeries>
              <c15:ser>
                <c:idx val="14"/>
                <c:order val="27"/>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B-1B85-414D-86A1-94F54BFCEE84}"/>
                  </c:ext>
                </c:extLst>
              </c15:ser>
            </c15:filteredScatterSeries>
            <c15:filteredScatterSeries>
              <c15:ser>
                <c:idx val="15"/>
                <c:order val="28"/>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C-1B85-414D-86A1-94F54BFCEE84}"/>
                  </c:ext>
                </c:extLst>
              </c15:ser>
            </c15:filteredScatterSeries>
            <c15:filteredScatterSeries>
              <c15:ser>
                <c:idx val="16"/>
                <c:order val="29"/>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D-1B85-414D-86A1-94F54BFCEE84}"/>
                  </c:ext>
                </c:extLst>
              </c15:ser>
            </c15:filteredScatterSeries>
            <c15:filteredScatterSeries>
              <c15:ser>
                <c:idx val="17"/>
                <c:order val="30"/>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E-1B85-414D-86A1-94F54BFCEE84}"/>
                  </c:ext>
                </c:extLst>
              </c15:ser>
            </c15:filteredScatterSeries>
            <c15:filteredScatterSeries>
              <c15:ser>
                <c:idx val="18"/>
                <c:order val="31"/>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1">
                        <a:lumMod val="80000"/>
                      </a:schemeClr>
                    </a:solidFill>
                    <a:ln w="9525">
                      <a:solidFill>
                        <a:schemeClr val="accent1">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F-1B85-414D-86A1-94F54BFCEE84}"/>
                  </c:ext>
                </c:extLst>
              </c15:ser>
            </c15:filteredScatterSeries>
            <c15:filteredScatterSeries>
              <c15:ser>
                <c:idx val="19"/>
                <c:order val="32"/>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2">
                        <a:lumMod val="80000"/>
                      </a:schemeClr>
                    </a:solidFill>
                    <a:ln w="9525">
                      <a:solidFill>
                        <a:schemeClr val="accent2">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0-1B85-414D-86A1-94F54BFCEE84}"/>
                  </c:ext>
                </c:extLst>
              </c15:ser>
            </c15:filteredScatterSeries>
            <c15:filteredScatterSeries>
              <c15:ser>
                <c:idx val="20"/>
                <c:order val="33"/>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3">
                        <a:lumMod val="80000"/>
                      </a:schemeClr>
                    </a:solidFill>
                    <a:ln w="9525">
                      <a:solidFill>
                        <a:schemeClr val="accent3">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1-1B85-414D-86A1-94F54BFCEE84}"/>
                  </c:ext>
                </c:extLst>
              </c15:ser>
            </c15:filteredScatterSeries>
            <c15:filteredScatterSeries>
              <c15:ser>
                <c:idx val="21"/>
                <c:order val="34"/>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4">
                        <a:lumMod val="80000"/>
                      </a:schemeClr>
                    </a:solidFill>
                    <a:ln w="9525">
                      <a:solidFill>
                        <a:schemeClr val="accent4">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2-1B85-414D-86A1-94F54BFCEE84}"/>
                  </c:ext>
                </c:extLst>
              </c15:ser>
            </c15:filteredScatterSeries>
            <c15:filteredScatterSeries>
              <c15:ser>
                <c:idx val="22"/>
                <c:order val="35"/>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5">
                        <a:lumMod val="80000"/>
                      </a:schemeClr>
                    </a:solidFill>
                    <a:ln w="9525">
                      <a:solidFill>
                        <a:schemeClr val="accent5">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3-1B85-414D-86A1-94F54BFCEE84}"/>
                  </c:ext>
                </c:extLst>
              </c15:ser>
            </c15:filteredScatterSeries>
            <c15:filteredScatterSeries>
              <c15:ser>
                <c:idx val="23"/>
                <c:order val="36"/>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6">
                        <a:lumMod val="80000"/>
                      </a:schemeClr>
                    </a:solidFill>
                    <a:ln w="9525">
                      <a:solidFill>
                        <a:schemeClr val="accent6">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4-1B85-414D-86A1-94F54BFCEE84}"/>
                  </c:ext>
                </c:extLst>
              </c15:ser>
            </c15:filteredScatterSeries>
            <c15:filteredScatterSeries>
              <c15:ser>
                <c:idx val="24"/>
                <c:order val="37"/>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5-1B85-414D-86A1-94F54BFCEE84}"/>
                  </c:ext>
                </c:extLst>
              </c15:ser>
            </c15:filteredScatterSeries>
            <c15:filteredScatterSeries>
              <c15:ser>
                <c:idx val="25"/>
                <c:order val="38"/>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6-1B85-414D-86A1-94F54BFCEE84}"/>
                  </c:ext>
                </c:extLst>
              </c15:ser>
            </c15:filteredScatterSeries>
            <c15:filteredScatterSeries>
              <c15:ser>
                <c:idx val="0"/>
                <c:order val="39"/>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7.9242807822705208E-2"/>
                        <c:y val="1.7720583530579013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1"/>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7-1B85-414D-86A1-94F54BFCEE84}"/>
                  </c:ext>
                </c:extLst>
              </c15:ser>
            </c15:filteredScatterSeries>
            <c15:filteredScatterSeries>
              <c15:ser>
                <c:idx val="1"/>
                <c:order val="40"/>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8.0899155004265963E-2"/>
                        <c:y val="-3.0237320242100321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2"/>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8-1B85-414D-86A1-94F54BFCEE84}"/>
                  </c:ext>
                </c:extLst>
              </c15:ser>
            </c15:filteredScatterSeries>
            <c15:filteredScatterSeries>
              <c15:ser>
                <c:idx val="2"/>
                <c:order val="41"/>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1"/>
                  <c:dispEq val="1"/>
                  <c:trendlineLbl>
                    <c:layout>
                      <c:manualLayout>
                        <c:x val="8.3339618672912716E-2"/>
                        <c:y val="6.5016459959785786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bg1">
                                <a:lumMod val="65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9-1B85-414D-86A1-94F54BFCEE84}"/>
                  </c:ext>
                </c:extLst>
              </c15:ser>
            </c15:filteredScatterSeries>
            <c15:filteredScatterSeries>
              <c15:ser>
                <c:idx val="3"/>
                <c:order val="42"/>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1"/>
                  <c:dispEq val="1"/>
                  <c:trendlineLbl>
                    <c:layout>
                      <c:manualLayout>
                        <c:x val="8.1715285891431996E-2"/>
                        <c:y val="-8.8608858332598316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4"/>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A-1B85-414D-86A1-94F54BFCEE84}"/>
                  </c:ext>
                </c:extLst>
              </c15:ser>
            </c15:filteredScatterSeries>
            <c15:filteredScatterSeries>
              <c15:ser>
                <c:idx val="4"/>
                <c:order val="43"/>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linear"/>
                  <c:dispRSqr val="1"/>
                  <c:dispEq val="1"/>
                  <c:trendlineLbl>
                    <c:layout>
                      <c:manualLayout>
                        <c:x val="8.0119032469765109E-2"/>
                        <c:y val="-1.1135328051023852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5"/>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B-1B85-414D-86A1-94F54BFCEE84}"/>
                  </c:ext>
                </c:extLst>
              </c15:ser>
            </c15:filteredScatterSeries>
            <c15:filteredScatterSeries>
              <c15:ser>
                <c:idx val="5"/>
                <c:order val="44"/>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6"/>
                    </a:solidFill>
                    <a:ln w="9525">
                      <a:solidFill>
                        <a:schemeClr val="accent6"/>
                      </a:solidFill>
                    </a:ln>
                    <a:effectLst/>
                  </c:spPr>
                </c:marker>
                <c:trendline>
                  <c:spPr>
                    <a:ln w="19050" cap="rnd">
                      <a:solidFill>
                        <a:schemeClr val="accent6"/>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6"/>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C-1B85-414D-86A1-94F54BFCEE84}"/>
                  </c:ext>
                </c:extLst>
              </c15:ser>
            </c15:filteredScatterSeries>
            <c15:filteredScatterSeries>
              <c15:ser>
                <c:idx val="6"/>
                <c:order val="45"/>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trendline>
                  <c:spPr>
                    <a:ln w="19050" cap="rnd">
                      <a:solidFill>
                        <a:schemeClr val="accent1">
                          <a:lumMod val="60000"/>
                        </a:schemeClr>
                      </a:solidFill>
                      <a:prstDash val="sysDot"/>
                    </a:ln>
                    <a:effectLst/>
                  </c:spPr>
                  <c:trendlineType val="linear"/>
                  <c:dispRSqr val="1"/>
                  <c:dispEq val="1"/>
                  <c:trendlineLbl>
                    <c:layout>
                      <c:manualLayout>
                        <c:x val="8.2711294316068343E-2"/>
                        <c:y val="-1.2961556257832711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trendlineLbl>
                </c:trendline>
                <c:trendline>
                  <c:spPr>
                    <a:ln w="19050" cap="rnd">
                      <a:solidFill>
                        <a:schemeClr val="accent1">
                          <a:lumMod val="60000"/>
                        </a:schemeClr>
                      </a:solidFill>
                      <a:prstDash val="sysDot"/>
                    </a:ln>
                    <a:effectLst/>
                  </c:spPr>
                  <c:trendlineType val="linear"/>
                  <c:dispRSqr val="0"/>
                  <c:dispEq val="0"/>
                </c:trendline>
                <c:trendline>
                  <c:spPr>
                    <a:ln w="19050" cap="rnd">
                      <a:solidFill>
                        <a:schemeClr val="accent1">
                          <a:lumMod val="60000"/>
                        </a:schemeClr>
                      </a:solidFill>
                      <a:prstDash val="sysDot"/>
                    </a:ln>
                    <a:effectLst/>
                  </c:spPr>
                  <c:trendlineType val="linear"/>
                  <c:dispRSqr val="0"/>
                  <c:dispEq val="0"/>
                </c:trendline>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D-1B85-414D-86A1-94F54BFCEE84}"/>
                  </c:ext>
                </c:extLst>
              </c15:ser>
            </c15:filteredScatterSeries>
            <c15:filteredScatterSeries>
              <c15:ser>
                <c:idx val="7"/>
                <c:order val="46"/>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trendline>
                  <c:spPr>
                    <a:ln w="19050" cap="rnd">
                      <a:solidFill>
                        <a:schemeClr val="accent2">
                          <a:lumMod val="60000"/>
                        </a:schemeClr>
                      </a:solidFill>
                      <a:prstDash val="sysDot"/>
                    </a:ln>
                    <a:effectLst/>
                  </c:spPr>
                  <c:trendlineType val="linear"/>
                  <c:dispRSqr val="1"/>
                  <c:dispEq val="1"/>
                  <c:trendlineLbl>
                    <c:layout>
                      <c:manualLayout>
                        <c:x val="8.6250673773576897E-2"/>
                        <c:y val="5.2052073091470245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2">
                                <a:lumMod val="50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E-1B85-414D-86A1-94F54BFCEE84}"/>
                  </c:ext>
                </c:extLst>
              </c15:ser>
            </c15:filteredScatterSeries>
            <c15:filteredScatterSeries>
              <c15:ser>
                <c:idx val="8"/>
                <c:order val="47"/>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trendline>
                  <c:spPr>
                    <a:ln w="19050" cap="rnd">
                      <a:solidFill>
                        <a:schemeClr val="accent3">
                          <a:lumMod val="60000"/>
                        </a:schemeClr>
                      </a:solidFill>
                      <a:prstDash val="sysDot"/>
                    </a:ln>
                    <a:effectLst/>
                  </c:spPr>
                  <c:trendlineType val="linear"/>
                  <c:dispRSqr val="1"/>
                  <c:dispEq val="1"/>
                  <c:trendlineLbl>
                    <c:layout>
                      <c:manualLayout>
                        <c:x val="8.4989031673134555E-2"/>
                        <c:y val="4.7691978794429917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F-1B85-414D-86A1-94F54BFCEE84}"/>
                  </c:ext>
                </c:extLst>
              </c15:ser>
            </c15:filteredScatterSeries>
            <c15:filteredScatterSeries>
              <c15:ser>
                <c:idx val="9"/>
                <c:order val="48"/>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4">
                        <a:lumMod val="60000"/>
                      </a:schemeClr>
                    </a:solidFill>
                    <a:ln w="9525">
                      <a:solidFill>
                        <a:schemeClr val="accent4">
                          <a:lumMod val="60000"/>
                        </a:schemeClr>
                      </a:solidFill>
                    </a:ln>
                    <a:effectLst/>
                  </c:spPr>
                </c:marker>
                <c:trendline>
                  <c:spPr>
                    <a:ln w="19050" cap="rnd">
                      <a:solidFill>
                        <a:schemeClr val="accent4">
                          <a:lumMod val="60000"/>
                        </a:schemeClr>
                      </a:solidFill>
                      <a:prstDash val="sysDot"/>
                    </a:ln>
                    <a:effectLst/>
                  </c:spPr>
                  <c:trendlineType val="linear"/>
                  <c:dispRSqr val="1"/>
                  <c:dispEq val="1"/>
                  <c:trendlineLbl>
                    <c:layout>
                      <c:manualLayout>
                        <c:x val="7.4297230453732072E-2"/>
                        <c:y val="-1.15030110754428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4">
                                <a:lumMod val="50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0-1B85-414D-86A1-94F54BFCEE84}"/>
                  </c:ext>
                </c:extLst>
              </c15:ser>
            </c15:filteredScatterSeries>
            <c15:filteredScatterSeries>
              <c15:ser>
                <c:idx val="10"/>
                <c:order val="49"/>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5">
                        <a:lumMod val="60000"/>
                      </a:schemeClr>
                    </a:solidFill>
                    <a:ln w="9525">
                      <a:solidFill>
                        <a:schemeClr val="accent5">
                          <a:lumMod val="60000"/>
                        </a:schemeClr>
                      </a:solidFill>
                    </a:ln>
                    <a:effectLst/>
                  </c:spPr>
                </c:marker>
                <c:trendline>
                  <c:spPr>
                    <a:ln w="19050" cap="rnd">
                      <a:solidFill>
                        <a:schemeClr val="accent5">
                          <a:lumMod val="60000"/>
                        </a:schemeClr>
                      </a:solidFill>
                      <a:prstDash val="sysDot"/>
                    </a:ln>
                    <a:effectLst/>
                  </c:spPr>
                  <c:trendlineType val="linear"/>
                  <c:dispRSqr val="1"/>
                  <c:dispEq val="1"/>
                  <c:trendlineLbl>
                    <c:layout>
                      <c:manualLayout>
                        <c:x val="8.5137871247375679E-2"/>
                        <c:y val="4.8361938682016182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5">
                                <a:lumMod val="50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1-1B85-414D-86A1-94F54BFCEE84}"/>
                  </c:ext>
                </c:extLst>
              </c15:ser>
            </c15:filteredScatterSeries>
            <c15:filteredScatterSeries>
              <c15:ser>
                <c:idx val="11"/>
                <c:order val="50"/>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6">
                        <a:lumMod val="60000"/>
                      </a:schemeClr>
                    </a:solidFill>
                    <a:ln w="9525">
                      <a:solidFill>
                        <a:schemeClr val="accent6">
                          <a:lumMod val="60000"/>
                        </a:schemeClr>
                      </a:solidFill>
                    </a:ln>
                    <a:effectLst/>
                  </c:spPr>
                </c:marker>
                <c:trendline>
                  <c:spPr>
                    <a:ln w="19050" cap="rnd">
                      <a:solidFill>
                        <a:schemeClr val="accent6">
                          <a:lumMod val="60000"/>
                        </a:schemeClr>
                      </a:solidFill>
                      <a:prstDash val="sysDot"/>
                    </a:ln>
                    <a:effectLst/>
                  </c:spPr>
                  <c:trendlineType val="linear"/>
                  <c:dispRSqr val="1"/>
                  <c:dispEq val="1"/>
                  <c:trendlineLbl>
                    <c:layout>
                      <c:manualLayout>
                        <c:x val="8.6870178479455773E-2"/>
                        <c:y val="-1.7836036584407206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6">
                                <a:lumMod val="50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2-1B85-414D-86A1-94F54BFCEE84}"/>
                  </c:ext>
                </c:extLst>
              </c15:ser>
            </c15:filteredScatterSeries>
            <c15:filteredScatterSeries>
              <c15:ser>
                <c:idx val="12"/>
                <c:order val="51"/>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trendline>
                  <c:spPr>
                    <a:ln w="19050" cap="rnd">
                      <a:solidFill>
                        <a:schemeClr val="accent1">
                          <a:lumMod val="80000"/>
                          <a:lumOff val="20000"/>
                        </a:schemeClr>
                      </a:solidFill>
                      <a:prstDash val="sysDot"/>
                    </a:ln>
                    <a:effectLst/>
                  </c:spPr>
                  <c:trendlineType val="linear"/>
                  <c:dispRSqr val="1"/>
                  <c:dispEq val="1"/>
                  <c:trendlineLbl>
                    <c:layout>
                      <c:manualLayout>
                        <c:x val="4.4708872807170411E-2"/>
                        <c:y val="5.3000317496397234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1"/>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3-1B85-414D-86A1-94F54BFCEE84}"/>
                  </c:ext>
                </c:extLst>
              </c15:ser>
            </c15:filteredScatterSeries>
          </c:ext>
        </c:extLst>
      </c:scatterChart>
      <c:valAx>
        <c:axId val="192960720"/>
        <c:scaling>
          <c:orientation val="minMax"/>
          <c:max val="11.5"/>
          <c:min val="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sz="900">
                    <a:solidFill>
                      <a:sysClr val="windowText" lastClr="000000"/>
                    </a:solidFill>
                  </a:rPr>
                  <a:t>time (min)</a:t>
                </a:r>
              </a:p>
            </c:rich>
          </c:tx>
          <c:layout>
            <c:manualLayout>
              <c:xMode val="edge"/>
              <c:yMode val="edge"/>
              <c:x val="0.77971894138232722"/>
              <c:y val="0.900037023324694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92961264"/>
        <c:crosses val="autoZero"/>
        <c:crossBetween val="midCat"/>
      </c:valAx>
      <c:valAx>
        <c:axId val="192961264"/>
        <c:scaling>
          <c:orientation val="minMax"/>
          <c:max val="28"/>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sz="900" b="0" i="0" baseline="0">
                    <a:effectLst/>
                  </a:rPr>
                  <a:t>[</a:t>
                </a:r>
                <a:r>
                  <a:rPr lang="en-US" sz="900" b="0" i="0" u="none" strike="noStrike" baseline="0">
                    <a:effectLst/>
                  </a:rPr>
                  <a:t>Ph</a:t>
                </a:r>
                <a:r>
                  <a:rPr lang="en-US" sz="900" b="0" i="0" u="none" strike="noStrike" baseline="-25000">
                    <a:effectLst/>
                  </a:rPr>
                  <a:t>2</a:t>
                </a:r>
                <a:r>
                  <a:rPr lang="en-US" sz="900" b="0" i="0" u="none" strike="noStrike" baseline="0">
                    <a:effectLst/>
                  </a:rPr>
                  <a:t>CHCHPh</a:t>
                </a:r>
                <a:r>
                  <a:rPr lang="en-US" sz="900" b="0" i="0" u="none" strike="noStrike" baseline="-25000">
                    <a:effectLst/>
                  </a:rPr>
                  <a:t>2</a:t>
                </a:r>
                <a:r>
                  <a:rPr lang="en-US" sz="900" b="0" i="0" baseline="0">
                    <a:effectLst/>
                  </a:rPr>
                  <a:t>] (mmol/L)</a:t>
                </a:r>
                <a:endParaRPr lang="en-US" sz="900">
                  <a:effectLst/>
                </a:endParaRPr>
              </a:p>
            </c:rich>
          </c:tx>
          <c:layout>
            <c:manualLayout>
              <c:xMode val="edge"/>
              <c:yMode val="edge"/>
              <c:x val="0"/>
              <c:y val="0.18321006801213899"/>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92960720"/>
        <c:crosses val="autoZero"/>
        <c:crossBetween val="midCat"/>
      </c:valAx>
      <c:spPr>
        <a:noFill/>
        <a:ln>
          <a:noFill/>
        </a:ln>
        <a:effectLst/>
      </c:spPr>
    </c:plotArea>
    <c:legend>
      <c:legendPos val="r"/>
      <c:legendEntry>
        <c:idx val="3"/>
        <c:delete val="1"/>
      </c:legendEntry>
      <c:legendEntry>
        <c:idx val="4"/>
        <c:delete val="1"/>
      </c:legendEntry>
      <c:legendEntry>
        <c:idx val="5"/>
        <c:delete val="1"/>
      </c:legendEntry>
      <c:layout>
        <c:manualLayout>
          <c:xMode val="edge"/>
          <c:yMode val="edge"/>
          <c:x val="0"/>
          <c:y val="0.89982829339964487"/>
          <c:w val="0.64939734095738033"/>
          <c:h val="9.9167703999976695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spc="0" baseline="0">
                <a:solidFill>
                  <a:sysClr val="windowText" lastClr="000000"/>
                </a:solidFill>
                <a:latin typeface="+mn-lt"/>
                <a:ea typeface="+mn-ea"/>
                <a:cs typeface="+mn-cs"/>
              </a:defRPr>
            </a:pPr>
            <a:r>
              <a:rPr lang="en-US" sz="1000" b="1" i="0" u="none" strike="noStrike" baseline="0">
                <a:effectLst/>
              </a:rPr>
              <a:t>Ph</a:t>
            </a:r>
            <a:r>
              <a:rPr lang="en-US" sz="1000" b="1" i="0" u="none" strike="noStrike" baseline="-25000">
                <a:effectLst/>
              </a:rPr>
              <a:t>2</a:t>
            </a:r>
            <a:r>
              <a:rPr lang="en-US" sz="1000" b="1" i="0" u="none" strike="noStrike" baseline="0">
                <a:effectLst/>
              </a:rPr>
              <a:t>CH</a:t>
            </a:r>
            <a:r>
              <a:rPr lang="en-US" sz="1000" b="1">
                <a:solidFill>
                  <a:sysClr val="windowText" lastClr="000000"/>
                </a:solidFill>
              </a:rPr>
              <a:t>OH </a:t>
            </a:r>
            <a:r>
              <a:rPr lang="en-US" sz="1000" b="1" i="0" baseline="0">
                <a:solidFill>
                  <a:sysClr val="windowText" lastClr="000000"/>
                </a:solidFill>
                <a:effectLst/>
              </a:rPr>
              <a:t>(with </a:t>
            </a:r>
            <a:r>
              <a:rPr lang="en-US" sz="1000" b="1" i="0" u="none" strike="noStrike" baseline="0">
                <a:solidFill>
                  <a:sysClr val="windowText" lastClr="000000"/>
                </a:solidFill>
                <a:effectLst/>
              </a:rPr>
              <a:t>PPh</a:t>
            </a:r>
            <a:r>
              <a:rPr lang="en-US" sz="1000" b="1" i="0" u="none" strike="noStrike" baseline="-25000">
                <a:solidFill>
                  <a:sysClr val="windowText" lastClr="000000"/>
                </a:solidFill>
                <a:effectLst/>
              </a:rPr>
              <a:t>3</a:t>
            </a:r>
            <a:r>
              <a:rPr lang="en-US" sz="1000" b="1" i="0" baseline="0">
                <a:solidFill>
                  <a:sysClr val="windowText" lastClr="000000"/>
                </a:solidFill>
                <a:effectLst/>
              </a:rPr>
              <a:t> 100 mmol/L)</a:t>
            </a:r>
            <a:endParaRPr lang="en-US" sz="1000" b="1">
              <a:solidFill>
                <a:sysClr val="windowText" lastClr="000000"/>
              </a:solidFill>
              <a:effectLst/>
            </a:endParaRPr>
          </a:p>
        </c:rich>
      </c:tx>
      <c:layout>
        <c:manualLayout>
          <c:xMode val="edge"/>
          <c:yMode val="edge"/>
          <c:x val="0.2173525184351956"/>
          <c:y val="7.054838248884198E-5"/>
        </c:manualLayout>
      </c:layout>
      <c:overlay val="0"/>
      <c:spPr>
        <a:solidFill>
          <a:schemeClr val="bg1"/>
        </a:solid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20668861704786901"/>
          <c:y val="2.7986525006478399E-2"/>
          <c:w val="0.72448717347831526"/>
          <c:h val="0.75680778954198502"/>
        </c:manualLayout>
      </c:layout>
      <c:scatterChart>
        <c:scatterStyle val="lineMarker"/>
        <c:varyColors val="0"/>
        <c:ser>
          <c:idx val="27"/>
          <c:order val="1"/>
          <c:tx>
            <c:strRef>
              <c:f>'Sheet1 (2)'!$O$48</c:f>
              <c:strCache>
                <c:ptCount val="1"/>
                <c:pt idx="0">
                  <c:v>a'''</c:v>
                </c:pt>
              </c:strCache>
            </c:strRef>
          </c:tx>
          <c:spPr>
            <a:ln w="25400" cap="rnd">
              <a:noFill/>
              <a:round/>
            </a:ln>
            <a:effectLst/>
          </c:spPr>
          <c:marker>
            <c:symbol val="square"/>
            <c:size val="3"/>
            <c:spPr>
              <a:solidFill>
                <a:schemeClr val="tx1"/>
              </a:solidFill>
              <a:ln w="9525">
                <a:solidFill>
                  <a:schemeClr val="tx1"/>
                </a:solidFill>
              </a:ln>
              <a:effectLst/>
            </c:spPr>
          </c:marker>
          <c:trendline>
            <c:spPr>
              <a:ln w="19050" cap="rnd">
                <a:solidFill>
                  <a:schemeClr val="tx1"/>
                </a:solidFill>
                <a:prstDash val="sysDot"/>
              </a:ln>
              <a:effectLst/>
            </c:spPr>
            <c:trendlineType val="linear"/>
            <c:dispRSqr val="1"/>
            <c:dispEq val="1"/>
            <c:trendlineLbl>
              <c:layout>
                <c:manualLayout>
                  <c:x val="-0.23761717285339332"/>
                  <c:y val="0.2900582169916654"/>
                </c:manualLayout>
              </c:layout>
              <c:numFmt formatCode="#,##0.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trendlineLbl>
          </c:trendline>
          <c:xVal>
            <c:numRef>
              <c:f>'Sheet1 (2)'!$P$50:$P$57</c:f>
              <c:numCache>
                <c:formatCode>General</c:formatCode>
                <c:ptCount val="8"/>
                <c:pt idx="0">
                  <c:v>2</c:v>
                </c:pt>
                <c:pt idx="1">
                  <c:v>3</c:v>
                </c:pt>
                <c:pt idx="2">
                  <c:v>4</c:v>
                </c:pt>
                <c:pt idx="3">
                  <c:v>5</c:v>
                </c:pt>
                <c:pt idx="4">
                  <c:v>6</c:v>
                </c:pt>
                <c:pt idx="5">
                  <c:v>7</c:v>
                </c:pt>
                <c:pt idx="6">
                  <c:v>8</c:v>
                </c:pt>
                <c:pt idx="7">
                  <c:v>9</c:v>
                </c:pt>
              </c:numCache>
            </c:numRef>
          </c:xVal>
          <c:yVal>
            <c:numRef>
              <c:f>'Sheet1 (2)'!$R$50:$R$57</c:f>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c:ext xmlns:c16="http://schemas.microsoft.com/office/drawing/2014/chart" uri="{C3380CC4-5D6E-409C-BE32-E72D297353CC}">
              <c16:uniqueId val="{00000000-1B85-414D-86A1-94F54BFCEE84}"/>
            </c:ext>
          </c:extLst>
        </c:ser>
        <c:ser>
          <c:idx val="29"/>
          <c:order val="3"/>
          <c:tx>
            <c:strRef>
              <c:f>'Sheet1 (2)'!$O$90</c:f>
              <c:strCache>
                <c:ptCount val="1"/>
                <c:pt idx="0">
                  <c:v>d''</c:v>
                </c:pt>
              </c:strCache>
            </c:strRef>
          </c:tx>
          <c:spPr>
            <a:ln w="25400" cap="rnd">
              <a:noFill/>
              <a:round/>
            </a:ln>
            <a:effectLst/>
          </c:spPr>
          <c:marker>
            <c:symbol val="diamond"/>
            <c:size val="4"/>
            <c:spPr>
              <a:solidFill>
                <a:schemeClr val="bg1">
                  <a:lumMod val="65000"/>
                </a:schemeClr>
              </a:solidFill>
              <a:ln w="9525">
                <a:solidFill>
                  <a:schemeClr val="bg1">
                    <a:lumMod val="65000"/>
                  </a:schemeClr>
                </a:solidFill>
              </a:ln>
              <a:effectLst/>
            </c:spPr>
          </c:marker>
          <c:trendline>
            <c:spPr>
              <a:ln w="19050" cap="rnd">
                <a:solidFill>
                  <a:schemeClr val="bg1">
                    <a:lumMod val="65000"/>
                  </a:schemeClr>
                </a:solidFill>
                <a:prstDash val="sysDot"/>
              </a:ln>
              <a:effectLst/>
            </c:spPr>
            <c:trendlineType val="linear"/>
            <c:dispRSqr val="1"/>
            <c:dispEq val="1"/>
            <c:trendlineLbl>
              <c:layout>
                <c:manualLayout>
                  <c:x val="0.19097651856017997"/>
                  <c:y val="0.196221871747705"/>
                </c:manualLayout>
              </c:layout>
              <c:numFmt formatCode="#,##0.00" sourceLinked="0"/>
              <c:spPr>
                <a:noFill/>
                <a:ln>
                  <a:noFill/>
                </a:ln>
                <a:effectLst/>
              </c:spPr>
              <c:txPr>
                <a:bodyPr rot="0" spcFirstLastPara="1" vertOverflow="ellipsis" vert="horz" wrap="square" anchor="ctr" anchorCtr="1"/>
                <a:lstStyle/>
                <a:p>
                  <a:pPr>
                    <a:defRPr sz="800" b="0" i="0" u="none" strike="noStrike" kern="1200" baseline="0">
                      <a:solidFill>
                        <a:schemeClr val="bg1">
                          <a:lumMod val="65000"/>
                        </a:schemeClr>
                      </a:solidFill>
                      <a:latin typeface="+mn-lt"/>
                      <a:ea typeface="+mn-ea"/>
                      <a:cs typeface="+mn-cs"/>
                    </a:defRPr>
                  </a:pPr>
                  <a:endParaRPr lang="en-US"/>
                </a:p>
              </c:txPr>
            </c:trendlineLbl>
          </c:trendline>
          <c:xVal>
            <c:numRef>
              <c:f>('Sheet1 (2)'!$P$92:$P$93,'Sheet1 (2)'!$P$96:$P$99)</c:f>
              <c:numCache>
                <c:formatCode>General</c:formatCode>
                <c:ptCount val="6"/>
                <c:pt idx="0">
                  <c:v>3</c:v>
                </c:pt>
                <c:pt idx="1">
                  <c:v>4</c:v>
                </c:pt>
                <c:pt idx="2">
                  <c:v>7</c:v>
                </c:pt>
                <c:pt idx="3">
                  <c:v>8</c:v>
                </c:pt>
                <c:pt idx="4">
                  <c:v>9</c:v>
                </c:pt>
                <c:pt idx="5">
                  <c:v>10</c:v>
                </c:pt>
              </c:numCache>
            </c:numRef>
          </c:xVal>
          <c:yVal>
            <c:numRef>
              <c:f>('Sheet1 (2)'!$R$92:$R$93,'Sheet1 (2)'!$R$96:$R$99)</c:f>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c:ext xmlns:c16="http://schemas.microsoft.com/office/drawing/2014/chart" uri="{C3380CC4-5D6E-409C-BE32-E72D297353CC}">
              <c16:uniqueId val="{00000001-1B85-414D-86A1-94F54BFCEE84}"/>
            </c:ext>
          </c:extLst>
        </c:ser>
        <c:ser>
          <c:idx val="30"/>
          <c:order val="4"/>
          <c:tx>
            <c:strRef>
              <c:f>'Sheet1 (2)'!$O$104</c:f>
              <c:strCache>
                <c:ptCount val="1"/>
                <c:pt idx="0">
                  <c:v>e</c:v>
                </c:pt>
              </c:strCache>
            </c:strRef>
          </c:tx>
          <c:spPr>
            <a:ln w="25400" cap="rnd">
              <a:noFill/>
              <a:round/>
            </a:ln>
            <a:effectLst/>
          </c:spPr>
          <c:marker>
            <c:symbol val="triangle"/>
            <c:size val="4"/>
            <c:spPr>
              <a:solidFill>
                <a:schemeClr val="bg1"/>
              </a:solidFill>
              <a:ln w="9525">
                <a:solidFill>
                  <a:schemeClr val="tx1">
                    <a:lumMod val="75000"/>
                    <a:lumOff val="25000"/>
                  </a:schemeClr>
                </a:solidFill>
              </a:ln>
              <a:effectLst/>
            </c:spPr>
          </c:marker>
          <c:trendline>
            <c:spPr>
              <a:ln w="19050" cap="rnd">
                <a:solidFill>
                  <a:schemeClr val="tx1">
                    <a:lumMod val="75000"/>
                    <a:lumOff val="25000"/>
                  </a:schemeClr>
                </a:solidFill>
                <a:prstDash val="sysDot"/>
              </a:ln>
              <a:effectLst/>
            </c:spPr>
            <c:trendlineType val="linear"/>
            <c:dispRSqr val="1"/>
            <c:dispEq val="1"/>
            <c:trendlineLbl>
              <c:layout>
                <c:manualLayout>
                  <c:x val="-5.5553993250843647E-2"/>
                  <c:y val="0.56288397123258516"/>
                </c:manualLayout>
              </c:layout>
              <c:numFmt formatCode="#,##0.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n-US"/>
                </a:p>
              </c:txPr>
            </c:trendlineLbl>
          </c:trendline>
          <c:xVal>
            <c:numRef>
              <c:f>'Sheet1 (2)'!$P$106:$P$115</c:f>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f>'Sheet1 (2)'!$R$106:$R$115</c:f>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c:ext xmlns:c16="http://schemas.microsoft.com/office/drawing/2014/chart" uri="{C3380CC4-5D6E-409C-BE32-E72D297353CC}">
              <c16:uniqueId val="{00000002-1B85-414D-86A1-94F54BFCEE84}"/>
            </c:ext>
          </c:extLst>
        </c:ser>
        <c:ser>
          <c:idx val="31"/>
          <c:order val="5"/>
          <c:tx>
            <c:strRef>
              <c:f>'Sheet1 (2)'!$O$118</c:f>
              <c:strCache>
                <c:ptCount val="1"/>
                <c:pt idx="0">
                  <c:v>h</c:v>
                </c:pt>
              </c:strCache>
            </c:strRef>
          </c:tx>
          <c:spPr>
            <a:ln w="25400" cap="rnd">
              <a:noFill/>
              <a:round/>
            </a:ln>
            <a:effectLst/>
          </c:spPr>
          <c:marker>
            <c:symbol val="circle"/>
            <c:size val="3"/>
            <c:spPr>
              <a:solidFill>
                <a:schemeClr val="bg1">
                  <a:lumMod val="50000"/>
                </a:schemeClr>
              </a:solidFill>
              <a:ln w="9525">
                <a:solidFill>
                  <a:schemeClr val="bg1">
                    <a:lumMod val="50000"/>
                  </a:schemeClr>
                </a:solidFill>
              </a:ln>
              <a:effectLst/>
            </c:spPr>
          </c:marker>
          <c:trendline>
            <c:spPr>
              <a:ln w="19050" cap="rnd">
                <a:solidFill>
                  <a:schemeClr val="bg1">
                    <a:lumMod val="50000"/>
                  </a:schemeClr>
                </a:solidFill>
                <a:prstDash val="sysDot"/>
              </a:ln>
              <a:effectLst/>
            </c:spPr>
            <c:trendlineType val="linear"/>
            <c:dispRSqr val="1"/>
            <c:dispEq val="1"/>
            <c:trendlineLbl>
              <c:layout>
                <c:manualLayout>
                  <c:x val="-0.21154582239720035"/>
                  <c:y val="0.12600873983680586"/>
                </c:manualLayout>
              </c:layout>
              <c:numFmt formatCode="#,##0.00" sourceLinked="0"/>
              <c:spPr>
                <a:noFill/>
                <a:ln>
                  <a:noFill/>
                </a:ln>
                <a:effectLst/>
              </c:spPr>
              <c:txPr>
                <a:bodyPr rot="0" spcFirstLastPara="1" vertOverflow="ellipsis" vert="horz" wrap="square" anchor="ctr" anchorCtr="1"/>
                <a:lstStyle/>
                <a:p>
                  <a:pPr>
                    <a:defRPr sz="800" b="0" i="0" u="none" strike="noStrike" kern="1200" baseline="0">
                      <a:solidFill>
                        <a:schemeClr val="bg1">
                          <a:lumMod val="50000"/>
                        </a:schemeClr>
                      </a:solidFill>
                      <a:latin typeface="+mn-lt"/>
                      <a:ea typeface="+mn-ea"/>
                      <a:cs typeface="+mn-cs"/>
                    </a:defRPr>
                  </a:pPr>
                  <a:endParaRPr lang="en-US"/>
                </a:p>
              </c:txPr>
            </c:trendlineLbl>
          </c:trendline>
          <c:xVal>
            <c:numRef>
              <c:f>'Sheet1 (2)'!$P$120:$P$127</c:f>
              <c:numCache>
                <c:formatCode>General</c:formatCode>
                <c:ptCount val="8"/>
                <c:pt idx="0">
                  <c:v>3</c:v>
                </c:pt>
                <c:pt idx="1">
                  <c:v>4</c:v>
                </c:pt>
                <c:pt idx="2">
                  <c:v>5</c:v>
                </c:pt>
                <c:pt idx="3">
                  <c:v>6</c:v>
                </c:pt>
                <c:pt idx="4">
                  <c:v>7</c:v>
                </c:pt>
                <c:pt idx="5">
                  <c:v>8</c:v>
                </c:pt>
                <c:pt idx="6">
                  <c:v>9</c:v>
                </c:pt>
                <c:pt idx="7">
                  <c:v>10</c:v>
                </c:pt>
              </c:numCache>
            </c:numRef>
          </c:xVal>
          <c:yVal>
            <c:numRef>
              <c:f>'Sheet1 (2)'!$R$120:$R$127</c:f>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c:ext xmlns:c16="http://schemas.microsoft.com/office/drawing/2014/chart" uri="{C3380CC4-5D6E-409C-BE32-E72D297353CC}">
              <c16:uniqueId val="{00000003-1B85-414D-86A1-94F54BFCEE84}"/>
            </c:ext>
          </c:extLst>
        </c:ser>
        <c:dLbls>
          <c:showLegendKey val="0"/>
          <c:showVal val="0"/>
          <c:showCatName val="0"/>
          <c:showSerName val="0"/>
          <c:showPercent val="0"/>
          <c:showBubbleSize val="0"/>
        </c:dLbls>
        <c:axId val="192961808"/>
        <c:axId val="136577488"/>
        <c:extLst xmlns:c16r2="http://schemas.microsoft.com/office/drawing/2015/06/chart">
          <c:ext xmlns:c15="http://schemas.microsoft.com/office/drawing/2012/chart" uri="{02D57815-91ED-43cb-92C2-25804820EDAC}">
            <c15:filteredScatterSeries>
              <c15:ser>
                <c:idx val="26"/>
                <c:order val="0"/>
                <c:tx>
                  <c:strRef>
                    <c:extLst xmlns:c16r2="http://schemas.microsoft.com/office/drawing/2015/06/chart">
                      <c:ex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6r2="http://schemas.microsoft.com/office/drawing/2015/06/chart">
                      <c:ex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c:ex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c:ext xmlns:c16="http://schemas.microsoft.com/office/drawing/2014/chart" uri="{C3380CC4-5D6E-409C-BE32-E72D297353CC}">
                    <c16:uniqueId val="{00000004-1B85-414D-86A1-94F54BFCEE84}"/>
                  </c:ext>
                </c:extLst>
              </c15:ser>
            </c15:filteredScatterSeries>
            <c15:filteredScatterSeries>
              <c15:ser>
                <c:idx val="28"/>
                <c:order val="2"/>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5-1B85-414D-86A1-94F54BFCEE84}"/>
                  </c:ext>
                </c:extLst>
              </c15:ser>
            </c15:filteredScatterSeries>
            <c15:filteredScatterSeries>
              <c15:ser>
                <c:idx val="32"/>
                <c:order val="6"/>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3">
                        <a:lumMod val="50000"/>
                      </a:schemeClr>
                    </a:solidFill>
                    <a:ln w="9525">
                      <a:solidFill>
                        <a:schemeClr val="accent3">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6-1B85-414D-86A1-94F54BFCEE84}"/>
                  </c:ext>
                </c:extLst>
              </c15:ser>
            </c15:filteredScatterSeries>
            <c15:filteredScatterSeries>
              <c15:ser>
                <c:idx val="33"/>
                <c:order val="7"/>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4">
                        <a:lumMod val="50000"/>
                      </a:schemeClr>
                    </a:solidFill>
                    <a:ln w="9525">
                      <a:solidFill>
                        <a:schemeClr val="accent4">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7-1B85-414D-86A1-94F54BFCEE84}"/>
                  </c:ext>
                </c:extLst>
              </c15:ser>
            </c15:filteredScatterSeries>
            <c15:filteredScatterSeries>
              <c15:ser>
                <c:idx val="34"/>
                <c:order val="8"/>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5">
                        <a:lumMod val="50000"/>
                      </a:schemeClr>
                    </a:solidFill>
                    <a:ln w="9525">
                      <a:solidFill>
                        <a:schemeClr val="accent5">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8-1B85-414D-86A1-94F54BFCEE84}"/>
                  </c:ext>
                </c:extLst>
              </c15:ser>
            </c15:filteredScatterSeries>
            <c15:filteredScatterSeries>
              <c15:ser>
                <c:idx val="35"/>
                <c:order val="9"/>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6">
                        <a:lumMod val="50000"/>
                      </a:schemeClr>
                    </a:solidFill>
                    <a:ln w="9525">
                      <a:solidFill>
                        <a:schemeClr val="accent6">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9-1B85-414D-86A1-94F54BFCEE84}"/>
                  </c:ext>
                </c:extLst>
              </c15:ser>
            </c15:filteredScatterSeries>
            <c15:filteredScatterSeries>
              <c15:ser>
                <c:idx val="36"/>
                <c:order val="10"/>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A-1B85-414D-86A1-94F54BFCEE84}"/>
                  </c:ext>
                </c:extLst>
              </c15:ser>
            </c15:filteredScatterSeries>
            <c15:filteredScatterSeries>
              <c15:ser>
                <c:idx val="37"/>
                <c:order val="11"/>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B-1B85-414D-86A1-94F54BFCEE84}"/>
                  </c:ext>
                </c:extLst>
              </c15:ser>
            </c15:filteredScatterSeries>
            <c15:filteredScatterSeries>
              <c15:ser>
                <c:idx val="38"/>
                <c:order val="12"/>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C-1B85-414D-86A1-94F54BFCEE84}"/>
                  </c:ext>
                </c:extLst>
              </c15:ser>
            </c15:filteredScatterSeries>
            <c15:filteredScatterSeries>
              <c15:ser>
                <c:idx val="39"/>
                <c:order val="13"/>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D-1B85-414D-86A1-94F54BFCEE84}"/>
                  </c:ext>
                </c:extLst>
              </c15:ser>
            </c15:filteredScatterSeries>
            <c15:filteredScatterSeries>
              <c15:ser>
                <c:idx val="40"/>
                <c:order val="14"/>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E-1B85-414D-86A1-94F54BFCEE84}"/>
                  </c:ext>
                </c:extLst>
              </c15:ser>
            </c15:filteredScatterSeries>
            <c15:filteredScatterSeries>
              <c15:ser>
                <c:idx val="41"/>
                <c:order val="15"/>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F-1B85-414D-86A1-94F54BFCEE84}"/>
                  </c:ext>
                </c:extLst>
              </c15:ser>
            </c15:filteredScatterSeries>
            <c15:filteredScatterSeries>
              <c15:ser>
                <c:idx val="42"/>
                <c:order val="16"/>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1">
                        <a:lumMod val="70000"/>
                      </a:schemeClr>
                    </a:solidFill>
                    <a:ln w="9525">
                      <a:solidFill>
                        <a:schemeClr val="accent1">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0-1B85-414D-86A1-94F54BFCEE84}"/>
                  </c:ext>
                </c:extLst>
              </c15:ser>
            </c15:filteredScatterSeries>
            <c15:filteredScatterSeries>
              <c15:ser>
                <c:idx val="43"/>
                <c:order val="17"/>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2">
                        <a:lumMod val="70000"/>
                      </a:schemeClr>
                    </a:solidFill>
                    <a:ln w="9525">
                      <a:solidFill>
                        <a:schemeClr val="accent2">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1-1B85-414D-86A1-94F54BFCEE84}"/>
                  </c:ext>
                </c:extLst>
              </c15:ser>
            </c15:filteredScatterSeries>
            <c15:filteredScatterSeries>
              <c15:ser>
                <c:idx val="44"/>
                <c:order val="18"/>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3">
                        <a:lumMod val="70000"/>
                      </a:schemeClr>
                    </a:solidFill>
                    <a:ln w="9525">
                      <a:solidFill>
                        <a:schemeClr val="accent3">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2-1B85-414D-86A1-94F54BFCEE84}"/>
                  </c:ext>
                </c:extLst>
              </c15:ser>
            </c15:filteredScatterSeries>
            <c15:filteredScatterSeries>
              <c15:ser>
                <c:idx val="45"/>
                <c:order val="19"/>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4">
                        <a:lumMod val="70000"/>
                      </a:schemeClr>
                    </a:solidFill>
                    <a:ln w="9525">
                      <a:solidFill>
                        <a:schemeClr val="accent4">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3-1B85-414D-86A1-94F54BFCEE84}"/>
                  </c:ext>
                </c:extLst>
              </c15:ser>
            </c15:filteredScatterSeries>
            <c15:filteredScatterSeries>
              <c15:ser>
                <c:idx val="46"/>
                <c:order val="20"/>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5">
                        <a:lumMod val="70000"/>
                      </a:schemeClr>
                    </a:solidFill>
                    <a:ln w="9525">
                      <a:solidFill>
                        <a:schemeClr val="accent5">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4-1B85-414D-86A1-94F54BFCEE84}"/>
                  </c:ext>
                </c:extLst>
              </c15:ser>
            </c15:filteredScatterSeries>
            <c15:filteredScatterSeries>
              <c15:ser>
                <c:idx val="47"/>
                <c:order val="21"/>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6">
                        <a:lumMod val="70000"/>
                      </a:schemeClr>
                    </a:solidFill>
                    <a:ln w="9525">
                      <a:solidFill>
                        <a:schemeClr val="accent6">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5-1B85-414D-86A1-94F54BFCEE84}"/>
                  </c:ext>
                </c:extLst>
              </c15:ser>
            </c15:filteredScatterSeries>
            <c15:filteredScatterSeries>
              <c15:ser>
                <c:idx val="48"/>
                <c:order val="22"/>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1">
                        <a:lumMod val="50000"/>
                        <a:lumOff val="50000"/>
                      </a:schemeClr>
                    </a:solidFill>
                    <a:ln w="9525">
                      <a:solidFill>
                        <a:schemeClr val="accent1">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6-1B85-414D-86A1-94F54BFCEE84}"/>
                  </c:ext>
                </c:extLst>
              </c15:ser>
            </c15:filteredScatterSeries>
            <c15:filteredScatterSeries>
              <c15:ser>
                <c:idx val="49"/>
                <c:order val="23"/>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2">
                        <a:lumMod val="50000"/>
                        <a:lumOff val="50000"/>
                      </a:schemeClr>
                    </a:solidFill>
                    <a:ln w="9525">
                      <a:solidFill>
                        <a:schemeClr val="accent2">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7-1B85-414D-86A1-94F54BFCEE84}"/>
                  </c:ext>
                </c:extLst>
              </c15:ser>
            </c15:filteredScatterSeries>
            <c15:filteredScatterSeries>
              <c15:ser>
                <c:idx val="50"/>
                <c:order val="24"/>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3">
                        <a:lumMod val="50000"/>
                        <a:lumOff val="50000"/>
                      </a:schemeClr>
                    </a:solidFill>
                    <a:ln w="9525">
                      <a:solidFill>
                        <a:schemeClr val="accent3">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8-1B85-414D-86A1-94F54BFCEE84}"/>
                  </c:ext>
                </c:extLst>
              </c15:ser>
            </c15:filteredScatterSeries>
            <c15:filteredScatterSeries>
              <c15:ser>
                <c:idx val="51"/>
                <c:order val="25"/>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4">
                        <a:lumMod val="50000"/>
                        <a:lumOff val="50000"/>
                      </a:schemeClr>
                    </a:solidFill>
                    <a:ln w="9525">
                      <a:solidFill>
                        <a:schemeClr val="accent4">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9-1B85-414D-86A1-94F54BFCEE84}"/>
                  </c:ext>
                </c:extLst>
              </c15:ser>
            </c15:filteredScatterSeries>
            <c15:filteredScatterSeries>
              <c15:ser>
                <c:idx val="13"/>
                <c:order val="26"/>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A-1B85-414D-86A1-94F54BFCEE84}"/>
                  </c:ext>
                </c:extLst>
              </c15:ser>
            </c15:filteredScatterSeries>
            <c15:filteredScatterSeries>
              <c15:ser>
                <c:idx val="14"/>
                <c:order val="27"/>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B-1B85-414D-86A1-94F54BFCEE84}"/>
                  </c:ext>
                </c:extLst>
              </c15:ser>
            </c15:filteredScatterSeries>
            <c15:filteredScatterSeries>
              <c15:ser>
                <c:idx val="15"/>
                <c:order val="28"/>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C-1B85-414D-86A1-94F54BFCEE84}"/>
                  </c:ext>
                </c:extLst>
              </c15:ser>
            </c15:filteredScatterSeries>
            <c15:filteredScatterSeries>
              <c15:ser>
                <c:idx val="16"/>
                <c:order val="29"/>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D-1B85-414D-86A1-94F54BFCEE84}"/>
                  </c:ext>
                </c:extLst>
              </c15:ser>
            </c15:filteredScatterSeries>
            <c15:filteredScatterSeries>
              <c15:ser>
                <c:idx val="17"/>
                <c:order val="30"/>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E-1B85-414D-86A1-94F54BFCEE84}"/>
                  </c:ext>
                </c:extLst>
              </c15:ser>
            </c15:filteredScatterSeries>
            <c15:filteredScatterSeries>
              <c15:ser>
                <c:idx val="18"/>
                <c:order val="31"/>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1">
                        <a:lumMod val="80000"/>
                      </a:schemeClr>
                    </a:solidFill>
                    <a:ln w="9525">
                      <a:solidFill>
                        <a:schemeClr val="accent1">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F-1B85-414D-86A1-94F54BFCEE84}"/>
                  </c:ext>
                </c:extLst>
              </c15:ser>
            </c15:filteredScatterSeries>
            <c15:filteredScatterSeries>
              <c15:ser>
                <c:idx val="19"/>
                <c:order val="32"/>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2">
                        <a:lumMod val="80000"/>
                      </a:schemeClr>
                    </a:solidFill>
                    <a:ln w="9525">
                      <a:solidFill>
                        <a:schemeClr val="accent2">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0-1B85-414D-86A1-94F54BFCEE84}"/>
                  </c:ext>
                </c:extLst>
              </c15:ser>
            </c15:filteredScatterSeries>
            <c15:filteredScatterSeries>
              <c15:ser>
                <c:idx val="20"/>
                <c:order val="33"/>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3">
                        <a:lumMod val="80000"/>
                      </a:schemeClr>
                    </a:solidFill>
                    <a:ln w="9525">
                      <a:solidFill>
                        <a:schemeClr val="accent3">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1-1B85-414D-86A1-94F54BFCEE84}"/>
                  </c:ext>
                </c:extLst>
              </c15:ser>
            </c15:filteredScatterSeries>
            <c15:filteredScatterSeries>
              <c15:ser>
                <c:idx val="21"/>
                <c:order val="34"/>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4">
                        <a:lumMod val="80000"/>
                      </a:schemeClr>
                    </a:solidFill>
                    <a:ln w="9525">
                      <a:solidFill>
                        <a:schemeClr val="accent4">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2-1B85-414D-86A1-94F54BFCEE84}"/>
                  </c:ext>
                </c:extLst>
              </c15:ser>
            </c15:filteredScatterSeries>
            <c15:filteredScatterSeries>
              <c15:ser>
                <c:idx val="22"/>
                <c:order val="35"/>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5">
                        <a:lumMod val="80000"/>
                      </a:schemeClr>
                    </a:solidFill>
                    <a:ln w="9525">
                      <a:solidFill>
                        <a:schemeClr val="accent5">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3-1B85-414D-86A1-94F54BFCEE84}"/>
                  </c:ext>
                </c:extLst>
              </c15:ser>
            </c15:filteredScatterSeries>
            <c15:filteredScatterSeries>
              <c15:ser>
                <c:idx val="23"/>
                <c:order val="36"/>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6">
                        <a:lumMod val="80000"/>
                      </a:schemeClr>
                    </a:solidFill>
                    <a:ln w="9525">
                      <a:solidFill>
                        <a:schemeClr val="accent6">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4-1B85-414D-86A1-94F54BFCEE84}"/>
                  </c:ext>
                </c:extLst>
              </c15:ser>
            </c15:filteredScatterSeries>
            <c15:filteredScatterSeries>
              <c15:ser>
                <c:idx val="24"/>
                <c:order val="37"/>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5-1B85-414D-86A1-94F54BFCEE84}"/>
                  </c:ext>
                </c:extLst>
              </c15:ser>
            </c15:filteredScatterSeries>
            <c15:filteredScatterSeries>
              <c15:ser>
                <c:idx val="25"/>
                <c:order val="38"/>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6-1B85-414D-86A1-94F54BFCEE84}"/>
                  </c:ext>
                </c:extLst>
              </c15:ser>
            </c15:filteredScatterSeries>
            <c15:filteredScatterSeries>
              <c15:ser>
                <c:idx val="0"/>
                <c:order val="39"/>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7.9242807822705208E-2"/>
                        <c:y val="1.7720583530579013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1"/>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7-1B85-414D-86A1-94F54BFCEE84}"/>
                  </c:ext>
                </c:extLst>
              </c15:ser>
            </c15:filteredScatterSeries>
            <c15:filteredScatterSeries>
              <c15:ser>
                <c:idx val="1"/>
                <c:order val="40"/>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8.0899155004265963E-2"/>
                        <c:y val="-3.0237320242100321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2"/>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8-1B85-414D-86A1-94F54BFCEE84}"/>
                  </c:ext>
                </c:extLst>
              </c15:ser>
            </c15:filteredScatterSeries>
            <c15:filteredScatterSeries>
              <c15:ser>
                <c:idx val="2"/>
                <c:order val="41"/>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1"/>
                  <c:dispEq val="1"/>
                  <c:trendlineLbl>
                    <c:layout>
                      <c:manualLayout>
                        <c:x val="8.3339618672912716E-2"/>
                        <c:y val="6.5016459959785786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bg1">
                                <a:lumMod val="65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9-1B85-414D-86A1-94F54BFCEE84}"/>
                  </c:ext>
                </c:extLst>
              </c15:ser>
            </c15:filteredScatterSeries>
            <c15:filteredScatterSeries>
              <c15:ser>
                <c:idx val="3"/>
                <c:order val="42"/>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1"/>
                  <c:dispEq val="1"/>
                  <c:trendlineLbl>
                    <c:layout>
                      <c:manualLayout>
                        <c:x val="8.1715285891431996E-2"/>
                        <c:y val="-8.8608858332598316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4"/>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A-1B85-414D-86A1-94F54BFCEE84}"/>
                  </c:ext>
                </c:extLst>
              </c15:ser>
            </c15:filteredScatterSeries>
            <c15:filteredScatterSeries>
              <c15:ser>
                <c:idx val="4"/>
                <c:order val="43"/>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linear"/>
                  <c:dispRSqr val="1"/>
                  <c:dispEq val="1"/>
                  <c:trendlineLbl>
                    <c:layout>
                      <c:manualLayout>
                        <c:x val="8.0119032469765109E-2"/>
                        <c:y val="-1.1135328051023852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5"/>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B-1B85-414D-86A1-94F54BFCEE84}"/>
                  </c:ext>
                </c:extLst>
              </c15:ser>
            </c15:filteredScatterSeries>
            <c15:filteredScatterSeries>
              <c15:ser>
                <c:idx val="5"/>
                <c:order val="44"/>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6"/>
                    </a:solidFill>
                    <a:ln w="9525">
                      <a:solidFill>
                        <a:schemeClr val="accent6"/>
                      </a:solidFill>
                    </a:ln>
                    <a:effectLst/>
                  </c:spPr>
                </c:marker>
                <c:trendline>
                  <c:spPr>
                    <a:ln w="19050" cap="rnd">
                      <a:solidFill>
                        <a:schemeClr val="accent6"/>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6"/>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C-1B85-414D-86A1-94F54BFCEE84}"/>
                  </c:ext>
                </c:extLst>
              </c15:ser>
            </c15:filteredScatterSeries>
            <c15:filteredScatterSeries>
              <c15:ser>
                <c:idx val="6"/>
                <c:order val="45"/>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trendline>
                  <c:spPr>
                    <a:ln w="19050" cap="rnd">
                      <a:solidFill>
                        <a:schemeClr val="accent1">
                          <a:lumMod val="60000"/>
                        </a:schemeClr>
                      </a:solidFill>
                      <a:prstDash val="sysDot"/>
                    </a:ln>
                    <a:effectLst/>
                  </c:spPr>
                  <c:trendlineType val="linear"/>
                  <c:dispRSqr val="1"/>
                  <c:dispEq val="1"/>
                  <c:trendlineLbl>
                    <c:layout>
                      <c:manualLayout>
                        <c:x val="8.2711294316068343E-2"/>
                        <c:y val="-1.2961556257832711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trendlineLbl>
                </c:trendline>
                <c:trendline>
                  <c:spPr>
                    <a:ln w="19050" cap="rnd">
                      <a:solidFill>
                        <a:schemeClr val="accent1">
                          <a:lumMod val="60000"/>
                        </a:schemeClr>
                      </a:solidFill>
                      <a:prstDash val="sysDot"/>
                    </a:ln>
                    <a:effectLst/>
                  </c:spPr>
                  <c:trendlineType val="linear"/>
                  <c:dispRSqr val="0"/>
                  <c:dispEq val="0"/>
                </c:trendline>
                <c:trendline>
                  <c:spPr>
                    <a:ln w="19050" cap="rnd">
                      <a:solidFill>
                        <a:schemeClr val="accent1">
                          <a:lumMod val="60000"/>
                        </a:schemeClr>
                      </a:solidFill>
                      <a:prstDash val="sysDot"/>
                    </a:ln>
                    <a:effectLst/>
                  </c:spPr>
                  <c:trendlineType val="linear"/>
                  <c:dispRSqr val="0"/>
                  <c:dispEq val="0"/>
                </c:trendline>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D-1B85-414D-86A1-94F54BFCEE84}"/>
                  </c:ext>
                </c:extLst>
              </c15:ser>
            </c15:filteredScatterSeries>
            <c15:filteredScatterSeries>
              <c15:ser>
                <c:idx val="7"/>
                <c:order val="46"/>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trendline>
                  <c:spPr>
                    <a:ln w="19050" cap="rnd">
                      <a:solidFill>
                        <a:schemeClr val="accent2">
                          <a:lumMod val="60000"/>
                        </a:schemeClr>
                      </a:solidFill>
                      <a:prstDash val="sysDot"/>
                    </a:ln>
                    <a:effectLst/>
                  </c:spPr>
                  <c:trendlineType val="linear"/>
                  <c:dispRSqr val="1"/>
                  <c:dispEq val="1"/>
                  <c:trendlineLbl>
                    <c:layout>
                      <c:manualLayout>
                        <c:x val="8.6250673773576897E-2"/>
                        <c:y val="5.2052073091470245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2">
                                <a:lumMod val="50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E-1B85-414D-86A1-94F54BFCEE84}"/>
                  </c:ext>
                </c:extLst>
              </c15:ser>
            </c15:filteredScatterSeries>
            <c15:filteredScatterSeries>
              <c15:ser>
                <c:idx val="8"/>
                <c:order val="47"/>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trendline>
                  <c:spPr>
                    <a:ln w="19050" cap="rnd">
                      <a:solidFill>
                        <a:schemeClr val="accent3">
                          <a:lumMod val="60000"/>
                        </a:schemeClr>
                      </a:solidFill>
                      <a:prstDash val="sysDot"/>
                    </a:ln>
                    <a:effectLst/>
                  </c:spPr>
                  <c:trendlineType val="linear"/>
                  <c:dispRSqr val="1"/>
                  <c:dispEq val="1"/>
                  <c:trendlineLbl>
                    <c:layout>
                      <c:manualLayout>
                        <c:x val="8.4989031673134555E-2"/>
                        <c:y val="4.7691978794429917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F-1B85-414D-86A1-94F54BFCEE84}"/>
                  </c:ext>
                </c:extLst>
              </c15:ser>
            </c15:filteredScatterSeries>
            <c15:filteredScatterSeries>
              <c15:ser>
                <c:idx val="9"/>
                <c:order val="48"/>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4">
                        <a:lumMod val="60000"/>
                      </a:schemeClr>
                    </a:solidFill>
                    <a:ln w="9525">
                      <a:solidFill>
                        <a:schemeClr val="accent4">
                          <a:lumMod val="60000"/>
                        </a:schemeClr>
                      </a:solidFill>
                    </a:ln>
                    <a:effectLst/>
                  </c:spPr>
                </c:marker>
                <c:trendline>
                  <c:spPr>
                    <a:ln w="19050" cap="rnd">
                      <a:solidFill>
                        <a:schemeClr val="accent4">
                          <a:lumMod val="60000"/>
                        </a:schemeClr>
                      </a:solidFill>
                      <a:prstDash val="sysDot"/>
                    </a:ln>
                    <a:effectLst/>
                  </c:spPr>
                  <c:trendlineType val="linear"/>
                  <c:dispRSqr val="1"/>
                  <c:dispEq val="1"/>
                  <c:trendlineLbl>
                    <c:layout>
                      <c:manualLayout>
                        <c:x val="7.4297230453732072E-2"/>
                        <c:y val="-1.15030110754428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4">
                                <a:lumMod val="50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0-1B85-414D-86A1-94F54BFCEE84}"/>
                  </c:ext>
                </c:extLst>
              </c15:ser>
            </c15:filteredScatterSeries>
            <c15:filteredScatterSeries>
              <c15:ser>
                <c:idx val="10"/>
                <c:order val="49"/>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5">
                        <a:lumMod val="60000"/>
                      </a:schemeClr>
                    </a:solidFill>
                    <a:ln w="9525">
                      <a:solidFill>
                        <a:schemeClr val="accent5">
                          <a:lumMod val="60000"/>
                        </a:schemeClr>
                      </a:solidFill>
                    </a:ln>
                    <a:effectLst/>
                  </c:spPr>
                </c:marker>
                <c:trendline>
                  <c:spPr>
                    <a:ln w="19050" cap="rnd">
                      <a:solidFill>
                        <a:schemeClr val="accent5">
                          <a:lumMod val="60000"/>
                        </a:schemeClr>
                      </a:solidFill>
                      <a:prstDash val="sysDot"/>
                    </a:ln>
                    <a:effectLst/>
                  </c:spPr>
                  <c:trendlineType val="linear"/>
                  <c:dispRSqr val="1"/>
                  <c:dispEq val="1"/>
                  <c:trendlineLbl>
                    <c:layout>
                      <c:manualLayout>
                        <c:x val="8.5137871247375679E-2"/>
                        <c:y val="4.8361938682016182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5">
                                <a:lumMod val="50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1-1B85-414D-86A1-94F54BFCEE84}"/>
                  </c:ext>
                </c:extLst>
              </c15:ser>
            </c15:filteredScatterSeries>
            <c15:filteredScatterSeries>
              <c15:ser>
                <c:idx val="11"/>
                <c:order val="50"/>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6">
                        <a:lumMod val="60000"/>
                      </a:schemeClr>
                    </a:solidFill>
                    <a:ln w="9525">
                      <a:solidFill>
                        <a:schemeClr val="accent6">
                          <a:lumMod val="60000"/>
                        </a:schemeClr>
                      </a:solidFill>
                    </a:ln>
                    <a:effectLst/>
                  </c:spPr>
                </c:marker>
                <c:trendline>
                  <c:spPr>
                    <a:ln w="19050" cap="rnd">
                      <a:solidFill>
                        <a:schemeClr val="accent6">
                          <a:lumMod val="60000"/>
                        </a:schemeClr>
                      </a:solidFill>
                      <a:prstDash val="sysDot"/>
                    </a:ln>
                    <a:effectLst/>
                  </c:spPr>
                  <c:trendlineType val="linear"/>
                  <c:dispRSqr val="1"/>
                  <c:dispEq val="1"/>
                  <c:trendlineLbl>
                    <c:layout>
                      <c:manualLayout>
                        <c:x val="8.6870178479455773E-2"/>
                        <c:y val="-1.7836036584407206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6">
                                <a:lumMod val="50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2-1B85-414D-86A1-94F54BFCEE84}"/>
                  </c:ext>
                </c:extLst>
              </c15:ser>
            </c15:filteredScatterSeries>
            <c15:filteredScatterSeries>
              <c15:ser>
                <c:idx val="12"/>
                <c:order val="51"/>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trendline>
                  <c:spPr>
                    <a:ln w="19050" cap="rnd">
                      <a:solidFill>
                        <a:schemeClr val="accent1">
                          <a:lumMod val="80000"/>
                          <a:lumOff val="20000"/>
                        </a:schemeClr>
                      </a:solidFill>
                      <a:prstDash val="sysDot"/>
                    </a:ln>
                    <a:effectLst/>
                  </c:spPr>
                  <c:trendlineType val="linear"/>
                  <c:dispRSqr val="1"/>
                  <c:dispEq val="1"/>
                  <c:trendlineLbl>
                    <c:layout>
                      <c:manualLayout>
                        <c:x val="4.4708872807170411E-2"/>
                        <c:y val="5.3000317496397234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1"/>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3-1B85-414D-86A1-94F54BFCEE84}"/>
                  </c:ext>
                </c:extLst>
              </c15:ser>
            </c15:filteredScatterSeries>
          </c:ext>
        </c:extLst>
      </c:scatterChart>
      <c:valAx>
        <c:axId val="192961808"/>
        <c:scaling>
          <c:orientation val="minMax"/>
          <c:max val="11.5"/>
          <c:min val="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sz="900">
                    <a:solidFill>
                      <a:sysClr val="windowText" lastClr="000000"/>
                    </a:solidFill>
                  </a:rPr>
                  <a:t>time (min)</a:t>
                </a:r>
              </a:p>
            </c:rich>
          </c:tx>
          <c:layout>
            <c:manualLayout>
              <c:xMode val="edge"/>
              <c:yMode val="edge"/>
              <c:x val="0.77971894138232722"/>
              <c:y val="0.900037023324694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6577488"/>
        <c:crosses val="autoZero"/>
        <c:crossBetween val="midCat"/>
      </c:valAx>
      <c:valAx>
        <c:axId val="136577488"/>
        <c:scaling>
          <c:orientation val="minMax"/>
          <c:max val="28"/>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sz="900" b="0" i="0" baseline="0">
                    <a:effectLst/>
                  </a:rPr>
                  <a:t>[</a:t>
                </a:r>
                <a:r>
                  <a:rPr lang="en-US" sz="900" b="0" i="0" u="none" strike="noStrike" baseline="0">
                    <a:effectLst/>
                  </a:rPr>
                  <a:t>Ph</a:t>
                </a:r>
                <a:r>
                  <a:rPr lang="en-US" sz="900" b="0" i="0" u="none" strike="noStrike" baseline="-25000">
                    <a:effectLst/>
                  </a:rPr>
                  <a:t>2</a:t>
                </a:r>
                <a:r>
                  <a:rPr lang="en-US" sz="900" b="0" i="0" u="none" strike="noStrike" baseline="0">
                    <a:effectLst/>
                  </a:rPr>
                  <a:t>CHCHPh</a:t>
                </a:r>
                <a:r>
                  <a:rPr lang="en-US" sz="900" b="0" i="0" u="none" strike="noStrike" baseline="-25000">
                    <a:effectLst/>
                  </a:rPr>
                  <a:t>2</a:t>
                </a:r>
                <a:r>
                  <a:rPr lang="en-US" sz="900" b="0" i="0" baseline="0">
                    <a:effectLst/>
                  </a:rPr>
                  <a:t>] (mmol/L)</a:t>
                </a:r>
                <a:endParaRPr lang="en-US" sz="900">
                  <a:effectLst/>
                </a:endParaRPr>
              </a:p>
            </c:rich>
          </c:tx>
          <c:layout>
            <c:manualLayout>
              <c:xMode val="edge"/>
              <c:yMode val="edge"/>
              <c:x val="0"/>
              <c:y val="0.18321006801213899"/>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92961808"/>
        <c:crosses val="autoZero"/>
        <c:crossBetween val="midCat"/>
      </c:valAx>
      <c:spPr>
        <a:noFill/>
        <a:ln>
          <a:noFill/>
        </a:ln>
        <a:effectLst/>
      </c:spPr>
    </c:plotArea>
    <c:legend>
      <c:legendPos val="r"/>
      <c:legendEntry>
        <c:idx val="4"/>
        <c:delete val="1"/>
      </c:legendEntry>
      <c:legendEntry>
        <c:idx val="5"/>
        <c:delete val="1"/>
      </c:legendEntry>
      <c:legendEntry>
        <c:idx val="6"/>
        <c:delete val="1"/>
      </c:legendEntry>
      <c:legendEntry>
        <c:idx val="7"/>
        <c:delete val="1"/>
      </c:legendEntry>
      <c:layout>
        <c:manualLayout>
          <c:xMode val="edge"/>
          <c:yMode val="edge"/>
          <c:x val="0"/>
          <c:y val="0.90723270889402596"/>
          <c:w val="0.59483383826502201"/>
          <c:h val="9.17629919219414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mn-lt"/>
                <a:ea typeface="+mn-ea"/>
                <a:cs typeface="+mn-cs"/>
              </a:defRPr>
            </a:pPr>
            <a:r>
              <a:rPr lang="en-US" sz="1000" b="1" i="0" u="none" strike="noStrike" baseline="0">
                <a:effectLst/>
              </a:rPr>
              <a:t>Ph</a:t>
            </a:r>
            <a:r>
              <a:rPr lang="en-US" sz="1000" b="1" i="0" u="none" strike="noStrike" baseline="-25000">
                <a:effectLst/>
              </a:rPr>
              <a:t>2</a:t>
            </a:r>
            <a:r>
              <a:rPr lang="en-US" sz="1000" b="1" i="0" u="none" strike="noStrike" baseline="0">
                <a:effectLst/>
              </a:rPr>
              <a:t>CH</a:t>
            </a:r>
            <a:r>
              <a:rPr lang="en-US" sz="1000" b="1">
                <a:solidFill>
                  <a:sysClr val="windowText" lastClr="000000"/>
                </a:solidFill>
              </a:rPr>
              <a:t>OH (with </a:t>
            </a:r>
            <a:r>
              <a:rPr lang="en-US" sz="1000" b="1" i="0" u="none" strike="noStrike" baseline="0">
                <a:solidFill>
                  <a:sysClr val="windowText" lastClr="000000"/>
                </a:solidFill>
                <a:effectLst/>
              </a:rPr>
              <a:t>PPh</a:t>
            </a:r>
            <a:r>
              <a:rPr lang="en-US" sz="1000" b="1" i="0" u="none" strike="noStrike" baseline="-25000">
                <a:solidFill>
                  <a:sysClr val="windowText" lastClr="000000"/>
                </a:solidFill>
                <a:effectLst/>
              </a:rPr>
              <a:t>3</a:t>
            </a:r>
            <a:r>
              <a:rPr lang="en-US" sz="1000" b="1" baseline="0">
                <a:solidFill>
                  <a:sysClr val="windowText" lastClr="000000"/>
                </a:solidFill>
              </a:rPr>
              <a:t> 200</a:t>
            </a:r>
            <a:r>
              <a:rPr lang="en-US" sz="1000" b="1">
                <a:solidFill>
                  <a:sysClr val="windowText" lastClr="000000"/>
                </a:solidFill>
              </a:rPr>
              <a:t> mmol/L)</a:t>
            </a:r>
          </a:p>
        </c:rich>
      </c:tx>
      <c:layout>
        <c:manualLayout>
          <c:xMode val="edge"/>
          <c:yMode val="edge"/>
          <c:x val="0.21978658917635291"/>
          <c:y val="3.4584374557970672E-3"/>
        </c:manualLayout>
      </c:layout>
      <c:overlay val="0"/>
      <c:spPr>
        <a:solidFill>
          <a:schemeClr val="bg1"/>
        </a:solidFill>
        <a:ln>
          <a:noFill/>
        </a:ln>
        <a:effectLst/>
      </c:spPr>
    </c:title>
    <c:autoTitleDeleted val="0"/>
    <c:plotArea>
      <c:layout>
        <c:manualLayout>
          <c:layoutTarget val="inner"/>
          <c:xMode val="edge"/>
          <c:yMode val="edge"/>
          <c:x val="0.20236571991001126"/>
          <c:y val="3.6281194104718473E-2"/>
          <c:w val="0.72881007061617298"/>
          <c:h val="0.77212855519258605"/>
        </c:manualLayout>
      </c:layout>
      <c:scatterChart>
        <c:scatterStyle val="lineMarker"/>
        <c:varyColors val="0"/>
        <c:ser>
          <c:idx val="33"/>
          <c:order val="7"/>
          <c:tx>
            <c:strRef>
              <c:f>'Sheet1 (2)'!$O$146</c:f>
              <c:strCache>
                <c:ptCount val="1"/>
                <c:pt idx="0">
                  <c:v>g</c:v>
                </c:pt>
              </c:strCache>
            </c:strRef>
          </c:tx>
          <c:spPr>
            <a:ln w="25400" cap="rnd">
              <a:noFill/>
              <a:round/>
            </a:ln>
            <a:effectLst/>
          </c:spPr>
          <c:marker>
            <c:symbol val="square"/>
            <c:size val="3"/>
            <c:spPr>
              <a:solidFill>
                <a:schemeClr val="tx1"/>
              </a:solidFill>
              <a:ln w="9525">
                <a:solidFill>
                  <a:schemeClr val="tx1"/>
                </a:solidFill>
              </a:ln>
              <a:effectLst/>
            </c:spPr>
          </c:marker>
          <c:trendline>
            <c:spPr>
              <a:ln w="19050" cap="rnd">
                <a:solidFill>
                  <a:schemeClr val="tx1"/>
                </a:solidFill>
                <a:prstDash val="sysDot"/>
              </a:ln>
              <a:effectLst/>
            </c:spPr>
            <c:trendlineType val="linear"/>
            <c:dispRSqr val="1"/>
            <c:dispEq val="1"/>
            <c:trendlineLbl>
              <c:layout>
                <c:manualLayout>
                  <c:x val="-0.15954607236595425"/>
                  <c:y val="0.13486137960299874"/>
                </c:manualLayout>
              </c:layout>
              <c:numFmt formatCode="#,##0.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trendlineLbl>
          </c:trendline>
          <c:xVal>
            <c:numRef>
              <c:f>'Sheet1 (2)'!$P$148:$P$156</c:f>
              <c:numCache>
                <c:formatCode>General</c:formatCode>
                <c:ptCount val="9"/>
                <c:pt idx="0">
                  <c:v>2</c:v>
                </c:pt>
                <c:pt idx="1">
                  <c:v>3</c:v>
                </c:pt>
                <c:pt idx="2">
                  <c:v>4</c:v>
                </c:pt>
                <c:pt idx="3">
                  <c:v>5</c:v>
                </c:pt>
                <c:pt idx="4">
                  <c:v>6</c:v>
                </c:pt>
                <c:pt idx="5">
                  <c:v>7</c:v>
                </c:pt>
                <c:pt idx="6">
                  <c:v>8</c:v>
                </c:pt>
                <c:pt idx="7">
                  <c:v>9</c:v>
                </c:pt>
                <c:pt idx="8">
                  <c:v>10</c:v>
                </c:pt>
              </c:numCache>
            </c:numRef>
          </c:xVal>
          <c:yVal>
            <c:numRef>
              <c:f>'Sheet1 (2)'!$R$148:$R$156</c:f>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c:ext xmlns:c16="http://schemas.microsoft.com/office/drawing/2014/chart" uri="{C3380CC4-5D6E-409C-BE32-E72D297353CC}">
              <c16:uniqueId val="{00000000-347F-408F-9E82-77DF78FBF94F}"/>
            </c:ext>
          </c:extLst>
        </c:ser>
        <c:ser>
          <c:idx val="36"/>
          <c:order val="10"/>
          <c:tx>
            <c:strRef>
              <c:f>'Sheet1 (2)'!$O$188</c:f>
              <c:strCache>
                <c:ptCount val="1"/>
                <c:pt idx="0">
                  <c:v>k'</c:v>
                </c:pt>
              </c:strCache>
            </c:strRef>
          </c:tx>
          <c:spPr>
            <a:ln w="25400" cap="rnd">
              <a:noFill/>
              <a:round/>
            </a:ln>
            <a:effectLst/>
          </c:spPr>
          <c:marker>
            <c:symbol val="triangle"/>
            <c:size val="4"/>
            <c:spPr>
              <a:solidFill>
                <a:schemeClr val="bg1"/>
              </a:solidFill>
              <a:ln w="9525">
                <a:solidFill>
                  <a:schemeClr val="tx1">
                    <a:lumMod val="75000"/>
                    <a:lumOff val="25000"/>
                  </a:schemeClr>
                </a:solidFill>
              </a:ln>
              <a:effectLst/>
            </c:spPr>
          </c:marker>
          <c:trendline>
            <c:spPr>
              <a:ln w="19050" cap="rnd">
                <a:solidFill>
                  <a:schemeClr val="tx1">
                    <a:lumMod val="75000"/>
                    <a:lumOff val="25000"/>
                  </a:schemeClr>
                </a:solidFill>
                <a:prstDash val="sysDot"/>
              </a:ln>
              <a:effectLst/>
            </c:spPr>
            <c:trendlineType val="linear"/>
            <c:dispRSqr val="1"/>
            <c:dispEq val="1"/>
            <c:trendlineLbl>
              <c:layout>
                <c:manualLayout>
                  <c:x val="8.0987142232220977E-2"/>
                  <c:y val="0.14220554953085954"/>
                </c:manualLayout>
              </c:layout>
              <c:numFmt formatCode="#,##0.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n-US"/>
                </a:p>
              </c:txPr>
            </c:trendlineLbl>
          </c:trendline>
          <c:xVal>
            <c:numRef>
              <c:f>'Sheet1 (2)'!$P$190:$P$199</c:f>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f>'Sheet1 (2)'!$R$190:$R$199</c:f>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c:ext xmlns:c16="http://schemas.microsoft.com/office/drawing/2014/chart" uri="{C3380CC4-5D6E-409C-BE32-E72D297353CC}">
              <c16:uniqueId val="{00000001-347F-408F-9E82-77DF78FBF94F}"/>
            </c:ext>
          </c:extLst>
        </c:ser>
        <c:ser>
          <c:idx val="38"/>
          <c:order val="12"/>
          <c:tx>
            <c:strRef>
              <c:f>'Sheet1 (2)'!$O$216</c:f>
              <c:strCache>
                <c:ptCount val="1"/>
                <c:pt idx="0">
                  <c:v>m</c:v>
                </c:pt>
              </c:strCache>
            </c:strRef>
          </c:tx>
          <c:spPr>
            <a:ln w="25400" cap="rnd">
              <a:noFill/>
              <a:round/>
            </a:ln>
            <a:effectLst/>
          </c:spPr>
          <c:marker>
            <c:symbol val="circle"/>
            <c:size val="3"/>
            <c:spPr>
              <a:solidFill>
                <a:schemeClr val="tx1">
                  <a:lumMod val="50000"/>
                  <a:lumOff val="50000"/>
                </a:schemeClr>
              </a:solidFill>
              <a:ln w="9525">
                <a:solidFill>
                  <a:schemeClr val="tx1">
                    <a:lumMod val="50000"/>
                    <a:lumOff val="50000"/>
                  </a:schemeClr>
                </a:solidFill>
              </a:ln>
              <a:effectLst/>
            </c:spPr>
          </c:marker>
          <c:trendline>
            <c:spPr>
              <a:ln w="19050" cap="rnd">
                <a:solidFill>
                  <a:schemeClr val="bg1">
                    <a:lumMod val="50000"/>
                  </a:schemeClr>
                </a:solidFill>
                <a:prstDash val="sysDot"/>
              </a:ln>
              <a:effectLst/>
            </c:spPr>
            <c:trendlineType val="linear"/>
            <c:dispRSqr val="1"/>
            <c:dispEq val="1"/>
            <c:trendlineLbl>
              <c:layout>
                <c:manualLayout>
                  <c:x val="0.12562999937507813"/>
                  <c:y val="0.25151056155405727"/>
                </c:manualLayout>
              </c:layout>
              <c:numFmt formatCode="#,##0.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50000"/>
                          <a:lumOff val="50000"/>
                        </a:schemeClr>
                      </a:solidFill>
                      <a:latin typeface="+mn-lt"/>
                      <a:ea typeface="+mn-ea"/>
                      <a:cs typeface="+mn-cs"/>
                    </a:defRPr>
                  </a:pPr>
                  <a:endParaRPr lang="en-US"/>
                </a:p>
              </c:txPr>
            </c:trendlineLbl>
          </c:trendline>
          <c:xVal>
            <c:numRef>
              <c:f>('Sheet1 (2)'!$P$218,'Sheet1 (2)'!$P$220:$P$227)</c:f>
              <c:numCache>
                <c:formatCode>General</c:formatCode>
                <c:ptCount val="9"/>
                <c:pt idx="0">
                  <c:v>3</c:v>
                </c:pt>
                <c:pt idx="1">
                  <c:v>5</c:v>
                </c:pt>
                <c:pt idx="2">
                  <c:v>6</c:v>
                </c:pt>
                <c:pt idx="3">
                  <c:v>7</c:v>
                </c:pt>
                <c:pt idx="4">
                  <c:v>8</c:v>
                </c:pt>
                <c:pt idx="5">
                  <c:v>9</c:v>
                </c:pt>
                <c:pt idx="6">
                  <c:v>10</c:v>
                </c:pt>
                <c:pt idx="7">
                  <c:v>11</c:v>
                </c:pt>
                <c:pt idx="8">
                  <c:v>12</c:v>
                </c:pt>
              </c:numCache>
            </c:numRef>
          </c:xVal>
          <c:yVal>
            <c:numRef>
              <c:f>('Sheet1 (2)'!$R$218,'Sheet1 (2)'!$R$220:$R$227)</c:f>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c:ext xmlns:c16="http://schemas.microsoft.com/office/drawing/2014/chart" uri="{C3380CC4-5D6E-409C-BE32-E72D297353CC}">
              <c16:uniqueId val="{00000002-347F-408F-9E82-77DF78FBF94F}"/>
            </c:ext>
          </c:extLst>
        </c:ser>
        <c:dLbls>
          <c:showLegendKey val="0"/>
          <c:showVal val="0"/>
          <c:showCatName val="0"/>
          <c:showSerName val="0"/>
          <c:showPercent val="0"/>
          <c:showBubbleSize val="0"/>
        </c:dLbls>
        <c:axId val="136568784"/>
        <c:axId val="236369824"/>
        <c:extLst xmlns:c16r2="http://schemas.microsoft.com/office/drawing/2015/06/chart">
          <c:ext xmlns:c15="http://schemas.microsoft.com/office/drawing/2012/chart" uri="{02D57815-91ED-43cb-92C2-25804820EDAC}">
            <c15:filteredScatterSeries>
              <c15:ser>
                <c:idx val="26"/>
                <c:order val="0"/>
                <c:tx>
                  <c:strRef>
                    <c:extLst xmlns:c16r2="http://schemas.microsoft.com/office/drawing/2015/06/chart">
                      <c:ex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6r2="http://schemas.microsoft.com/office/drawing/2015/06/chart">
                      <c:ex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c:ex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c:ext xmlns:c16="http://schemas.microsoft.com/office/drawing/2014/chart" uri="{C3380CC4-5D6E-409C-BE32-E72D297353CC}">
                    <c16:uniqueId val="{00000003-347F-408F-9E82-77DF78FBF94F}"/>
                  </c:ext>
                </c:extLst>
              </c15:ser>
            </c15:filteredScatterSeries>
            <c15:filteredScatterSeries>
              <c15:ser>
                <c:idx val="27"/>
                <c:order val="1"/>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4-347F-408F-9E82-77DF78FBF94F}"/>
                  </c:ext>
                </c:extLst>
              </c15:ser>
            </c15:filteredScatterSeries>
            <c15:filteredScatterSeries>
              <c15:ser>
                <c:idx val="28"/>
                <c:order val="2"/>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5-347F-408F-9E82-77DF78FBF94F}"/>
                  </c:ext>
                </c:extLst>
              </c15:ser>
            </c15:filteredScatterSeries>
            <c15:filteredScatterSeries>
              <c15:ser>
                <c:idx val="29"/>
                <c:order val="3"/>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6-347F-408F-9E82-77DF78FBF94F}"/>
                  </c:ext>
                </c:extLst>
              </c15:ser>
            </c15:filteredScatterSeries>
            <c15:filteredScatterSeries>
              <c15:ser>
                <c:idx val="30"/>
                <c:order val="4"/>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1">
                        <a:lumMod val="50000"/>
                      </a:schemeClr>
                    </a:solidFill>
                    <a:ln w="9525">
                      <a:solidFill>
                        <a:schemeClr val="accent1">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7-347F-408F-9E82-77DF78FBF94F}"/>
                  </c:ext>
                </c:extLst>
              </c15:ser>
            </c15:filteredScatterSeries>
            <c15:filteredScatterSeries>
              <c15:ser>
                <c:idx val="31"/>
                <c:order val="5"/>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2">
                        <a:lumMod val="50000"/>
                      </a:schemeClr>
                    </a:solidFill>
                    <a:ln w="9525">
                      <a:solidFill>
                        <a:schemeClr val="accent2">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8-347F-408F-9E82-77DF78FBF94F}"/>
                  </c:ext>
                </c:extLst>
              </c15:ser>
            </c15:filteredScatterSeries>
            <c15:filteredScatterSeries>
              <c15:ser>
                <c:idx val="32"/>
                <c:order val="6"/>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3">
                        <a:lumMod val="50000"/>
                      </a:schemeClr>
                    </a:solidFill>
                    <a:ln w="9525">
                      <a:solidFill>
                        <a:schemeClr val="accent3">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9-347F-408F-9E82-77DF78FBF94F}"/>
                  </c:ext>
                </c:extLst>
              </c15:ser>
            </c15:filteredScatterSeries>
            <c15:filteredScatterSeries>
              <c15:ser>
                <c:idx val="34"/>
                <c:order val="8"/>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5">
                        <a:lumMod val="50000"/>
                      </a:schemeClr>
                    </a:solidFill>
                    <a:ln w="9525">
                      <a:solidFill>
                        <a:schemeClr val="accent5">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A-347F-408F-9E82-77DF78FBF94F}"/>
                  </c:ext>
                </c:extLst>
              </c15:ser>
            </c15:filteredScatterSeries>
            <c15:filteredScatterSeries>
              <c15:ser>
                <c:idx val="35"/>
                <c:order val="9"/>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6">
                        <a:lumMod val="50000"/>
                      </a:schemeClr>
                    </a:solidFill>
                    <a:ln w="9525">
                      <a:solidFill>
                        <a:schemeClr val="accent6">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B-347F-408F-9E82-77DF78FBF94F}"/>
                  </c:ext>
                </c:extLst>
              </c15:ser>
            </c15:filteredScatterSeries>
            <c15:filteredScatterSeries>
              <c15:ser>
                <c:idx val="37"/>
                <c:order val="11"/>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C-347F-408F-9E82-77DF78FBF94F}"/>
                  </c:ext>
                </c:extLst>
              </c15:ser>
            </c15:filteredScatterSeries>
            <c15:filteredScatterSeries>
              <c15:ser>
                <c:idx val="39"/>
                <c:order val="13"/>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D-347F-408F-9E82-77DF78FBF94F}"/>
                  </c:ext>
                </c:extLst>
              </c15:ser>
            </c15:filteredScatterSeries>
            <c15:filteredScatterSeries>
              <c15:ser>
                <c:idx val="40"/>
                <c:order val="14"/>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E-347F-408F-9E82-77DF78FBF94F}"/>
                  </c:ext>
                </c:extLst>
              </c15:ser>
            </c15:filteredScatterSeries>
            <c15:filteredScatterSeries>
              <c15:ser>
                <c:idx val="41"/>
                <c:order val="15"/>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F-347F-408F-9E82-77DF78FBF94F}"/>
                  </c:ext>
                </c:extLst>
              </c15:ser>
            </c15:filteredScatterSeries>
            <c15:filteredScatterSeries>
              <c15:ser>
                <c:idx val="42"/>
                <c:order val="16"/>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1">
                        <a:lumMod val="70000"/>
                      </a:schemeClr>
                    </a:solidFill>
                    <a:ln w="9525">
                      <a:solidFill>
                        <a:schemeClr val="accent1">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0-347F-408F-9E82-77DF78FBF94F}"/>
                  </c:ext>
                </c:extLst>
              </c15:ser>
            </c15:filteredScatterSeries>
            <c15:filteredScatterSeries>
              <c15:ser>
                <c:idx val="44"/>
                <c:order val="17"/>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3">
                        <a:lumMod val="70000"/>
                      </a:schemeClr>
                    </a:solidFill>
                    <a:ln w="9525">
                      <a:solidFill>
                        <a:schemeClr val="accent3">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1-347F-408F-9E82-77DF78FBF94F}"/>
                  </c:ext>
                </c:extLst>
              </c15:ser>
            </c15:filteredScatterSeries>
            <c15:filteredScatterSeries>
              <c15:ser>
                <c:idx val="45"/>
                <c:order val="18"/>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4">
                        <a:lumMod val="70000"/>
                      </a:schemeClr>
                    </a:solidFill>
                    <a:ln w="9525">
                      <a:solidFill>
                        <a:schemeClr val="accent4">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2-347F-408F-9E82-77DF78FBF94F}"/>
                  </c:ext>
                </c:extLst>
              </c15:ser>
            </c15:filteredScatterSeries>
            <c15:filteredScatterSeries>
              <c15:ser>
                <c:idx val="46"/>
                <c:order val="19"/>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5">
                        <a:lumMod val="70000"/>
                      </a:schemeClr>
                    </a:solidFill>
                    <a:ln w="9525">
                      <a:solidFill>
                        <a:schemeClr val="accent5">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3-347F-408F-9E82-77DF78FBF94F}"/>
                  </c:ext>
                </c:extLst>
              </c15:ser>
            </c15:filteredScatterSeries>
            <c15:filteredScatterSeries>
              <c15:ser>
                <c:idx val="47"/>
                <c:order val="20"/>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6">
                        <a:lumMod val="70000"/>
                      </a:schemeClr>
                    </a:solidFill>
                    <a:ln w="9525">
                      <a:solidFill>
                        <a:schemeClr val="accent6">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4-347F-408F-9E82-77DF78FBF94F}"/>
                  </c:ext>
                </c:extLst>
              </c15:ser>
            </c15:filteredScatterSeries>
            <c15:filteredScatterSeries>
              <c15:ser>
                <c:idx val="48"/>
                <c:order val="21"/>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1">
                        <a:lumMod val="50000"/>
                        <a:lumOff val="50000"/>
                      </a:schemeClr>
                    </a:solidFill>
                    <a:ln w="9525">
                      <a:solidFill>
                        <a:schemeClr val="accent1">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5-347F-408F-9E82-77DF78FBF94F}"/>
                  </c:ext>
                </c:extLst>
              </c15:ser>
            </c15:filteredScatterSeries>
            <c15:filteredScatterSeries>
              <c15:ser>
                <c:idx val="49"/>
                <c:order val="22"/>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2">
                        <a:lumMod val="50000"/>
                        <a:lumOff val="50000"/>
                      </a:schemeClr>
                    </a:solidFill>
                    <a:ln w="9525">
                      <a:solidFill>
                        <a:schemeClr val="accent2">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6-347F-408F-9E82-77DF78FBF94F}"/>
                  </c:ext>
                </c:extLst>
              </c15:ser>
            </c15:filteredScatterSeries>
            <c15:filteredScatterSeries>
              <c15:ser>
                <c:idx val="50"/>
                <c:order val="23"/>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3">
                        <a:lumMod val="50000"/>
                        <a:lumOff val="50000"/>
                      </a:schemeClr>
                    </a:solidFill>
                    <a:ln w="9525">
                      <a:solidFill>
                        <a:schemeClr val="accent3">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7-347F-408F-9E82-77DF78FBF94F}"/>
                  </c:ext>
                </c:extLst>
              </c15:ser>
            </c15:filteredScatterSeries>
            <c15:filteredScatterSeries>
              <c15:ser>
                <c:idx val="51"/>
                <c:order val="24"/>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4">
                        <a:lumMod val="50000"/>
                        <a:lumOff val="50000"/>
                      </a:schemeClr>
                    </a:solidFill>
                    <a:ln w="9525">
                      <a:solidFill>
                        <a:schemeClr val="accent4">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8-347F-408F-9E82-77DF78FBF94F}"/>
                  </c:ext>
                </c:extLst>
              </c15:ser>
            </c15:filteredScatterSeries>
            <c15:filteredScatterSeries>
              <c15:ser>
                <c:idx val="13"/>
                <c:order val="25"/>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9-347F-408F-9E82-77DF78FBF94F}"/>
                  </c:ext>
                </c:extLst>
              </c15:ser>
            </c15:filteredScatterSeries>
            <c15:filteredScatterSeries>
              <c15:ser>
                <c:idx val="14"/>
                <c:order val="26"/>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A-347F-408F-9E82-77DF78FBF94F}"/>
                  </c:ext>
                </c:extLst>
              </c15:ser>
            </c15:filteredScatterSeries>
            <c15:filteredScatterSeries>
              <c15:ser>
                <c:idx val="15"/>
                <c:order val="27"/>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B-347F-408F-9E82-77DF78FBF94F}"/>
                  </c:ext>
                </c:extLst>
              </c15:ser>
            </c15:filteredScatterSeries>
            <c15:filteredScatterSeries>
              <c15:ser>
                <c:idx val="16"/>
                <c:order val="28"/>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C-347F-408F-9E82-77DF78FBF94F}"/>
                  </c:ext>
                </c:extLst>
              </c15:ser>
            </c15:filteredScatterSeries>
            <c15:filteredScatterSeries>
              <c15:ser>
                <c:idx val="17"/>
                <c:order val="29"/>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D-347F-408F-9E82-77DF78FBF94F}"/>
                  </c:ext>
                </c:extLst>
              </c15:ser>
            </c15:filteredScatterSeries>
            <c15:filteredScatterSeries>
              <c15:ser>
                <c:idx val="18"/>
                <c:order val="30"/>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1">
                        <a:lumMod val="80000"/>
                      </a:schemeClr>
                    </a:solidFill>
                    <a:ln w="9525">
                      <a:solidFill>
                        <a:schemeClr val="accent1">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E-347F-408F-9E82-77DF78FBF94F}"/>
                  </c:ext>
                </c:extLst>
              </c15:ser>
            </c15:filteredScatterSeries>
            <c15:filteredScatterSeries>
              <c15:ser>
                <c:idx val="19"/>
                <c:order val="31"/>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2">
                        <a:lumMod val="80000"/>
                      </a:schemeClr>
                    </a:solidFill>
                    <a:ln w="9525">
                      <a:solidFill>
                        <a:schemeClr val="accent2">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F-347F-408F-9E82-77DF78FBF94F}"/>
                  </c:ext>
                </c:extLst>
              </c15:ser>
            </c15:filteredScatterSeries>
            <c15:filteredScatterSeries>
              <c15:ser>
                <c:idx val="20"/>
                <c:order val="32"/>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3">
                        <a:lumMod val="80000"/>
                      </a:schemeClr>
                    </a:solidFill>
                    <a:ln w="9525">
                      <a:solidFill>
                        <a:schemeClr val="accent3">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0-347F-408F-9E82-77DF78FBF94F}"/>
                  </c:ext>
                </c:extLst>
              </c15:ser>
            </c15:filteredScatterSeries>
            <c15:filteredScatterSeries>
              <c15:ser>
                <c:idx val="21"/>
                <c:order val="33"/>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4">
                        <a:lumMod val="80000"/>
                      </a:schemeClr>
                    </a:solidFill>
                    <a:ln w="9525">
                      <a:solidFill>
                        <a:schemeClr val="accent4">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1-347F-408F-9E82-77DF78FBF94F}"/>
                  </c:ext>
                </c:extLst>
              </c15:ser>
            </c15:filteredScatterSeries>
            <c15:filteredScatterSeries>
              <c15:ser>
                <c:idx val="22"/>
                <c:order val="34"/>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5">
                        <a:lumMod val="80000"/>
                      </a:schemeClr>
                    </a:solidFill>
                    <a:ln w="9525">
                      <a:solidFill>
                        <a:schemeClr val="accent5">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2-347F-408F-9E82-77DF78FBF94F}"/>
                  </c:ext>
                </c:extLst>
              </c15:ser>
            </c15:filteredScatterSeries>
            <c15:filteredScatterSeries>
              <c15:ser>
                <c:idx val="23"/>
                <c:order val="35"/>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6">
                        <a:lumMod val="80000"/>
                      </a:schemeClr>
                    </a:solidFill>
                    <a:ln w="9525">
                      <a:solidFill>
                        <a:schemeClr val="accent6">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3-347F-408F-9E82-77DF78FBF94F}"/>
                  </c:ext>
                </c:extLst>
              </c15:ser>
            </c15:filteredScatterSeries>
            <c15:filteredScatterSeries>
              <c15:ser>
                <c:idx val="24"/>
                <c:order val="36"/>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4-347F-408F-9E82-77DF78FBF94F}"/>
                  </c:ext>
                </c:extLst>
              </c15:ser>
            </c15:filteredScatterSeries>
            <c15:filteredScatterSeries>
              <c15:ser>
                <c:idx val="25"/>
                <c:order val="37"/>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5-347F-408F-9E82-77DF78FBF94F}"/>
                  </c:ext>
                </c:extLst>
              </c15:ser>
            </c15:filteredScatterSeries>
            <c15:filteredScatterSeries>
              <c15:ser>
                <c:idx val="0"/>
                <c:order val="38"/>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7.9242807822705208E-2"/>
                        <c:y val="1.7720583530579013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1"/>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6-347F-408F-9E82-77DF78FBF94F}"/>
                  </c:ext>
                </c:extLst>
              </c15:ser>
            </c15:filteredScatterSeries>
            <c15:filteredScatterSeries>
              <c15:ser>
                <c:idx val="1"/>
                <c:order val="39"/>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8.0899155004265963E-2"/>
                        <c:y val="-3.0237320242100321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2"/>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7-347F-408F-9E82-77DF78FBF94F}"/>
                  </c:ext>
                </c:extLst>
              </c15:ser>
            </c15:filteredScatterSeries>
            <c15:filteredScatterSeries>
              <c15:ser>
                <c:idx val="2"/>
                <c:order val="40"/>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1"/>
                  <c:dispEq val="1"/>
                  <c:trendlineLbl>
                    <c:layout>
                      <c:manualLayout>
                        <c:x val="8.3339618672912716E-2"/>
                        <c:y val="6.5016459959785786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bg1">
                                <a:lumMod val="65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8-347F-408F-9E82-77DF78FBF94F}"/>
                  </c:ext>
                </c:extLst>
              </c15:ser>
            </c15:filteredScatterSeries>
            <c15:filteredScatterSeries>
              <c15:ser>
                <c:idx val="3"/>
                <c:order val="41"/>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1"/>
                  <c:dispEq val="1"/>
                  <c:trendlineLbl>
                    <c:layout>
                      <c:manualLayout>
                        <c:x val="8.1715285891431996E-2"/>
                        <c:y val="-8.8608858332598316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4"/>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9-347F-408F-9E82-77DF78FBF94F}"/>
                  </c:ext>
                </c:extLst>
              </c15:ser>
            </c15:filteredScatterSeries>
            <c15:filteredScatterSeries>
              <c15:ser>
                <c:idx val="4"/>
                <c:order val="42"/>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linear"/>
                  <c:dispRSqr val="1"/>
                  <c:dispEq val="1"/>
                  <c:trendlineLbl>
                    <c:layout>
                      <c:manualLayout>
                        <c:x val="8.0119032469765109E-2"/>
                        <c:y val="-1.1135328051023852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5"/>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A-347F-408F-9E82-77DF78FBF94F}"/>
                  </c:ext>
                </c:extLst>
              </c15:ser>
            </c15:filteredScatterSeries>
            <c15:filteredScatterSeries>
              <c15:ser>
                <c:idx val="5"/>
                <c:order val="43"/>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6"/>
                    </a:solidFill>
                    <a:ln w="9525">
                      <a:solidFill>
                        <a:schemeClr val="accent6"/>
                      </a:solidFill>
                    </a:ln>
                    <a:effectLst/>
                  </c:spPr>
                </c:marker>
                <c:trendline>
                  <c:spPr>
                    <a:ln w="19050" cap="rnd">
                      <a:solidFill>
                        <a:schemeClr val="accent6"/>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6"/>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B-347F-408F-9E82-77DF78FBF94F}"/>
                  </c:ext>
                </c:extLst>
              </c15:ser>
            </c15:filteredScatterSeries>
            <c15:filteredScatterSeries>
              <c15:ser>
                <c:idx val="6"/>
                <c:order val="44"/>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trendline>
                  <c:spPr>
                    <a:ln w="19050" cap="rnd">
                      <a:solidFill>
                        <a:schemeClr val="accent1">
                          <a:lumMod val="60000"/>
                        </a:schemeClr>
                      </a:solidFill>
                      <a:prstDash val="sysDot"/>
                    </a:ln>
                    <a:effectLst/>
                  </c:spPr>
                  <c:trendlineType val="linear"/>
                  <c:dispRSqr val="1"/>
                  <c:dispEq val="1"/>
                  <c:trendlineLbl>
                    <c:layout>
                      <c:manualLayout>
                        <c:x val="8.2711294316068343E-2"/>
                        <c:y val="-1.2961556257832711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trendlineLbl>
                </c:trendline>
                <c:trendline>
                  <c:spPr>
                    <a:ln w="19050" cap="rnd">
                      <a:solidFill>
                        <a:schemeClr val="accent1">
                          <a:lumMod val="60000"/>
                        </a:schemeClr>
                      </a:solidFill>
                      <a:prstDash val="sysDot"/>
                    </a:ln>
                    <a:effectLst/>
                  </c:spPr>
                  <c:trendlineType val="linear"/>
                  <c:dispRSqr val="0"/>
                  <c:dispEq val="0"/>
                </c:trendline>
                <c:trendline>
                  <c:spPr>
                    <a:ln w="19050" cap="rnd">
                      <a:solidFill>
                        <a:schemeClr val="accent1">
                          <a:lumMod val="60000"/>
                        </a:schemeClr>
                      </a:solidFill>
                      <a:prstDash val="sysDot"/>
                    </a:ln>
                    <a:effectLst/>
                  </c:spPr>
                  <c:trendlineType val="linear"/>
                  <c:dispRSqr val="0"/>
                  <c:dispEq val="0"/>
                </c:trendline>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C-347F-408F-9E82-77DF78FBF94F}"/>
                  </c:ext>
                </c:extLst>
              </c15:ser>
            </c15:filteredScatterSeries>
            <c15:filteredScatterSeries>
              <c15:ser>
                <c:idx val="7"/>
                <c:order val="45"/>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trendline>
                  <c:spPr>
                    <a:ln w="19050" cap="rnd">
                      <a:solidFill>
                        <a:schemeClr val="accent2">
                          <a:lumMod val="60000"/>
                        </a:schemeClr>
                      </a:solidFill>
                      <a:prstDash val="sysDot"/>
                    </a:ln>
                    <a:effectLst/>
                  </c:spPr>
                  <c:trendlineType val="linear"/>
                  <c:dispRSqr val="1"/>
                  <c:dispEq val="1"/>
                  <c:trendlineLbl>
                    <c:layout>
                      <c:manualLayout>
                        <c:x val="8.6250673773576897E-2"/>
                        <c:y val="5.2052073091470245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2">
                                <a:lumMod val="50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D-347F-408F-9E82-77DF78FBF94F}"/>
                  </c:ext>
                </c:extLst>
              </c15:ser>
            </c15:filteredScatterSeries>
            <c15:filteredScatterSeries>
              <c15:ser>
                <c:idx val="8"/>
                <c:order val="46"/>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trendline>
                  <c:spPr>
                    <a:ln w="19050" cap="rnd">
                      <a:solidFill>
                        <a:schemeClr val="accent3">
                          <a:lumMod val="60000"/>
                        </a:schemeClr>
                      </a:solidFill>
                      <a:prstDash val="sysDot"/>
                    </a:ln>
                    <a:effectLst/>
                  </c:spPr>
                  <c:trendlineType val="linear"/>
                  <c:dispRSqr val="1"/>
                  <c:dispEq val="1"/>
                  <c:trendlineLbl>
                    <c:layout>
                      <c:manualLayout>
                        <c:x val="8.4989031673134555E-2"/>
                        <c:y val="4.7691978794429917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E-347F-408F-9E82-77DF78FBF94F}"/>
                  </c:ext>
                </c:extLst>
              </c15:ser>
            </c15:filteredScatterSeries>
            <c15:filteredScatterSeries>
              <c15:ser>
                <c:idx val="9"/>
                <c:order val="47"/>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4">
                        <a:lumMod val="60000"/>
                      </a:schemeClr>
                    </a:solidFill>
                    <a:ln w="9525">
                      <a:solidFill>
                        <a:schemeClr val="accent4">
                          <a:lumMod val="60000"/>
                        </a:schemeClr>
                      </a:solidFill>
                    </a:ln>
                    <a:effectLst/>
                  </c:spPr>
                </c:marker>
                <c:trendline>
                  <c:spPr>
                    <a:ln w="19050" cap="rnd">
                      <a:solidFill>
                        <a:schemeClr val="accent4">
                          <a:lumMod val="60000"/>
                        </a:schemeClr>
                      </a:solidFill>
                      <a:prstDash val="sysDot"/>
                    </a:ln>
                    <a:effectLst/>
                  </c:spPr>
                  <c:trendlineType val="linear"/>
                  <c:dispRSqr val="1"/>
                  <c:dispEq val="1"/>
                  <c:trendlineLbl>
                    <c:layout>
                      <c:manualLayout>
                        <c:x val="7.4297230453732072E-2"/>
                        <c:y val="-1.15030110754428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4">
                                <a:lumMod val="50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F-347F-408F-9E82-77DF78FBF94F}"/>
                  </c:ext>
                </c:extLst>
              </c15:ser>
            </c15:filteredScatterSeries>
            <c15:filteredScatterSeries>
              <c15:ser>
                <c:idx val="10"/>
                <c:order val="48"/>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5">
                        <a:lumMod val="60000"/>
                      </a:schemeClr>
                    </a:solidFill>
                    <a:ln w="9525">
                      <a:solidFill>
                        <a:schemeClr val="accent5">
                          <a:lumMod val="60000"/>
                        </a:schemeClr>
                      </a:solidFill>
                    </a:ln>
                    <a:effectLst/>
                  </c:spPr>
                </c:marker>
                <c:trendline>
                  <c:spPr>
                    <a:ln w="19050" cap="rnd">
                      <a:solidFill>
                        <a:schemeClr val="accent5">
                          <a:lumMod val="60000"/>
                        </a:schemeClr>
                      </a:solidFill>
                      <a:prstDash val="sysDot"/>
                    </a:ln>
                    <a:effectLst/>
                  </c:spPr>
                  <c:trendlineType val="linear"/>
                  <c:dispRSqr val="1"/>
                  <c:dispEq val="1"/>
                  <c:trendlineLbl>
                    <c:layout>
                      <c:manualLayout>
                        <c:x val="8.5137871247375679E-2"/>
                        <c:y val="4.8361938682016182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5">
                                <a:lumMod val="50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0-347F-408F-9E82-77DF78FBF94F}"/>
                  </c:ext>
                </c:extLst>
              </c15:ser>
            </c15:filteredScatterSeries>
            <c15:filteredScatterSeries>
              <c15:ser>
                <c:idx val="11"/>
                <c:order val="49"/>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6">
                        <a:lumMod val="60000"/>
                      </a:schemeClr>
                    </a:solidFill>
                    <a:ln w="9525">
                      <a:solidFill>
                        <a:schemeClr val="accent6">
                          <a:lumMod val="60000"/>
                        </a:schemeClr>
                      </a:solidFill>
                    </a:ln>
                    <a:effectLst/>
                  </c:spPr>
                </c:marker>
                <c:trendline>
                  <c:spPr>
                    <a:ln w="19050" cap="rnd">
                      <a:solidFill>
                        <a:schemeClr val="accent6">
                          <a:lumMod val="60000"/>
                        </a:schemeClr>
                      </a:solidFill>
                      <a:prstDash val="sysDot"/>
                    </a:ln>
                    <a:effectLst/>
                  </c:spPr>
                  <c:trendlineType val="linear"/>
                  <c:dispRSqr val="1"/>
                  <c:dispEq val="1"/>
                  <c:trendlineLbl>
                    <c:layout>
                      <c:manualLayout>
                        <c:x val="8.6870178479455773E-2"/>
                        <c:y val="-1.7836036584407206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6">
                                <a:lumMod val="50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1-347F-408F-9E82-77DF78FBF94F}"/>
                  </c:ext>
                </c:extLst>
              </c15:ser>
            </c15:filteredScatterSeries>
            <c15:filteredScatterSeries>
              <c15:ser>
                <c:idx val="12"/>
                <c:order val="50"/>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trendline>
                  <c:spPr>
                    <a:ln w="19050" cap="rnd">
                      <a:solidFill>
                        <a:schemeClr val="accent1">
                          <a:lumMod val="80000"/>
                          <a:lumOff val="20000"/>
                        </a:schemeClr>
                      </a:solidFill>
                      <a:prstDash val="sysDot"/>
                    </a:ln>
                    <a:effectLst/>
                  </c:spPr>
                  <c:trendlineType val="linear"/>
                  <c:dispRSqr val="1"/>
                  <c:dispEq val="1"/>
                  <c:trendlineLbl>
                    <c:layout>
                      <c:manualLayout>
                        <c:x val="4.4708872807170411E-2"/>
                        <c:y val="5.3000317496397234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1"/>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2-347F-408F-9E82-77DF78FBF94F}"/>
                  </c:ext>
                </c:extLst>
              </c15:ser>
            </c15:filteredScatterSeries>
          </c:ext>
        </c:extLst>
      </c:scatterChart>
      <c:valAx>
        <c:axId val="136568784"/>
        <c:scaling>
          <c:orientation val="minMax"/>
          <c:max val="12.5"/>
          <c:min val="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sz="900">
                    <a:solidFill>
                      <a:sysClr val="windowText" lastClr="000000"/>
                    </a:solidFill>
                  </a:rPr>
                  <a:t>time (min)</a:t>
                </a:r>
              </a:p>
            </c:rich>
          </c:tx>
          <c:layout>
            <c:manualLayout>
              <c:xMode val="edge"/>
              <c:yMode val="edge"/>
              <c:x val="0.77604791588551436"/>
              <c:y val="0.8989520958083830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36369824"/>
        <c:crosses val="autoZero"/>
        <c:crossBetween val="midCat"/>
      </c:valAx>
      <c:valAx>
        <c:axId val="236369824"/>
        <c:scaling>
          <c:orientation val="minMax"/>
          <c:max val="24"/>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US" sz="800" b="0" i="0" baseline="0">
                    <a:effectLst/>
                  </a:rPr>
                  <a:t>[</a:t>
                </a:r>
                <a:r>
                  <a:rPr lang="en-US" sz="800" b="0" i="0" u="none" strike="noStrike" baseline="0">
                    <a:effectLst/>
                  </a:rPr>
                  <a:t>Ph</a:t>
                </a:r>
                <a:r>
                  <a:rPr lang="en-US" sz="800" b="0" i="0" u="none" strike="noStrike" baseline="-25000">
                    <a:effectLst/>
                  </a:rPr>
                  <a:t>2</a:t>
                </a:r>
                <a:r>
                  <a:rPr lang="en-US" sz="800" b="0" i="0" u="none" strike="noStrike" baseline="0">
                    <a:effectLst/>
                  </a:rPr>
                  <a:t>CHCHPh</a:t>
                </a:r>
                <a:r>
                  <a:rPr lang="en-US" sz="800" b="0" i="0" u="none" strike="noStrike" baseline="-25000">
                    <a:effectLst/>
                  </a:rPr>
                  <a:t>2</a:t>
                </a:r>
                <a:r>
                  <a:rPr lang="en-US" sz="800" b="0" i="0" baseline="0">
                    <a:effectLst/>
                  </a:rPr>
                  <a:t>] (mmol/L)</a:t>
                </a:r>
                <a:endParaRPr lang="en-US" sz="800">
                  <a:effectLst/>
                </a:endParaRPr>
              </a:p>
            </c:rich>
          </c:tx>
          <c:layout>
            <c:manualLayout>
              <c:xMode val="edge"/>
              <c:yMode val="edge"/>
              <c:x val="0"/>
              <c:y val="0.19623540838167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6568784"/>
        <c:crosses val="autoZero"/>
        <c:crossBetween val="midCat"/>
      </c:valAx>
      <c:spPr>
        <a:noFill/>
        <a:ln>
          <a:noFill/>
        </a:ln>
        <a:effectLst/>
      </c:spPr>
    </c:plotArea>
    <c:legend>
      <c:legendPos val="r"/>
      <c:legendEntry>
        <c:idx val="3"/>
        <c:delete val="1"/>
      </c:legendEntry>
      <c:legendEntry>
        <c:idx val="4"/>
        <c:delete val="1"/>
      </c:legendEntry>
      <c:legendEntry>
        <c:idx val="5"/>
        <c:delete val="1"/>
      </c:legendEntry>
      <c:layout>
        <c:manualLayout>
          <c:xMode val="edge"/>
          <c:yMode val="edge"/>
          <c:x val="0"/>
          <c:y val="0.90681686945130802"/>
          <c:w val="0.45454797317002044"/>
          <c:h val="9.2220585021169005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spc="0" baseline="0">
                <a:solidFill>
                  <a:sysClr val="windowText" lastClr="000000"/>
                </a:solidFill>
                <a:latin typeface="+mn-lt"/>
                <a:ea typeface="+mn-ea"/>
                <a:cs typeface="+mn-cs"/>
              </a:defRPr>
            </a:pPr>
            <a:r>
              <a:rPr lang="en-US" sz="1000" b="1">
                <a:solidFill>
                  <a:sysClr val="windowText" lastClr="000000"/>
                </a:solidFill>
              </a:rPr>
              <a:t>PPh</a:t>
            </a:r>
            <a:r>
              <a:rPr lang="en-US" sz="1000" b="1" baseline="-25000">
                <a:solidFill>
                  <a:sysClr val="windowText" lastClr="000000"/>
                </a:solidFill>
              </a:rPr>
              <a:t>3</a:t>
            </a:r>
            <a:r>
              <a:rPr lang="en-US" sz="1000" b="1">
                <a:solidFill>
                  <a:sysClr val="windowText" lastClr="000000"/>
                </a:solidFill>
              </a:rPr>
              <a:t> </a:t>
            </a:r>
            <a:r>
              <a:rPr lang="en-US" sz="1000" b="1" i="0" baseline="0">
                <a:solidFill>
                  <a:sysClr val="windowText" lastClr="000000"/>
                </a:solidFill>
                <a:effectLst/>
              </a:rPr>
              <a:t>(with PhCHOH 50 mmol/L)</a:t>
            </a:r>
            <a:endParaRPr lang="en-US" sz="1000" b="1">
              <a:solidFill>
                <a:sysClr val="windowText" lastClr="000000"/>
              </a:solidFill>
              <a:effectLst/>
            </a:endParaRPr>
          </a:p>
        </c:rich>
      </c:tx>
      <c:layout>
        <c:manualLayout>
          <c:xMode val="edge"/>
          <c:yMode val="edge"/>
          <c:x val="8.6400137482814651E-2"/>
          <c:y val="2.2925309086456753E-3"/>
        </c:manualLayout>
      </c:layout>
      <c:overlay val="0"/>
      <c:spPr>
        <a:solidFill>
          <a:schemeClr val="bg1"/>
        </a:solidFill>
        <a:ln>
          <a:noFill/>
        </a:ln>
        <a:effectLst/>
      </c:spPr>
    </c:title>
    <c:autoTitleDeleted val="0"/>
    <c:plotArea>
      <c:layout>
        <c:manualLayout>
          <c:layoutTarget val="inner"/>
          <c:xMode val="edge"/>
          <c:yMode val="edge"/>
          <c:x val="0.16268318022747158"/>
          <c:y val="2.8466025835912775E-2"/>
          <c:w val="0.76849261029871263"/>
          <c:h val="0.78493003598709565"/>
        </c:manualLayout>
      </c:layout>
      <c:scatterChart>
        <c:scatterStyle val="lineMarker"/>
        <c:varyColors val="0"/>
        <c:ser>
          <c:idx val="108"/>
          <c:order val="4"/>
          <c:tx>
            <c:strRef>
              <c:f>'Sheet1 (2)'!$O$104</c:f>
              <c:strCache>
                <c:ptCount val="1"/>
                <c:pt idx="0">
                  <c:v>e</c:v>
                </c:pt>
              </c:strCache>
            </c:strRef>
          </c:tx>
          <c:spPr>
            <a:ln w="25400" cap="rnd">
              <a:noFill/>
              <a:round/>
            </a:ln>
            <a:effectLst/>
          </c:spPr>
          <c:marker>
            <c:symbol val="triangle"/>
            <c:size val="4"/>
            <c:spPr>
              <a:solidFill>
                <a:schemeClr val="bg1"/>
              </a:solidFill>
              <a:ln w="9525">
                <a:solidFill>
                  <a:schemeClr val="tx1"/>
                </a:solidFill>
              </a:ln>
              <a:effectLst/>
            </c:spPr>
          </c:marker>
          <c:trendline>
            <c:spPr>
              <a:ln w="19050" cap="rnd">
                <a:solidFill>
                  <a:schemeClr val="tx1"/>
                </a:solidFill>
                <a:prstDash val="sysDot"/>
              </a:ln>
              <a:effectLst/>
            </c:spPr>
            <c:trendlineType val="linear"/>
            <c:dispRSqr val="1"/>
            <c:dispEq val="1"/>
            <c:trendlineLbl>
              <c:layout>
                <c:manualLayout>
                  <c:x val="0.18648957942757155"/>
                  <c:y val="0.27410203861503613"/>
                </c:manualLayout>
              </c:layout>
              <c:numFmt formatCode="#,##0.00" sourceLinked="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trendlineLbl>
          </c:trendline>
          <c:xVal>
            <c:numRef>
              <c:f>'Sheet1 (2)'!$P$106:$P$115</c:f>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f>'Sheet1 (2)'!$R$106:$R$115</c:f>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c:ext xmlns:c16="http://schemas.microsoft.com/office/drawing/2014/chart" uri="{C3380CC4-5D6E-409C-BE32-E72D297353CC}">
              <c16:uniqueId val="{00000000-1574-4320-A2BC-836FBD6F1816}"/>
            </c:ext>
          </c:extLst>
        </c:ser>
        <c:ser>
          <c:idx val="113"/>
          <c:order val="9"/>
          <c:tx>
            <c:strRef>
              <c:f>'Sheet1 (2)'!$O$174</c:f>
              <c:strCache>
                <c:ptCount val="1"/>
                <c:pt idx="0">
                  <c:v>j</c:v>
                </c:pt>
              </c:strCache>
            </c:strRef>
          </c:tx>
          <c:spPr>
            <a:ln w="25400" cap="rnd">
              <a:noFill/>
              <a:round/>
            </a:ln>
            <a:effectLst/>
          </c:spPr>
          <c:marker>
            <c:symbol val="square"/>
            <c:size val="3"/>
            <c:spPr>
              <a:solidFill>
                <a:schemeClr val="tx1">
                  <a:lumMod val="75000"/>
                  <a:lumOff val="25000"/>
                </a:schemeClr>
              </a:solidFill>
              <a:ln w="9525">
                <a:solidFill>
                  <a:schemeClr val="tx1">
                    <a:lumMod val="75000"/>
                    <a:lumOff val="25000"/>
                  </a:schemeClr>
                </a:solidFill>
              </a:ln>
              <a:effectLst/>
            </c:spPr>
          </c:marker>
          <c:trendline>
            <c:spPr>
              <a:ln w="19050" cap="rnd">
                <a:solidFill>
                  <a:schemeClr val="tx1">
                    <a:lumMod val="75000"/>
                    <a:lumOff val="25000"/>
                  </a:schemeClr>
                </a:solidFill>
                <a:prstDash val="sysDot"/>
              </a:ln>
              <a:effectLst/>
            </c:spPr>
            <c:trendlineType val="linear"/>
            <c:dispRSqr val="1"/>
            <c:dispEq val="1"/>
            <c:trendlineLbl>
              <c:layout>
                <c:manualLayout>
                  <c:x val="-9.1148567366579197E-2"/>
                  <c:y val="0.14627183004042099"/>
                </c:manualLayout>
              </c:layout>
              <c:numFmt formatCode="#,##0.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n-US"/>
                </a:p>
              </c:txPr>
            </c:trendlineLbl>
          </c:trendline>
          <c:xVal>
            <c:numRef>
              <c:f>('Sheet1 (2)'!$P$176:$P$179,'Sheet1 (2)'!$P$181:$P$182)</c:f>
              <c:numCache>
                <c:formatCode>General</c:formatCode>
                <c:ptCount val="6"/>
                <c:pt idx="0">
                  <c:v>3</c:v>
                </c:pt>
                <c:pt idx="1">
                  <c:v>4</c:v>
                </c:pt>
                <c:pt idx="2">
                  <c:v>5</c:v>
                </c:pt>
                <c:pt idx="3">
                  <c:v>6</c:v>
                </c:pt>
                <c:pt idx="4">
                  <c:v>8</c:v>
                </c:pt>
                <c:pt idx="5">
                  <c:v>9</c:v>
                </c:pt>
              </c:numCache>
            </c:numRef>
          </c:xVal>
          <c:yVal>
            <c:numRef>
              <c:f>('Sheet1 (2)'!$R$176:$R$179,'Sheet1 (2)'!$R$181:$R$182)</c:f>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c:ext xmlns:c16="http://schemas.microsoft.com/office/drawing/2014/chart" uri="{C3380CC4-5D6E-409C-BE32-E72D297353CC}">
              <c16:uniqueId val="{00000001-1574-4320-A2BC-836FBD6F1816}"/>
            </c:ext>
          </c:extLst>
        </c:ser>
        <c:ser>
          <c:idx val="114"/>
          <c:order val="10"/>
          <c:tx>
            <c:strRef>
              <c:f>'Sheet1 (2)'!$O$188</c:f>
              <c:strCache>
                <c:ptCount val="1"/>
                <c:pt idx="0">
                  <c:v>k'</c:v>
                </c:pt>
              </c:strCache>
            </c:strRef>
          </c:tx>
          <c:spPr>
            <a:ln w="25400" cap="rnd">
              <a:noFill/>
              <a:round/>
            </a:ln>
            <a:effectLst/>
          </c:spPr>
          <c:marker>
            <c:symbol val="circle"/>
            <c:size val="3"/>
            <c:spPr>
              <a:solidFill>
                <a:schemeClr val="bg1">
                  <a:lumMod val="50000"/>
                </a:schemeClr>
              </a:solidFill>
              <a:ln w="9525">
                <a:solidFill>
                  <a:schemeClr val="bg1">
                    <a:lumMod val="50000"/>
                  </a:schemeClr>
                </a:solidFill>
              </a:ln>
              <a:effectLst/>
            </c:spPr>
          </c:marker>
          <c:trendline>
            <c:spPr>
              <a:ln w="19050" cap="rnd">
                <a:solidFill>
                  <a:schemeClr val="bg1">
                    <a:lumMod val="50000"/>
                  </a:schemeClr>
                </a:solidFill>
                <a:prstDash val="sysDot"/>
              </a:ln>
              <a:effectLst/>
            </c:spPr>
            <c:trendlineType val="linear"/>
            <c:dispRSqr val="1"/>
            <c:dispEq val="1"/>
            <c:trendlineLbl>
              <c:layout>
                <c:manualLayout>
                  <c:x val="2.4144794400699901E-2"/>
                  <c:y val="-5.1234765646520103E-2"/>
                </c:manualLayout>
              </c:layout>
              <c:numFmt formatCode="#,##0.00" sourceLinked="0"/>
              <c:spPr>
                <a:noFill/>
                <a:ln>
                  <a:noFill/>
                </a:ln>
                <a:effectLst/>
              </c:spPr>
              <c:txPr>
                <a:bodyPr rot="0" spcFirstLastPara="1" vertOverflow="ellipsis" vert="horz" wrap="square" anchor="ctr" anchorCtr="1"/>
                <a:lstStyle/>
                <a:p>
                  <a:pPr>
                    <a:defRPr sz="800" b="0" i="0" u="none" strike="noStrike" kern="1200" baseline="0">
                      <a:solidFill>
                        <a:schemeClr val="bg1">
                          <a:lumMod val="50000"/>
                        </a:schemeClr>
                      </a:solidFill>
                      <a:latin typeface="+mn-lt"/>
                      <a:ea typeface="+mn-ea"/>
                      <a:cs typeface="+mn-cs"/>
                    </a:defRPr>
                  </a:pPr>
                  <a:endParaRPr lang="en-US"/>
                </a:p>
              </c:txPr>
            </c:trendlineLbl>
          </c:trendline>
          <c:xVal>
            <c:numRef>
              <c:f>'Sheet1 (2)'!$P$190:$P$199</c:f>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f>'Sheet1 (2)'!$R$190:$R$199</c:f>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c:ext xmlns:c16="http://schemas.microsoft.com/office/drawing/2014/chart" uri="{C3380CC4-5D6E-409C-BE32-E72D297353CC}">
              <c16:uniqueId val="{00000002-1574-4320-A2BC-836FBD6F1816}"/>
            </c:ext>
          </c:extLst>
        </c:ser>
        <c:dLbls>
          <c:showLegendKey val="0"/>
          <c:showVal val="0"/>
          <c:showCatName val="0"/>
          <c:showSerName val="0"/>
          <c:showPercent val="0"/>
          <c:showBubbleSize val="0"/>
        </c:dLbls>
        <c:axId val="144336112"/>
        <c:axId val="144338832"/>
        <c:extLst xmlns:c16r2="http://schemas.microsoft.com/office/drawing/2015/06/chart">
          <c:ext xmlns:c15="http://schemas.microsoft.com/office/drawing/2012/chart" uri="{02D57815-91ED-43cb-92C2-25804820EDAC}">
            <c15:filteredScatterSeries>
              <c15:ser>
                <c:idx val="104"/>
                <c:order val="0"/>
                <c:tx>
                  <c:strRef>
                    <c:extLst xmlns:c16r2="http://schemas.microsoft.com/office/drawing/2015/06/chart">
                      <c:ex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3">
                        <a:lumMod val="50000"/>
                        <a:lumOff val="50000"/>
                      </a:schemeClr>
                    </a:solidFill>
                    <a:ln w="9525">
                      <a:solidFill>
                        <a:schemeClr val="accent3">
                          <a:lumMod val="50000"/>
                          <a:lumOff val="50000"/>
                        </a:schemeClr>
                      </a:solidFill>
                    </a:ln>
                    <a:effectLst/>
                  </c:spPr>
                </c:marker>
                <c:xVal>
                  <c:numRef>
                    <c:extLst xmlns:c16r2="http://schemas.microsoft.com/office/drawing/2015/06/chart">
                      <c:ex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c:ex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c:ext xmlns:c16="http://schemas.microsoft.com/office/drawing/2014/chart" uri="{C3380CC4-5D6E-409C-BE32-E72D297353CC}">
                    <c16:uniqueId val="{00000003-1574-4320-A2BC-836FBD6F1816}"/>
                  </c:ext>
                </c:extLst>
              </c15:ser>
            </c15:filteredScatterSeries>
            <c15:filteredScatterSeries>
              <c15:ser>
                <c:idx val="105"/>
                <c:order val="1"/>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4">
                        <a:lumMod val="50000"/>
                        <a:lumOff val="50000"/>
                      </a:schemeClr>
                    </a:solidFill>
                    <a:ln w="9525">
                      <a:solidFill>
                        <a:schemeClr val="accent4">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4-1574-4320-A2BC-836FBD6F1816}"/>
                  </c:ext>
                </c:extLst>
              </c15:ser>
            </c15:filteredScatterSeries>
            <c15:filteredScatterSeries>
              <c15:ser>
                <c:idx val="106"/>
                <c:order val="2"/>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5">
                        <a:lumMod val="50000"/>
                        <a:lumOff val="50000"/>
                      </a:schemeClr>
                    </a:solidFill>
                    <a:ln w="9525">
                      <a:solidFill>
                        <a:schemeClr val="accent5">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5-1574-4320-A2BC-836FBD6F1816}"/>
                  </c:ext>
                </c:extLst>
              </c15:ser>
            </c15:filteredScatterSeries>
            <c15:filteredScatterSeries>
              <c15:ser>
                <c:idx val="107"/>
                <c:order val="3"/>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6">
                        <a:lumMod val="50000"/>
                        <a:lumOff val="50000"/>
                      </a:schemeClr>
                    </a:solidFill>
                    <a:ln w="9525">
                      <a:solidFill>
                        <a:schemeClr val="accent6">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6-1574-4320-A2BC-836FBD6F1816}"/>
                  </c:ext>
                </c:extLst>
              </c15:ser>
            </c15:filteredScatterSeries>
            <c15:filteredScatterSeries>
              <c15:ser>
                <c:idx val="109"/>
                <c:order val="5"/>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2"/>
                    </a:solidFill>
                    <a:ln w="9525">
                      <a:solidFill>
                        <a:schemeClr val="accent2"/>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7-1574-4320-A2BC-836FBD6F1816}"/>
                  </c:ext>
                </c:extLst>
              </c15:ser>
            </c15:filteredScatterSeries>
            <c15:filteredScatterSeries>
              <c15:ser>
                <c:idx val="110"/>
                <c:order val="6"/>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3"/>
                    </a:solidFill>
                    <a:ln w="9525">
                      <a:solidFill>
                        <a:schemeClr val="accent3"/>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8-1574-4320-A2BC-836FBD6F1816}"/>
                  </c:ext>
                </c:extLst>
              </c15:ser>
            </c15:filteredScatterSeries>
            <c15:filteredScatterSeries>
              <c15:ser>
                <c:idx val="111"/>
                <c:order val="7"/>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4"/>
                    </a:solidFill>
                    <a:ln w="9525">
                      <a:solidFill>
                        <a:schemeClr val="accent4"/>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9-1574-4320-A2BC-836FBD6F1816}"/>
                  </c:ext>
                </c:extLst>
              </c15:ser>
            </c15:filteredScatterSeries>
            <c15:filteredScatterSeries>
              <c15:ser>
                <c:idx val="112"/>
                <c:order val="8"/>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5"/>
                    </a:solidFill>
                    <a:ln w="9525">
                      <a:solidFill>
                        <a:schemeClr val="accent5"/>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A-1574-4320-A2BC-836FBD6F1816}"/>
                  </c:ext>
                </c:extLst>
              </c15:ser>
            </c15:filteredScatterSeries>
            <c15:filteredScatterSeries>
              <c15:ser>
                <c:idx val="115"/>
                <c:order val="11"/>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B-1574-4320-A2BC-836FBD6F1816}"/>
                  </c:ext>
                </c:extLst>
              </c15:ser>
            </c15:filteredScatterSeries>
            <c15:filteredScatterSeries>
              <c15:ser>
                <c:idx val="116"/>
                <c:order val="12"/>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C-1574-4320-A2BC-836FBD6F1816}"/>
                  </c:ext>
                </c:extLst>
              </c15:ser>
            </c15:filteredScatterSeries>
            <c15:filteredScatterSeries>
              <c15:ser>
                <c:idx val="117"/>
                <c:order val="13"/>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D-1574-4320-A2BC-836FBD6F1816}"/>
                  </c:ext>
                </c:extLst>
              </c15:ser>
            </c15:filteredScatterSeries>
            <c15:filteredScatterSeries>
              <c15:ser>
                <c:idx val="118"/>
                <c:order val="14"/>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5">
                        <a:lumMod val="60000"/>
                      </a:schemeClr>
                    </a:solidFill>
                    <a:ln w="9525">
                      <a:solidFill>
                        <a:schemeClr val="accent5">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E-1574-4320-A2BC-836FBD6F1816}"/>
                  </c:ext>
                </c:extLst>
              </c15:ser>
            </c15:filteredScatterSeries>
            <c15:filteredScatterSeries>
              <c15:ser>
                <c:idx val="119"/>
                <c:order val="15"/>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6">
                        <a:lumMod val="60000"/>
                      </a:schemeClr>
                    </a:solidFill>
                    <a:ln w="9525">
                      <a:solidFill>
                        <a:schemeClr val="accent6">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F-1574-4320-A2BC-836FBD6F1816}"/>
                  </c:ext>
                </c:extLst>
              </c15:ser>
            </c15:filteredScatterSeries>
            <c15:filteredScatterSeries>
              <c15:ser>
                <c:idx val="120"/>
                <c:order val="16"/>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0-1574-4320-A2BC-836FBD6F1816}"/>
                  </c:ext>
                </c:extLst>
              </c15:ser>
            </c15:filteredScatterSeries>
            <c15:filteredScatterSeries>
              <c15:ser>
                <c:idx val="121"/>
                <c:order val="17"/>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1-1574-4320-A2BC-836FBD6F1816}"/>
                  </c:ext>
                </c:extLst>
              </c15:ser>
            </c15:filteredScatterSeries>
            <c15:filteredScatterSeries>
              <c15:ser>
                <c:idx val="122"/>
                <c:order val="18"/>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2-1574-4320-A2BC-836FBD6F1816}"/>
                  </c:ext>
                </c:extLst>
              </c15:ser>
            </c15:filteredScatterSeries>
            <c15:filteredScatterSeries>
              <c15:ser>
                <c:idx val="123"/>
                <c:order val="19"/>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3-1574-4320-A2BC-836FBD6F1816}"/>
                  </c:ext>
                </c:extLst>
              </c15:ser>
            </c15:filteredScatterSeries>
            <c15:filteredScatterSeries>
              <c15:ser>
                <c:idx val="124"/>
                <c:order val="20"/>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4-1574-4320-A2BC-836FBD6F1816}"/>
                  </c:ext>
                </c:extLst>
              </c15:ser>
            </c15:filteredScatterSeries>
            <c15:filteredScatterSeries>
              <c15:ser>
                <c:idx val="125"/>
                <c:order val="21"/>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5-1574-4320-A2BC-836FBD6F1816}"/>
                  </c:ext>
                </c:extLst>
              </c15:ser>
            </c15:filteredScatterSeries>
            <c15:filteredScatterSeries>
              <c15:ser>
                <c:idx val="126"/>
                <c:order val="22"/>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1">
                        <a:lumMod val="80000"/>
                      </a:schemeClr>
                    </a:solidFill>
                    <a:ln w="9525">
                      <a:solidFill>
                        <a:schemeClr val="accent1">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6-1574-4320-A2BC-836FBD6F1816}"/>
                  </c:ext>
                </c:extLst>
              </c15:ser>
            </c15:filteredScatterSeries>
            <c15:filteredScatterSeries>
              <c15:ser>
                <c:idx val="127"/>
                <c:order val="23"/>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2">
                        <a:lumMod val="80000"/>
                      </a:schemeClr>
                    </a:solidFill>
                    <a:ln w="9525">
                      <a:solidFill>
                        <a:schemeClr val="accent2">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7-1574-4320-A2BC-836FBD6F1816}"/>
                  </c:ext>
                </c:extLst>
              </c15:ser>
            </c15:filteredScatterSeries>
            <c15:filteredScatterSeries>
              <c15:ser>
                <c:idx val="128"/>
                <c:order val="24"/>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3">
                        <a:lumMod val="80000"/>
                      </a:schemeClr>
                    </a:solidFill>
                    <a:ln w="9525">
                      <a:solidFill>
                        <a:schemeClr val="accent3">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8-1574-4320-A2BC-836FBD6F1816}"/>
                  </c:ext>
                </c:extLst>
              </c15:ser>
            </c15:filteredScatterSeries>
            <c15:filteredScatterSeries>
              <c15:ser>
                <c:idx val="129"/>
                <c:order val="25"/>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4">
                        <a:lumMod val="80000"/>
                      </a:schemeClr>
                    </a:solidFill>
                    <a:ln w="9525">
                      <a:solidFill>
                        <a:schemeClr val="accent4">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9-1574-4320-A2BC-836FBD6F1816}"/>
                  </c:ext>
                </c:extLst>
              </c15:ser>
            </c15:filteredScatterSeries>
            <c15:filteredScatterSeries>
              <c15:ser>
                <c:idx val="130"/>
                <c:order val="26"/>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5">
                        <a:lumMod val="80000"/>
                      </a:schemeClr>
                    </a:solidFill>
                    <a:ln w="9525">
                      <a:solidFill>
                        <a:schemeClr val="accent5">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A-1574-4320-A2BC-836FBD6F1816}"/>
                  </c:ext>
                </c:extLst>
              </c15:ser>
            </c15:filteredScatterSeries>
            <c15:filteredScatterSeries>
              <c15:ser>
                <c:idx val="131"/>
                <c:order val="27"/>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6">
                        <a:lumMod val="80000"/>
                      </a:schemeClr>
                    </a:solidFill>
                    <a:ln w="9525">
                      <a:solidFill>
                        <a:schemeClr val="accent6">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B-1574-4320-A2BC-836FBD6F1816}"/>
                  </c:ext>
                </c:extLst>
              </c15:ser>
            </c15:filteredScatterSeries>
            <c15:filteredScatterSeries>
              <c15:ser>
                <c:idx val="132"/>
                <c:order val="28"/>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C-1574-4320-A2BC-836FBD6F1816}"/>
                  </c:ext>
                </c:extLst>
              </c15:ser>
            </c15:filteredScatterSeries>
            <c15:filteredScatterSeries>
              <c15:ser>
                <c:idx val="133"/>
                <c:order val="29"/>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D-1574-4320-A2BC-836FBD6F1816}"/>
                  </c:ext>
                </c:extLst>
              </c15:ser>
            </c15:filteredScatterSeries>
            <c15:filteredScatterSeries>
              <c15:ser>
                <c:idx val="134"/>
                <c:order val="30"/>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E-1574-4320-A2BC-836FBD6F1816}"/>
                  </c:ext>
                </c:extLst>
              </c15:ser>
            </c15:filteredScatterSeries>
            <c15:filteredScatterSeries>
              <c15:ser>
                <c:idx val="135"/>
                <c:order val="31"/>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1F-1574-4320-A2BC-836FBD6F1816}"/>
                  </c:ext>
                </c:extLst>
              </c15:ser>
            </c15:filteredScatterSeries>
            <c15:filteredScatterSeries>
              <c15:ser>
                <c:idx val="136"/>
                <c:order val="32"/>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0-1574-4320-A2BC-836FBD6F1816}"/>
                  </c:ext>
                </c:extLst>
              </c15:ser>
            </c15:filteredScatterSeries>
            <c15:filteredScatterSeries>
              <c15:ser>
                <c:idx val="137"/>
                <c:order val="33"/>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1-1574-4320-A2BC-836FBD6F1816}"/>
                  </c:ext>
                </c:extLst>
              </c15:ser>
            </c15:filteredScatterSeries>
            <c15:filteredScatterSeries>
              <c15:ser>
                <c:idx val="138"/>
                <c:order val="34"/>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1">
                        <a:lumMod val="50000"/>
                      </a:schemeClr>
                    </a:solidFill>
                    <a:ln w="9525">
                      <a:solidFill>
                        <a:schemeClr val="accent1">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2-1574-4320-A2BC-836FBD6F1816}"/>
                  </c:ext>
                </c:extLst>
              </c15:ser>
            </c15:filteredScatterSeries>
            <c15:filteredScatterSeries>
              <c15:ser>
                <c:idx val="139"/>
                <c:order val="35"/>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2">
                        <a:lumMod val="50000"/>
                      </a:schemeClr>
                    </a:solidFill>
                    <a:ln w="9525">
                      <a:solidFill>
                        <a:schemeClr val="accent2">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3-1574-4320-A2BC-836FBD6F1816}"/>
                  </c:ext>
                </c:extLst>
              </c15:ser>
            </c15:filteredScatterSeries>
            <c15:filteredScatterSeries>
              <c15:ser>
                <c:idx val="140"/>
                <c:order val="36"/>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3">
                        <a:lumMod val="50000"/>
                      </a:schemeClr>
                    </a:solidFill>
                    <a:ln w="9525">
                      <a:solidFill>
                        <a:schemeClr val="accent3">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4-1574-4320-A2BC-836FBD6F1816}"/>
                  </c:ext>
                </c:extLst>
              </c15:ser>
            </c15:filteredScatterSeries>
            <c15:filteredScatterSeries>
              <c15:ser>
                <c:idx val="141"/>
                <c:order val="37"/>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4">
                        <a:lumMod val="50000"/>
                      </a:schemeClr>
                    </a:solidFill>
                    <a:ln w="9525">
                      <a:solidFill>
                        <a:schemeClr val="accent4">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5-1574-4320-A2BC-836FBD6F1816}"/>
                  </c:ext>
                </c:extLst>
              </c15:ser>
            </c15:filteredScatterSeries>
            <c15:filteredScatterSeries>
              <c15:ser>
                <c:idx val="142"/>
                <c:order val="38"/>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5">
                        <a:lumMod val="50000"/>
                      </a:schemeClr>
                    </a:solidFill>
                    <a:ln w="9525">
                      <a:solidFill>
                        <a:schemeClr val="accent5">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6-1574-4320-A2BC-836FBD6F1816}"/>
                  </c:ext>
                </c:extLst>
              </c15:ser>
            </c15:filteredScatterSeries>
            <c15:filteredScatterSeries>
              <c15:ser>
                <c:idx val="143"/>
                <c:order val="39"/>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6">
                        <a:lumMod val="50000"/>
                      </a:schemeClr>
                    </a:solidFill>
                    <a:ln w="9525">
                      <a:solidFill>
                        <a:schemeClr val="accent6">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7-1574-4320-A2BC-836FBD6F1816}"/>
                  </c:ext>
                </c:extLst>
              </c15:ser>
            </c15:filteredScatterSeries>
            <c15:filteredScatterSeries>
              <c15:ser>
                <c:idx val="144"/>
                <c:order val="40"/>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8-1574-4320-A2BC-836FBD6F1816}"/>
                  </c:ext>
                </c:extLst>
              </c15:ser>
            </c15:filteredScatterSeries>
            <c15:filteredScatterSeries>
              <c15:ser>
                <c:idx val="145"/>
                <c:order val="41"/>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9-1574-4320-A2BC-836FBD6F1816}"/>
                  </c:ext>
                </c:extLst>
              </c15:ser>
            </c15:filteredScatterSeries>
            <c15:filteredScatterSeries>
              <c15:ser>
                <c:idx val="146"/>
                <c:order val="42"/>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A-1574-4320-A2BC-836FBD6F1816}"/>
                  </c:ext>
                </c:extLst>
              </c15:ser>
            </c15:filteredScatterSeries>
            <c15:filteredScatterSeries>
              <c15:ser>
                <c:idx val="147"/>
                <c:order val="43"/>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B-1574-4320-A2BC-836FBD6F1816}"/>
                  </c:ext>
                </c:extLst>
              </c15:ser>
            </c15:filteredScatterSeries>
            <c15:filteredScatterSeries>
              <c15:ser>
                <c:idx val="148"/>
                <c:order val="44"/>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C-1574-4320-A2BC-836FBD6F1816}"/>
                  </c:ext>
                </c:extLst>
              </c15:ser>
            </c15:filteredScatterSeries>
            <c15:filteredScatterSeries>
              <c15:ser>
                <c:idx val="149"/>
                <c:order val="45"/>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D-1574-4320-A2BC-836FBD6F1816}"/>
                  </c:ext>
                </c:extLst>
              </c15:ser>
            </c15:filteredScatterSeries>
            <c15:filteredScatterSeries>
              <c15:ser>
                <c:idx val="150"/>
                <c:order val="46"/>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1">
                        <a:lumMod val="70000"/>
                      </a:schemeClr>
                    </a:solidFill>
                    <a:ln w="9525">
                      <a:solidFill>
                        <a:schemeClr val="accent1">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E-1574-4320-A2BC-836FBD6F1816}"/>
                  </c:ext>
                </c:extLst>
              </c15:ser>
            </c15:filteredScatterSeries>
            <c15:filteredScatterSeries>
              <c15:ser>
                <c:idx val="151"/>
                <c:order val="47"/>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2">
                        <a:lumMod val="70000"/>
                      </a:schemeClr>
                    </a:solidFill>
                    <a:ln w="9525">
                      <a:solidFill>
                        <a:schemeClr val="accent2">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2F-1574-4320-A2BC-836FBD6F1816}"/>
                  </c:ext>
                </c:extLst>
              </c15:ser>
            </c15:filteredScatterSeries>
            <c15:filteredScatterSeries>
              <c15:ser>
                <c:idx val="152"/>
                <c:order val="48"/>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3">
                        <a:lumMod val="70000"/>
                      </a:schemeClr>
                    </a:solidFill>
                    <a:ln w="9525">
                      <a:solidFill>
                        <a:schemeClr val="accent3">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0-1574-4320-A2BC-836FBD6F1816}"/>
                  </c:ext>
                </c:extLst>
              </c15:ser>
            </c15:filteredScatterSeries>
            <c15:filteredScatterSeries>
              <c15:ser>
                <c:idx val="153"/>
                <c:order val="49"/>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4">
                        <a:lumMod val="70000"/>
                      </a:schemeClr>
                    </a:solidFill>
                    <a:ln w="9525">
                      <a:solidFill>
                        <a:schemeClr val="accent4">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1-1574-4320-A2BC-836FBD6F1816}"/>
                  </c:ext>
                </c:extLst>
              </c15:ser>
            </c15:filteredScatterSeries>
            <c15:filteredScatterSeries>
              <c15:ser>
                <c:idx val="154"/>
                <c:order val="50"/>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5">
                        <a:lumMod val="70000"/>
                      </a:schemeClr>
                    </a:solidFill>
                    <a:ln w="9525">
                      <a:solidFill>
                        <a:schemeClr val="accent5">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2-1574-4320-A2BC-836FBD6F1816}"/>
                  </c:ext>
                </c:extLst>
              </c15:ser>
            </c15:filteredScatterSeries>
            <c15:filteredScatterSeries>
              <c15:ser>
                <c:idx val="155"/>
                <c:order val="51"/>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6">
                        <a:lumMod val="70000"/>
                      </a:schemeClr>
                    </a:solidFill>
                    <a:ln w="9525">
                      <a:solidFill>
                        <a:schemeClr val="accent6">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3-1574-4320-A2BC-836FBD6F1816}"/>
                  </c:ext>
                </c:extLst>
              </c15:ser>
            </c15:filteredScatterSeries>
            <c15:filteredScatterSeries>
              <c15:ser>
                <c:idx val="52"/>
                <c:order val="52"/>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5">
                        <a:lumMod val="50000"/>
                        <a:lumOff val="50000"/>
                      </a:schemeClr>
                    </a:solidFill>
                    <a:ln w="9525">
                      <a:solidFill>
                        <a:schemeClr val="accent5">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4-1574-4320-A2BC-836FBD6F1816}"/>
                  </c:ext>
                </c:extLst>
              </c15:ser>
            </c15:filteredScatterSeries>
            <c15:filteredScatterSeries>
              <c15:ser>
                <c:idx val="53"/>
                <c:order val="53"/>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6">
                        <a:lumMod val="50000"/>
                        <a:lumOff val="50000"/>
                      </a:schemeClr>
                    </a:solidFill>
                    <a:ln w="9525">
                      <a:solidFill>
                        <a:schemeClr val="accent6">
                          <a:lumMod val="50000"/>
                          <a:lumOff val="50000"/>
                        </a:schemeClr>
                      </a:solidFill>
                    </a:ln>
                    <a:effectLst/>
                  </c:spPr>
                </c:marker>
                <c:trendline>
                  <c:spPr>
                    <a:ln w="19050" cap="rnd">
                      <a:solidFill>
                        <a:schemeClr val="accent6">
                          <a:lumMod val="50000"/>
                          <a:lumOff val="50000"/>
                        </a:schemeClr>
                      </a:solidFill>
                      <a:prstDash val="sysDot"/>
                    </a:ln>
                    <a:effectLst/>
                  </c:spPr>
                  <c:trendlineType val="linear"/>
                  <c:dispRSqr val="0"/>
                  <c:dispEq val="0"/>
                </c:trendline>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5-1574-4320-A2BC-836FBD6F1816}"/>
                  </c:ext>
                </c:extLst>
              </c15:ser>
            </c15:filteredScatterSeries>
            <c15:filteredScatterSeries>
              <c15:ser>
                <c:idx val="54"/>
                <c:order val="54"/>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1"/>
                    </a:solidFill>
                    <a:ln w="9525">
                      <a:solidFill>
                        <a:schemeClr val="accent1"/>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6-1574-4320-A2BC-836FBD6F1816}"/>
                  </c:ext>
                </c:extLst>
              </c15:ser>
            </c15:filteredScatterSeries>
            <c15:filteredScatterSeries>
              <c15:ser>
                <c:idx val="55"/>
                <c:order val="55"/>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2"/>
                    </a:solidFill>
                    <a:ln w="9525">
                      <a:solidFill>
                        <a:schemeClr val="accent2"/>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7-1574-4320-A2BC-836FBD6F1816}"/>
                  </c:ext>
                </c:extLst>
              </c15:ser>
            </c15:filteredScatterSeries>
            <c15:filteredScatterSeries>
              <c15:ser>
                <c:idx val="56"/>
                <c:order val="56"/>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3"/>
                    </a:solidFill>
                    <a:ln w="9525">
                      <a:solidFill>
                        <a:schemeClr val="accent3"/>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8-1574-4320-A2BC-836FBD6F1816}"/>
                  </c:ext>
                </c:extLst>
              </c15:ser>
            </c15:filteredScatterSeries>
            <c15:filteredScatterSeries>
              <c15:ser>
                <c:idx val="57"/>
                <c:order val="57"/>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4"/>
                    </a:solidFill>
                    <a:ln w="9525">
                      <a:solidFill>
                        <a:schemeClr val="accent4"/>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9-1574-4320-A2BC-836FBD6F1816}"/>
                  </c:ext>
                </c:extLst>
              </c15:ser>
            </c15:filteredScatterSeries>
            <c15:filteredScatterSeries>
              <c15:ser>
                <c:idx val="58"/>
                <c:order val="58"/>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linear"/>
                  <c:dispRSqr val="0"/>
                  <c:dispEq val="0"/>
                </c:trendline>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A-1574-4320-A2BC-836FBD6F1816}"/>
                  </c:ext>
                </c:extLst>
              </c15:ser>
            </c15:filteredScatterSeries>
            <c15:filteredScatterSeries>
              <c15:ser>
                <c:idx val="59"/>
                <c:order val="59"/>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6"/>
                    </a:solidFill>
                    <a:ln w="9525">
                      <a:solidFill>
                        <a:schemeClr val="accent6"/>
                      </a:solidFill>
                    </a:ln>
                    <a:effectLst/>
                  </c:spPr>
                </c:marker>
                <c:trendline>
                  <c:spPr>
                    <a:ln w="19050" cap="rnd">
                      <a:solidFill>
                        <a:schemeClr val="accent6"/>
                      </a:solidFill>
                      <a:prstDash val="sysDot"/>
                    </a:ln>
                    <a:effectLst/>
                  </c:spPr>
                  <c:trendlineType val="linear"/>
                  <c:dispRSqr val="0"/>
                  <c:dispEq val="0"/>
                </c:trendline>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B-1574-4320-A2BC-836FBD6F1816}"/>
                  </c:ext>
                </c:extLst>
              </c15:ser>
            </c15:filteredScatterSeries>
            <c15:filteredScatterSeries>
              <c15:ser>
                <c:idx val="60"/>
                <c:order val="60"/>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trendline>
                  <c:spPr>
                    <a:ln w="19050" cap="rnd">
                      <a:solidFill>
                        <a:schemeClr val="accent1">
                          <a:lumMod val="60000"/>
                        </a:schemeClr>
                      </a:solidFill>
                      <a:prstDash val="sysDot"/>
                    </a:ln>
                    <a:effectLst/>
                  </c:spPr>
                  <c:trendlineType val="linear"/>
                  <c:dispRSqr val="0"/>
                  <c:dispEq val="0"/>
                </c:trendline>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C-1574-4320-A2BC-836FBD6F1816}"/>
                  </c:ext>
                </c:extLst>
              </c15:ser>
            </c15:filteredScatterSeries>
            <c15:filteredScatterSeries>
              <c15:ser>
                <c:idx val="61"/>
                <c:order val="61"/>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D-1574-4320-A2BC-836FBD6F1816}"/>
                  </c:ext>
                </c:extLst>
              </c15:ser>
            </c15:filteredScatterSeries>
            <c15:filteredScatterSeries>
              <c15:ser>
                <c:idx val="62"/>
                <c:order val="62"/>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E-1574-4320-A2BC-836FBD6F1816}"/>
                  </c:ext>
                </c:extLst>
              </c15:ser>
            </c15:filteredScatterSeries>
            <c15:filteredScatterSeries>
              <c15:ser>
                <c:idx val="63"/>
                <c:order val="63"/>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3F-1574-4320-A2BC-836FBD6F1816}"/>
                  </c:ext>
                </c:extLst>
              </c15:ser>
            </c15:filteredScatterSeries>
            <c15:filteredScatterSeries>
              <c15:ser>
                <c:idx val="64"/>
                <c:order val="64"/>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5">
                        <a:lumMod val="60000"/>
                      </a:schemeClr>
                    </a:solidFill>
                    <a:ln w="9525">
                      <a:solidFill>
                        <a:schemeClr val="accent5">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0-1574-4320-A2BC-836FBD6F1816}"/>
                  </c:ext>
                </c:extLst>
              </c15:ser>
            </c15:filteredScatterSeries>
            <c15:filteredScatterSeries>
              <c15:ser>
                <c:idx val="65"/>
                <c:order val="65"/>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6">
                        <a:lumMod val="60000"/>
                      </a:schemeClr>
                    </a:solidFill>
                    <a:ln w="9525">
                      <a:solidFill>
                        <a:schemeClr val="accent6">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1-1574-4320-A2BC-836FBD6F1816}"/>
                  </c:ext>
                </c:extLst>
              </c15:ser>
            </c15:filteredScatterSeries>
            <c15:filteredScatterSeries>
              <c15:ser>
                <c:idx val="66"/>
                <c:order val="66"/>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2-1574-4320-A2BC-836FBD6F1816}"/>
                  </c:ext>
                </c:extLst>
              </c15:ser>
            </c15:filteredScatterSeries>
            <c15:filteredScatterSeries>
              <c15:ser>
                <c:idx val="67"/>
                <c:order val="67"/>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3-1574-4320-A2BC-836FBD6F1816}"/>
                  </c:ext>
                </c:extLst>
              </c15:ser>
            </c15:filteredScatterSeries>
            <c15:filteredScatterSeries>
              <c15:ser>
                <c:idx val="68"/>
                <c:order val="68"/>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4-1574-4320-A2BC-836FBD6F1816}"/>
                  </c:ext>
                </c:extLst>
              </c15:ser>
            </c15:filteredScatterSeries>
            <c15:filteredScatterSeries>
              <c15:ser>
                <c:idx val="69"/>
                <c:order val="69"/>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5-1574-4320-A2BC-836FBD6F1816}"/>
                  </c:ext>
                </c:extLst>
              </c15:ser>
            </c15:filteredScatterSeries>
            <c15:filteredScatterSeries>
              <c15:ser>
                <c:idx val="70"/>
                <c:order val="70"/>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6-1574-4320-A2BC-836FBD6F1816}"/>
                  </c:ext>
                </c:extLst>
              </c15:ser>
            </c15:filteredScatterSeries>
            <c15:filteredScatterSeries>
              <c15:ser>
                <c:idx val="71"/>
                <c:order val="71"/>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7-1574-4320-A2BC-836FBD6F1816}"/>
                  </c:ext>
                </c:extLst>
              </c15:ser>
            </c15:filteredScatterSeries>
            <c15:filteredScatterSeries>
              <c15:ser>
                <c:idx val="72"/>
                <c:order val="72"/>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1">
                        <a:lumMod val="80000"/>
                      </a:schemeClr>
                    </a:solidFill>
                    <a:ln w="9525">
                      <a:solidFill>
                        <a:schemeClr val="accent1">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8-1574-4320-A2BC-836FBD6F1816}"/>
                  </c:ext>
                </c:extLst>
              </c15:ser>
            </c15:filteredScatterSeries>
            <c15:filteredScatterSeries>
              <c15:ser>
                <c:idx val="73"/>
                <c:order val="73"/>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2">
                        <a:lumMod val="80000"/>
                      </a:schemeClr>
                    </a:solidFill>
                    <a:ln w="9525">
                      <a:solidFill>
                        <a:schemeClr val="accent2">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9-1574-4320-A2BC-836FBD6F1816}"/>
                  </c:ext>
                </c:extLst>
              </c15:ser>
            </c15:filteredScatterSeries>
            <c15:filteredScatterSeries>
              <c15:ser>
                <c:idx val="74"/>
                <c:order val="74"/>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3">
                        <a:lumMod val="80000"/>
                      </a:schemeClr>
                    </a:solidFill>
                    <a:ln w="9525">
                      <a:solidFill>
                        <a:schemeClr val="accent3">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A-1574-4320-A2BC-836FBD6F1816}"/>
                  </c:ext>
                </c:extLst>
              </c15:ser>
            </c15:filteredScatterSeries>
            <c15:filteredScatterSeries>
              <c15:ser>
                <c:idx val="75"/>
                <c:order val="75"/>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4">
                        <a:lumMod val="80000"/>
                      </a:schemeClr>
                    </a:solidFill>
                    <a:ln w="9525">
                      <a:solidFill>
                        <a:schemeClr val="accent4">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B-1574-4320-A2BC-836FBD6F1816}"/>
                  </c:ext>
                </c:extLst>
              </c15:ser>
            </c15:filteredScatterSeries>
            <c15:filteredScatterSeries>
              <c15:ser>
                <c:idx val="76"/>
                <c:order val="76"/>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5">
                        <a:lumMod val="80000"/>
                      </a:schemeClr>
                    </a:solidFill>
                    <a:ln w="9525">
                      <a:solidFill>
                        <a:schemeClr val="accent5">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C-1574-4320-A2BC-836FBD6F1816}"/>
                  </c:ext>
                </c:extLst>
              </c15:ser>
            </c15:filteredScatterSeries>
            <c15:filteredScatterSeries>
              <c15:ser>
                <c:idx val="77"/>
                <c:order val="77"/>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6">
                        <a:lumMod val="80000"/>
                      </a:schemeClr>
                    </a:solidFill>
                    <a:ln w="9525">
                      <a:solidFill>
                        <a:schemeClr val="accent6">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D-1574-4320-A2BC-836FBD6F1816}"/>
                  </c:ext>
                </c:extLst>
              </c15:ser>
            </c15:filteredScatterSeries>
            <c15:filteredScatterSeries>
              <c15:ser>
                <c:idx val="78"/>
                <c:order val="78"/>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E-1574-4320-A2BC-836FBD6F1816}"/>
                  </c:ext>
                </c:extLst>
              </c15:ser>
            </c15:filteredScatterSeries>
            <c15:filteredScatterSeries>
              <c15:ser>
                <c:idx val="79"/>
                <c:order val="79"/>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4F-1574-4320-A2BC-836FBD6F1816}"/>
                  </c:ext>
                </c:extLst>
              </c15:ser>
            </c15:filteredScatterSeries>
            <c15:filteredScatterSeries>
              <c15:ser>
                <c:idx val="80"/>
                <c:order val="80"/>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0-1574-4320-A2BC-836FBD6F1816}"/>
                  </c:ext>
                </c:extLst>
              </c15:ser>
            </c15:filteredScatterSeries>
            <c15:filteredScatterSeries>
              <c15:ser>
                <c:idx val="81"/>
                <c:order val="81"/>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1-1574-4320-A2BC-836FBD6F1816}"/>
                  </c:ext>
                </c:extLst>
              </c15:ser>
            </c15:filteredScatterSeries>
            <c15:filteredScatterSeries>
              <c15:ser>
                <c:idx val="82"/>
                <c:order val="82"/>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2-1574-4320-A2BC-836FBD6F1816}"/>
                  </c:ext>
                </c:extLst>
              </c15:ser>
            </c15:filteredScatterSeries>
            <c15:filteredScatterSeries>
              <c15:ser>
                <c:idx val="83"/>
                <c:order val="83"/>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3-1574-4320-A2BC-836FBD6F1816}"/>
                  </c:ext>
                </c:extLst>
              </c15:ser>
            </c15:filteredScatterSeries>
            <c15:filteredScatterSeries>
              <c15:ser>
                <c:idx val="84"/>
                <c:order val="84"/>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1">
                        <a:lumMod val="50000"/>
                      </a:schemeClr>
                    </a:solidFill>
                    <a:ln w="9525">
                      <a:solidFill>
                        <a:schemeClr val="accent1">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4-1574-4320-A2BC-836FBD6F1816}"/>
                  </c:ext>
                </c:extLst>
              </c15:ser>
            </c15:filteredScatterSeries>
            <c15:filteredScatterSeries>
              <c15:ser>
                <c:idx val="85"/>
                <c:order val="85"/>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2">
                        <a:lumMod val="50000"/>
                      </a:schemeClr>
                    </a:solidFill>
                    <a:ln w="9525">
                      <a:solidFill>
                        <a:schemeClr val="accent2">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5-1574-4320-A2BC-836FBD6F1816}"/>
                  </c:ext>
                </c:extLst>
              </c15:ser>
            </c15:filteredScatterSeries>
            <c15:filteredScatterSeries>
              <c15:ser>
                <c:idx val="86"/>
                <c:order val="86"/>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3">
                        <a:lumMod val="50000"/>
                      </a:schemeClr>
                    </a:solidFill>
                    <a:ln w="9525">
                      <a:solidFill>
                        <a:schemeClr val="accent3">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6-1574-4320-A2BC-836FBD6F1816}"/>
                  </c:ext>
                </c:extLst>
              </c15:ser>
            </c15:filteredScatterSeries>
            <c15:filteredScatterSeries>
              <c15:ser>
                <c:idx val="87"/>
                <c:order val="87"/>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4">
                        <a:lumMod val="50000"/>
                      </a:schemeClr>
                    </a:solidFill>
                    <a:ln w="9525">
                      <a:solidFill>
                        <a:schemeClr val="accent4">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7-1574-4320-A2BC-836FBD6F1816}"/>
                  </c:ext>
                </c:extLst>
              </c15:ser>
            </c15:filteredScatterSeries>
            <c15:filteredScatterSeries>
              <c15:ser>
                <c:idx val="88"/>
                <c:order val="88"/>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5">
                        <a:lumMod val="50000"/>
                      </a:schemeClr>
                    </a:solidFill>
                    <a:ln w="9525">
                      <a:solidFill>
                        <a:schemeClr val="accent5">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8-1574-4320-A2BC-836FBD6F1816}"/>
                  </c:ext>
                </c:extLst>
              </c15:ser>
            </c15:filteredScatterSeries>
            <c15:filteredScatterSeries>
              <c15:ser>
                <c:idx val="89"/>
                <c:order val="89"/>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6">
                        <a:lumMod val="50000"/>
                      </a:schemeClr>
                    </a:solidFill>
                    <a:ln w="9525">
                      <a:solidFill>
                        <a:schemeClr val="accent6">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9-1574-4320-A2BC-836FBD6F1816}"/>
                  </c:ext>
                </c:extLst>
              </c15:ser>
            </c15:filteredScatterSeries>
            <c15:filteredScatterSeries>
              <c15:ser>
                <c:idx val="90"/>
                <c:order val="90"/>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A-1574-4320-A2BC-836FBD6F1816}"/>
                  </c:ext>
                </c:extLst>
              </c15:ser>
            </c15:filteredScatterSeries>
            <c15:filteredScatterSeries>
              <c15:ser>
                <c:idx val="91"/>
                <c:order val="91"/>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B-1574-4320-A2BC-836FBD6F1816}"/>
                  </c:ext>
                </c:extLst>
              </c15:ser>
            </c15:filteredScatterSeries>
            <c15:filteredScatterSeries>
              <c15:ser>
                <c:idx val="92"/>
                <c:order val="92"/>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C-1574-4320-A2BC-836FBD6F1816}"/>
                  </c:ext>
                </c:extLst>
              </c15:ser>
            </c15:filteredScatterSeries>
            <c15:filteredScatterSeries>
              <c15:ser>
                <c:idx val="93"/>
                <c:order val="93"/>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D-1574-4320-A2BC-836FBD6F1816}"/>
                  </c:ext>
                </c:extLst>
              </c15:ser>
            </c15:filteredScatterSeries>
            <c15:filteredScatterSeries>
              <c15:ser>
                <c:idx val="94"/>
                <c:order val="94"/>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E-1574-4320-A2BC-836FBD6F1816}"/>
                  </c:ext>
                </c:extLst>
              </c15:ser>
            </c15:filteredScatterSeries>
            <c15:filteredScatterSeries>
              <c15:ser>
                <c:idx val="95"/>
                <c:order val="95"/>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5F-1574-4320-A2BC-836FBD6F1816}"/>
                  </c:ext>
                </c:extLst>
              </c15:ser>
            </c15:filteredScatterSeries>
            <c15:filteredScatterSeries>
              <c15:ser>
                <c:idx val="96"/>
                <c:order val="96"/>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1">
                        <a:lumMod val="70000"/>
                      </a:schemeClr>
                    </a:solidFill>
                    <a:ln w="9525">
                      <a:solidFill>
                        <a:schemeClr val="accent1">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0-1574-4320-A2BC-836FBD6F1816}"/>
                  </c:ext>
                </c:extLst>
              </c15:ser>
            </c15:filteredScatterSeries>
            <c15:filteredScatterSeries>
              <c15:ser>
                <c:idx val="97"/>
                <c:order val="97"/>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2">
                        <a:lumMod val="70000"/>
                      </a:schemeClr>
                    </a:solidFill>
                    <a:ln w="9525">
                      <a:solidFill>
                        <a:schemeClr val="accent2">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1-1574-4320-A2BC-836FBD6F1816}"/>
                  </c:ext>
                </c:extLst>
              </c15:ser>
            </c15:filteredScatterSeries>
            <c15:filteredScatterSeries>
              <c15:ser>
                <c:idx val="98"/>
                <c:order val="98"/>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3">
                        <a:lumMod val="70000"/>
                      </a:schemeClr>
                    </a:solidFill>
                    <a:ln w="9525">
                      <a:solidFill>
                        <a:schemeClr val="accent3">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2-1574-4320-A2BC-836FBD6F1816}"/>
                  </c:ext>
                </c:extLst>
              </c15:ser>
            </c15:filteredScatterSeries>
            <c15:filteredScatterSeries>
              <c15:ser>
                <c:idx val="99"/>
                <c:order val="99"/>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4">
                        <a:lumMod val="70000"/>
                      </a:schemeClr>
                    </a:solidFill>
                    <a:ln w="9525">
                      <a:solidFill>
                        <a:schemeClr val="accent4">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3-1574-4320-A2BC-836FBD6F1816}"/>
                  </c:ext>
                </c:extLst>
              </c15:ser>
            </c15:filteredScatterSeries>
            <c15:filteredScatterSeries>
              <c15:ser>
                <c:idx val="100"/>
                <c:order val="100"/>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5">
                        <a:lumMod val="70000"/>
                      </a:schemeClr>
                    </a:solidFill>
                    <a:ln w="9525">
                      <a:solidFill>
                        <a:schemeClr val="accent5">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4-1574-4320-A2BC-836FBD6F1816}"/>
                  </c:ext>
                </c:extLst>
              </c15:ser>
            </c15:filteredScatterSeries>
            <c15:filteredScatterSeries>
              <c15:ser>
                <c:idx val="101"/>
                <c:order val="101"/>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6">
                        <a:lumMod val="70000"/>
                      </a:schemeClr>
                    </a:solidFill>
                    <a:ln w="9525">
                      <a:solidFill>
                        <a:schemeClr val="accent6">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5-1574-4320-A2BC-836FBD6F1816}"/>
                  </c:ext>
                </c:extLst>
              </c15:ser>
            </c15:filteredScatterSeries>
            <c15:filteredScatterSeries>
              <c15:ser>
                <c:idx val="102"/>
                <c:order val="102"/>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1">
                        <a:lumMod val="50000"/>
                        <a:lumOff val="50000"/>
                      </a:schemeClr>
                    </a:solidFill>
                    <a:ln w="9525">
                      <a:solidFill>
                        <a:schemeClr val="accent1">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6-1574-4320-A2BC-836FBD6F1816}"/>
                  </c:ext>
                </c:extLst>
              </c15:ser>
            </c15:filteredScatterSeries>
            <c15:filteredScatterSeries>
              <c15:ser>
                <c:idx val="103"/>
                <c:order val="103"/>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2">
                        <a:lumMod val="50000"/>
                        <a:lumOff val="50000"/>
                      </a:schemeClr>
                    </a:solidFill>
                    <a:ln w="9525">
                      <a:solidFill>
                        <a:schemeClr val="accent2">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7-1574-4320-A2BC-836FBD6F1816}"/>
                  </c:ext>
                </c:extLst>
              </c15:ser>
            </c15:filteredScatterSeries>
            <c15:filteredScatterSeries>
              <c15:ser>
                <c:idx val="26"/>
                <c:order val="104"/>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8-1574-4320-A2BC-836FBD6F1816}"/>
                  </c:ext>
                </c:extLst>
              </c15:ser>
            </c15:filteredScatterSeries>
            <c15:filteredScatterSeries>
              <c15:ser>
                <c:idx val="27"/>
                <c:order val="105"/>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trendline>
                  <c:spPr>
                    <a:ln w="19050" cap="rnd">
                      <a:solidFill>
                        <a:schemeClr val="accent4">
                          <a:lumMod val="60000"/>
                          <a:lumOff val="40000"/>
                        </a:schemeClr>
                      </a:solidFill>
                      <a:prstDash val="sysDot"/>
                    </a:ln>
                    <a:effectLst/>
                  </c:spPr>
                  <c:trendlineType val="linear"/>
                  <c:dispRSqr val="0"/>
                  <c:dispEq val="0"/>
                </c:trendline>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9-1574-4320-A2BC-836FBD6F1816}"/>
                  </c:ext>
                </c:extLst>
              </c15:ser>
            </c15:filteredScatterSeries>
            <c15:filteredScatterSeries>
              <c15:ser>
                <c:idx val="28"/>
                <c:order val="106"/>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A-1574-4320-A2BC-836FBD6F1816}"/>
                  </c:ext>
                </c:extLst>
              </c15:ser>
            </c15:filteredScatterSeries>
            <c15:filteredScatterSeries>
              <c15:ser>
                <c:idx val="29"/>
                <c:order val="107"/>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trendline>
                  <c:spPr>
                    <a:ln w="19050" cap="rnd">
                      <a:solidFill>
                        <a:schemeClr val="accent6">
                          <a:lumMod val="60000"/>
                          <a:lumOff val="40000"/>
                        </a:schemeClr>
                      </a:solidFill>
                      <a:prstDash val="sysDot"/>
                    </a:ln>
                    <a:effectLst/>
                  </c:spPr>
                  <c:trendlineType val="linear"/>
                  <c:dispRSqr val="0"/>
                  <c:dispEq val="0"/>
                </c:trendline>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B-1574-4320-A2BC-836FBD6F1816}"/>
                  </c:ext>
                </c:extLst>
              </c15:ser>
            </c15:filteredScatterSeries>
            <c15:filteredScatterSeries>
              <c15:ser>
                <c:idx val="30"/>
                <c:order val="108"/>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1">
                        <a:lumMod val="50000"/>
                      </a:schemeClr>
                    </a:solidFill>
                    <a:ln w="9525">
                      <a:solidFill>
                        <a:schemeClr val="accent1">
                          <a:lumMod val="50000"/>
                        </a:schemeClr>
                      </a:solidFill>
                    </a:ln>
                    <a:effectLst/>
                  </c:spPr>
                </c:marker>
                <c:trendline>
                  <c:spPr>
                    <a:ln w="19050" cap="rnd">
                      <a:solidFill>
                        <a:schemeClr val="accent1">
                          <a:lumMod val="50000"/>
                        </a:schemeClr>
                      </a:solidFill>
                      <a:prstDash val="sysDot"/>
                    </a:ln>
                    <a:effectLst/>
                  </c:spPr>
                  <c:trendlineType val="linear"/>
                  <c:dispRSqr val="0"/>
                  <c:dispEq val="0"/>
                </c:trendline>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C-1574-4320-A2BC-836FBD6F1816}"/>
                  </c:ext>
                </c:extLst>
              </c15:ser>
            </c15:filteredScatterSeries>
            <c15:filteredScatterSeries>
              <c15:ser>
                <c:idx val="31"/>
                <c:order val="109"/>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2">
                        <a:lumMod val="50000"/>
                      </a:schemeClr>
                    </a:solidFill>
                    <a:ln w="9525">
                      <a:solidFill>
                        <a:schemeClr val="accent2">
                          <a:lumMod val="50000"/>
                        </a:schemeClr>
                      </a:solidFill>
                    </a:ln>
                    <a:effectLst/>
                  </c:spPr>
                </c:marker>
                <c:trendline>
                  <c:spPr>
                    <a:ln w="19050" cap="rnd">
                      <a:solidFill>
                        <a:schemeClr val="accent2">
                          <a:lumMod val="50000"/>
                        </a:schemeClr>
                      </a:solidFill>
                      <a:prstDash val="sysDot"/>
                    </a:ln>
                    <a:effectLst/>
                  </c:spPr>
                  <c:trendlineType val="linear"/>
                  <c:dispRSqr val="0"/>
                  <c:dispEq val="0"/>
                </c:trendline>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D-1574-4320-A2BC-836FBD6F1816}"/>
                  </c:ext>
                </c:extLst>
              </c15:ser>
            </c15:filteredScatterSeries>
            <c15:filteredScatterSeries>
              <c15:ser>
                <c:idx val="32"/>
                <c:order val="110"/>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3">
                        <a:lumMod val="50000"/>
                      </a:schemeClr>
                    </a:solidFill>
                    <a:ln w="9525">
                      <a:solidFill>
                        <a:schemeClr val="accent3">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E-1574-4320-A2BC-836FBD6F1816}"/>
                  </c:ext>
                </c:extLst>
              </c15:ser>
            </c15:filteredScatterSeries>
            <c15:filteredScatterSeries>
              <c15:ser>
                <c:idx val="33"/>
                <c:order val="111"/>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4">
                        <a:lumMod val="50000"/>
                      </a:schemeClr>
                    </a:solidFill>
                    <a:ln w="9525">
                      <a:solidFill>
                        <a:schemeClr val="accent4">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6F-1574-4320-A2BC-836FBD6F1816}"/>
                  </c:ext>
                </c:extLst>
              </c15:ser>
            </c15:filteredScatterSeries>
            <c15:filteredScatterSeries>
              <c15:ser>
                <c:idx val="34"/>
                <c:order val="112"/>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5">
                        <a:lumMod val="50000"/>
                      </a:schemeClr>
                    </a:solidFill>
                    <a:ln w="9525">
                      <a:solidFill>
                        <a:schemeClr val="accent5">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70-1574-4320-A2BC-836FBD6F1816}"/>
                  </c:ext>
                </c:extLst>
              </c15:ser>
            </c15:filteredScatterSeries>
            <c15:filteredScatterSeries>
              <c15:ser>
                <c:idx val="35"/>
                <c:order val="113"/>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6">
                        <a:lumMod val="50000"/>
                      </a:schemeClr>
                    </a:solidFill>
                    <a:ln w="9525">
                      <a:solidFill>
                        <a:schemeClr val="accent6">
                          <a:lumMod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71-1574-4320-A2BC-836FBD6F1816}"/>
                  </c:ext>
                </c:extLst>
              </c15:ser>
            </c15:filteredScatterSeries>
            <c15:filteredScatterSeries>
              <c15:ser>
                <c:idx val="36"/>
                <c:order val="114"/>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72-1574-4320-A2BC-836FBD6F1816}"/>
                  </c:ext>
                </c:extLst>
              </c15:ser>
            </c15:filteredScatterSeries>
            <c15:filteredScatterSeries>
              <c15:ser>
                <c:idx val="37"/>
                <c:order val="115"/>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73-1574-4320-A2BC-836FBD6F1816}"/>
                  </c:ext>
                </c:extLst>
              </c15:ser>
            </c15:filteredScatterSeries>
            <c15:filteredScatterSeries>
              <c15:ser>
                <c:idx val="38"/>
                <c:order val="116"/>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74-1574-4320-A2BC-836FBD6F1816}"/>
                  </c:ext>
                </c:extLst>
              </c15:ser>
            </c15:filteredScatterSeries>
            <c15:filteredScatterSeries>
              <c15:ser>
                <c:idx val="39"/>
                <c:order val="117"/>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75-1574-4320-A2BC-836FBD6F1816}"/>
                  </c:ext>
                </c:extLst>
              </c15:ser>
            </c15:filteredScatterSeries>
            <c15:filteredScatterSeries>
              <c15:ser>
                <c:idx val="40"/>
                <c:order val="118"/>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76-1574-4320-A2BC-836FBD6F1816}"/>
                  </c:ext>
                </c:extLst>
              </c15:ser>
            </c15:filteredScatterSeries>
            <c15:filteredScatterSeries>
              <c15:ser>
                <c:idx val="41"/>
                <c:order val="119"/>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77-1574-4320-A2BC-836FBD6F1816}"/>
                  </c:ext>
                </c:extLst>
              </c15:ser>
            </c15:filteredScatterSeries>
            <c15:filteredScatterSeries>
              <c15:ser>
                <c:idx val="42"/>
                <c:order val="120"/>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1">
                        <a:lumMod val="70000"/>
                      </a:schemeClr>
                    </a:solidFill>
                    <a:ln w="9525">
                      <a:solidFill>
                        <a:schemeClr val="accent1">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78-1574-4320-A2BC-836FBD6F1816}"/>
                  </c:ext>
                </c:extLst>
              </c15:ser>
            </c15:filteredScatterSeries>
            <c15:filteredScatterSeries>
              <c15:ser>
                <c:idx val="43"/>
                <c:order val="121"/>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2">
                        <a:lumMod val="70000"/>
                      </a:schemeClr>
                    </a:solidFill>
                    <a:ln w="9525">
                      <a:solidFill>
                        <a:schemeClr val="accent2">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79-1574-4320-A2BC-836FBD6F1816}"/>
                  </c:ext>
                </c:extLst>
              </c15:ser>
            </c15:filteredScatterSeries>
            <c15:filteredScatterSeries>
              <c15:ser>
                <c:idx val="44"/>
                <c:order val="122"/>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3">
                        <a:lumMod val="70000"/>
                      </a:schemeClr>
                    </a:solidFill>
                    <a:ln w="9525">
                      <a:solidFill>
                        <a:schemeClr val="accent3">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7A-1574-4320-A2BC-836FBD6F1816}"/>
                  </c:ext>
                </c:extLst>
              </c15:ser>
            </c15:filteredScatterSeries>
            <c15:filteredScatterSeries>
              <c15:ser>
                <c:idx val="45"/>
                <c:order val="123"/>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4">
                        <a:lumMod val="70000"/>
                      </a:schemeClr>
                    </a:solidFill>
                    <a:ln w="9525">
                      <a:solidFill>
                        <a:schemeClr val="accent4">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7B-1574-4320-A2BC-836FBD6F1816}"/>
                  </c:ext>
                </c:extLst>
              </c15:ser>
            </c15:filteredScatterSeries>
            <c15:filteredScatterSeries>
              <c15:ser>
                <c:idx val="46"/>
                <c:order val="124"/>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5">
                        <a:lumMod val="70000"/>
                      </a:schemeClr>
                    </a:solidFill>
                    <a:ln w="9525">
                      <a:solidFill>
                        <a:schemeClr val="accent5">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7C-1574-4320-A2BC-836FBD6F1816}"/>
                  </c:ext>
                </c:extLst>
              </c15:ser>
            </c15:filteredScatterSeries>
            <c15:filteredScatterSeries>
              <c15:ser>
                <c:idx val="47"/>
                <c:order val="125"/>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6">
                        <a:lumMod val="70000"/>
                      </a:schemeClr>
                    </a:solidFill>
                    <a:ln w="9525">
                      <a:solidFill>
                        <a:schemeClr val="accent6">
                          <a:lumMod val="7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7D-1574-4320-A2BC-836FBD6F1816}"/>
                  </c:ext>
                </c:extLst>
              </c15:ser>
            </c15:filteredScatterSeries>
            <c15:filteredScatterSeries>
              <c15:ser>
                <c:idx val="48"/>
                <c:order val="126"/>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1">
                        <a:lumMod val="50000"/>
                        <a:lumOff val="50000"/>
                      </a:schemeClr>
                    </a:solidFill>
                    <a:ln w="9525">
                      <a:solidFill>
                        <a:schemeClr val="accent1">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7E-1574-4320-A2BC-836FBD6F1816}"/>
                  </c:ext>
                </c:extLst>
              </c15:ser>
            </c15:filteredScatterSeries>
            <c15:filteredScatterSeries>
              <c15:ser>
                <c:idx val="49"/>
                <c:order val="127"/>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2">
                        <a:lumMod val="50000"/>
                        <a:lumOff val="50000"/>
                      </a:schemeClr>
                    </a:solidFill>
                    <a:ln w="9525">
                      <a:solidFill>
                        <a:schemeClr val="accent2">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7F-1574-4320-A2BC-836FBD6F1816}"/>
                  </c:ext>
                </c:extLst>
              </c15:ser>
            </c15:filteredScatterSeries>
            <c15:filteredScatterSeries>
              <c15:ser>
                <c:idx val="50"/>
                <c:order val="128"/>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3">
                        <a:lumMod val="50000"/>
                        <a:lumOff val="50000"/>
                      </a:schemeClr>
                    </a:solidFill>
                    <a:ln w="9525">
                      <a:solidFill>
                        <a:schemeClr val="accent3">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80-1574-4320-A2BC-836FBD6F1816}"/>
                  </c:ext>
                </c:extLst>
              </c15:ser>
            </c15:filteredScatterSeries>
            <c15:filteredScatterSeries>
              <c15:ser>
                <c:idx val="51"/>
                <c:order val="129"/>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4">
                        <a:lumMod val="50000"/>
                        <a:lumOff val="50000"/>
                      </a:schemeClr>
                    </a:solidFill>
                    <a:ln w="9525">
                      <a:solidFill>
                        <a:schemeClr val="accent4">
                          <a:lumMod val="50000"/>
                          <a:lumOff val="5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81-1574-4320-A2BC-836FBD6F1816}"/>
                  </c:ext>
                </c:extLst>
              </c15:ser>
            </c15:filteredScatterSeries>
            <c15:filteredScatterSeries>
              <c15:ser>
                <c:idx val="13"/>
                <c:order val="130"/>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82-1574-4320-A2BC-836FBD6F1816}"/>
                  </c:ext>
                </c:extLst>
              </c15:ser>
            </c15:filteredScatterSeries>
            <c15:filteredScatterSeries>
              <c15:ser>
                <c:idx val="14"/>
                <c:order val="131"/>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83-1574-4320-A2BC-836FBD6F1816}"/>
                  </c:ext>
                </c:extLst>
              </c15:ser>
            </c15:filteredScatterSeries>
            <c15:filteredScatterSeries>
              <c15:ser>
                <c:idx val="15"/>
                <c:order val="132"/>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84-1574-4320-A2BC-836FBD6F1816}"/>
                  </c:ext>
                </c:extLst>
              </c15:ser>
            </c15:filteredScatterSeries>
            <c15:filteredScatterSeries>
              <c15:ser>
                <c:idx val="16"/>
                <c:order val="133"/>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85-1574-4320-A2BC-836FBD6F1816}"/>
                  </c:ext>
                </c:extLst>
              </c15:ser>
            </c15:filteredScatterSeries>
            <c15:filteredScatterSeries>
              <c15:ser>
                <c:idx val="17"/>
                <c:order val="134"/>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86-1574-4320-A2BC-836FBD6F1816}"/>
                  </c:ext>
                </c:extLst>
              </c15:ser>
            </c15:filteredScatterSeries>
            <c15:filteredScatterSeries>
              <c15:ser>
                <c:idx val="18"/>
                <c:order val="135"/>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1">
                        <a:lumMod val="80000"/>
                      </a:schemeClr>
                    </a:solidFill>
                    <a:ln w="9525">
                      <a:solidFill>
                        <a:schemeClr val="accent1">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87-1574-4320-A2BC-836FBD6F1816}"/>
                  </c:ext>
                </c:extLst>
              </c15:ser>
            </c15:filteredScatterSeries>
            <c15:filteredScatterSeries>
              <c15:ser>
                <c:idx val="19"/>
                <c:order val="136"/>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2">
                        <a:lumMod val="80000"/>
                      </a:schemeClr>
                    </a:solidFill>
                    <a:ln w="9525">
                      <a:solidFill>
                        <a:schemeClr val="accent2">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88-1574-4320-A2BC-836FBD6F1816}"/>
                  </c:ext>
                </c:extLst>
              </c15:ser>
            </c15:filteredScatterSeries>
            <c15:filteredScatterSeries>
              <c15:ser>
                <c:idx val="20"/>
                <c:order val="137"/>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3">
                        <a:lumMod val="80000"/>
                      </a:schemeClr>
                    </a:solidFill>
                    <a:ln w="9525">
                      <a:solidFill>
                        <a:schemeClr val="accent3">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89-1574-4320-A2BC-836FBD6F1816}"/>
                  </c:ext>
                </c:extLst>
              </c15:ser>
            </c15:filteredScatterSeries>
            <c15:filteredScatterSeries>
              <c15:ser>
                <c:idx val="21"/>
                <c:order val="138"/>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4">
                        <a:lumMod val="80000"/>
                      </a:schemeClr>
                    </a:solidFill>
                    <a:ln w="9525">
                      <a:solidFill>
                        <a:schemeClr val="accent4">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8A-1574-4320-A2BC-836FBD6F1816}"/>
                  </c:ext>
                </c:extLst>
              </c15:ser>
            </c15:filteredScatterSeries>
            <c15:filteredScatterSeries>
              <c15:ser>
                <c:idx val="22"/>
                <c:order val="139"/>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5">
                        <a:lumMod val="80000"/>
                      </a:schemeClr>
                    </a:solidFill>
                    <a:ln w="9525">
                      <a:solidFill>
                        <a:schemeClr val="accent5">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8B-1574-4320-A2BC-836FBD6F1816}"/>
                  </c:ext>
                </c:extLst>
              </c15:ser>
            </c15:filteredScatterSeries>
            <c15:filteredScatterSeries>
              <c15:ser>
                <c:idx val="23"/>
                <c:order val="140"/>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6">
                        <a:lumMod val="80000"/>
                      </a:schemeClr>
                    </a:solidFill>
                    <a:ln w="9525">
                      <a:solidFill>
                        <a:schemeClr val="accent6">
                          <a:lumMod val="8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8C-1574-4320-A2BC-836FBD6F1816}"/>
                  </c:ext>
                </c:extLst>
              </c15:ser>
            </c15:filteredScatterSeries>
            <c15:filteredScatterSeries>
              <c15:ser>
                <c:idx val="24"/>
                <c:order val="141"/>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8D-1574-4320-A2BC-836FBD6F1816}"/>
                  </c:ext>
                </c:extLst>
              </c15:ser>
            </c15:filteredScatterSeries>
            <c15:filteredScatterSeries>
              <c15:ser>
                <c:idx val="25"/>
                <c:order val="142"/>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8E-1574-4320-A2BC-836FBD6F1816}"/>
                  </c:ext>
                </c:extLst>
              </c15:ser>
            </c15:filteredScatterSeries>
            <c15:filteredScatterSeries>
              <c15:ser>
                <c:idx val="0"/>
                <c:order val="143"/>
                <c:tx>
                  <c:strRef>
                    <c:extLst xmlns:c16r2="http://schemas.microsoft.com/office/drawing/2015/06/chart" xmlns:c15="http://schemas.microsoft.com/office/drawing/2012/chart">
                      <c:ext xmlns:c15="http://schemas.microsoft.com/office/drawing/2012/chart" uri="{02D57815-91ED-43cb-92C2-25804820EDAC}">
                        <c15:formulaRef>
                          <c15:sqref>'Sheet1 (2)'!$O$62</c15:sqref>
                        </c15:formulaRef>
                      </c:ext>
                    </c:extLst>
                    <c:strCache>
                      <c:ptCount val="1"/>
                      <c:pt idx="0">
                        <c:v>b'</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7.9242807822705208E-2"/>
                        <c:y val="1.7720583530579013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1"/>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(2)'!$P$64:$P$68,'Sheet1 (2)'!$P$70,'Sheet1 (2)'!$P$72)</c15:sqref>
                        </c15:formulaRef>
                      </c:ext>
                    </c:extLst>
                    <c:numCache>
                      <c:formatCode>General</c:formatCode>
                      <c:ptCount val="7"/>
                      <c:pt idx="0">
                        <c:v>2</c:v>
                      </c:pt>
                      <c:pt idx="1">
                        <c:v>3</c:v>
                      </c:pt>
                      <c:pt idx="2">
                        <c:v>4</c:v>
                      </c:pt>
                      <c:pt idx="3">
                        <c:v>5</c:v>
                      </c:pt>
                      <c:pt idx="4">
                        <c:v>6</c:v>
                      </c:pt>
                      <c:pt idx="5">
                        <c:v>8</c:v>
                      </c:pt>
                      <c:pt idx="6">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(2)'!$R$64:$R$68,'Sheet1 (2)'!$R$70,'Sheet1 (2)'!$R$72)</c15:sqref>
                        </c15:formulaRef>
                      </c:ext>
                    </c:extLst>
                    <c:numCache>
                      <c:formatCode>General</c:formatCode>
                      <c:ptCount val="7"/>
                      <c:pt idx="0">
                        <c:v>0.29833333333333334</c:v>
                      </c:pt>
                      <c:pt idx="1">
                        <c:v>4.5166666666666666</c:v>
                      </c:pt>
                      <c:pt idx="2">
                        <c:v>5.1016666666666666</c:v>
                      </c:pt>
                      <c:pt idx="3">
                        <c:v>6.5933333333333328</c:v>
                      </c:pt>
                      <c:pt idx="4">
                        <c:v>6.9849999999999994</c:v>
                      </c:pt>
                      <c:pt idx="5">
                        <c:v>11.313333333333333</c:v>
                      </c:pt>
                      <c:pt idx="6">
                        <c:v>17.150000000000002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8F-1574-4320-A2BC-836FBD6F1816}"/>
                  </c:ext>
                </c:extLst>
              </c15:ser>
            </c15:filteredScatterSeries>
            <c15:filteredScatterSeries>
              <c15:ser>
                <c:idx val="1"/>
                <c:order val="144"/>
                <c:tx>
                  <c:strRef>
                    <c:extLst xmlns:c16r2="http://schemas.microsoft.com/office/drawing/2015/06/chart" xmlns:c15="http://schemas.microsoft.com/office/drawing/2012/chart">
                      <c:ext xmlns:c15="http://schemas.microsoft.com/office/drawing/2012/chart" uri="{02D57815-91ED-43cb-92C2-25804820EDAC}">
                        <c15:formulaRef>
                          <c15:sqref>'Sheet1 (2)'!$O$48</c15:sqref>
                        </c15:formulaRef>
                      </c:ext>
                    </c:extLst>
                    <c:strCache>
                      <c:ptCount val="1"/>
                      <c:pt idx="0">
                        <c:v>a'''</c:v>
                      </c:pt>
                    </c:strCache>
                  </c:strRef>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8.0899155004265963E-2"/>
                        <c:y val="-3.0237320242100321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2"/>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(2)'!$P$50:$P$57</c15:sqref>
                        </c15:formulaRef>
                      </c:ext>
                    </c:extLst>
                    <c:numCache>
                      <c:formatCode>General</c:formatCode>
                      <c:ptCount val="8"/>
                      <c:pt idx="0">
                        <c:v>2</c:v>
                      </c:pt>
                      <c:pt idx="1">
                        <c:v>3</c:v>
                      </c:pt>
                      <c:pt idx="2">
                        <c:v>4</c:v>
                      </c:pt>
                      <c:pt idx="3">
                        <c:v>5</c:v>
                      </c:pt>
                      <c:pt idx="4">
                        <c:v>6</c:v>
                      </c:pt>
                      <c:pt idx="5">
                        <c:v>7</c:v>
                      </c:pt>
                      <c:pt idx="6">
                        <c:v>8</c:v>
                      </c:pt>
                      <c:pt idx="7">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(2)'!$R$50:$R$57</c15:sqref>
                        </c15:formulaRef>
                      </c:ext>
                    </c:extLst>
                    <c:numCache>
                      <c:formatCode>General</c:formatCode>
                      <c:ptCount val="8"/>
                      <c:pt idx="0">
                        <c:v>4.2649999999999997</c:v>
                      </c:pt>
                      <c:pt idx="1">
                        <c:v>7.0833333333333339</c:v>
                      </c:pt>
                      <c:pt idx="2">
                        <c:v>8.6666666666666661</c:v>
                      </c:pt>
                      <c:pt idx="3">
                        <c:v>11.616666666666665</c:v>
                      </c:pt>
                      <c:pt idx="4">
                        <c:v>17</c:v>
                      </c:pt>
                      <c:pt idx="5">
                        <c:v>17.666666666666668</c:v>
                      </c:pt>
                      <c:pt idx="6">
                        <c:v>19</c:v>
                      </c:pt>
                      <c:pt idx="7">
                        <c:v>22.453333333333337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90-1574-4320-A2BC-836FBD6F1816}"/>
                  </c:ext>
                </c:extLst>
              </c15:ser>
            </c15:filteredScatterSeries>
            <c15:filteredScatterSeries>
              <c15:ser>
                <c:idx val="2"/>
                <c:order val="145"/>
                <c:tx>
                  <c:strRef>
                    <c:extLst xmlns:c16r2="http://schemas.microsoft.com/office/drawing/2015/06/chart" xmlns:c15="http://schemas.microsoft.com/office/drawing/2012/chart">
                      <c:ext xmlns:c15="http://schemas.microsoft.com/office/drawing/2012/chart" uri="{02D57815-91ED-43cb-92C2-25804820EDAC}">
                        <c15:formulaRef>
                          <c15:sqref>'Sheet1 (2)'!$O$76</c15:sqref>
                        </c15:formulaRef>
                      </c:ext>
                    </c:extLst>
                    <c:strCache>
                      <c:ptCount val="1"/>
                      <c:pt idx="0">
                        <c:v>c</c:v>
                      </c:pt>
                    </c:strCache>
                  </c:strRef>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1"/>
                  <c:dispEq val="1"/>
                  <c:trendlineLbl>
                    <c:layout>
                      <c:manualLayout>
                        <c:x val="8.3339618672912716E-2"/>
                        <c:y val="6.5016459959785786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bg1">
                                <a:lumMod val="65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(2)'!$P$78:$P$82</c15:sqref>
                        </c15:formulaRef>
                      </c:ext>
                    </c:extLst>
                    <c:numCache>
                      <c:formatCode>General</c:formatCode>
                      <c:ptCount val="5"/>
                      <c:pt idx="0">
                        <c:v>2</c:v>
                      </c:pt>
                      <c:pt idx="1">
                        <c:v>3</c:v>
                      </c:pt>
                      <c:pt idx="2">
                        <c:v>4</c:v>
                      </c:pt>
                      <c:pt idx="3">
                        <c:v>5</c:v>
                      </c:pt>
                      <c:pt idx="4">
                        <c:v>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(2)'!$R$78:$R$82</c15:sqref>
                        </c15:formulaRef>
                      </c:ext>
                    </c:extLst>
                    <c:numCache>
                      <c:formatCode>General</c:formatCode>
                      <c:ptCount val="5"/>
                      <c:pt idx="0">
                        <c:v>0</c:v>
                      </c:pt>
                      <c:pt idx="1">
                        <c:v>0.43666666666666665</c:v>
                      </c:pt>
                      <c:pt idx="2">
                        <c:v>0.93833333333333324</c:v>
                      </c:pt>
                      <c:pt idx="3">
                        <c:v>1.5583333333333331</c:v>
                      </c:pt>
                      <c:pt idx="4">
                        <c:v>2.52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91-1574-4320-A2BC-836FBD6F1816}"/>
                  </c:ext>
                </c:extLst>
              </c15:ser>
            </c15:filteredScatterSeries>
            <c15:filteredScatterSeries>
              <c15:ser>
                <c:idx val="3"/>
                <c:order val="146"/>
                <c:tx>
                  <c:strRef>
                    <c:extLst xmlns:c16r2="http://schemas.microsoft.com/office/drawing/2015/06/chart" xmlns:c15="http://schemas.microsoft.com/office/drawing/2012/chart">
                      <c:ext xmlns:c15="http://schemas.microsoft.com/office/drawing/2012/chart" uri="{02D57815-91ED-43cb-92C2-25804820EDAC}">
                        <c15:formulaRef>
                          <c15:sqref>'Sheet1 (2)'!$O$90</c15:sqref>
                        </c15:formulaRef>
                      </c:ext>
                    </c:extLst>
                    <c:strCache>
                      <c:ptCount val="1"/>
                      <c:pt idx="0">
                        <c:v>d''</c:v>
                      </c:pt>
                    </c:strCache>
                  </c:strRef>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1"/>
                  <c:dispEq val="1"/>
                  <c:trendlineLbl>
                    <c:layout>
                      <c:manualLayout>
                        <c:x val="8.1715285891431996E-2"/>
                        <c:y val="-8.8608858332598316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4"/>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(2)'!$P$92:$P$93,'Sheet1 (2)'!$P$96:$P$99)</c15:sqref>
                        </c15:formulaRef>
                      </c:ext>
                    </c:extLst>
                    <c:numCache>
                      <c:formatCode>General</c:formatCode>
                      <c:ptCount val="6"/>
                      <c:pt idx="0">
                        <c:v>3</c:v>
                      </c:pt>
                      <c:pt idx="1">
                        <c:v>4</c:v>
                      </c:pt>
                      <c:pt idx="2">
                        <c:v>7</c:v>
                      </c:pt>
                      <c:pt idx="3">
                        <c:v>8</c:v>
                      </c:pt>
                      <c:pt idx="4">
                        <c:v>9</c:v>
                      </c:pt>
                      <c:pt idx="5">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(2)'!$R$92:$R$93,'Sheet1 (2)'!$R$96:$R$99)</c15:sqref>
                        </c15:formulaRef>
                      </c:ext>
                    </c:extLst>
                    <c:numCache>
                      <c:formatCode>General</c:formatCode>
                      <c:ptCount val="6"/>
                      <c:pt idx="0">
                        <c:v>3.6083333333333329</c:v>
                      </c:pt>
                      <c:pt idx="1">
                        <c:v>5.5133333333333336</c:v>
                      </c:pt>
                      <c:pt idx="2">
                        <c:v>9.6349999999999998</c:v>
                      </c:pt>
                      <c:pt idx="3">
                        <c:v>11.236666666666666</c:v>
                      </c:pt>
                      <c:pt idx="4">
                        <c:v>16.181666666666668</c:v>
                      </c:pt>
                      <c:pt idx="5">
                        <c:v>19.244999999999997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92-1574-4320-A2BC-836FBD6F1816}"/>
                  </c:ext>
                </c:extLst>
              </c15:ser>
            </c15:filteredScatterSeries>
            <c15:filteredScatterSeries>
              <c15:ser>
                <c:idx val="4"/>
                <c:order val="147"/>
                <c:tx>
                  <c:strRef>
                    <c:extLst xmlns:c16r2="http://schemas.microsoft.com/office/drawing/2015/06/chart" xmlns:c15="http://schemas.microsoft.com/office/drawing/2012/chart">
                      <c:ext xmlns:c15="http://schemas.microsoft.com/office/drawing/2012/chart" uri="{02D57815-91ED-43cb-92C2-25804820EDAC}">
                        <c15:formulaRef>
                          <c15:sqref>'Sheet1 (2)'!$O$104</c15:sqref>
                        </c15:formulaRef>
                      </c:ext>
                    </c:extLst>
                    <c:strCache>
                      <c:ptCount val="1"/>
                      <c:pt idx="0">
                        <c:v>e</c:v>
                      </c:pt>
                    </c:strCache>
                  </c:strRef>
                </c:tx>
                <c:spPr>
                  <a:ln w="25400" cap="rnd">
                    <a:no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linear"/>
                  <c:dispRSqr val="1"/>
                  <c:dispEq val="1"/>
                  <c:trendlineLbl>
                    <c:layout>
                      <c:manualLayout>
                        <c:x val="8.0119032469765109E-2"/>
                        <c:y val="-1.1135328051023852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5"/>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(2)'!$P$106:$P$115</c15:sqref>
                        </c15:formulaRef>
                      </c:ext>
                    </c:extLst>
                    <c:numCache>
                      <c:formatCode>General</c:formatCode>
                      <c:ptCount val="10"/>
                      <c:pt idx="0">
                        <c:v>2</c:v>
                      </c:pt>
                      <c:pt idx="1">
                        <c:v>3</c:v>
                      </c:pt>
                      <c:pt idx="2">
                        <c:v>4</c:v>
                      </c:pt>
                      <c:pt idx="3">
                        <c:v>5</c:v>
                      </c:pt>
                      <c:pt idx="4">
                        <c:v>6</c:v>
                      </c:pt>
                      <c:pt idx="5">
                        <c:v>7</c:v>
                      </c:pt>
                      <c:pt idx="6">
                        <c:v>8</c:v>
                      </c:pt>
                      <c:pt idx="7">
                        <c:v>9</c:v>
                      </c:pt>
                      <c:pt idx="8">
                        <c:v>10</c:v>
                      </c:pt>
                      <c:pt idx="9">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(2)'!$R$106:$R$115</c15:sqref>
                        </c15:formulaRef>
                      </c:ext>
                    </c:extLst>
                    <c:numCache>
                      <c:formatCode>General</c:formatCode>
                      <c:ptCount val="10"/>
                      <c:pt idx="0">
                        <c:v>0.67833333333333345</c:v>
                      </c:pt>
                      <c:pt idx="1">
                        <c:v>4.7416666666666663</c:v>
                      </c:pt>
                      <c:pt idx="2">
                        <c:v>6.6016666666666675</c:v>
                      </c:pt>
                      <c:pt idx="3">
                        <c:v>5.330000000000001</c:v>
                      </c:pt>
                      <c:pt idx="4">
                        <c:v>10.635</c:v>
                      </c:pt>
                      <c:pt idx="5">
                        <c:v>13.836666666666666</c:v>
                      </c:pt>
                      <c:pt idx="6">
                        <c:v>15.981666666666669</c:v>
                      </c:pt>
                      <c:pt idx="7">
                        <c:v>19.72</c:v>
                      </c:pt>
                      <c:pt idx="8">
                        <c:v>20.918333333333329</c:v>
                      </c:pt>
                      <c:pt idx="9">
                        <c:v>23.791666666666664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93-1574-4320-A2BC-836FBD6F1816}"/>
                  </c:ext>
                </c:extLst>
              </c15:ser>
            </c15:filteredScatterSeries>
            <c15:filteredScatterSeries>
              <c15:ser>
                <c:idx val="5"/>
                <c:order val="148"/>
                <c:tx>
                  <c:strRef>
                    <c:extLst xmlns:c16r2="http://schemas.microsoft.com/office/drawing/2015/06/chart" xmlns:c15="http://schemas.microsoft.com/office/drawing/2012/chart">
                      <c:ext xmlns:c15="http://schemas.microsoft.com/office/drawing/2012/chart" uri="{02D57815-91ED-43cb-92C2-25804820EDAC}">
                        <c15:formulaRef>
                          <c15:sqref>'Sheet1 (2)'!$O$118</c15:sqref>
                        </c15:formulaRef>
                      </c:ext>
                    </c:extLst>
                    <c:strCache>
                      <c:ptCount val="1"/>
                      <c:pt idx="0">
                        <c:v>h</c:v>
                      </c:pt>
                    </c:strCache>
                  </c:strRef>
                </c:tx>
                <c:spPr>
                  <a:ln w="25400" cap="rnd">
                    <a:noFill/>
                    <a:round/>
                  </a:ln>
                  <a:effectLst/>
                </c:spPr>
                <c:marker>
                  <c:symbol val="circle"/>
                  <c:size val="5"/>
                  <c:spPr>
                    <a:solidFill>
                      <a:schemeClr val="accent6"/>
                    </a:solidFill>
                    <a:ln w="9525">
                      <a:solidFill>
                        <a:schemeClr val="accent6"/>
                      </a:solidFill>
                    </a:ln>
                    <a:effectLst/>
                  </c:spPr>
                </c:marker>
                <c:trendline>
                  <c:spPr>
                    <a:ln w="19050" cap="rnd">
                      <a:solidFill>
                        <a:schemeClr val="accent6"/>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6"/>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(2)'!$P$120:$P$127</c15:sqref>
                        </c15:formulaRef>
                      </c:ext>
                    </c:extLst>
                    <c:numCache>
                      <c:formatCode>General</c:formatCode>
                      <c:ptCount val="8"/>
                      <c:pt idx="0">
                        <c:v>3</c:v>
                      </c:pt>
                      <c:pt idx="1">
                        <c:v>4</c:v>
                      </c:pt>
                      <c:pt idx="2">
                        <c:v>5</c:v>
                      </c:pt>
                      <c:pt idx="3">
                        <c:v>6</c:v>
                      </c:pt>
                      <c:pt idx="4">
                        <c:v>7</c:v>
                      </c:pt>
                      <c:pt idx="5">
                        <c:v>8</c:v>
                      </c:pt>
                      <c:pt idx="6">
                        <c:v>9</c:v>
                      </c:pt>
                      <c:pt idx="7">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(2)'!$R$120:$R$127</c15:sqref>
                        </c15:formulaRef>
                      </c:ext>
                    </c:extLst>
                    <c:numCache>
                      <c:formatCode>General</c:formatCode>
                      <c:ptCount val="8"/>
                      <c:pt idx="0">
                        <c:v>4.8866666666666667</c:v>
                      </c:pt>
                      <c:pt idx="1">
                        <c:v>6.69</c:v>
                      </c:pt>
                      <c:pt idx="2">
                        <c:v>10.403333333333334</c:v>
                      </c:pt>
                      <c:pt idx="3">
                        <c:v>12.664999999999999</c:v>
                      </c:pt>
                      <c:pt idx="4">
                        <c:v>21.958333333333332</c:v>
                      </c:pt>
                      <c:pt idx="5">
                        <c:v>22.744999999999997</c:v>
                      </c:pt>
                      <c:pt idx="6">
                        <c:v>24.964999999999996</c:v>
                      </c:pt>
                      <c:pt idx="7">
                        <c:v>26.448333333333331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94-1574-4320-A2BC-836FBD6F1816}"/>
                  </c:ext>
                </c:extLst>
              </c15:ser>
            </c15:filteredScatterSeries>
            <c15:filteredScatterSeries>
              <c15:ser>
                <c:idx val="6"/>
                <c:order val="149"/>
                <c:tx>
                  <c:strRef>
                    <c:extLst xmlns:c16r2="http://schemas.microsoft.com/office/drawing/2015/06/chart" xmlns:c15="http://schemas.microsoft.com/office/drawing/2012/chart">
                      <c:ext xmlns:c15="http://schemas.microsoft.com/office/drawing/2012/chart" uri="{02D57815-91ED-43cb-92C2-25804820EDAC}">
                        <c15:formulaRef>
                          <c15:sqref>'Sheet1 (2)'!$O$132</c15:sqref>
                        </c15:formulaRef>
                      </c:ext>
                    </c:extLst>
                    <c:strCache>
                      <c:ptCount val="1"/>
                      <c:pt idx="0">
                        <c:v>f</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trendline>
                  <c:spPr>
                    <a:ln w="19050" cap="rnd">
                      <a:solidFill>
                        <a:schemeClr val="accent1">
                          <a:lumMod val="60000"/>
                        </a:schemeClr>
                      </a:solidFill>
                      <a:prstDash val="sysDot"/>
                    </a:ln>
                    <a:effectLst/>
                  </c:spPr>
                  <c:trendlineType val="linear"/>
                  <c:dispRSqr val="1"/>
                  <c:dispEq val="1"/>
                  <c:trendlineLbl>
                    <c:layout>
                      <c:manualLayout>
                        <c:x val="8.2711294316068343E-2"/>
                        <c:y val="-1.2961556257832711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trendlineLbl>
                </c:trendline>
                <c:trendline>
                  <c:spPr>
                    <a:ln w="19050" cap="rnd">
                      <a:solidFill>
                        <a:schemeClr val="accent1">
                          <a:lumMod val="60000"/>
                        </a:schemeClr>
                      </a:solidFill>
                      <a:prstDash val="sysDot"/>
                    </a:ln>
                    <a:effectLst/>
                  </c:spPr>
                  <c:trendlineType val="linear"/>
                  <c:dispRSqr val="0"/>
                  <c:dispEq val="0"/>
                </c:trendline>
                <c:trendline>
                  <c:spPr>
                    <a:ln w="19050" cap="rnd">
                      <a:solidFill>
                        <a:schemeClr val="accent1">
                          <a:lumMod val="60000"/>
                        </a:schemeClr>
                      </a:solidFill>
                      <a:prstDash val="sysDot"/>
                    </a:ln>
                    <a:effectLst/>
                  </c:spPr>
                  <c:trendlineType val="linear"/>
                  <c:dispRSqr val="0"/>
                  <c:dispEq val="0"/>
                </c:trendline>
                <c:xVal>
                  <c:numRef>
                    <c:extLst xmlns:c16r2="http://schemas.microsoft.com/office/drawing/2015/06/chart" xmlns:c15="http://schemas.microsoft.com/office/drawing/2012/chart">
                      <c:ext xmlns:c15="http://schemas.microsoft.com/office/drawing/2012/chart" uri="{02D57815-91ED-43cb-92C2-25804820EDAC}">
                        <c15:formulaRef>
                          <c15:sqref>('Sheet1 (2)'!$P$134:$P$141,'Sheet1 (2)'!$P$143)</c15:sqref>
                        </c15:formulaRef>
                      </c:ext>
                    </c:extLst>
                    <c:numCache>
                      <c:formatCode>General</c:formatCode>
                      <c:ptCount val="9"/>
                      <c:pt idx="0">
                        <c:v>2</c:v>
                      </c:pt>
                      <c:pt idx="1">
                        <c:v>3</c:v>
                      </c:pt>
                      <c:pt idx="2">
                        <c:v>4</c:v>
                      </c:pt>
                      <c:pt idx="3">
                        <c:v>5</c:v>
                      </c:pt>
                      <c:pt idx="4">
                        <c:v>6</c:v>
                      </c:pt>
                      <c:pt idx="5">
                        <c:v>7</c:v>
                      </c:pt>
                      <c:pt idx="6">
                        <c:v>8</c:v>
                      </c:pt>
                      <c:pt idx="7">
                        <c:v>9</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(2)'!$R$134:$R$141,'Sheet1 (2)'!$R$143)</c15:sqref>
                        </c15:formulaRef>
                      </c:ext>
                    </c:extLst>
                    <c:numCache>
                      <c:formatCode>General</c:formatCode>
                      <c:ptCount val="9"/>
                      <c:pt idx="0">
                        <c:v>3.1466666666666665</c:v>
                      </c:pt>
                      <c:pt idx="1">
                        <c:v>3.2583333333333337</c:v>
                      </c:pt>
                      <c:pt idx="2">
                        <c:v>9.0150000000000006</c:v>
                      </c:pt>
                      <c:pt idx="3">
                        <c:v>9.3616666666666681</c:v>
                      </c:pt>
                      <c:pt idx="4">
                        <c:v>12.856666666666667</c:v>
                      </c:pt>
                      <c:pt idx="5">
                        <c:v>14.228333333333333</c:v>
                      </c:pt>
                      <c:pt idx="6">
                        <c:v>16.358333333333334</c:v>
                      </c:pt>
                      <c:pt idx="7">
                        <c:v>20.296666666666663</c:v>
                      </c:pt>
                      <c:pt idx="8">
                        <c:v>31.181666666666665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95-1574-4320-A2BC-836FBD6F1816}"/>
                  </c:ext>
                </c:extLst>
              </c15:ser>
            </c15:filteredScatterSeries>
            <c15:filteredScatterSeries>
              <c15:ser>
                <c:idx val="7"/>
                <c:order val="150"/>
                <c:tx>
                  <c:strRef>
                    <c:extLst xmlns:c16r2="http://schemas.microsoft.com/office/drawing/2015/06/chart" xmlns:c15="http://schemas.microsoft.com/office/drawing/2012/chart">
                      <c:ext xmlns:c15="http://schemas.microsoft.com/office/drawing/2012/chart" uri="{02D57815-91ED-43cb-92C2-25804820EDAC}">
                        <c15:formulaRef>
                          <c15:sqref>'Sheet1 (2)'!$O$146</c15:sqref>
                        </c15:formulaRef>
                      </c:ext>
                    </c:extLst>
                    <c:strCache>
                      <c:ptCount val="1"/>
                      <c:pt idx="0">
                        <c:v>g</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trendline>
                  <c:spPr>
                    <a:ln w="19050" cap="rnd">
                      <a:solidFill>
                        <a:schemeClr val="accent2">
                          <a:lumMod val="60000"/>
                        </a:schemeClr>
                      </a:solidFill>
                      <a:prstDash val="sysDot"/>
                    </a:ln>
                    <a:effectLst/>
                  </c:spPr>
                  <c:trendlineType val="linear"/>
                  <c:dispRSqr val="1"/>
                  <c:dispEq val="1"/>
                  <c:trendlineLbl>
                    <c:layout>
                      <c:manualLayout>
                        <c:x val="8.6250673773576897E-2"/>
                        <c:y val="5.2052073091470245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2">
                                <a:lumMod val="50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(2)'!$P$148:$P$156</c15:sqref>
                        </c15:formulaRef>
                      </c:ext>
                    </c:extLst>
                    <c:numCache>
                      <c:formatCode>General</c:formatCode>
                      <c:ptCount val="9"/>
                      <c:pt idx="0">
                        <c:v>2</c:v>
                      </c:pt>
                      <c:pt idx="1">
                        <c:v>3</c:v>
                      </c:pt>
                      <c:pt idx="2">
                        <c:v>4</c:v>
                      </c:pt>
                      <c:pt idx="3">
                        <c:v>5</c:v>
                      </c:pt>
                      <c:pt idx="4">
                        <c:v>6</c:v>
                      </c:pt>
                      <c:pt idx="5">
                        <c:v>7</c:v>
                      </c:pt>
                      <c:pt idx="6">
                        <c:v>8</c:v>
                      </c:pt>
                      <c:pt idx="7">
                        <c:v>9</c:v>
                      </c:pt>
                      <c:pt idx="8">
                        <c:v>10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(2)'!$R$148:$R$156</c15:sqref>
                        </c15:formulaRef>
                      </c:ext>
                    </c:extLst>
                    <c:numCache>
                      <c:formatCode>General</c:formatCode>
                      <c:ptCount val="9"/>
                      <c:pt idx="0">
                        <c:v>1.8616666666666668</c:v>
                      </c:pt>
                      <c:pt idx="1">
                        <c:v>4.4450000000000003</c:v>
                      </c:pt>
                      <c:pt idx="2">
                        <c:v>7.5583333333333336</c:v>
                      </c:pt>
                      <c:pt idx="3">
                        <c:v>10.674999999999999</c:v>
                      </c:pt>
                      <c:pt idx="4">
                        <c:v>13.043333333333333</c:v>
                      </c:pt>
                      <c:pt idx="5">
                        <c:v>14.631666666666668</c:v>
                      </c:pt>
                      <c:pt idx="6">
                        <c:v>18.009999999999998</c:v>
                      </c:pt>
                      <c:pt idx="7">
                        <c:v>19.051666666666669</c:v>
                      </c:pt>
                      <c:pt idx="8">
                        <c:v>20.636666666666663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96-1574-4320-A2BC-836FBD6F1816}"/>
                  </c:ext>
                </c:extLst>
              </c15:ser>
            </c15:filteredScatterSeries>
            <c15:filteredScatterSeries>
              <c15:ser>
                <c:idx val="8"/>
                <c:order val="151"/>
                <c:tx>
                  <c:strRef>
                    <c:extLst xmlns:c16r2="http://schemas.microsoft.com/office/drawing/2015/06/chart" xmlns:c15="http://schemas.microsoft.com/office/drawing/2012/chart">
                      <c:ext xmlns:c15="http://schemas.microsoft.com/office/drawing/2012/chart" uri="{02D57815-91ED-43cb-92C2-25804820EDAC}">
                        <c15:formulaRef>
                          <c15:sqref>'Sheet1 (2)'!$O$160</c15:sqref>
                        </c15:formulaRef>
                      </c:ext>
                    </c:extLst>
                    <c:strCache>
                      <c:ptCount val="1"/>
                      <c:pt idx="0">
                        <c:v>i</c:v>
                      </c:pt>
                    </c:strCache>
                  </c:strRef>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trendline>
                  <c:spPr>
                    <a:ln w="19050" cap="rnd">
                      <a:solidFill>
                        <a:schemeClr val="accent3">
                          <a:lumMod val="60000"/>
                        </a:schemeClr>
                      </a:solidFill>
                      <a:prstDash val="sysDot"/>
                    </a:ln>
                    <a:effectLst/>
                  </c:spPr>
                  <c:trendlineType val="linear"/>
                  <c:dispRSqr val="1"/>
                  <c:dispEq val="1"/>
                  <c:trendlineLbl>
                    <c:layout>
                      <c:manualLayout>
                        <c:x val="8.4989031673134555E-2"/>
                        <c:y val="4.7691978794429917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(2)'!$P$162:$P$170</c15:sqref>
                        </c15:formulaRef>
                      </c:ext>
                    </c:extLst>
                    <c:numCache>
                      <c:formatCode>General</c:formatCode>
                      <c:ptCount val="9"/>
                      <c:pt idx="0">
                        <c:v>3</c:v>
                      </c:pt>
                      <c:pt idx="1">
                        <c:v>4</c:v>
                      </c:pt>
                      <c:pt idx="2">
                        <c:v>5</c:v>
                      </c:pt>
                      <c:pt idx="3">
                        <c:v>6</c:v>
                      </c:pt>
                      <c:pt idx="4">
                        <c:v>7</c:v>
                      </c:pt>
                      <c:pt idx="5">
                        <c:v>8</c:v>
                      </c:pt>
                      <c:pt idx="6">
                        <c:v>9</c:v>
                      </c:pt>
                      <c:pt idx="7">
                        <c:v>10</c:v>
                      </c:pt>
                      <c:pt idx="8">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(2)'!$R$162:$R$170</c15:sqref>
                        </c15:formulaRef>
                      </c:ext>
                    </c:extLst>
                    <c:numCache>
                      <c:formatCode>General</c:formatCode>
                      <c:ptCount val="9"/>
                      <c:pt idx="0">
                        <c:v>1.3816666666666666</c:v>
                      </c:pt>
                      <c:pt idx="1">
                        <c:v>1.7183333333333335</c:v>
                      </c:pt>
                      <c:pt idx="2">
                        <c:v>2.0833333333333335</c:v>
                      </c:pt>
                      <c:pt idx="3">
                        <c:v>2.7716666666666665</c:v>
                      </c:pt>
                      <c:pt idx="4">
                        <c:v>3.5566666666666666</c:v>
                      </c:pt>
                      <c:pt idx="5">
                        <c:v>3.6483333333333334</c:v>
                      </c:pt>
                      <c:pt idx="6">
                        <c:v>5.1683333333333339</c:v>
                      </c:pt>
                      <c:pt idx="7">
                        <c:v>5.4283333333333328</c:v>
                      </c:pt>
                      <c:pt idx="8">
                        <c:v>6.9800000000000013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97-1574-4320-A2BC-836FBD6F1816}"/>
                  </c:ext>
                </c:extLst>
              </c15:ser>
            </c15:filteredScatterSeries>
            <c15:filteredScatterSeries>
              <c15:ser>
                <c:idx val="9"/>
                <c:order val="152"/>
                <c:tx>
                  <c:strRef>
                    <c:extLst xmlns:c16r2="http://schemas.microsoft.com/office/drawing/2015/06/chart" xmlns:c15="http://schemas.microsoft.com/office/drawing/2012/chart">
                      <c:ext xmlns:c15="http://schemas.microsoft.com/office/drawing/2012/chart" uri="{02D57815-91ED-43cb-92C2-25804820EDAC}">
                        <c15:formulaRef>
                          <c15:sqref>'Sheet1 (2)'!$O$174</c15:sqref>
                        </c15:formulaRef>
                      </c:ext>
                    </c:extLst>
                    <c:strCache>
                      <c:ptCount val="1"/>
                      <c:pt idx="0">
                        <c:v>j</c:v>
                      </c:pt>
                    </c:strCache>
                  </c:strRef>
                </c:tx>
                <c:spPr>
                  <a:ln w="25400" cap="rnd">
                    <a:noFill/>
                    <a:round/>
                  </a:ln>
                  <a:effectLst/>
                </c:spPr>
                <c:marker>
                  <c:symbol val="circle"/>
                  <c:size val="5"/>
                  <c:spPr>
                    <a:solidFill>
                      <a:schemeClr val="accent4">
                        <a:lumMod val="60000"/>
                      </a:schemeClr>
                    </a:solidFill>
                    <a:ln w="9525">
                      <a:solidFill>
                        <a:schemeClr val="accent4">
                          <a:lumMod val="60000"/>
                        </a:schemeClr>
                      </a:solidFill>
                    </a:ln>
                    <a:effectLst/>
                  </c:spPr>
                </c:marker>
                <c:trendline>
                  <c:spPr>
                    <a:ln w="19050" cap="rnd">
                      <a:solidFill>
                        <a:schemeClr val="accent4">
                          <a:lumMod val="60000"/>
                        </a:schemeClr>
                      </a:solidFill>
                      <a:prstDash val="sysDot"/>
                    </a:ln>
                    <a:effectLst/>
                  </c:spPr>
                  <c:trendlineType val="linear"/>
                  <c:dispRSqr val="1"/>
                  <c:dispEq val="1"/>
                  <c:trendlineLbl>
                    <c:layout>
                      <c:manualLayout>
                        <c:x val="7.4297230453732072E-2"/>
                        <c:y val="-1.15030110754428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4">
                                <a:lumMod val="50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(2)'!$P$176:$P$179,'Sheet1 (2)'!$P$181:$P$182)</c15:sqref>
                        </c15:formulaRef>
                      </c:ext>
                    </c:extLst>
                    <c:numCache>
                      <c:formatCode>General</c:formatCode>
                      <c:ptCount val="6"/>
                      <c:pt idx="0">
                        <c:v>3</c:v>
                      </c:pt>
                      <c:pt idx="1">
                        <c:v>4</c:v>
                      </c:pt>
                      <c:pt idx="2">
                        <c:v>5</c:v>
                      </c:pt>
                      <c:pt idx="3">
                        <c:v>6</c:v>
                      </c:pt>
                      <c:pt idx="4">
                        <c:v>8</c:v>
                      </c:pt>
                      <c:pt idx="5">
                        <c:v>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(2)'!$R$176:$R$179,'Sheet1 (2)'!$R$181:$R$182)</c15:sqref>
                        </c15:formulaRef>
                      </c:ext>
                    </c:extLst>
                    <c:numCache>
                      <c:formatCode>General</c:formatCode>
                      <c:ptCount val="6"/>
                      <c:pt idx="0">
                        <c:v>1.4183333333333332</c:v>
                      </c:pt>
                      <c:pt idx="1">
                        <c:v>4.9399999999999995</c:v>
                      </c:pt>
                      <c:pt idx="2">
                        <c:v>11.986666666666668</c:v>
                      </c:pt>
                      <c:pt idx="3">
                        <c:v>10.821666666666667</c:v>
                      </c:pt>
                      <c:pt idx="4">
                        <c:v>17.451666666666664</c:v>
                      </c:pt>
                      <c:pt idx="5">
                        <c:v>21.326666666666668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98-1574-4320-A2BC-836FBD6F1816}"/>
                  </c:ext>
                </c:extLst>
              </c15:ser>
            </c15:filteredScatterSeries>
            <c15:filteredScatterSeries>
              <c15:ser>
                <c:idx val="10"/>
                <c:order val="153"/>
                <c:tx>
                  <c:strRef>
                    <c:extLst xmlns:c16r2="http://schemas.microsoft.com/office/drawing/2015/06/chart" xmlns:c15="http://schemas.microsoft.com/office/drawing/2012/chart">
                      <c:ext xmlns:c15="http://schemas.microsoft.com/office/drawing/2012/chart" uri="{02D57815-91ED-43cb-92C2-25804820EDAC}">
                        <c15:formulaRef>
                          <c15:sqref>'Sheet1 (2)'!$O$188</c15:sqref>
                        </c15:formulaRef>
                      </c:ext>
                    </c:extLst>
                    <c:strCache>
                      <c:ptCount val="1"/>
                      <c:pt idx="0">
                        <c:v>k'</c:v>
                      </c:pt>
                    </c:strCache>
                  </c:strRef>
                </c:tx>
                <c:spPr>
                  <a:ln w="25400" cap="rnd">
                    <a:noFill/>
                    <a:round/>
                  </a:ln>
                  <a:effectLst/>
                </c:spPr>
                <c:marker>
                  <c:symbol val="circle"/>
                  <c:size val="5"/>
                  <c:spPr>
                    <a:solidFill>
                      <a:schemeClr val="accent5">
                        <a:lumMod val="60000"/>
                      </a:schemeClr>
                    </a:solidFill>
                    <a:ln w="9525">
                      <a:solidFill>
                        <a:schemeClr val="accent5">
                          <a:lumMod val="60000"/>
                        </a:schemeClr>
                      </a:solidFill>
                    </a:ln>
                    <a:effectLst/>
                  </c:spPr>
                </c:marker>
                <c:trendline>
                  <c:spPr>
                    <a:ln w="19050" cap="rnd">
                      <a:solidFill>
                        <a:schemeClr val="accent5">
                          <a:lumMod val="60000"/>
                        </a:schemeClr>
                      </a:solidFill>
                      <a:prstDash val="sysDot"/>
                    </a:ln>
                    <a:effectLst/>
                  </c:spPr>
                  <c:trendlineType val="linear"/>
                  <c:dispRSqr val="1"/>
                  <c:dispEq val="1"/>
                  <c:trendlineLbl>
                    <c:layout>
                      <c:manualLayout>
                        <c:x val="8.5137871247375679E-2"/>
                        <c:y val="4.8361938682016182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5">
                                <a:lumMod val="50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(2)'!$P$190:$P$199</c15:sqref>
                        </c15:formulaRef>
                      </c:ext>
                    </c:extLst>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(2)'!$R$190:$R$199</c15:sqref>
                        </c15:formulaRef>
                      </c:ext>
                    </c:extLst>
                    <c:numCache>
                      <c:formatCode>General</c:formatCode>
                      <c:ptCount val="10"/>
                      <c:pt idx="0">
                        <c:v>0.13666666666666666</c:v>
                      </c:pt>
                      <c:pt idx="1">
                        <c:v>0.57666666666666666</c:v>
                      </c:pt>
                      <c:pt idx="2">
                        <c:v>0.40833333333333333</c:v>
                      </c:pt>
                      <c:pt idx="3">
                        <c:v>0.6133333333333334</c:v>
                      </c:pt>
                      <c:pt idx="4">
                        <c:v>2.42</c:v>
                      </c:pt>
                      <c:pt idx="5">
                        <c:v>2.7649999999999997</c:v>
                      </c:pt>
                      <c:pt idx="6">
                        <c:v>3.0533333333333332</c:v>
                      </c:pt>
                      <c:pt idx="7">
                        <c:v>2.8883333333333328</c:v>
                      </c:pt>
                      <c:pt idx="8">
                        <c:v>4.3633333333333324</c:v>
                      </c:pt>
                      <c:pt idx="9">
                        <c:v>4.5249999999999995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99-1574-4320-A2BC-836FBD6F1816}"/>
                  </c:ext>
                </c:extLst>
              </c15:ser>
            </c15:filteredScatterSeries>
            <c15:filteredScatterSeries>
              <c15:ser>
                <c:idx val="11"/>
                <c:order val="154"/>
                <c:tx>
                  <c:strRef>
                    <c:extLst xmlns:c16r2="http://schemas.microsoft.com/office/drawing/2015/06/chart" xmlns:c15="http://schemas.microsoft.com/office/drawing/2012/chart">
                      <c:ext xmlns:c15="http://schemas.microsoft.com/office/drawing/2012/chart" uri="{02D57815-91ED-43cb-92C2-25804820EDAC}">
                        <c15:formulaRef>
                          <c15:sqref>'Sheet1 (2)'!$O$202</c15:sqref>
                        </c15:formulaRef>
                      </c:ext>
                    </c:extLst>
                    <c:strCache>
                      <c:ptCount val="1"/>
                      <c:pt idx="0">
                        <c:v>l'</c:v>
                      </c:pt>
                    </c:strCache>
                  </c:strRef>
                </c:tx>
                <c:spPr>
                  <a:ln w="25400" cap="rnd">
                    <a:noFill/>
                    <a:round/>
                  </a:ln>
                  <a:effectLst/>
                </c:spPr>
                <c:marker>
                  <c:symbol val="circle"/>
                  <c:size val="5"/>
                  <c:spPr>
                    <a:solidFill>
                      <a:schemeClr val="accent6">
                        <a:lumMod val="60000"/>
                      </a:schemeClr>
                    </a:solidFill>
                    <a:ln w="9525">
                      <a:solidFill>
                        <a:schemeClr val="accent6">
                          <a:lumMod val="60000"/>
                        </a:schemeClr>
                      </a:solidFill>
                    </a:ln>
                    <a:effectLst/>
                  </c:spPr>
                </c:marker>
                <c:trendline>
                  <c:spPr>
                    <a:ln w="19050" cap="rnd">
                      <a:solidFill>
                        <a:schemeClr val="accent6">
                          <a:lumMod val="60000"/>
                        </a:schemeClr>
                      </a:solidFill>
                      <a:prstDash val="sysDot"/>
                    </a:ln>
                    <a:effectLst/>
                  </c:spPr>
                  <c:trendlineType val="linear"/>
                  <c:dispRSqr val="1"/>
                  <c:dispEq val="1"/>
                  <c:trendlineLbl>
                    <c:layout>
                      <c:manualLayout>
                        <c:x val="8.6870178479455773E-2"/>
                        <c:y val="-1.7836036584407206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6">
                                <a:lumMod val="50000"/>
                              </a:schemeClr>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(2)'!$P$205:$P$212</c15:sqref>
                        </c15:formulaRef>
                      </c:ext>
                    </c:extLst>
                    <c:numCache>
                      <c:formatCode>General</c:formatCode>
                      <c:ptCount val="8"/>
                      <c:pt idx="0">
                        <c:v>4</c:v>
                      </c:pt>
                      <c:pt idx="1">
                        <c:v>5</c:v>
                      </c:pt>
                      <c:pt idx="2">
                        <c:v>6</c:v>
                      </c:pt>
                      <c:pt idx="3">
                        <c:v>7</c:v>
                      </c:pt>
                      <c:pt idx="4">
                        <c:v>8</c:v>
                      </c:pt>
                      <c:pt idx="5">
                        <c:v>9</c:v>
                      </c:pt>
                      <c:pt idx="6">
                        <c:v>10</c:v>
                      </c:pt>
                      <c:pt idx="7">
                        <c:v>11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(2)'!$R$205:$R$212</c15:sqref>
                        </c15:formulaRef>
                      </c:ext>
                    </c:extLst>
                    <c:numCache>
                      <c:formatCode>General</c:formatCode>
                      <c:ptCount val="8"/>
                      <c:pt idx="0">
                        <c:v>3.5566666666666666</c:v>
                      </c:pt>
                      <c:pt idx="1">
                        <c:v>3.91</c:v>
                      </c:pt>
                      <c:pt idx="2">
                        <c:v>5.5966666666666667</c:v>
                      </c:pt>
                      <c:pt idx="3">
                        <c:v>7.3316666666666679</c:v>
                      </c:pt>
                      <c:pt idx="4">
                        <c:v>13.729999999999999</c:v>
                      </c:pt>
                      <c:pt idx="5">
                        <c:v>14.625</c:v>
                      </c:pt>
                      <c:pt idx="6">
                        <c:v>14.318333333333332</c:v>
                      </c:pt>
                      <c:pt idx="7">
                        <c:v>17.236666666666668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9A-1574-4320-A2BC-836FBD6F1816}"/>
                  </c:ext>
                </c:extLst>
              </c15:ser>
            </c15:filteredScatterSeries>
            <c15:filteredScatterSeries>
              <c15:ser>
                <c:idx val="12"/>
                <c:order val="155"/>
                <c:tx>
                  <c:strRef>
                    <c:extLst xmlns:c16r2="http://schemas.microsoft.com/office/drawing/2015/06/chart" xmlns:c15="http://schemas.microsoft.com/office/drawing/2012/chart">
                      <c:ext xmlns:c15="http://schemas.microsoft.com/office/drawing/2012/chart" uri="{02D57815-91ED-43cb-92C2-25804820EDAC}">
                        <c15:formulaRef>
                          <c15:sqref>'Sheet1 (2)'!$O$216</c15:sqref>
                        </c15:formulaRef>
                      </c:ext>
                    </c:extLst>
                    <c:strCache>
                      <c:ptCount val="1"/>
                      <c:pt idx="0">
                        <c:v>m</c:v>
                      </c:pt>
                    </c:strCache>
                  </c:strRef>
                </c:tx>
                <c:spPr>
                  <a:ln w="25400" cap="rnd">
                    <a:no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trendline>
                  <c:spPr>
                    <a:ln w="19050" cap="rnd">
                      <a:solidFill>
                        <a:schemeClr val="accent1">
                          <a:lumMod val="80000"/>
                          <a:lumOff val="20000"/>
                        </a:schemeClr>
                      </a:solidFill>
                      <a:prstDash val="sysDot"/>
                    </a:ln>
                    <a:effectLst/>
                  </c:spPr>
                  <c:trendlineType val="linear"/>
                  <c:dispRSqr val="1"/>
                  <c:dispEq val="1"/>
                  <c:trendlineLbl>
                    <c:layout>
                      <c:manualLayout>
                        <c:x val="4.4708872807170411E-2"/>
                        <c:y val="5.3000317496397234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accent1"/>
                            </a:solidFill>
                            <a:latin typeface="+mn-lt"/>
                            <a:ea typeface="+mn-ea"/>
                            <a:cs typeface="+mn-cs"/>
                          </a:defRPr>
                        </a:pPr>
                        <a:endParaRPr lang="en-US"/>
                      </a:p>
                    </c:txPr>
                  </c:trendlineLbl>
                </c:trendline>
                <c:xVal>
                  <c:numRef>
                    <c:extLst xmlns:c16r2="http://schemas.microsoft.com/office/drawing/2015/06/chart" xmlns:c15="http://schemas.microsoft.com/office/drawing/2012/chart">
                      <c:ext xmlns:c15="http://schemas.microsoft.com/office/drawing/2012/chart" uri="{02D57815-91ED-43cb-92C2-25804820EDAC}">
                        <c15:formulaRef>
                          <c15:sqref>('Sheet1 (2)'!$P$218,'Sheet1 (2)'!$P$220:$P$227)</c15:sqref>
                        </c15:formulaRef>
                      </c:ext>
                    </c:extLst>
                    <c:numCache>
                      <c:formatCode>General</c:formatCode>
                      <c:ptCount val="9"/>
                      <c:pt idx="0">
                        <c:v>3</c:v>
                      </c:pt>
                      <c:pt idx="1">
                        <c:v>5</c:v>
                      </c:pt>
                      <c:pt idx="2">
                        <c:v>6</c:v>
                      </c:pt>
                      <c:pt idx="3">
                        <c:v>7</c:v>
                      </c:pt>
                      <c:pt idx="4">
                        <c:v>8</c:v>
                      </c:pt>
                      <c:pt idx="5">
                        <c:v>9</c:v>
                      </c:pt>
                      <c:pt idx="6">
                        <c:v>10</c:v>
                      </c:pt>
                      <c:pt idx="7">
                        <c:v>11</c:v>
                      </c:pt>
                      <c:pt idx="8">
                        <c:v>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('Sheet1 (2)'!$R$218,'Sheet1 (2)'!$R$220:$R$227)</c15:sqref>
                        </c15:formulaRef>
                      </c:ext>
                    </c:extLst>
                    <c:numCache>
                      <c:formatCode>General</c:formatCode>
                      <c:ptCount val="9"/>
                      <c:pt idx="0">
                        <c:v>3.11</c:v>
                      </c:pt>
                      <c:pt idx="1">
                        <c:v>4.7316666666666674</c:v>
                      </c:pt>
                      <c:pt idx="2">
                        <c:v>6.39</c:v>
                      </c:pt>
                      <c:pt idx="3">
                        <c:v>7.9216666666666669</c:v>
                      </c:pt>
                      <c:pt idx="4">
                        <c:v>9.8183333333333316</c:v>
                      </c:pt>
                      <c:pt idx="5">
                        <c:v>10.663333333333334</c:v>
                      </c:pt>
                      <c:pt idx="6">
                        <c:v>12.945</c:v>
                      </c:pt>
                      <c:pt idx="7">
                        <c:v>13.534999999999998</c:v>
                      </c:pt>
                      <c:pt idx="8">
                        <c:v>17.108333333333334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9B-1574-4320-A2BC-836FBD6F1816}"/>
                  </c:ext>
                </c:extLst>
              </c15:ser>
            </c15:filteredScatterSeries>
          </c:ext>
        </c:extLst>
      </c:scatterChart>
      <c:valAx>
        <c:axId val="144336112"/>
        <c:scaling>
          <c:orientation val="minMax"/>
          <c:max val="12.5"/>
          <c:min val="0"/>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sz="900">
                    <a:solidFill>
                      <a:sysClr val="windowText" lastClr="000000"/>
                    </a:solidFill>
                  </a:rPr>
                  <a:t>time (min)</a:t>
                </a:r>
              </a:p>
            </c:rich>
          </c:tx>
          <c:layout>
            <c:manualLayout>
              <c:xMode val="edge"/>
              <c:yMode val="edge"/>
              <c:x val="0.77961075178102734"/>
              <c:y val="0.90118445486798415"/>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44338832"/>
        <c:crosses val="autoZero"/>
        <c:crossBetween val="midCat"/>
      </c:valAx>
      <c:valAx>
        <c:axId val="144338832"/>
        <c:scaling>
          <c:orientation val="minMax"/>
          <c:max val="24"/>
          <c:min val="0"/>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sz="900" b="0" i="0" baseline="0">
                    <a:effectLst/>
                  </a:rPr>
                  <a:t>[</a:t>
                </a:r>
                <a:r>
                  <a:rPr lang="en-US" sz="900" b="0" i="0" u="none" strike="noStrike" baseline="0">
                    <a:effectLst/>
                  </a:rPr>
                  <a:t>Ph</a:t>
                </a:r>
                <a:r>
                  <a:rPr lang="en-US" sz="900" b="0" i="0" u="none" strike="noStrike" baseline="-25000">
                    <a:effectLst/>
                  </a:rPr>
                  <a:t>2</a:t>
                </a:r>
                <a:r>
                  <a:rPr lang="en-US" sz="900" b="0" i="0" u="none" strike="noStrike" baseline="0">
                    <a:effectLst/>
                  </a:rPr>
                  <a:t>CHCHPh</a:t>
                </a:r>
                <a:r>
                  <a:rPr lang="en-US" sz="900" b="0" i="0" u="none" strike="noStrike" baseline="-25000">
                    <a:effectLst/>
                  </a:rPr>
                  <a:t>2</a:t>
                </a:r>
                <a:r>
                  <a:rPr lang="en-US" sz="900" b="0" i="0" baseline="0">
                    <a:effectLst/>
                  </a:rPr>
                  <a:t>] (mmol/L)</a:t>
                </a:r>
                <a:endParaRPr lang="en-US" sz="900">
                  <a:effectLst/>
                </a:endParaRPr>
              </a:p>
            </c:rich>
          </c:tx>
          <c:layout>
            <c:manualLayout>
              <c:xMode val="edge"/>
              <c:yMode val="edge"/>
              <c:x val="0"/>
              <c:y val="0.120827271558663"/>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44336112"/>
        <c:crosses val="autoZero"/>
        <c:crossBetween val="midCat"/>
      </c:valAx>
      <c:spPr>
        <a:noFill/>
        <a:ln>
          <a:noFill/>
        </a:ln>
        <a:effectLst/>
      </c:spPr>
    </c:plotArea>
    <c:legend>
      <c:legendPos val="r"/>
      <c:legendEntry>
        <c:idx val="3"/>
        <c:delete val="1"/>
      </c:legendEntry>
      <c:legendEntry>
        <c:idx val="4"/>
        <c:delete val="1"/>
      </c:legendEntry>
      <c:legendEntry>
        <c:idx val="5"/>
        <c:delete val="1"/>
      </c:legendEntry>
      <c:layout>
        <c:manualLayout>
          <c:xMode val="edge"/>
          <c:yMode val="edge"/>
          <c:x val="4.9212598425027797E-6"/>
          <c:y val="0.92245100239922806"/>
          <c:w val="0.37796858875985301"/>
          <c:h val="7.5297279805962791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no Pro">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15246B"/>
    <w:rsid w:val="0017540F"/>
    <w:rsid w:val="00190672"/>
    <w:rsid w:val="001B2B89"/>
    <w:rsid w:val="001B6EE3"/>
    <w:rsid w:val="001E1A0C"/>
    <w:rsid w:val="00217AAB"/>
    <w:rsid w:val="00276951"/>
    <w:rsid w:val="00293081"/>
    <w:rsid w:val="00395EAD"/>
    <w:rsid w:val="004950C2"/>
    <w:rsid w:val="00572AB3"/>
    <w:rsid w:val="005844EF"/>
    <w:rsid w:val="005902A4"/>
    <w:rsid w:val="005D0480"/>
    <w:rsid w:val="00695D5F"/>
    <w:rsid w:val="006B53FA"/>
    <w:rsid w:val="007744F5"/>
    <w:rsid w:val="00787914"/>
    <w:rsid w:val="007A04BC"/>
    <w:rsid w:val="007E3894"/>
    <w:rsid w:val="0085332D"/>
    <w:rsid w:val="00875ABD"/>
    <w:rsid w:val="008845F4"/>
    <w:rsid w:val="008869F6"/>
    <w:rsid w:val="00962B5A"/>
    <w:rsid w:val="009D1665"/>
    <w:rsid w:val="00A11C00"/>
    <w:rsid w:val="00A343F1"/>
    <w:rsid w:val="00B26270"/>
    <w:rsid w:val="00B46CD3"/>
    <w:rsid w:val="00B75319"/>
    <w:rsid w:val="00BE0EE7"/>
    <w:rsid w:val="00C43419"/>
    <w:rsid w:val="00C738D6"/>
    <w:rsid w:val="00CA16DE"/>
    <w:rsid w:val="00CA39D2"/>
    <w:rsid w:val="00D56B9C"/>
    <w:rsid w:val="00D841C8"/>
    <w:rsid w:val="00D91004"/>
    <w:rsid w:val="00DD6093"/>
    <w:rsid w:val="00E144A3"/>
    <w:rsid w:val="00E3265F"/>
    <w:rsid w:val="00EF14E5"/>
    <w:rsid w:val="00F80430"/>
    <w:rsid w:val="00FA3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F5B7A-9992-4450-9AE5-5A795B10F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284</Pages>
  <Words>122260</Words>
  <Characters>696884</Characters>
  <Application>Microsoft Office Word</Application>
  <DocSecurity>0</DocSecurity>
  <Lines>5807</Lines>
  <Paragraphs>1635</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817509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
  <cp:lastModifiedBy>Camille .</cp:lastModifiedBy>
  <cp:revision>6</cp:revision>
  <cp:lastPrinted>2016-08-15T20:59:00Z</cp:lastPrinted>
  <dcterms:created xsi:type="dcterms:W3CDTF">2016-08-15T20:08:00Z</dcterms:created>
  <dcterms:modified xsi:type="dcterms:W3CDTF">2016-08-15T21:06:00Z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zotero-version="4.0.29.10"&gt;&lt;session id="FSQdj1c5"/&gt;&lt;style id="http://www.zotero.org/styles/nature" hasBibliography="1" bibliographyStyleHasBeenSet="1"/&gt;&lt;prefs&gt;&lt;pref name="fieldType" value="Field"/&gt;&lt;pref name="storeReferences" value=</vt:lpwstr>
  </property>
  <property fmtid="{D5CDD505-2E9C-101B-9397-08002B2CF9AE}" pid="3" name="ZOTERO_PREF_2">
    <vt:lpwstr>"true"/&gt;&lt;pref name="automaticJournalAbbreviations" value="true"/&gt;&lt;pref name="noteType" value=""/&gt;&lt;/prefs&gt;&lt;/data&gt;</vt:lpwstr>
  </property>
</Properties>
</file>