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6FE" w:rsidRDefault="00D446FE" w:rsidP="00D446FE">
      <w:pPr>
        <w:spacing w:after="0" w:line="480" w:lineRule="auto"/>
        <w:contextualSpacing/>
        <w:jc w:val="center"/>
        <w:rPr>
          <w:rFonts w:ascii="Times New Roman" w:hAnsi="Times New Roman" w:cs="Times New Roman"/>
          <w:sz w:val="24"/>
        </w:rPr>
      </w:pPr>
      <w:bookmarkStart w:id="0" w:name="_GoBack"/>
      <w:bookmarkEnd w:id="0"/>
    </w:p>
    <w:p w:rsidR="00962FE4" w:rsidRDefault="00962FE4" w:rsidP="00D446FE">
      <w:pPr>
        <w:spacing w:after="0" w:line="480" w:lineRule="auto"/>
        <w:contextualSpacing/>
        <w:jc w:val="center"/>
        <w:rPr>
          <w:rFonts w:ascii="Times New Roman" w:hAnsi="Times New Roman" w:cs="Times New Roman"/>
          <w:sz w:val="24"/>
        </w:rPr>
      </w:pPr>
      <w:r>
        <w:rPr>
          <w:rFonts w:ascii="Times New Roman" w:hAnsi="Times New Roman" w:cs="Times New Roman"/>
          <w:sz w:val="24"/>
        </w:rPr>
        <w:t>UNIVERSITY OF OKLAHOMA</w:t>
      </w:r>
    </w:p>
    <w:p w:rsidR="00962FE4" w:rsidRDefault="00962FE4" w:rsidP="00962FE4">
      <w:pPr>
        <w:spacing w:after="0" w:line="480" w:lineRule="auto"/>
        <w:contextualSpacing/>
        <w:jc w:val="center"/>
        <w:rPr>
          <w:rFonts w:ascii="Times New Roman" w:hAnsi="Times New Roman" w:cs="Times New Roman"/>
          <w:sz w:val="24"/>
        </w:rPr>
      </w:pPr>
      <w:r>
        <w:rPr>
          <w:rFonts w:ascii="Times New Roman" w:hAnsi="Times New Roman" w:cs="Times New Roman"/>
          <w:sz w:val="24"/>
        </w:rPr>
        <w:t>GRADUATE COLLEGE</w:t>
      </w:r>
    </w:p>
    <w:p w:rsidR="00962FE4" w:rsidRDefault="00962FE4" w:rsidP="00962FE4">
      <w:pPr>
        <w:spacing w:after="0" w:line="480" w:lineRule="auto"/>
        <w:contextualSpacing/>
        <w:jc w:val="center"/>
        <w:rPr>
          <w:rFonts w:ascii="Times New Roman" w:hAnsi="Times New Roman" w:cs="Times New Roman"/>
          <w:sz w:val="24"/>
        </w:rPr>
      </w:pPr>
    </w:p>
    <w:p w:rsidR="00962FE4" w:rsidRDefault="00962FE4" w:rsidP="00962FE4">
      <w:pPr>
        <w:spacing w:after="0" w:line="480" w:lineRule="auto"/>
        <w:contextualSpacing/>
        <w:jc w:val="center"/>
        <w:rPr>
          <w:rFonts w:ascii="Times New Roman" w:hAnsi="Times New Roman" w:cs="Times New Roman"/>
          <w:sz w:val="24"/>
        </w:rPr>
      </w:pPr>
    </w:p>
    <w:p w:rsidR="00962FE4" w:rsidRDefault="00962FE4" w:rsidP="00962FE4">
      <w:pPr>
        <w:spacing w:after="0" w:line="480" w:lineRule="auto"/>
        <w:contextualSpacing/>
        <w:jc w:val="center"/>
        <w:rPr>
          <w:rFonts w:ascii="Times New Roman" w:hAnsi="Times New Roman" w:cs="Times New Roman"/>
          <w:sz w:val="24"/>
        </w:rPr>
      </w:pPr>
    </w:p>
    <w:p w:rsidR="00D446FE" w:rsidRDefault="00D446FE" w:rsidP="00962FE4">
      <w:pPr>
        <w:spacing w:after="0" w:line="480" w:lineRule="auto"/>
        <w:contextualSpacing/>
        <w:jc w:val="center"/>
        <w:rPr>
          <w:rFonts w:ascii="Times New Roman" w:hAnsi="Times New Roman" w:cs="Times New Roman"/>
          <w:sz w:val="24"/>
        </w:rPr>
      </w:pPr>
    </w:p>
    <w:p w:rsidR="00962FE4" w:rsidRDefault="00D446FE" w:rsidP="00962FE4">
      <w:pPr>
        <w:spacing w:after="0" w:line="480" w:lineRule="auto"/>
        <w:contextualSpacing/>
        <w:jc w:val="center"/>
        <w:rPr>
          <w:rFonts w:ascii="Times New Roman" w:hAnsi="Times New Roman" w:cs="Times New Roman"/>
          <w:sz w:val="24"/>
        </w:rPr>
      </w:pPr>
      <w:r>
        <w:rPr>
          <w:rFonts w:ascii="Times New Roman" w:hAnsi="Times New Roman" w:cs="Times New Roman"/>
          <w:sz w:val="24"/>
        </w:rPr>
        <w:t>IDEOLOGICAL LITERATURE: THE IDEOLOGICAL BIASES OF COMMONLY TAUGHT WORKS AND THEIR IMPLICATIONS VIS-À-VIS THE SCHOOL SYSTEM</w:t>
      </w:r>
    </w:p>
    <w:p w:rsidR="00D446FE" w:rsidRDefault="00D446FE" w:rsidP="00962FE4">
      <w:pPr>
        <w:spacing w:after="0" w:line="480" w:lineRule="auto"/>
        <w:contextualSpacing/>
        <w:jc w:val="center"/>
        <w:rPr>
          <w:rFonts w:ascii="Times New Roman" w:hAnsi="Times New Roman" w:cs="Times New Roman"/>
          <w:sz w:val="24"/>
        </w:rPr>
      </w:pPr>
    </w:p>
    <w:p w:rsidR="00D446FE" w:rsidRDefault="00D446FE" w:rsidP="00962FE4">
      <w:pPr>
        <w:spacing w:after="0" w:line="480" w:lineRule="auto"/>
        <w:contextualSpacing/>
        <w:jc w:val="center"/>
        <w:rPr>
          <w:rFonts w:ascii="Times New Roman" w:hAnsi="Times New Roman" w:cs="Times New Roman"/>
          <w:sz w:val="24"/>
        </w:rPr>
      </w:pPr>
    </w:p>
    <w:p w:rsidR="00D446FE" w:rsidRDefault="00D446FE" w:rsidP="00962FE4">
      <w:pPr>
        <w:spacing w:after="0" w:line="480" w:lineRule="auto"/>
        <w:contextualSpacing/>
        <w:jc w:val="center"/>
        <w:rPr>
          <w:rFonts w:ascii="Times New Roman" w:hAnsi="Times New Roman" w:cs="Times New Roman"/>
          <w:sz w:val="24"/>
        </w:rPr>
      </w:pPr>
    </w:p>
    <w:p w:rsidR="00D446FE" w:rsidRDefault="00D446FE" w:rsidP="00962FE4">
      <w:pPr>
        <w:spacing w:after="0" w:line="480" w:lineRule="auto"/>
        <w:contextualSpacing/>
        <w:jc w:val="center"/>
        <w:rPr>
          <w:rFonts w:ascii="Times New Roman" w:hAnsi="Times New Roman" w:cs="Times New Roman"/>
          <w:sz w:val="24"/>
        </w:rPr>
      </w:pPr>
      <w:r>
        <w:rPr>
          <w:rFonts w:ascii="Times New Roman" w:hAnsi="Times New Roman" w:cs="Times New Roman"/>
          <w:sz w:val="24"/>
        </w:rPr>
        <w:t>A THESIS</w:t>
      </w:r>
    </w:p>
    <w:p w:rsidR="00D446FE" w:rsidRDefault="00D446FE" w:rsidP="00962FE4">
      <w:pPr>
        <w:spacing w:after="0" w:line="480" w:lineRule="auto"/>
        <w:contextualSpacing/>
        <w:jc w:val="center"/>
        <w:rPr>
          <w:rFonts w:ascii="Times New Roman" w:hAnsi="Times New Roman" w:cs="Times New Roman"/>
          <w:sz w:val="24"/>
        </w:rPr>
      </w:pPr>
      <w:r>
        <w:rPr>
          <w:rFonts w:ascii="Times New Roman" w:hAnsi="Times New Roman" w:cs="Times New Roman"/>
          <w:sz w:val="24"/>
        </w:rPr>
        <w:t>SUBMITTED TO THE GRADUATE FACULTY</w:t>
      </w:r>
    </w:p>
    <w:p w:rsidR="00D446FE" w:rsidRDefault="00D446FE" w:rsidP="00962FE4">
      <w:pPr>
        <w:spacing w:after="0" w:line="480" w:lineRule="auto"/>
        <w:contextualSpacing/>
        <w:jc w:val="center"/>
        <w:rPr>
          <w:rFonts w:ascii="Times New Roman" w:hAnsi="Times New Roman" w:cs="Times New Roman"/>
          <w:sz w:val="24"/>
        </w:rPr>
      </w:pPr>
      <w:r>
        <w:rPr>
          <w:rFonts w:ascii="Times New Roman" w:hAnsi="Times New Roman" w:cs="Times New Roman"/>
          <w:sz w:val="24"/>
        </w:rPr>
        <w:t>in partial fulfillment of the requirements for the</w:t>
      </w:r>
    </w:p>
    <w:p w:rsidR="00D446FE" w:rsidRDefault="00D446FE" w:rsidP="00962FE4">
      <w:pPr>
        <w:spacing w:after="0" w:line="480" w:lineRule="auto"/>
        <w:contextualSpacing/>
        <w:jc w:val="center"/>
        <w:rPr>
          <w:rFonts w:ascii="Times New Roman" w:hAnsi="Times New Roman" w:cs="Times New Roman"/>
          <w:sz w:val="24"/>
        </w:rPr>
      </w:pPr>
      <w:r>
        <w:rPr>
          <w:rFonts w:ascii="Times New Roman" w:hAnsi="Times New Roman" w:cs="Times New Roman"/>
          <w:sz w:val="24"/>
        </w:rPr>
        <w:t>Degree of</w:t>
      </w:r>
    </w:p>
    <w:p w:rsidR="00D446FE" w:rsidRDefault="00D446FE" w:rsidP="00962FE4">
      <w:pPr>
        <w:spacing w:after="0" w:line="480" w:lineRule="auto"/>
        <w:contextualSpacing/>
        <w:jc w:val="center"/>
        <w:rPr>
          <w:rFonts w:ascii="Times New Roman" w:hAnsi="Times New Roman" w:cs="Times New Roman"/>
          <w:sz w:val="24"/>
        </w:rPr>
      </w:pPr>
      <w:r>
        <w:rPr>
          <w:rFonts w:ascii="Times New Roman" w:hAnsi="Times New Roman" w:cs="Times New Roman"/>
          <w:sz w:val="24"/>
        </w:rPr>
        <w:t>MASTER OF EDUCATION</w:t>
      </w:r>
    </w:p>
    <w:p w:rsidR="00D446FE" w:rsidRDefault="00D446FE" w:rsidP="00962FE4">
      <w:pPr>
        <w:spacing w:after="0" w:line="480" w:lineRule="auto"/>
        <w:contextualSpacing/>
        <w:jc w:val="center"/>
        <w:rPr>
          <w:rFonts w:ascii="Times New Roman" w:hAnsi="Times New Roman" w:cs="Times New Roman"/>
          <w:sz w:val="24"/>
        </w:rPr>
      </w:pPr>
    </w:p>
    <w:p w:rsidR="00D446FE" w:rsidRDefault="00D446FE" w:rsidP="00D446FE">
      <w:pPr>
        <w:spacing w:after="0" w:line="480" w:lineRule="auto"/>
        <w:contextualSpacing/>
        <w:rPr>
          <w:rFonts w:ascii="Times New Roman" w:hAnsi="Times New Roman" w:cs="Times New Roman"/>
          <w:sz w:val="24"/>
        </w:rPr>
      </w:pPr>
    </w:p>
    <w:p w:rsidR="00D446FE" w:rsidRDefault="00D446FE" w:rsidP="00962FE4">
      <w:pPr>
        <w:spacing w:after="0" w:line="480" w:lineRule="auto"/>
        <w:contextualSpacing/>
        <w:jc w:val="center"/>
        <w:rPr>
          <w:rFonts w:ascii="Times New Roman" w:hAnsi="Times New Roman" w:cs="Times New Roman"/>
          <w:sz w:val="24"/>
        </w:rPr>
      </w:pPr>
      <w:r>
        <w:rPr>
          <w:rFonts w:ascii="Times New Roman" w:hAnsi="Times New Roman" w:cs="Times New Roman"/>
          <w:sz w:val="24"/>
        </w:rPr>
        <w:t>By</w:t>
      </w:r>
    </w:p>
    <w:p w:rsidR="00D446FE" w:rsidRDefault="00D446FE" w:rsidP="00D446FE">
      <w:pPr>
        <w:spacing w:after="0" w:line="240" w:lineRule="auto"/>
        <w:contextualSpacing/>
        <w:jc w:val="center"/>
        <w:rPr>
          <w:rFonts w:ascii="Times New Roman" w:hAnsi="Times New Roman" w:cs="Times New Roman"/>
          <w:sz w:val="24"/>
        </w:rPr>
      </w:pPr>
      <w:r>
        <w:rPr>
          <w:rFonts w:ascii="Times New Roman" w:hAnsi="Times New Roman" w:cs="Times New Roman"/>
          <w:sz w:val="24"/>
        </w:rPr>
        <w:t>ADAM VAN BUREN</w:t>
      </w:r>
    </w:p>
    <w:p w:rsidR="00D446FE" w:rsidRDefault="00D446FE" w:rsidP="00D446FE">
      <w:pPr>
        <w:spacing w:after="0" w:line="240" w:lineRule="auto"/>
        <w:contextualSpacing/>
        <w:jc w:val="center"/>
        <w:rPr>
          <w:rFonts w:ascii="Times New Roman" w:hAnsi="Times New Roman" w:cs="Times New Roman"/>
          <w:sz w:val="24"/>
        </w:rPr>
      </w:pPr>
      <w:r>
        <w:rPr>
          <w:rFonts w:ascii="Times New Roman" w:hAnsi="Times New Roman" w:cs="Times New Roman"/>
          <w:sz w:val="24"/>
        </w:rPr>
        <w:t>Norman, Oklahoma</w:t>
      </w:r>
    </w:p>
    <w:p w:rsidR="00D446FE" w:rsidRDefault="00D446FE" w:rsidP="00D446FE">
      <w:pPr>
        <w:spacing w:after="0" w:line="240" w:lineRule="auto"/>
        <w:contextualSpacing/>
        <w:jc w:val="center"/>
        <w:rPr>
          <w:rFonts w:ascii="Times New Roman" w:hAnsi="Times New Roman" w:cs="Times New Roman"/>
          <w:sz w:val="24"/>
        </w:rPr>
      </w:pPr>
      <w:r>
        <w:rPr>
          <w:rFonts w:ascii="Times New Roman" w:hAnsi="Times New Roman" w:cs="Times New Roman"/>
          <w:sz w:val="24"/>
        </w:rPr>
        <w:t>2016</w:t>
      </w:r>
    </w:p>
    <w:p w:rsidR="00D446FE" w:rsidRDefault="00D446FE" w:rsidP="00D446FE">
      <w:pPr>
        <w:spacing w:after="0" w:line="240" w:lineRule="auto"/>
        <w:contextualSpacing/>
        <w:jc w:val="center"/>
        <w:rPr>
          <w:rFonts w:ascii="Times New Roman" w:hAnsi="Times New Roman" w:cs="Times New Roman"/>
          <w:sz w:val="24"/>
        </w:rPr>
      </w:pPr>
    </w:p>
    <w:p w:rsidR="00DB0001" w:rsidRDefault="00DB0001" w:rsidP="009521BD">
      <w:pPr>
        <w:spacing w:after="0" w:line="240" w:lineRule="auto"/>
        <w:contextualSpacing/>
        <w:jc w:val="center"/>
        <w:rPr>
          <w:rFonts w:ascii="Times New Roman" w:hAnsi="Times New Roman" w:cs="Times New Roman"/>
          <w:sz w:val="24"/>
        </w:rPr>
      </w:pPr>
    </w:p>
    <w:p w:rsidR="00DB0001" w:rsidRDefault="00DB0001" w:rsidP="009521BD">
      <w:pPr>
        <w:spacing w:after="0" w:line="240" w:lineRule="auto"/>
        <w:contextualSpacing/>
        <w:jc w:val="center"/>
        <w:rPr>
          <w:rFonts w:ascii="Times New Roman" w:hAnsi="Times New Roman" w:cs="Times New Roman"/>
          <w:sz w:val="24"/>
        </w:rPr>
      </w:pPr>
    </w:p>
    <w:p w:rsidR="00DB0001" w:rsidRDefault="00DB0001" w:rsidP="009521BD">
      <w:pPr>
        <w:spacing w:after="0" w:line="240" w:lineRule="auto"/>
        <w:contextualSpacing/>
        <w:jc w:val="center"/>
        <w:rPr>
          <w:rFonts w:ascii="Times New Roman" w:hAnsi="Times New Roman" w:cs="Times New Roman"/>
          <w:sz w:val="24"/>
        </w:rPr>
      </w:pPr>
    </w:p>
    <w:p w:rsidR="00D446FE" w:rsidRDefault="00D446FE" w:rsidP="009521BD">
      <w:pPr>
        <w:spacing w:after="0" w:line="240" w:lineRule="auto"/>
        <w:contextualSpacing/>
        <w:jc w:val="center"/>
        <w:rPr>
          <w:rFonts w:ascii="Times New Roman" w:hAnsi="Times New Roman" w:cs="Times New Roman"/>
          <w:sz w:val="24"/>
        </w:rPr>
      </w:pPr>
      <w:r>
        <w:rPr>
          <w:rFonts w:ascii="Times New Roman" w:hAnsi="Times New Roman" w:cs="Times New Roman"/>
          <w:sz w:val="24"/>
        </w:rPr>
        <w:t>IDEOLOGICAL LITERATURE: THE IDEOLOGICAL BIASES OF COMMONLY TAUGHT WORKS AND THEIR IMPLICATIONS VIS-À-VIS THE SCHOOL SYSTEM</w:t>
      </w: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D446FE" w:rsidRDefault="00D446FE" w:rsidP="009521BD">
      <w:pPr>
        <w:spacing w:after="0" w:line="240" w:lineRule="auto"/>
        <w:contextualSpacing/>
        <w:jc w:val="center"/>
        <w:rPr>
          <w:rFonts w:ascii="Times New Roman" w:hAnsi="Times New Roman" w:cs="Times New Roman"/>
          <w:sz w:val="24"/>
        </w:rPr>
      </w:pPr>
      <w:r>
        <w:rPr>
          <w:rFonts w:ascii="Times New Roman" w:hAnsi="Times New Roman" w:cs="Times New Roman"/>
          <w:sz w:val="24"/>
        </w:rPr>
        <w:t>A THESIS APPROVED FOR THE</w:t>
      </w:r>
    </w:p>
    <w:p w:rsidR="009521BD" w:rsidRDefault="00D446FE" w:rsidP="009521BD">
      <w:pPr>
        <w:spacing w:after="0" w:line="240" w:lineRule="auto"/>
        <w:contextualSpacing/>
        <w:jc w:val="center"/>
        <w:rPr>
          <w:rFonts w:ascii="Times New Roman" w:hAnsi="Times New Roman" w:cs="Times New Roman"/>
          <w:sz w:val="24"/>
        </w:rPr>
      </w:pPr>
      <w:r>
        <w:rPr>
          <w:rFonts w:ascii="Times New Roman" w:hAnsi="Times New Roman" w:cs="Times New Roman"/>
          <w:sz w:val="24"/>
        </w:rPr>
        <w:t>DEPARTMENT OF INSTRUCTIONAL LEA</w:t>
      </w:r>
      <w:r w:rsidR="009521BD">
        <w:rPr>
          <w:rFonts w:ascii="Times New Roman" w:hAnsi="Times New Roman" w:cs="Times New Roman"/>
          <w:sz w:val="24"/>
        </w:rPr>
        <w:t>DERSHIP AND ACADEMIC CURRICULUM</w:t>
      </w: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D446FE" w:rsidRDefault="00D446FE" w:rsidP="009521BD">
      <w:pPr>
        <w:spacing w:after="0" w:line="240" w:lineRule="auto"/>
        <w:contextualSpacing/>
        <w:jc w:val="center"/>
        <w:rPr>
          <w:rFonts w:ascii="Times New Roman" w:hAnsi="Times New Roman" w:cs="Times New Roman"/>
          <w:sz w:val="24"/>
        </w:rPr>
      </w:pPr>
      <w:r>
        <w:rPr>
          <w:rFonts w:ascii="Times New Roman" w:hAnsi="Times New Roman" w:cs="Times New Roman"/>
          <w:sz w:val="24"/>
        </w:rPr>
        <w:t>BY</w:t>
      </w: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center"/>
        <w:rPr>
          <w:rFonts w:ascii="Times New Roman" w:hAnsi="Times New Roman" w:cs="Times New Roman"/>
          <w:sz w:val="24"/>
        </w:rPr>
      </w:pPr>
    </w:p>
    <w:p w:rsidR="009521BD" w:rsidRDefault="009521BD" w:rsidP="009521BD">
      <w:pPr>
        <w:spacing w:after="0" w:line="240" w:lineRule="auto"/>
        <w:contextualSpacing/>
        <w:jc w:val="right"/>
        <w:rPr>
          <w:rFonts w:ascii="Times New Roman" w:hAnsi="Times New Roman" w:cs="Times New Roman"/>
          <w:sz w:val="24"/>
        </w:rPr>
      </w:pPr>
      <w:r>
        <w:rPr>
          <w:rFonts w:ascii="Times New Roman" w:hAnsi="Times New Roman" w:cs="Times New Roman"/>
          <w:sz w:val="24"/>
        </w:rPr>
        <w:t>_____________________________</w:t>
      </w:r>
    </w:p>
    <w:p w:rsidR="009521BD" w:rsidRDefault="009521BD" w:rsidP="009521BD">
      <w:pPr>
        <w:spacing w:after="0" w:line="240" w:lineRule="auto"/>
        <w:contextualSpacing/>
        <w:jc w:val="right"/>
        <w:rPr>
          <w:rFonts w:ascii="Times New Roman" w:hAnsi="Times New Roman" w:cs="Times New Roman"/>
          <w:sz w:val="24"/>
        </w:rPr>
      </w:pPr>
      <w:r>
        <w:rPr>
          <w:rFonts w:ascii="Times New Roman" w:hAnsi="Times New Roman" w:cs="Times New Roman"/>
          <w:sz w:val="24"/>
        </w:rPr>
        <w:t>Dr. Crag Hill, Chair</w:t>
      </w:r>
    </w:p>
    <w:p w:rsidR="009521BD" w:rsidRDefault="009521BD" w:rsidP="009521BD">
      <w:pPr>
        <w:spacing w:after="0" w:line="240" w:lineRule="auto"/>
        <w:contextualSpacing/>
        <w:jc w:val="right"/>
        <w:rPr>
          <w:rFonts w:ascii="Times New Roman" w:hAnsi="Times New Roman" w:cs="Times New Roman"/>
          <w:sz w:val="24"/>
        </w:rPr>
      </w:pPr>
    </w:p>
    <w:p w:rsidR="009521BD" w:rsidRDefault="009521BD" w:rsidP="009521BD">
      <w:pPr>
        <w:spacing w:after="0" w:line="240" w:lineRule="auto"/>
        <w:contextualSpacing/>
        <w:jc w:val="right"/>
        <w:rPr>
          <w:rFonts w:ascii="Times New Roman" w:hAnsi="Times New Roman" w:cs="Times New Roman"/>
          <w:sz w:val="24"/>
        </w:rPr>
      </w:pPr>
    </w:p>
    <w:p w:rsidR="009521BD" w:rsidRDefault="009521BD" w:rsidP="009521BD">
      <w:pPr>
        <w:spacing w:after="0" w:line="240" w:lineRule="auto"/>
        <w:contextualSpacing/>
        <w:jc w:val="right"/>
        <w:rPr>
          <w:rFonts w:ascii="Times New Roman" w:hAnsi="Times New Roman" w:cs="Times New Roman"/>
          <w:sz w:val="24"/>
        </w:rPr>
      </w:pPr>
    </w:p>
    <w:p w:rsidR="009521BD" w:rsidRDefault="009521BD" w:rsidP="009521BD">
      <w:pPr>
        <w:spacing w:after="0" w:line="240" w:lineRule="auto"/>
        <w:contextualSpacing/>
        <w:jc w:val="right"/>
        <w:rPr>
          <w:rFonts w:ascii="Times New Roman" w:hAnsi="Times New Roman" w:cs="Times New Roman"/>
          <w:sz w:val="24"/>
        </w:rPr>
      </w:pPr>
    </w:p>
    <w:p w:rsidR="009521BD" w:rsidRDefault="009521BD" w:rsidP="009521BD">
      <w:pPr>
        <w:spacing w:after="0" w:line="240" w:lineRule="auto"/>
        <w:contextualSpacing/>
        <w:jc w:val="right"/>
        <w:rPr>
          <w:rFonts w:ascii="Times New Roman" w:hAnsi="Times New Roman" w:cs="Times New Roman"/>
          <w:sz w:val="24"/>
        </w:rPr>
      </w:pPr>
      <w:r>
        <w:rPr>
          <w:rFonts w:ascii="Times New Roman" w:hAnsi="Times New Roman" w:cs="Times New Roman"/>
          <w:sz w:val="24"/>
        </w:rPr>
        <w:t>_____________________________</w:t>
      </w:r>
    </w:p>
    <w:p w:rsidR="009521BD" w:rsidRDefault="009521BD" w:rsidP="009521BD">
      <w:pPr>
        <w:spacing w:after="0" w:line="240" w:lineRule="auto"/>
        <w:contextualSpacing/>
        <w:jc w:val="right"/>
        <w:rPr>
          <w:rFonts w:ascii="Times New Roman" w:hAnsi="Times New Roman" w:cs="Times New Roman"/>
          <w:sz w:val="24"/>
        </w:rPr>
      </w:pPr>
      <w:r>
        <w:rPr>
          <w:rFonts w:ascii="Times New Roman" w:hAnsi="Times New Roman" w:cs="Times New Roman"/>
          <w:sz w:val="24"/>
        </w:rPr>
        <w:t>Dr. Lawrence Baines</w:t>
      </w:r>
    </w:p>
    <w:p w:rsidR="009521BD" w:rsidRDefault="009521BD" w:rsidP="009521BD">
      <w:pPr>
        <w:spacing w:after="0" w:line="240" w:lineRule="auto"/>
        <w:contextualSpacing/>
        <w:jc w:val="right"/>
        <w:rPr>
          <w:rFonts w:ascii="Times New Roman" w:hAnsi="Times New Roman" w:cs="Times New Roman"/>
          <w:sz w:val="24"/>
        </w:rPr>
      </w:pPr>
    </w:p>
    <w:p w:rsidR="009521BD" w:rsidRDefault="009521BD" w:rsidP="009521BD">
      <w:pPr>
        <w:spacing w:after="0" w:line="240" w:lineRule="auto"/>
        <w:contextualSpacing/>
        <w:jc w:val="right"/>
        <w:rPr>
          <w:rFonts w:ascii="Times New Roman" w:hAnsi="Times New Roman" w:cs="Times New Roman"/>
          <w:sz w:val="24"/>
        </w:rPr>
      </w:pPr>
    </w:p>
    <w:p w:rsidR="009521BD" w:rsidRDefault="009521BD" w:rsidP="009521BD">
      <w:pPr>
        <w:spacing w:after="0" w:line="240" w:lineRule="auto"/>
        <w:contextualSpacing/>
        <w:jc w:val="right"/>
        <w:rPr>
          <w:rFonts w:ascii="Times New Roman" w:hAnsi="Times New Roman" w:cs="Times New Roman"/>
          <w:sz w:val="24"/>
        </w:rPr>
      </w:pPr>
    </w:p>
    <w:p w:rsidR="009521BD" w:rsidRDefault="009521BD" w:rsidP="009521BD">
      <w:pPr>
        <w:spacing w:after="0" w:line="240" w:lineRule="auto"/>
        <w:contextualSpacing/>
        <w:rPr>
          <w:rFonts w:ascii="Times New Roman" w:hAnsi="Times New Roman" w:cs="Times New Roman"/>
          <w:sz w:val="24"/>
        </w:rPr>
      </w:pPr>
    </w:p>
    <w:p w:rsidR="009521BD" w:rsidRDefault="009521BD" w:rsidP="009521BD">
      <w:pPr>
        <w:spacing w:after="0" w:line="240" w:lineRule="auto"/>
        <w:contextualSpacing/>
        <w:jc w:val="right"/>
        <w:rPr>
          <w:rFonts w:ascii="Times New Roman" w:hAnsi="Times New Roman" w:cs="Times New Roman"/>
          <w:sz w:val="24"/>
        </w:rPr>
      </w:pPr>
      <w:r>
        <w:rPr>
          <w:rFonts w:ascii="Times New Roman" w:hAnsi="Times New Roman" w:cs="Times New Roman"/>
          <w:sz w:val="24"/>
        </w:rPr>
        <w:t>_____________________________</w:t>
      </w:r>
    </w:p>
    <w:p w:rsidR="009521BD" w:rsidRDefault="009521BD" w:rsidP="009521BD">
      <w:pPr>
        <w:spacing w:after="0" w:line="240" w:lineRule="auto"/>
        <w:contextualSpacing/>
        <w:jc w:val="right"/>
        <w:rPr>
          <w:rFonts w:ascii="Times New Roman" w:hAnsi="Times New Roman" w:cs="Times New Roman"/>
          <w:sz w:val="24"/>
        </w:rPr>
      </w:pPr>
      <w:r>
        <w:rPr>
          <w:rFonts w:ascii="Times New Roman" w:hAnsi="Times New Roman" w:cs="Times New Roman"/>
          <w:sz w:val="24"/>
        </w:rPr>
        <w:t>Dr. Priscilla Griffith</w:t>
      </w:r>
    </w:p>
    <w:p w:rsidR="00082DFC" w:rsidRDefault="00082DFC" w:rsidP="009521BD">
      <w:pPr>
        <w:spacing w:after="0" w:line="240" w:lineRule="auto"/>
        <w:contextualSpacing/>
        <w:jc w:val="right"/>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p>
    <w:p w:rsidR="00082DFC" w:rsidRDefault="00082DFC" w:rsidP="00DB0001">
      <w:pPr>
        <w:spacing w:after="0" w:line="240" w:lineRule="auto"/>
        <w:contextualSpacing/>
        <w:rPr>
          <w:rFonts w:ascii="Times New Roman" w:hAnsi="Times New Roman" w:cs="Times New Roman"/>
          <w:sz w:val="24"/>
        </w:rPr>
      </w:pPr>
    </w:p>
    <w:p w:rsidR="00082DFC" w:rsidRDefault="00082DFC" w:rsidP="00082DFC">
      <w:pPr>
        <w:spacing w:after="0" w:line="240" w:lineRule="auto"/>
        <w:contextualSpacing/>
        <w:jc w:val="center"/>
        <w:rPr>
          <w:rFonts w:ascii="Times New Roman" w:hAnsi="Times New Roman" w:cs="Times New Roman"/>
          <w:sz w:val="24"/>
        </w:rPr>
      </w:pPr>
      <w:r>
        <w:rPr>
          <w:rFonts w:ascii="Times New Roman" w:hAnsi="Times New Roman" w:cs="Times New Roman"/>
          <w:sz w:val="24"/>
        </w:rPr>
        <w:t>© Copyright by ADAM VAN</w:t>
      </w:r>
      <w:r w:rsidR="0032039A">
        <w:rPr>
          <w:rFonts w:ascii="Times New Roman" w:hAnsi="Times New Roman" w:cs="Times New Roman"/>
          <w:sz w:val="24"/>
        </w:rPr>
        <w:t xml:space="preserve"> </w:t>
      </w:r>
      <w:r>
        <w:rPr>
          <w:rFonts w:ascii="Times New Roman" w:hAnsi="Times New Roman" w:cs="Times New Roman"/>
          <w:sz w:val="24"/>
        </w:rPr>
        <w:t>BUREN 2016</w:t>
      </w:r>
    </w:p>
    <w:p w:rsidR="00CD2B6A" w:rsidRDefault="00CD2B6A" w:rsidP="00082DFC">
      <w:pPr>
        <w:spacing w:after="0" w:line="240" w:lineRule="auto"/>
        <w:contextualSpacing/>
        <w:jc w:val="center"/>
        <w:rPr>
          <w:rFonts w:ascii="Times New Roman" w:hAnsi="Times New Roman" w:cs="Times New Roman"/>
          <w:sz w:val="24"/>
        </w:rPr>
        <w:sectPr w:rsidR="00CD2B6A" w:rsidSect="00962FE4">
          <w:footerReference w:type="default" r:id="rId7"/>
          <w:pgSz w:w="12240" w:h="15840"/>
          <w:pgMar w:top="1440" w:right="1440" w:bottom="1440" w:left="2304" w:header="720" w:footer="720" w:gutter="0"/>
          <w:cols w:space="720"/>
          <w:docGrid w:linePitch="360"/>
        </w:sectPr>
      </w:pPr>
      <w:r>
        <w:rPr>
          <w:rFonts w:ascii="Times New Roman" w:hAnsi="Times New Roman" w:cs="Times New Roman"/>
          <w:sz w:val="24"/>
        </w:rPr>
        <w:t>All Rights Reserved</w:t>
      </w:r>
      <w:r w:rsidR="00471958">
        <w:rPr>
          <w:rFonts w:ascii="Times New Roman" w:hAnsi="Times New Roman" w:cs="Times New Roman"/>
          <w:sz w:val="24"/>
        </w:rPr>
        <w:t>.</w:t>
      </w:r>
    </w:p>
    <w:p w:rsidR="00082DFC" w:rsidRDefault="00082DFC" w:rsidP="00CD2B6A">
      <w:pPr>
        <w:spacing w:after="0" w:line="240" w:lineRule="auto"/>
        <w:contextualSpacing/>
        <w:rPr>
          <w:rFonts w:ascii="Times New Roman" w:hAnsi="Times New Roman" w:cs="Times New Roman"/>
          <w:sz w:val="24"/>
        </w:rPr>
      </w:pPr>
    </w:p>
    <w:p w:rsidR="00082DFC" w:rsidRDefault="005B4CF7" w:rsidP="005B4CF7">
      <w:pPr>
        <w:spacing w:after="0" w:line="480" w:lineRule="auto"/>
        <w:contextualSpacing/>
        <w:jc w:val="center"/>
        <w:rPr>
          <w:rFonts w:ascii="Times New Roman" w:hAnsi="Times New Roman" w:cs="Times New Roman"/>
          <w:sz w:val="24"/>
        </w:rPr>
      </w:pPr>
      <w:r>
        <w:rPr>
          <w:rFonts w:ascii="Times New Roman" w:hAnsi="Times New Roman" w:cs="Times New Roman"/>
          <w:sz w:val="24"/>
        </w:rPr>
        <w:t>Acknowledgments</w:t>
      </w:r>
    </w:p>
    <w:p w:rsidR="005B4CF7" w:rsidRDefault="005B4CF7" w:rsidP="006B16A4">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Most </w:t>
      </w:r>
      <w:r w:rsidR="00613DE2">
        <w:rPr>
          <w:rFonts w:ascii="Times New Roman" w:hAnsi="Times New Roman" w:cs="Times New Roman"/>
          <w:sz w:val="24"/>
        </w:rPr>
        <w:t xml:space="preserve">acknowledgment sections </w:t>
      </w:r>
      <w:r>
        <w:rPr>
          <w:rFonts w:ascii="Times New Roman" w:hAnsi="Times New Roman" w:cs="Times New Roman"/>
          <w:sz w:val="24"/>
        </w:rPr>
        <w:t xml:space="preserve">seem to dissolve into a torrent of gratitude: “I want to thank my mom, dad, sister, grandparents, </w:t>
      </w:r>
      <w:r w:rsidR="00613DE2">
        <w:rPr>
          <w:rFonts w:ascii="Times New Roman" w:hAnsi="Times New Roman" w:cs="Times New Roman"/>
          <w:sz w:val="24"/>
        </w:rPr>
        <w:t>Dolly Parton</w:t>
      </w:r>
      <w:r>
        <w:rPr>
          <w:rFonts w:ascii="Times New Roman" w:hAnsi="Times New Roman" w:cs="Times New Roman"/>
          <w:sz w:val="24"/>
        </w:rPr>
        <w:t>, Jesus, parole officer…”</w:t>
      </w:r>
      <w:r w:rsidR="006B16A4">
        <w:rPr>
          <w:rFonts w:ascii="Times New Roman" w:hAnsi="Times New Roman" w:cs="Times New Roman"/>
          <w:sz w:val="24"/>
        </w:rPr>
        <w:t xml:space="preserve">  I understand the compulsion to name everyone.  No one succeeds entirely alone; we depend upon the assistance and support of others.  Consequently, we feel obligated to thank anyone who </w:t>
      </w:r>
      <w:r w:rsidR="0065761B">
        <w:rPr>
          <w:rFonts w:ascii="Times New Roman" w:hAnsi="Times New Roman" w:cs="Times New Roman"/>
          <w:sz w:val="24"/>
        </w:rPr>
        <w:t xml:space="preserve">has </w:t>
      </w:r>
      <w:r w:rsidR="006B16A4">
        <w:rPr>
          <w:rFonts w:ascii="Times New Roman" w:hAnsi="Times New Roman" w:cs="Times New Roman"/>
          <w:sz w:val="24"/>
        </w:rPr>
        <w:t>played even a marginal role in our success.</w:t>
      </w:r>
    </w:p>
    <w:p w:rsidR="006B16A4" w:rsidRDefault="006B16A4" w:rsidP="006B16A4">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I must balance my immense gratitude with my innate inclination toward practicality.  This page has space neither for me to thank everyone nor to thank them as effusively as I’d like.  I will therefore keep this section brief, straightforward, and devoid of flowery, maudlin sentiment.  </w:t>
      </w:r>
      <w:r w:rsidR="00613DE2">
        <w:rPr>
          <w:rFonts w:ascii="Times New Roman" w:hAnsi="Times New Roman" w:cs="Times New Roman"/>
          <w:sz w:val="24"/>
        </w:rPr>
        <w:t>Dolly Parton</w:t>
      </w:r>
      <w:r w:rsidR="0065761B">
        <w:rPr>
          <w:rFonts w:ascii="Times New Roman" w:hAnsi="Times New Roman" w:cs="Times New Roman"/>
          <w:sz w:val="24"/>
        </w:rPr>
        <w:t xml:space="preserve"> and </w:t>
      </w:r>
      <w:r w:rsidR="00613DE2">
        <w:rPr>
          <w:rFonts w:ascii="Times New Roman" w:hAnsi="Times New Roman" w:cs="Times New Roman"/>
          <w:sz w:val="24"/>
        </w:rPr>
        <w:t xml:space="preserve">my </w:t>
      </w:r>
      <w:r w:rsidR="0065761B">
        <w:rPr>
          <w:rFonts w:ascii="Times New Roman" w:hAnsi="Times New Roman" w:cs="Times New Roman"/>
          <w:sz w:val="24"/>
        </w:rPr>
        <w:t>parole officer will find some way to cope.</w:t>
      </w:r>
    </w:p>
    <w:p w:rsidR="002A16D9" w:rsidRDefault="0065761B" w:rsidP="006B16A4">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sidR="00613DE2">
        <w:rPr>
          <w:rFonts w:ascii="Times New Roman" w:hAnsi="Times New Roman" w:cs="Times New Roman"/>
          <w:sz w:val="24"/>
        </w:rPr>
        <w:t xml:space="preserve">I shall forever be indebted to Dr. Crag Hill, whose guidance and patience have shaped this project.  He has seen me in my petulant, capricious glory yet still works with me willingly.  Time and time again, he has overcome my </w:t>
      </w:r>
      <w:r w:rsidR="002A16D9">
        <w:rPr>
          <w:rFonts w:ascii="Times New Roman" w:hAnsi="Times New Roman" w:cs="Times New Roman"/>
          <w:sz w:val="24"/>
        </w:rPr>
        <w:t>histrionics</w:t>
      </w:r>
      <w:r w:rsidR="00613DE2">
        <w:rPr>
          <w:rFonts w:ascii="Times New Roman" w:hAnsi="Times New Roman" w:cs="Times New Roman"/>
          <w:sz w:val="24"/>
        </w:rPr>
        <w:t xml:space="preserve"> with cool logic a</w:t>
      </w:r>
      <w:r w:rsidR="002A16D9">
        <w:rPr>
          <w:rFonts w:ascii="Times New Roman" w:hAnsi="Times New Roman" w:cs="Times New Roman"/>
          <w:sz w:val="24"/>
        </w:rPr>
        <w:t>nd insight.  Because of his comments and suggestions, this thesis feels far sounder and better formed than it has any right to be.  I appreciate his dedication to helping the intellectually less fortunate.</w:t>
      </w:r>
    </w:p>
    <w:p w:rsidR="002A16D9" w:rsidRDefault="002A16D9" w:rsidP="006B16A4">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To Dr. Lawrence Baines and Dr. Priscilla Griffith I offer my sincerest thanks for serving on my committee.  They could easily have said no – had every right </w:t>
      </w:r>
      <w:r>
        <w:rPr>
          <w:rFonts w:ascii="Times New Roman" w:hAnsi="Times New Roman" w:cs="Times New Roman"/>
          <w:i/>
          <w:sz w:val="24"/>
        </w:rPr>
        <w:t xml:space="preserve">to </w:t>
      </w:r>
      <w:r>
        <w:rPr>
          <w:rFonts w:ascii="Times New Roman" w:hAnsi="Times New Roman" w:cs="Times New Roman"/>
          <w:sz w:val="24"/>
        </w:rPr>
        <w:t>say no – but they said yes.  Their service and assistance flatter me greatly.</w:t>
      </w:r>
    </w:p>
    <w:p w:rsidR="00CD2B6A" w:rsidRDefault="002A16D9" w:rsidP="002A16D9">
      <w:pPr>
        <w:spacing w:after="0" w:line="480" w:lineRule="auto"/>
        <w:contextualSpacing/>
        <w:jc w:val="both"/>
        <w:rPr>
          <w:rFonts w:ascii="Times New Roman" w:hAnsi="Times New Roman" w:cs="Times New Roman"/>
          <w:sz w:val="24"/>
        </w:rPr>
        <w:sectPr w:rsidR="00CD2B6A" w:rsidSect="00366184">
          <w:footerReference w:type="default" r:id="rId8"/>
          <w:pgSz w:w="12240" w:h="15840"/>
          <w:pgMar w:top="1440" w:right="1440" w:bottom="1440" w:left="2304" w:header="720" w:footer="864" w:gutter="0"/>
          <w:cols w:space="720"/>
          <w:docGrid w:linePitch="360"/>
        </w:sectPr>
      </w:pPr>
      <w:r>
        <w:rPr>
          <w:rFonts w:ascii="Times New Roman" w:hAnsi="Times New Roman" w:cs="Times New Roman"/>
          <w:sz w:val="24"/>
        </w:rPr>
        <w:tab/>
        <w:t xml:space="preserve">Lastly, I must thank my family, who share my commitment to brevity and wouldn’t want to clog an entire page.  I know they love me.  They know I know.  </w:t>
      </w:r>
      <w:r w:rsidR="00613DE2">
        <w:rPr>
          <w:rFonts w:ascii="Times New Roman" w:hAnsi="Times New Roman" w:cs="Times New Roman"/>
          <w:sz w:val="24"/>
        </w:rPr>
        <w:t xml:space="preserve"> </w:t>
      </w:r>
      <w:r>
        <w:rPr>
          <w:rFonts w:ascii="Times New Roman" w:hAnsi="Times New Roman" w:cs="Times New Roman"/>
          <w:sz w:val="24"/>
        </w:rPr>
        <w:t>They’</w:t>
      </w:r>
      <w:r w:rsidR="00CD2B6A">
        <w:rPr>
          <w:rFonts w:ascii="Times New Roman" w:hAnsi="Times New Roman" w:cs="Times New Roman"/>
          <w:sz w:val="24"/>
        </w:rPr>
        <w:t xml:space="preserve">ll thank the parole officer </w:t>
      </w:r>
      <w:r>
        <w:rPr>
          <w:rFonts w:ascii="Times New Roman" w:hAnsi="Times New Roman" w:cs="Times New Roman"/>
          <w:sz w:val="24"/>
        </w:rPr>
        <w:t>for me.</w:t>
      </w:r>
    </w:p>
    <w:p w:rsidR="002A16D9" w:rsidRPr="00455D7D" w:rsidRDefault="00CD2B6A" w:rsidP="00497CDD">
      <w:pPr>
        <w:spacing w:after="0" w:line="240" w:lineRule="auto"/>
        <w:contextualSpacing/>
        <w:jc w:val="center"/>
        <w:rPr>
          <w:rFonts w:ascii="Times New Roman" w:hAnsi="Times New Roman" w:cs="Times New Roman"/>
          <w:sz w:val="28"/>
        </w:rPr>
      </w:pPr>
      <w:r w:rsidRPr="00455D7D">
        <w:rPr>
          <w:rFonts w:ascii="Times New Roman" w:hAnsi="Times New Roman" w:cs="Times New Roman"/>
          <w:sz w:val="24"/>
        </w:rPr>
        <w:lastRenderedPageBreak/>
        <w:t>Table of Contents</w:t>
      </w:r>
    </w:p>
    <w:p w:rsidR="005E36E9" w:rsidRPr="005E36E9" w:rsidRDefault="005E36E9" w:rsidP="00497CDD">
      <w:pPr>
        <w:spacing w:after="0" w:line="240" w:lineRule="auto"/>
        <w:contextualSpacing/>
        <w:rPr>
          <w:rFonts w:ascii="Times New Roman" w:hAnsi="Times New Roman" w:cs="Times New Roman"/>
          <w:sz w:val="24"/>
        </w:rPr>
      </w:pPr>
      <w:r w:rsidRPr="00D6574F">
        <w:rPr>
          <w:rFonts w:ascii="Times New Roman" w:hAnsi="Times New Roman" w:cs="Times New Roman"/>
          <w:sz w:val="24"/>
          <w:lang w:bidi="en-US"/>
        </w:rPr>
        <w:t>Acknowledgements</w:t>
      </w:r>
      <w:r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Pr="00D6574F">
        <w:rPr>
          <w:rFonts w:ascii="Times New Roman" w:hAnsi="Times New Roman" w:cs="Times New Roman"/>
          <w:webHidden/>
          <w:sz w:val="24"/>
          <w:lang w:bidi="en-US"/>
        </w:rPr>
        <w:t>iv</w:t>
      </w:r>
    </w:p>
    <w:p w:rsidR="005E36E9" w:rsidRDefault="00A40DAA" w:rsidP="00497CDD">
      <w:pPr>
        <w:spacing w:after="0" w:line="240" w:lineRule="auto"/>
        <w:contextualSpacing/>
        <w:rPr>
          <w:rStyle w:val="Hyperlink"/>
          <w:rFonts w:ascii="Times New Roman" w:hAnsi="Times New Roman" w:cs="Times New Roman"/>
          <w:sz w:val="24"/>
        </w:rPr>
      </w:pPr>
      <w:r w:rsidRPr="00D6574F">
        <w:rPr>
          <w:rFonts w:ascii="Times New Roman" w:hAnsi="Times New Roman" w:cs="Times New Roman"/>
          <w:sz w:val="24"/>
          <w:lang w:bidi="en-US"/>
        </w:rPr>
        <w:t>List of Tables</w:t>
      </w:r>
      <w:r w:rsidR="005E36E9"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5E36E9" w:rsidRPr="00D6574F">
        <w:rPr>
          <w:rFonts w:ascii="Times New Roman" w:hAnsi="Times New Roman" w:cs="Times New Roman"/>
          <w:webHidden/>
          <w:sz w:val="24"/>
          <w:lang w:bidi="en-US"/>
        </w:rPr>
        <w:t>vi</w:t>
      </w:r>
    </w:p>
    <w:p w:rsidR="00A40DAA" w:rsidRPr="00A40DAA" w:rsidRDefault="00A40DAA" w:rsidP="00497CDD">
      <w:pPr>
        <w:spacing w:after="0" w:line="240" w:lineRule="auto"/>
        <w:contextualSpacing/>
        <w:rPr>
          <w:rFonts w:ascii="Times New Roman" w:hAnsi="Times New Roman" w:cs="Times New Roman"/>
          <w:sz w:val="24"/>
        </w:rPr>
      </w:pPr>
      <w:r w:rsidRPr="00A40DAA">
        <w:rPr>
          <w:rStyle w:val="Hyperlink"/>
          <w:rFonts w:ascii="Times New Roman" w:hAnsi="Times New Roman" w:cs="Times New Roman"/>
          <w:color w:val="auto"/>
          <w:sz w:val="24"/>
          <w:u w:val="none"/>
        </w:rPr>
        <w:t>Abstract</w:t>
      </w:r>
      <w:r>
        <w:rPr>
          <w:rStyle w:val="Hyperlink"/>
          <w:rFonts w:ascii="Times New Roman" w:hAnsi="Times New Roman" w:cs="Times New Roman"/>
          <w:color w:val="auto"/>
          <w:sz w:val="24"/>
          <w:u w:val="none"/>
        </w:rPr>
        <w:tab/>
      </w:r>
      <w:r>
        <w:rPr>
          <w:rStyle w:val="Hyperlink"/>
          <w:rFonts w:ascii="Times New Roman" w:hAnsi="Times New Roman" w:cs="Times New Roman"/>
          <w:color w:val="auto"/>
          <w:sz w:val="24"/>
          <w:u w:val="none"/>
        </w:rPr>
        <w:tab/>
      </w:r>
      <w:r>
        <w:rPr>
          <w:rStyle w:val="Hyperlink"/>
          <w:rFonts w:ascii="Times New Roman" w:hAnsi="Times New Roman" w:cs="Times New Roman"/>
          <w:color w:val="auto"/>
          <w:sz w:val="24"/>
          <w:u w:val="none"/>
        </w:rPr>
        <w:tab/>
      </w:r>
      <w:r>
        <w:rPr>
          <w:rStyle w:val="Hyperlink"/>
          <w:rFonts w:ascii="Times New Roman" w:hAnsi="Times New Roman" w:cs="Times New Roman"/>
          <w:color w:val="auto"/>
          <w:sz w:val="24"/>
          <w:u w:val="none"/>
        </w:rPr>
        <w:tab/>
      </w:r>
      <w:r>
        <w:rPr>
          <w:rStyle w:val="Hyperlink"/>
          <w:rFonts w:ascii="Times New Roman" w:hAnsi="Times New Roman" w:cs="Times New Roman"/>
          <w:color w:val="auto"/>
          <w:sz w:val="24"/>
          <w:u w:val="none"/>
        </w:rPr>
        <w:tab/>
      </w:r>
      <w:r>
        <w:rPr>
          <w:rStyle w:val="Hyperlink"/>
          <w:rFonts w:ascii="Times New Roman" w:hAnsi="Times New Roman" w:cs="Times New Roman"/>
          <w:color w:val="auto"/>
          <w:sz w:val="24"/>
          <w:u w:val="none"/>
        </w:rPr>
        <w:tab/>
      </w:r>
      <w:r>
        <w:rPr>
          <w:rStyle w:val="Hyperlink"/>
          <w:rFonts w:ascii="Times New Roman" w:hAnsi="Times New Roman" w:cs="Times New Roman"/>
          <w:color w:val="auto"/>
          <w:sz w:val="24"/>
          <w:u w:val="none"/>
        </w:rPr>
        <w:tab/>
      </w:r>
      <w:r>
        <w:rPr>
          <w:rStyle w:val="Hyperlink"/>
          <w:rFonts w:ascii="Times New Roman" w:hAnsi="Times New Roman" w:cs="Times New Roman"/>
          <w:color w:val="auto"/>
          <w:sz w:val="24"/>
          <w:u w:val="none"/>
        </w:rPr>
        <w:tab/>
        <w:t>vii</w:t>
      </w:r>
    </w:p>
    <w:p w:rsidR="005E36E9" w:rsidRPr="005E36E9" w:rsidRDefault="005E36E9" w:rsidP="00497CDD">
      <w:pPr>
        <w:spacing w:after="0" w:line="240" w:lineRule="auto"/>
        <w:contextualSpacing/>
        <w:rPr>
          <w:rFonts w:ascii="Times New Roman" w:hAnsi="Times New Roman" w:cs="Times New Roman"/>
          <w:sz w:val="24"/>
        </w:rPr>
      </w:pPr>
      <w:r w:rsidRPr="00D6574F">
        <w:rPr>
          <w:rFonts w:ascii="Times New Roman" w:hAnsi="Times New Roman" w:cs="Times New Roman"/>
          <w:sz w:val="24"/>
          <w:lang w:bidi="en-US"/>
        </w:rPr>
        <w:t>Chapter 1: Introduction</w:t>
      </w:r>
      <w:r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007D5952" w:rsidRPr="00D6574F">
        <w:rPr>
          <w:rFonts w:ascii="Times New Roman" w:hAnsi="Times New Roman" w:cs="Times New Roman"/>
          <w:webHidden/>
          <w:sz w:val="24"/>
          <w:lang w:bidi="en-US"/>
        </w:rPr>
        <w:tab/>
      </w:r>
      <w:r w:rsidRPr="00D6574F">
        <w:rPr>
          <w:rFonts w:ascii="Times New Roman" w:hAnsi="Times New Roman" w:cs="Times New Roman"/>
          <w:webHidden/>
          <w:sz w:val="24"/>
          <w:lang w:bidi="en-US"/>
        </w:rPr>
        <w:t>1</w:t>
      </w:r>
    </w:p>
    <w:p w:rsidR="005E36E9" w:rsidRPr="005E36E9" w:rsidRDefault="007D5952" w:rsidP="00497CDD">
      <w:pPr>
        <w:spacing w:after="0" w:line="240" w:lineRule="auto"/>
        <w:contextualSpacing/>
        <w:rPr>
          <w:rFonts w:ascii="Times New Roman" w:hAnsi="Times New Roman" w:cs="Times New Roman"/>
          <w:sz w:val="24"/>
        </w:rPr>
      </w:pPr>
      <w:r w:rsidRPr="00D6574F">
        <w:rPr>
          <w:rFonts w:ascii="Times New Roman" w:hAnsi="Times New Roman" w:cs="Times New Roman"/>
          <w:sz w:val="24"/>
          <w:lang w:bidi="en-US"/>
        </w:rPr>
        <w:t>Chapter 2: Literature Review</w:t>
      </w:r>
      <w:r w:rsidR="005E36E9" w:rsidRPr="00D6574F">
        <w:rPr>
          <w:rFonts w:ascii="Times New Roman" w:hAnsi="Times New Roman" w:cs="Times New Roman"/>
          <w:webHidden/>
          <w:sz w:val="24"/>
          <w:lang w:bidi="en-US"/>
        </w:rPr>
        <w:tab/>
      </w:r>
      <w:r w:rsidRPr="00D6574F">
        <w:rPr>
          <w:rFonts w:ascii="Times New Roman" w:hAnsi="Times New Roman" w:cs="Times New Roman"/>
          <w:webHidden/>
          <w:sz w:val="24"/>
          <w:lang w:bidi="en-US"/>
        </w:rPr>
        <w:tab/>
      </w:r>
      <w:r w:rsidRPr="00D6574F">
        <w:rPr>
          <w:rFonts w:ascii="Times New Roman" w:hAnsi="Times New Roman" w:cs="Times New Roman"/>
          <w:webHidden/>
          <w:sz w:val="24"/>
          <w:lang w:bidi="en-US"/>
        </w:rPr>
        <w:tab/>
      </w:r>
      <w:r w:rsidRPr="00D6574F">
        <w:rPr>
          <w:rFonts w:ascii="Times New Roman" w:hAnsi="Times New Roman" w:cs="Times New Roman"/>
          <w:webHidden/>
          <w:sz w:val="24"/>
          <w:lang w:bidi="en-US"/>
        </w:rPr>
        <w:tab/>
      </w:r>
      <w:r w:rsidRPr="00D6574F">
        <w:rPr>
          <w:rFonts w:ascii="Times New Roman" w:hAnsi="Times New Roman" w:cs="Times New Roman"/>
          <w:webHidden/>
          <w:sz w:val="24"/>
          <w:lang w:bidi="en-US"/>
        </w:rPr>
        <w:tab/>
      </w:r>
      <w:r w:rsidRPr="00D6574F">
        <w:rPr>
          <w:rFonts w:ascii="Times New Roman" w:hAnsi="Times New Roman" w:cs="Times New Roman"/>
          <w:webHidden/>
          <w:sz w:val="24"/>
          <w:lang w:bidi="en-US"/>
        </w:rPr>
        <w:tab/>
      </w:r>
    </w:p>
    <w:p w:rsidR="007D5952" w:rsidRPr="00D6574F" w:rsidRDefault="007D5952" w:rsidP="00497CDD">
      <w:pPr>
        <w:spacing w:after="0" w:line="240" w:lineRule="auto"/>
        <w:ind w:firstLine="720"/>
        <w:contextualSpacing/>
        <w:rPr>
          <w:rFonts w:ascii="Times New Roman" w:hAnsi="Times New Roman" w:cs="Times New Roman"/>
          <w:sz w:val="24"/>
          <w:lang w:bidi="en-US"/>
        </w:rPr>
      </w:pPr>
      <w:r w:rsidRPr="00D6574F">
        <w:rPr>
          <w:rFonts w:ascii="Times New Roman" w:hAnsi="Times New Roman" w:cs="Times New Roman"/>
          <w:sz w:val="24"/>
          <w:lang w:bidi="en-US"/>
        </w:rPr>
        <w:t xml:space="preserve">Section 1: Hidden Agendas and Messages of the </w:t>
      </w:r>
    </w:p>
    <w:p w:rsidR="005E36E9" w:rsidRDefault="007D5952" w:rsidP="00497CDD">
      <w:pPr>
        <w:spacing w:after="0" w:line="240" w:lineRule="auto"/>
        <w:ind w:firstLine="720"/>
        <w:contextualSpacing/>
        <w:rPr>
          <w:rFonts w:ascii="Times New Roman" w:hAnsi="Times New Roman" w:cs="Times New Roman"/>
          <w:sz w:val="24"/>
        </w:rPr>
      </w:pPr>
      <w:r w:rsidRPr="00D6574F">
        <w:rPr>
          <w:rFonts w:ascii="Times New Roman" w:hAnsi="Times New Roman" w:cs="Times New Roman"/>
          <w:sz w:val="24"/>
          <w:lang w:bidi="en-US"/>
        </w:rPr>
        <w:tab/>
        <w:t xml:space="preserve">      School System</w:t>
      </w:r>
      <w:r w:rsidR="005E36E9" w:rsidRPr="00D6574F">
        <w:rPr>
          <w:rFonts w:ascii="Times New Roman" w:hAnsi="Times New Roman" w:cs="Times New Roman"/>
          <w:webHidden/>
          <w:sz w:val="24"/>
          <w:lang w:bidi="en-US"/>
        </w:rPr>
        <w:tab/>
      </w:r>
      <w:r w:rsidRPr="00D6574F">
        <w:rPr>
          <w:rFonts w:ascii="Times New Roman" w:hAnsi="Times New Roman" w:cs="Times New Roman"/>
          <w:webHidden/>
          <w:sz w:val="24"/>
          <w:lang w:bidi="en-US"/>
        </w:rPr>
        <w:tab/>
      </w:r>
      <w:r w:rsidRPr="00D6574F">
        <w:rPr>
          <w:rFonts w:ascii="Times New Roman" w:hAnsi="Times New Roman" w:cs="Times New Roman"/>
          <w:webHidden/>
          <w:sz w:val="24"/>
          <w:lang w:bidi="en-US"/>
        </w:rPr>
        <w:tab/>
      </w:r>
      <w:r w:rsidRPr="00D6574F">
        <w:rPr>
          <w:rFonts w:ascii="Times New Roman" w:hAnsi="Times New Roman" w:cs="Times New Roman"/>
          <w:webHidden/>
          <w:sz w:val="24"/>
          <w:lang w:bidi="en-US"/>
        </w:rPr>
        <w:tab/>
      </w:r>
      <w:r w:rsidRPr="00D6574F">
        <w:rPr>
          <w:rFonts w:ascii="Times New Roman" w:hAnsi="Times New Roman" w:cs="Times New Roman"/>
          <w:webHidden/>
          <w:sz w:val="24"/>
          <w:lang w:bidi="en-US"/>
        </w:rPr>
        <w:tab/>
        <w:t>8</w:t>
      </w:r>
    </w:p>
    <w:p w:rsidR="007D5952" w:rsidRDefault="007D5952" w:rsidP="00497CDD">
      <w:pPr>
        <w:spacing w:after="0" w:line="240" w:lineRule="auto"/>
        <w:ind w:firstLine="720"/>
        <w:contextualSpacing/>
        <w:rPr>
          <w:rFonts w:ascii="Times New Roman" w:hAnsi="Times New Roman" w:cs="Times New Roman"/>
          <w:sz w:val="24"/>
        </w:rPr>
      </w:pPr>
      <w:r w:rsidRPr="007D5952">
        <w:rPr>
          <w:rFonts w:ascii="Times New Roman" w:hAnsi="Times New Roman" w:cs="Times New Roman"/>
          <w:sz w:val="24"/>
        </w:rPr>
        <w:t xml:space="preserve">Section 2: The Use of Curriculum and Curricular Materials </w:t>
      </w:r>
    </w:p>
    <w:p w:rsidR="007D5952" w:rsidRDefault="007D5952" w:rsidP="00497CDD">
      <w:pPr>
        <w:spacing w:after="0" w:line="240" w:lineRule="auto"/>
        <w:ind w:left="720" w:firstLine="720"/>
        <w:contextualSpacing/>
        <w:rPr>
          <w:rFonts w:ascii="Times New Roman" w:hAnsi="Times New Roman" w:cs="Times New Roman"/>
          <w:sz w:val="24"/>
        </w:rPr>
      </w:pPr>
      <w:r>
        <w:rPr>
          <w:rFonts w:ascii="Times New Roman" w:hAnsi="Times New Roman" w:cs="Times New Roman"/>
          <w:sz w:val="24"/>
        </w:rPr>
        <w:t xml:space="preserve">     as Propaganda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16</w:t>
      </w:r>
    </w:p>
    <w:p w:rsidR="00497CDD" w:rsidRDefault="007D5952" w:rsidP="00497CDD">
      <w:pPr>
        <w:spacing w:after="0" w:line="240" w:lineRule="auto"/>
        <w:contextualSpacing/>
        <w:rPr>
          <w:rFonts w:ascii="Times New Roman" w:hAnsi="Times New Roman" w:cs="Times New Roman"/>
          <w:sz w:val="24"/>
        </w:rPr>
      </w:pPr>
      <w:r>
        <w:rPr>
          <w:rFonts w:ascii="Times New Roman" w:hAnsi="Times New Roman" w:cs="Times New Roman"/>
          <w:sz w:val="24"/>
        </w:rPr>
        <w:tab/>
      </w:r>
      <w:r w:rsidRPr="007D5952">
        <w:rPr>
          <w:rFonts w:ascii="Times New Roman" w:hAnsi="Times New Roman" w:cs="Times New Roman"/>
          <w:sz w:val="24"/>
        </w:rPr>
        <w:t xml:space="preserve">Section 3: English Literature as a Means to Propagate </w:t>
      </w:r>
    </w:p>
    <w:p w:rsidR="007D5952" w:rsidRDefault="00497CDD" w:rsidP="00497CDD">
      <w:pPr>
        <w:spacing w:after="0" w:line="240" w:lineRule="auto"/>
        <w:ind w:firstLine="720"/>
        <w:contextualSpacing/>
        <w:rPr>
          <w:rFonts w:ascii="Times New Roman" w:hAnsi="Times New Roman" w:cs="Times New Roman"/>
          <w:sz w:val="24"/>
        </w:rPr>
      </w:pPr>
      <w:r>
        <w:rPr>
          <w:rFonts w:ascii="Times New Roman" w:hAnsi="Times New Roman" w:cs="Times New Roman"/>
          <w:sz w:val="24"/>
        </w:rPr>
        <w:t xml:space="preserve">                 </w:t>
      </w:r>
      <w:r w:rsidR="007D5952" w:rsidRPr="007D5952">
        <w:rPr>
          <w:rFonts w:ascii="Times New Roman" w:hAnsi="Times New Roman" w:cs="Times New Roman"/>
          <w:sz w:val="24"/>
        </w:rPr>
        <w:t>Ideological Biases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21</w:t>
      </w:r>
    </w:p>
    <w:p w:rsidR="00497CDD" w:rsidRDefault="00497CDD" w:rsidP="00497CDD">
      <w:pPr>
        <w:spacing w:after="0" w:line="240" w:lineRule="auto"/>
        <w:ind w:firstLine="720"/>
        <w:contextualSpacing/>
        <w:rPr>
          <w:rFonts w:ascii="Times New Roman" w:hAnsi="Times New Roman" w:cs="Times New Roman"/>
          <w:sz w:val="24"/>
        </w:rPr>
      </w:pPr>
      <w:r>
        <w:rPr>
          <w:rFonts w:ascii="Times New Roman" w:hAnsi="Times New Roman" w:cs="Times New Roman"/>
          <w:sz w:val="24"/>
        </w:rPr>
        <w:t>Section 4: Conclusion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25</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Chapter 3: Methodology</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ab/>
      </w:r>
      <w:r w:rsidRPr="00497CDD">
        <w:rPr>
          <w:rFonts w:ascii="Times New Roman" w:hAnsi="Times New Roman" w:cs="Times New Roman"/>
          <w:sz w:val="24"/>
        </w:rPr>
        <w:t>Selection and List of Literary Works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w:t>
      </w:r>
      <w:r w:rsidR="00756F78">
        <w:rPr>
          <w:rFonts w:ascii="Times New Roman" w:hAnsi="Times New Roman" w:cs="Times New Roman"/>
          <w:sz w:val="24"/>
        </w:rPr>
        <w:t>6</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ab/>
      </w:r>
      <w:r w:rsidRPr="00497CDD">
        <w:rPr>
          <w:rFonts w:ascii="Times New Roman" w:hAnsi="Times New Roman" w:cs="Times New Roman"/>
          <w:sz w:val="24"/>
        </w:rPr>
        <w:t>Overview of Ideologies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110D2A">
        <w:rPr>
          <w:rFonts w:ascii="Times New Roman" w:hAnsi="Times New Roman" w:cs="Times New Roman"/>
          <w:sz w:val="24"/>
        </w:rPr>
        <w:t>29</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ab/>
      </w:r>
      <w:r w:rsidRPr="00497CDD">
        <w:rPr>
          <w:rFonts w:ascii="Times New Roman" w:hAnsi="Times New Roman" w:cs="Times New Roman"/>
          <w:sz w:val="24"/>
        </w:rPr>
        <w:t>Creation of Analytical Categories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110D2A">
        <w:rPr>
          <w:rFonts w:ascii="Times New Roman" w:hAnsi="Times New Roman" w:cs="Times New Roman"/>
          <w:sz w:val="24"/>
        </w:rPr>
        <w:t>35</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ab/>
        <w:t>Analytical Process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110D2A">
        <w:rPr>
          <w:rFonts w:ascii="Times New Roman" w:hAnsi="Times New Roman" w:cs="Times New Roman"/>
          <w:sz w:val="24"/>
        </w:rPr>
        <w:t>39</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Chapter 4: Analysis and Discussion</w:t>
      </w:r>
      <w:r w:rsidR="00A40DAA">
        <w:rPr>
          <w:rFonts w:ascii="Times New Roman" w:hAnsi="Times New Roman" w:cs="Times New Roman"/>
          <w:sz w:val="24"/>
        </w:rPr>
        <w:tab/>
      </w:r>
      <w:r w:rsidR="00A40DAA">
        <w:rPr>
          <w:rFonts w:ascii="Times New Roman" w:hAnsi="Times New Roman" w:cs="Times New Roman"/>
          <w:sz w:val="24"/>
        </w:rPr>
        <w:tab/>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ab/>
        <w:t>Overview and Purpose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42</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ab/>
        <w:t>Social Efficiency-Oriented Works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42</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ab/>
      </w:r>
      <w:r w:rsidR="00110D2A">
        <w:rPr>
          <w:rFonts w:ascii="Times New Roman" w:hAnsi="Times New Roman" w:cs="Times New Roman"/>
          <w:sz w:val="24"/>
        </w:rPr>
        <w:t>Social Efficiency/Reconstruction-Oriented Works</w:t>
      </w:r>
      <w:r w:rsidR="00110D2A">
        <w:rPr>
          <w:rFonts w:ascii="Times New Roman" w:hAnsi="Times New Roman" w:cs="Times New Roman"/>
          <w:sz w:val="24"/>
        </w:rPr>
        <w:tab/>
      </w:r>
      <w:r w:rsidR="00110D2A">
        <w:rPr>
          <w:rFonts w:ascii="Times New Roman" w:hAnsi="Times New Roman" w:cs="Times New Roman"/>
          <w:sz w:val="24"/>
        </w:rPr>
        <w:tab/>
      </w:r>
      <w:r>
        <w:rPr>
          <w:rFonts w:ascii="Times New Roman" w:hAnsi="Times New Roman" w:cs="Times New Roman"/>
          <w:sz w:val="24"/>
        </w:rPr>
        <w:t>5</w:t>
      </w:r>
      <w:r w:rsidR="00110D2A">
        <w:rPr>
          <w:rFonts w:ascii="Times New Roman" w:hAnsi="Times New Roman" w:cs="Times New Roman"/>
          <w:sz w:val="24"/>
        </w:rPr>
        <w:t>3</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ab/>
      </w:r>
      <w:r w:rsidR="00110D2A">
        <w:rPr>
          <w:rFonts w:ascii="Times New Roman" w:hAnsi="Times New Roman" w:cs="Times New Roman"/>
          <w:sz w:val="24"/>
        </w:rPr>
        <w:t>Social Reconstruction-Oriented Works</w:t>
      </w:r>
      <w:r w:rsidR="00110D2A">
        <w:rPr>
          <w:rFonts w:ascii="Times New Roman" w:hAnsi="Times New Roman" w:cs="Times New Roman"/>
          <w:sz w:val="24"/>
        </w:rPr>
        <w:tab/>
      </w:r>
      <w:r w:rsidR="00110D2A">
        <w:rPr>
          <w:rFonts w:ascii="Times New Roman" w:hAnsi="Times New Roman" w:cs="Times New Roman"/>
          <w:sz w:val="24"/>
        </w:rPr>
        <w:tab/>
      </w:r>
      <w:r w:rsidR="00110D2A">
        <w:rPr>
          <w:rFonts w:ascii="Times New Roman" w:hAnsi="Times New Roman" w:cs="Times New Roman"/>
          <w:sz w:val="24"/>
        </w:rPr>
        <w:tab/>
        <w:t>59</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ab/>
      </w:r>
      <w:r w:rsidR="00110D2A">
        <w:rPr>
          <w:rFonts w:ascii="Times New Roman" w:hAnsi="Times New Roman" w:cs="Times New Roman"/>
          <w:sz w:val="24"/>
        </w:rPr>
        <w:t>Scholar Academic/Social Reconstruction-Oriented Works</w:t>
      </w:r>
      <w:r>
        <w:rPr>
          <w:rFonts w:ascii="Times New Roman" w:hAnsi="Times New Roman" w:cs="Times New Roman"/>
          <w:sz w:val="24"/>
        </w:rPr>
        <w:tab/>
      </w:r>
      <w:r w:rsidR="00110D2A">
        <w:rPr>
          <w:rFonts w:ascii="Times New Roman" w:hAnsi="Times New Roman" w:cs="Times New Roman"/>
          <w:sz w:val="24"/>
        </w:rPr>
        <w:t>69</w:t>
      </w:r>
    </w:p>
    <w:p w:rsidR="00110D2A" w:rsidRDefault="00110D2A" w:rsidP="00497CDD">
      <w:pPr>
        <w:spacing w:after="0" w:line="240" w:lineRule="auto"/>
        <w:contextualSpacing/>
        <w:rPr>
          <w:rFonts w:ascii="Times New Roman" w:hAnsi="Times New Roman" w:cs="Times New Roman"/>
          <w:sz w:val="24"/>
        </w:rPr>
      </w:pPr>
      <w:r>
        <w:rPr>
          <w:rFonts w:ascii="Times New Roman" w:hAnsi="Times New Roman" w:cs="Times New Roman"/>
          <w:sz w:val="24"/>
        </w:rPr>
        <w:tab/>
        <w:t>Learner Centered-Oriented Works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71</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ab/>
        <w:t>Discussion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7</w:t>
      </w:r>
      <w:r w:rsidR="00110D2A">
        <w:rPr>
          <w:rFonts w:ascii="Times New Roman" w:hAnsi="Times New Roman" w:cs="Times New Roman"/>
          <w:sz w:val="24"/>
        </w:rPr>
        <w:t>3</w:t>
      </w:r>
    </w:p>
    <w:p w:rsidR="00497CDD"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ab/>
        <w:t>Conclusion and Next Steps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110D2A">
        <w:rPr>
          <w:rFonts w:ascii="Times New Roman" w:hAnsi="Times New Roman" w:cs="Times New Roman"/>
          <w:sz w:val="24"/>
        </w:rPr>
        <w:t>79</w:t>
      </w:r>
    </w:p>
    <w:p w:rsidR="00497CDD" w:rsidRPr="007D5952" w:rsidRDefault="00497CDD" w:rsidP="00497CDD">
      <w:pPr>
        <w:spacing w:after="0" w:line="240" w:lineRule="auto"/>
        <w:contextualSpacing/>
        <w:rPr>
          <w:rFonts w:ascii="Times New Roman" w:hAnsi="Times New Roman" w:cs="Times New Roman"/>
          <w:sz w:val="24"/>
        </w:rPr>
      </w:pPr>
      <w:r>
        <w:rPr>
          <w:rFonts w:ascii="Times New Roman" w:hAnsi="Times New Roman" w:cs="Times New Roman"/>
          <w:sz w:val="24"/>
        </w:rPr>
        <w:t>References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8</w:t>
      </w:r>
      <w:r w:rsidR="00110D2A">
        <w:rPr>
          <w:rFonts w:ascii="Times New Roman" w:hAnsi="Times New Roman" w:cs="Times New Roman"/>
          <w:sz w:val="24"/>
        </w:rPr>
        <w:t>0</w:t>
      </w:r>
    </w:p>
    <w:p w:rsidR="005E36E9" w:rsidRPr="005E36E9" w:rsidRDefault="005E36E9" w:rsidP="00497CDD">
      <w:pPr>
        <w:spacing w:after="0" w:line="240" w:lineRule="auto"/>
        <w:contextualSpacing/>
        <w:rPr>
          <w:rFonts w:ascii="Times New Roman" w:hAnsi="Times New Roman" w:cs="Times New Roman"/>
          <w:sz w:val="24"/>
        </w:rPr>
      </w:pPr>
    </w:p>
    <w:p w:rsidR="00A40DAA" w:rsidRDefault="00A40DAA">
      <w:pPr>
        <w:rPr>
          <w:rFonts w:ascii="Times New Roman" w:hAnsi="Times New Roman" w:cs="Times New Roman"/>
          <w:sz w:val="24"/>
        </w:rPr>
      </w:pPr>
      <w:r>
        <w:rPr>
          <w:rFonts w:ascii="Times New Roman" w:hAnsi="Times New Roman" w:cs="Times New Roman"/>
          <w:sz w:val="24"/>
        </w:rPr>
        <w:br w:type="page"/>
      </w:r>
    </w:p>
    <w:p w:rsidR="005E7359" w:rsidRDefault="00A40DAA" w:rsidP="00A40DAA">
      <w:pPr>
        <w:spacing w:after="0" w:line="480" w:lineRule="auto"/>
        <w:contextualSpacing/>
        <w:jc w:val="center"/>
        <w:rPr>
          <w:rFonts w:ascii="Times New Roman" w:hAnsi="Times New Roman" w:cs="Times New Roman"/>
          <w:sz w:val="24"/>
        </w:rPr>
      </w:pPr>
      <w:r>
        <w:rPr>
          <w:rFonts w:ascii="Times New Roman" w:hAnsi="Times New Roman" w:cs="Times New Roman"/>
          <w:sz w:val="24"/>
        </w:rPr>
        <w:lastRenderedPageBreak/>
        <w:t>List of Tables</w:t>
      </w:r>
    </w:p>
    <w:p w:rsidR="00A40DAA" w:rsidRDefault="00A40DAA" w:rsidP="00A40DAA">
      <w:pPr>
        <w:spacing w:after="0" w:line="480" w:lineRule="auto"/>
        <w:contextualSpacing/>
        <w:rPr>
          <w:rFonts w:ascii="Times New Roman" w:hAnsi="Times New Roman" w:cs="Times New Roman"/>
          <w:sz w:val="24"/>
        </w:rPr>
      </w:pPr>
      <w:r>
        <w:rPr>
          <w:rFonts w:ascii="Times New Roman" w:hAnsi="Times New Roman" w:cs="Times New Roman"/>
          <w:sz w:val="24"/>
        </w:rPr>
        <w:t>Summary of Literary Works’ Ideological Spread</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73</w:t>
      </w:r>
    </w:p>
    <w:p w:rsidR="00653302" w:rsidRDefault="00653302">
      <w:pPr>
        <w:rPr>
          <w:rFonts w:ascii="Times New Roman" w:hAnsi="Times New Roman" w:cs="Times New Roman"/>
          <w:sz w:val="24"/>
        </w:rPr>
      </w:pPr>
      <w:r>
        <w:rPr>
          <w:rFonts w:ascii="Times New Roman" w:hAnsi="Times New Roman" w:cs="Times New Roman"/>
          <w:sz w:val="24"/>
        </w:rPr>
        <w:br w:type="page"/>
      </w:r>
    </w:p>
    <w:p w:rsidR="00A6037D" w:rsidRDefault="00A6037D" w:rsidP="00653302">
      <w:pPr>
        <w:spacing w:after="0" w:line="480" w:lineRule="auto"/>
        <w:contextualSpacing/>
        <w:jc w:val="center"/>
        <w:rPr>
          <w:rFonts w:ascii="Times New Roman" w:hAnsi="Times New Roman" w:cs="Times New Roman"/>
          <w:b/>
          <w:sz w:val="28"/>
        </w:rPr>
        <w:sectPr w:rsidR="00A6037D" w:rsidSect="000816CE">
          <w:footerReference w:type="default" r:id="rId9"/>
          <w:footerReference w:type="first" r:id="rId10"/>
          <w:pgSz w:w="12240" w:h="15840"/>
          <w:pgMar w:top="1440" w:right="1440" w:bottom="1440" w:left="2304" w:header="720" w:footer="864" w:gutter="0"/>
          <w:pgNumType w:start="1"/>
          <w:cols w:space="720"/>
          <w:titlePg/>
          <w:docGrid w:linePitch="360"/>
        </w:sectPr>
      </w:pPr>
    </w:p>
    <w:p w:rsidR="000816CE" w:rsidRPr="00455D7D" w:rsidRDefault="00653302" w:rsidP="00653302">
      <w:pPr>
        <w:spacing w:after="0" w:line="480" w:lineRule="auto"/>
        <w:contextualSpacing/>
        <w:jc w:val="center"/>
        <w:rPr>
          <w:rFonts w:ascii="Times New Roman" w:hAnsi="Times New Roman" w:cs="Times New Roman"/>
        </w:rPr>
        <w:sectPr w:rsidR="000816CE" w:rsidRPr="00455D7D" w:rsidSect="00A6037D">
          <w:footerReference w:type="first" r:id="rId11"/>
          <w:type w:val="continuous"/>
          <w:pgSz w:w="12240" w:h="15840"/>
          <w:pgMar w:top="1440" w:right="1440" w:bottom="1440" w:left="2304" w:header="720" w:footer="864" w:gutter="0"/>
          <w:pgNumType w:start="1"/>
          <w:cols w:space="720"/>
          <w:titlePg/>
          <w:docGrid w:linePitch="360"/>
        </w:sectPr>
      </w:pPr>
      <w:r w:rsidRPr="00455D7D">
        <w:rPr>
          <w:rFonts w:ascii="Times New Roman" w:hAnsi="Times New Roman" w:cs="Times New Roman"/>
          <w:sz w:val="24"/>
        </w:rPr>
        <w:lastRenderedPageBreak/>
        <w:t>Abstract</w:t>
      </w:r>
    </w:p>
    <w:p w:rsidR="00CD2B6A" w:rsidRDefault="001A6152" w:rsidP="005A4336">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sidR="005A4336">
        <w:rPr>
          <w:rFonts w:ascii="Times New Roman" w:hAnsi="Times New Roman" w:cs="Times New Roman"/>
          <w:sz w:val="24"/>
        </w:rPr>
        <w:t>Michael Schiro posits the existence of four “curricular ideologies,” conflicting viewpoints about education’s purpose.  This thesis attempts to link those ideologies – scholar academic, social efficiency, learner centered, and social reconstruction – to commonly taught works of literature.  It operates on the idea that literature, a human product replete with statements about life, serves as the ideal tool to disseminate certain messages or promulgate particular ideolog</w:t>
      </w:r>
      <w:r w:rsidR="00057709">
        <w:rPr>
          <w:rFonts w:ascii="Times New Roman" w:hAnsi="Times New Roman" w:cs="Times New Roman"/>
          <w:sz w:val="24"/>
        </w:rPr>
        <w:t>ies</w:t>
      </w:r>
      <w:r w:rsidR="005A4336">
        <w:rPr>
          <w:rFonts w:ascii="Times New Roman" w:hAnsi="Times New Roman" w:cs="Times New Roman"/>
          <w:sz w:val="24"/>
        </w:rPr>
        <w:t>.  The thesis first examines sources linking literature and curricular materials to social objectives</w:t>
      </w:r>
      <w:r w:rsidR="000018FD">
        <w:rPr>
          <w:rFonts w:ascii="Times New Roman" w:hAnsi="Times New Roman" w:cs="Times New Roman"/>
          <w:sz w:val="24"/>
        </w:rPr>
        <w:t>, establishing a rationale for the project.  Then, it analyzes fifteen literary works – their plots, characters, themes, figurative language – and connects them to Schiro’s ideological categories.  These ideological slants are used to draw inferences about the school system’s goals.  What does the ideological spread say about school’s purpose and objectives?  Finally, the thesis ends with a call for teachers to become more cognizant of literature’s biases – to become aware and purposeful about the messages they convey to students.</w:t>
      </w:r>
    </w:p>
    <w:p w:rsidR="00850876" w:rsidRDefault="00850876">
      <w:pPr>
        <w:rPr>
          <w:rFonts w:ascii="Times New Roman" w:hAnsi="Times New Roman" w:cs="Times New Roman"/>
          <w:sz w:val="24"/>
        </w:rPr>
      </w:pPr>
      <w:r>
        <w:rPr>
          <w:rFonts w:ascii="Times New Roman" w:hAnsi="Times New Roman" w:cs="Times New Roman"/>
          <w:sz w:val="24"/>
        </w:rPr>
        <w:br w:type="page"/>
      </w:r>
    </w:p>
    <w:p w:rsidR="00850876" w:rsidRDefault="00850876" w:rsidP="00850876">
      <w:pPr>
        <w:spacing w:after="0" w:line="480" w:lineRule="auto"/>
        <w:contextualSpacing/>
        <w:jc w:val="both"/>
        <w:rPr>
          <w:rFonts w:ascii="Times New Roman" w:hAnsi="Times New Roman" w:cs="Times New Roman"/>
          <w:b/>
          <w:sz w:val="28"/>
        </w:rPr>
      </w:pPr>
      <w:r>
        <w:rPr>
          <w:rFonts w:ascii="Times New Roman" w:hAnsi="Times New Roman" w:cs="Times New Roman"/>
          <w:b/>
          <w:sz w:val="28"/>
        </w:rPr>
        <w:lastRenderedPageBreak/>
        <w:t>Chapter 1: Introduction</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No phrase has more deeply penetrated American popular discourse than “Think of the children!”  According to histrionic parents and self-appointed moral watchdogs, modern culture teems with debauchery, sin, abject filth – all intended to lure young minds into hedonistic irresponsibility.  These parents-cum-crusaders employ sensationalistic reasoning: frank depictions of sex might glamorize such wanton pursuits as teen pregnancy; certain programs might encourage what the unenlightened dub “alternate lifestyles”; intellectually stimulating content might erode such enduring values as hard work, provincialism, and unabashed ignorance.  Within every book, television show, or movie lurks an ulterior motive or nugget of sinful propaganda.  No form of popular media can function as entertainment for entertainment’s sake.  Rather, it must – simply </w:t>
      </w:r>
      <w:r>
        <w:rPr>
          <w:rFonts w:ascii="Times New Roman" w:hAnsi="Times New Roman" w:cs="Times New Roman"/>
          <w:i/>
          <w:sz w:val="24"/>
        </w:rPr>
        <w:t>must</w:t>
      </w:r>
      <w:r>
        <w:rPr>
          <w:rFonts w:ascii="Times New Roman" w:hAnsi="Times New Roman" w:cs="Times New Roman"/>
          <w:sz w:val="24"/>
        </w:rPr>
        <w:t xml:space="preserve">, given this country’s pervasive immorality – have a message it wishes to propagate.  Ergo, children’s minds, heretofore unpolluted, must be guarded like Scheherazade in the sultan’s palace.  </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Amid this hysteria, however, lies a kernel of truth – namely, the ability of popular media to influence public opinion and behavior.  For example, Steuter and Wills (2009, p. 8) observed that the phrase “War on Drugs,” coined in the 1980s, had “reduce[d] an imposingly large … problem to a well-defined, simplified, ultimately manageable entity.”  The phrase “drug problem” might have seemed nebulous and unsolvable, but the word “war” connoted a finite, winnable scenario in which a problem would eventually yield to force.  It gave the public hope that an issue might be decisively conquered rather than tentatively approached.  Similarly, Kellner (2004) noted that American coverage of the Iraq War “tended to present a sanitized version of the war” defined by “promilitary </w:t>
      </w:r>
      <w:r>
        <w:rPr>
          <w:rFonts w:ascii="Times New Roman" w:hAnsi="Times New Roman" w:cs="Times New Roman"/>
          <w:sz w:val="24"/>
        </w:rPr>
        <w:lastRenderedPageBreak/>
        <w:t>patriotism” (p. 334).  American media outlets purposely avoided disturbing images (e.g., torture, funerals) to ensure the public’s continued support for the war effort.  These examples convey the bias and the propagandist potential of media.  Everything has a message – sometimes benign, sometimes malignant; sometimes uplifting, sometimes discouraging – and if that message appears often enough or arrives via a trusted source, the public might eventually come to believe it.  “Conventional wisdom” becomes little more than the messages that have been most frequently repeated, the habits and beliefs that have been subliminally “taught” over time.</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Like television broadcasts and news reporting, literature often proves a potent tool for shaping individuals’ knowledge and opinions.  In many senses, literature acts as a reflection of the world.  </w:t>
      </w:r>
      <w:r w:rsidR="00B003EF">
        <w:rPr>
          <w:rFonts w:ascii="Times New Roman" w:hAnsi="Times New Roman" w:cs="Times New Roman"/>
          <w:sz w:val="24"/>
        </w:rPr>
        <w:t>L</w:t>
      </w:r>
      <w:r>
        <w:rPr>
          <w:rFonts w:ascii="Times New Roman" w:hAnsi="Times New Roman" w:cs="Times New Roman"/>
          <w:sz w:val="24"/>
        </w:rPr>
        <w:t>iterary work</w:t>
      </w:r>
      <w:r w:rsidR="00B003EF">
        <w:rPr>
          <w:rFonts w:ascii="Times New Roman" w:hAnsi="Times New Roman" w:cs="Times New Roman"/>
          <w:sz w:val="24"/>
        </w:rPr>
        <w:t>s</w:t>
      </w:r>
      <w:r>
        <w:rPr>
          <w:rFonts w:ascii="Times New Roman" w:hAnsi="Times New Roman" w:cs="Times New Roman"/>
          <w:sz w:val="24"/>
        </w:rPr>
        <w:t xml:space="preserve"> </w:t>
      </w:r>
      <w:r w:rsidR="00B003EF">
        <w:rPr>
          <w:rFonts w:ascii="Times New Roman" w:hAnsi="Times New Roman" w:cs="Times New Roman"/>
          <w:sz w:val="24"/>
        </w:rPr>
        <w:t xml:space="preserve">offer </w:t>
      </w:r>
      <w:r>
        <w:rPr>
          <w:rFonts w:ascii="Times New Roman" w:hAnsi="Times New Roman" w:cs="Times New Roman"/>
          <w:sz w:val="24"/>
        </w:rPr>
        <w:t>unique perspective</w:t>
      </w:r>
      <w:r w:rsidR="00B003EF">
        <w:rPr>
          <w:rFonts w:ascii="Times New Roman" w:hAnsi="Times New Roman" w:cs="Times New Roman"/>
          <w:sz w:val="24"/>
        </w:rPr>
        <w:t>s</w:t>
      </w:r>
      <w:r>
        <w:rPr>
          <w:rFonts w:ascii="Times New Roman" w:hAnsi="Times New Roman" w:cs="Times New Roman"/>
          <w:sz w:val="24"/>
        </w:rPr>
        <w:t xml:space="preserve"> on reality</w:t>
      </w:r>
      <w:r w:rsidR="00B003EF">
        <w:rPr>
          <w:rFonts w:ascii="Times New Roman" w:hAnsi="Times New Roman" w:cs="Times New Roman"/>
          <w:sz w:val="24"/>
        </w:rPr>
        <w:t xml:space="preserve"> and</w:t>
      </w:r>
      <w:r>
        <w:rPr>
          <w:rFonts w:ascii="Times New Roman" w:hAnsi="Times New Roman" w:cs="Times New Roman"/>
          <w:sz w:val="24"/>
        </w:rPr>
        <w:t xml:space="preserve"> </w:t>
      </w:r>
      <w:r w:rsidR="00B003EF">
        <w:rPr>
          <w:rFonts w:ascii="Times New Roman" w:hAnsi="Times New Roman" w:cs="Times New Roman"/>
          <w:sz w:val="24"/>
        </w:rPr>
        <w:t>frequently hint</w:t>
      </w:r>
      <w:r>
        <w:rPr>
          <w:rFonts w:ascii="Times New Roman" w:hAnsi="Times New Roman" w:cs="Times New Roman"/>
          <w:sz w:val="24"/>
        </w:rPr>
        <w:t xml:space="preserve"> at the broader social and emotional contexts that led to </w:t>
      </w:r>
      <w:r w:rsidR="00B003EF">
        <w:rPr>
          <w:rFonts w:ascii="Times New Roman" w:hAnsi="Times New Roman" w:cs="Times New Roman"/>
          <w:sz w:val="24"/>
        </w:rPr>
        <w:t>their</w:t>
      </w:r>
      <w:r>
        <w:rPr>
          <w:rFonts w:ascii="Times New Roman" w:hAnsi="Times New Roman" w:cs="Times New Roman"/>
          <w:sz w:val="24"/>
        </w:rPr>
        <w:t xml:space="preserve"> production.   T.S. Eliot’s </w:t>
      </w:r>
      <w:r w:rsidRPr="004D6A23">
        <w:rPr>
          <w:rFonts w:ascii="Times New Roman" w:hAnsi="Times New Roman" w:cs="Times New Roman"/>
          <w:i/>
          <w:sz w:val="24"/>
        </w:rPr>
        <w:t>The Wasteland</w:t>
      </w:r>
      <w:r>
        <w:rPr>
          <w:rFonts w:ascii="Times New Roman" w:hAnsi="Times New Roman" w:cs="Times New Roman"/>
          <w:sz w:val="24"/>
        </w:rPr>
        <w:t xml:space="preserve"> (1922), for instance, might allude to the “archduke” whose assassination precipitated World War I (l. 13), while Alice Walker’s </w:t>
      </w:r>
      <w:r>
        <w:rPr>
          <w:rFonts w:ascii="Times New Roman" w:hAnsi="Times New Roman" w:cs="Times New Roman"/>
          <w:i/>
          <w:sz w:val="24"/>
        </w:rPr>
        <w:t xml:space="preserve">The Color Purple </w:t>
      </w:r>
      <w:r>
        <w:rPr>
          <w:rFonts w:ascii="Times New Roman" w:hAnsi="Times New Roman" w:cs="Times New Roman"/>
          <w:sz w:val="24"/>
        </w:rPr>
        <w:t xml:space="preserve">(1982) portrays the misogyny and inequality experienced by black women.  Such works function not only as self-contained stories but also as reflections of society, and they demonstrate how literature obtains its content from the wider world and its people.  To use a trite metaphor, literature can be a looking glass into myriad places and times.  It informs an audience who may be decades removed from certain events, and it assists its readers in empathizing with individuals from different backgrounds.  In many </w:t>
      </w:r>
      <w:r w:rsidR="00B003EF">
        <w:rPr>
          <w:rFonts w:ascii="Times New Roman" w:hAnsi="Times New Roman" w:cs="Times New Roman"/>
          <w:sz w:val="24"/>
        </w:rPr>
        <w:t>ways,</w:t>
      </w:r>
      <w:r>
        <w:rPr>
          <w:rFonts w:ascii="Times New Roman" w:hAnsi="Times New Roman" w:cs="Times New Roman"/>
          <w:sz w:val="24"/>
        </w:rPr>
        <w:t xml:space="preserve"> it serves a wholesome, educative purpose by dispensing information and broadening perspectives.  </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However, literature can also be used to disseminate propaganda or to sanction certain beliefs and behaviors.  The Bible’s book of Leviticus, for instance, contains a </w:t>
      </w:r>
      <w:r>
        <w:rPr>
          <w:rFonts w:ascii="Times New Roman" w:hAnsi="Times New Roman" w:cs="Times New Roman"/>
          <w:sz w:val="24"/>
        </w:rPr>
        <w:lastRenderedPageBreak/>
        <w:t>litany of proscriptions and guidelines, while the Koran dictates daily life in numerous Islamic societies.  These holy books provide direct instruction and they offer material that leaders can use to set social expectations.  The tomes’ veracity matters little; their potential as propaganda tools and instruments of control matters greatly.  Their enduring influence shows that literature can have lasting effects on social practices.  Manifold nations have fallen and risen, but certain literary works have survived, shaping societal landscapes and provoking conflicts between ideologically opposed groups.  Their messages have been propagated so effectively as to become either inviolable law or abiding mores.  Individuals may read these works and worship in private, but governments and religious institutions (virtually identical, in the case of theocracies) use them as tools to impose restrictions and control the populace.</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Though they may lack the widespread influence of religious texts, many secular works also establish and/or perpetuate ideas about “proper” conduct.  Anthony Burgess’ </w:t>
      </w:r>
      <w:r>
        <w:rPr>
          <w:rFonts w:ascii="Times New Roman" w:hAnsi="Times New Roman" w:cs="Times New Roman"/>
          <w:i/>
          <w:sz w:val="24"/>
        </w:rPr>
        <w:t xml:space="preserve">A Clockwork Orange </w:t>
      </w:r>
      <w:r>
        <w:rPr>
          <w:rFonts w:ascii="Times New Roman" w:hAnsi="Times New Roman" w:cs="Times New Roman"/>
          <w:sz w:val="24"/>
        </w:rPr>
        <w:t xml:space="preserve">(1962), for example, follows Alex, a juvenile delinquent forced to endure painful rehabilitation.  The novel tacitly informs readers that socially maladjusted behavior carries consequences, and it touts a virtuous life – one in which a person has “groweth up” and behaves appropriately – as the means to avoid punishment (p. 141).  Likewise, Tennessee Williams’ </w:t>
      </w:r>
      <w:r>
        <w:rPr>
          <w:rFonts w:ascii="Times New Roman" w:hAnsi="Times New Roman" w:cs="Times New Roman"/>
          <w:i/>
          <w:sz w:val="24"/>
        </w:rPr>
        <w:t xml:space="preserve">A Streetcar Named Desire </w:t>
      </w:r>
      <w:r>
        <w:rPr>
          <w:rFonts w:ascii="Times New Roman" w:hAnsi="Times New Roman" w:cs="Times New Roman"/>
          <w:sz w:val="24"/>
        </w:rPr>
        <w:t xml:space="preserve">(1998) uses Blanche DuBois to convey the misery wrought by immoral behavior.  Single, vain, and promiscuous, she descends into insanity, financial ruin, and alcoholism.  The play thus subtly reveals society’s rigid expectations, its inherent sexism, and its contempt for women who deviate from a narrow script.  Though dissimilar, both works clearly present messages about society and individuals’ places in it. </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lastRenderedPageBreak/>
        <w:t xml:space="preserve">Such commentary pervades literary works.  A preceding paragraph claimed that literature draws from and depicts the larger world, and this statement holds true.  However, a literary work also advances a point of view; it delivers, or even whispers, opinions about individuals, society, social movements, political ideologies, etc.  Humans form opinions on every imaginable topic.  Logic thus dictates that literature, a product by and for humans, should always have a viewpoint, no matter how loudly or quietly communicated.  Consequently, every piece of literature has an implicit message, perhaps a vision of how society </w:t>
      </w:r>
      <w:r>
        <w:rPr>
          <w:rFonts w:ascii="Times New Roman" w:hAnsi="Times New Roman" w:cs="Times New Roman"/>
          <w:i/>
          <w:sz w:val="24"/>
        </w:rPr>
        <w:t xml:space="preserve">should </w:t>
      </w:r>
      <w:r>
        <w:rPr>
          <w:rFonts w:ascii="Times New Roman" w:hAnsi="Times New Roman" w:cs="Times New Roman"/>
          <w:sz w:val="24"/>
        </w:rPr>
        <w:t>be, perhaps a warning about future perils, perhaps some commentary on relationships.  From this perspective, literature certainly draws from the world, but it also attempts to exert pressure upon the world and upon readers.  Scholars encourage literary critics to ignore authors’ intentions, which are often “neither available nor desirable in judging the success of a work” (Wimsatt &amp; Beardsley, 1946, p. 468), but the intentions of the final product prove tremendously relevant.  A literary work communicates its own viewpoints independent of its author, even though the two may have identical views.  Between its lines, within its structures and characters, lie its messages, criticisms, and exhortations about life – all of which ultimately reach the reader.  To make a finer point, each work acts as its own instruction manual, stressing specific beliefs and viewpoints.</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This ability to influence personal beliefs raises several questions vis-à-vis the school system and the literature students encounter.  In their daily lives, students select what they read, and teachers may even afford them this privilege at certain times.  More frequently, though, students read works deemed acceptable for the curriculum and assigned by teachers.  This lack of choice renders students especially susceptible to </w:t>
      </w:r>
      <w:r>
        <w:rPr>
          <w:rFonts w:ascii="Times New Roman" w:hAnsi="Times New Roman" w:cs="Times New Roman"/>
          <w:sz w:val="24"/>
        </w:rPr>
        <w:lastRenderedPageBreak/>
        <w:t xml:space="preserve">whatever messages the books promote.  Suppose, hypothetically, that a curriculum contains books similar to </w:t>
      </w:r>
      <w:r>
        <w:rPr>
          <w:rFonts w:ascii="Times New Roman" w:hAnsi="Times New Roman" w:cs="Times New Roman"/>
          <w:i/>
          <w:sz w:val="24"/>
        </w:rPr>
        <w:t xml:space="preserve">A Clockwork Orange </w:t>
      </w:r>
      <w:r>
        <w:rPr>
          <w:rFonts w:ascii="Times New Roman" w:hAnsi="Times New Roman" w:cs="Times New Roman"/>
          <w:sz w:val="24"/>
        </w:rPr>
        <w:t>– books in which errant teenage protagonists conform or face painful consequences.  Such books would inculcate not curiosity and exploration but fear and obedience; they would serve as cautionary tales intended to “keep students in line.”  The literature itself would act as a conduit for this particular message.  Though extreme in its supposition, this example underscores the relationship between literature and curriculum, and it offers a scenario in which literature could be used to promote a social agenda.</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  Granted, </w:t>
      </w:r>
      <w:r>
        <w:rPr>
          <w:rFonts w:ascii="Times New Roman" w:hAnsi="Times New Roman" w:cs="Times New Roman"/>
          <w:i/>
          <w:sz w:val="24"/>
        </w:rPr>
        <w:t xml:space="preserve">A Clockwork Orange </w:t>
      </w:r>
      <w:r>
        <w:rPr>
          <w:rFonts w:ascii="Times New Roman" w:hAnsi="Times New Roman" w:cs="Times New Roman"/>
          <w:sz w:val="24"/>
        </w:rPr>
        <w:t xml:space="preserve">may not be typical classroom fodder, rendering the example merely hypothetical, but what about those works that seem to be mainstays of the curriculum, classroom, and students’ educational lives?  What messages do these commonly taught works send to students?  Are books with certain kinds of ideologies and messages (e.g., children should behave or act in a certain manner) more prevalent than others?  What do the books’ ideologies say about the ideology and goals of the school system?  In English classes, educational materials often serve a utilitarian purpose by teaching students </w:t>
      </w:r>
      <w:r>
        <w:rPr>
          <w:rFonts w:ascii="Times New Roman" w:hAnsi="Times New Roman" w:cs="Times New Roman"/>
          <w:i/>
          <w:sz w:val="24"/>
        </w:rPr>
        <w:t xml:space="preserve">how </w:t>
      </w:r>
      <w:r>
        <w:rPr>
          <w:rFonts w:ascii="Times New Roman" w:hAnsi="Times New Roman" w:cs="Times New Roman"/>
          <w:sz w:val="24"/>
        </w:rPr>
        <w:t xml:space="preserve">to perform or assisting in performing some task: students should be able to analyze an example text to learn figurative language; students should be able to cite textual evidence in composing an essay, etc.  The above questions, meanwhile, hinge upon the possibility that some texts continue to be chosen for an ulterior reason.  Perhaps commonly taught texts persist not solely because of literary merit but also because of their emphasis on accepted cultural norms.  Perhaps these texts dispense subliminal directives regarding life, morality, personal conduct – values that educational </w:t>
      </w:r>
      <w:r>
        <w:rPr>
          <w:rFonts w:ascii="Times New Roman" w:hAnsi="Times New Roman" w:cs="Times New Roman"/>
          <w:sz w:val="24"/>
        </w:rPr>
        <w:lastRenderedPageBreak/>
        <w:t>authorities wish to instill in students.  Perhaps education, like the books it requires students to read, has its own subtext.</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This thesis attempts to address those questions.  It begins with a literature review exploring the link between the school system and social indoctrination.  Specifically, this literature review cites and examines critical articles that detail the school system’s history of using educational materials to instill particular thoughts and behaviors.  These articles also address the sociological and political factors that influence education and educational propaganda.   Though the articles focus on various times and cultures, they work to show how propaganda transcends geographic and temporal barriers.  Furthermore, several articles pay especial attention to cases involving English classes and literature, and they create a foundation for the remainder of the thesis, which will analyze the ideologies of commonly taught texts.</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Those analyses draw upon Schiro’s (2007) four educational ideologies: scholar academic, social efficiency, learner-centered, and social reconstruction.  Each of these ideologies identifies a broad “objective,” an idea of what education should accomplish or prioritize.  This thesis contends that educational ideology influences choice of educational materials.  More specifically, it argues that commonly taught works correspond to – or “map onto” – the four ideologies, and repeatedly teaching these texts represents an attempt to instill certain ideas and values in students.  The texts themselves may have diverse plots or characters, but their general themes typically reflect and can be interpreted to promote one of the ideologies.  Over time, using such texts perpetuates particular values and ideas and ensures that future generations receive the same “messages.”  In other words, educational authorities use specific works of literature to </w:t>
      </w:r>
      <w:r>
        <w:rPr>
          <w:rFonts w:ascii="Times New Roman" w:hAnsi="Times New Roman" w:cs="Times New Roman"/>
          <w:sz w:val="24"/>
        </w:rPr>
        <w:lastRenderedPageBreak/>
        <w:t>impress their ideologies upon students.  Exposing the connection between literature and ideology, text and propaganda, reveals broader truths about the school system.</w:t>
      </w:r>
    </w:p>
    <w:p w:rsidR="00850876" w:rsidRPr="00375760"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In short, this thesis’ purpose calls to mind the title, if not the content, of Emily Dickinson’s poem “Tell the truth but tell it slant.”  Humanity and objective truth at times seem incompatible; in fact, the latter seems almost a fantasy rather than a reality.  We filter every event through our prism of consciousness, distorting and reshaping to fit our views, restructuring people and places and words to match our experiences and opinions.  A family quarrel can end with all parties’ being confident in their respective versions of events; a political debate can conclude with all participants’ being convinced of each other’s ignorance.  Human interaction can thus be reduced to a simple formula or blueprint: motivated by ego, we assert and attempt to promulgate our own views.  Only by persuading others – by seeing our views and opinions </w:t>
      </w:r>
      <w:r w:rsidRPr="001963F4">
        <w:rPr>
          <w:rFonts w:ascii="Times New Roman" w:hAnsi="Times New Roman" w:cs="Times New Roman"/>
          <w:sz w:val="24"/>
        </w:rPr>
        <w:t>reflected</w:t>
      </w:r>
      <w:r>
        <w:rPr>
          <w:rFonts w:ascii="Times New Roman" w:hAnsi="Times New Roman" w:cs="Times New Roman"/>
          <w:i/>
          <w:sz w:val="24"/>
        </w:rPr>
        <w:t xml:space="preserve"> </w:t>
      </w:r>
      <w:r>
        <w:rPr>
          <w:rFonts w:ascii="Times New Roman" w:hAnsi="Times New Roman" w:cs="Times New Roman"/>
          <w:sz w:val="24"/>
        </w:rPr>
        <w:t xml:space="preserve">in and expressed by others – can we be certain of ourselves and our minds.  Every human product, from movies to books to art, represents a distillation of that maxim.  These media act as the vehicles through which information and propaganda travel, and their broad appeal and large audiences make them invaluable tools in socialization and conditioning.  This thesis merely attempts to relate this theoretical concept to the school system – to show how materials can be used to promote knowledge </w:t>
      </w:r>
      <w:r>
        <w:rPr>
          <w:rFonts w:ascii="Times New Roman" w:hAnsi="Times New Roman" w:cs="Times New Roman"/>
          <w:i/>
          <w:sz w:val="24"/>
        </w:rPr>
        <w:t xml:space="preserve">and </w:t>
      </w:r>
      <w:r>
        <w:rPr>
          <w:rFonts w:ascii="Times New Roman" w:hAnsi="Times New Roman" w:cs="Times New Roman"/>
          <w:sz w:val="24"/>
        </w:rPr>
        <w:t>an institution or curriculum’s social agenda.</w:t>
      </w:r>
    </w:p>
    <w:p w:rsidR="00850876" w:rsidRDefault="00850876" w:rsidP="00850876">
      <w:pPr>
        <w:rPr>
          <w:rFonts w:ascii="Times New Roman" w:hAnsi="Times New Roman" w:cs="Times New Roman"/>
          <w:sz w:val="24"/>
        </w:rPr>
      </w:pPr>
      <w:r>
        <w:rPr>
          <w:rFonts w:ascii="Times New Roman" w:hAnsi="Times New Roman" w:cs="Times New Roman"/>
          <w:sz w:val="24"/>
        </w:rPr>
        <w:br w:type="page"/>
      </w:r>
    </w:p>
    <w:p w:rsidR="00850876" w:rsidRDefault="00850876" w:rsidP="00850876">
      <w:pPr>
        <w:spacing w:after="0" w:line="480" w:lineRule="auto"/>
        <w:contextualSpacing/>
        <w:jc w:val="both"/>
        <w:rPr>
          <w:rFonts w:ascii="Times New Roman" w:hAnsi="Times New Roman" w:cs="Times New Roman"/>
          <w:b/>
          <w:sz w:val="28"/>
        </w:rPr>
      </w:pPr>
      <w:r>
        <w:rPr>
          <w:rFonts w:ascii="Times New Roman" w:hAnsi="Times New Roman" w:cs="Times New Roman"/>
          <w:b/>
          <w:sz w:val="28"/>
        </w:rPr>
        <w:lastRenderedPageBreak/>
        <w:t>Chapter 2: Literature Review</w:t>
      </w:r>
    </w:p>
    <w:p w:rsidR="00850876" w:rsidRPr="009F3A0E"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Section 1: Hidden Messages and Agendas of the School System</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Jane Roland Martin (1992) chronicled Maria Montessori’s schools in the slums of Rome.  Montessori’s schools sought </w:t>
      </w:r>
      <w:r w:rsidR="00D37BCB">
        <w:rPr>
          <w:rFonts w:ascii="Times New Roman" w:hAnsi="Times New Roman" w:cs="Times New Roman"/>
          <w:sz w:val="24"/>
        </w:rPr>
        <w:t xml:space="preserve">to </w:t>
      </w:r>
      <w:r>
        <w:rPr>
          <w:rFonts w:ascii="Times New Roman" w:hAnsi="Times New Roman" w:cs="Times New Roman"/>
          <w:sz w:val="24"/>
        </w:rPr>
        <w:t xml:space="preserve">emulate the domestic environment.  In these schools children and teachers created the </w:t>
      </w:r>
      <w:r w:rsidR="00D37BCB">
        <w:rPr>
          <w:rFonts w:ascii="Times New Roman" w:hAnsi="Times New Roman" w:cs="Times New Roman"/>
          <w:sz w:val="24"/>
        </w:rPr>
        <w:t xml:space="preserve">atmosphere of the home, </w:t>
      </w:r>
      <w:r>
        <w:rPr>
          <w:rFonts w:ascii="Times New Roman" w:hAnsi="Times New Roman" w:cs="Times New Roman"/>
          <w:sz w:val="24"/>
        </w:rPr>
        <w:t>engaging in such activities as housework, cooking, and crafts (loc. 120).  This school recognized that children may not always have stable home lives, and it attempted to provide the warmth and nurturing that would produce sensitive citi</w:t>
      </w:r>
      <w:r w:rsidR="00D37BCB">
        <w:rPr>
          <w:rFonts w:ascii="Times New Roman" w:hAnsi="Times New Roman" w:cs="Times New Roman"/>
          <w:sz w:val="24"/>
        </w:rPr>
        <w:t xml:space="preserve">zens.  The school’s curriculum </w:t>
      </w:r>
      <w:r>
        <w:rPr>
          <w:rFonts w:ascii="Times New Roman" w:hAnsi="Times New Roman" w:cs="Times New Roman"/>
          <w:sz w:val="24"/>
        </w:rPr>
        <w:t>hinged on individualization, with children “pursu[ing] different activities … at [their] own [respective] pace[s],” receiving assistance only if needed or requested (loc. 181).  According to Montessori, this educational structure created a family dynamic in which students felt kinship and community.  Montessori’s schools emphasized a human curriculum of sorts, and they viewed education as a means to instill compassion and devotion to humanity.</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This vision represents an ideal model, a school focused completely on students’ needs.  Students cannot be standardized.  Although they belong to larger groups, they still have thoroughly individual beliefs, learning styles, and interests.  Schools present a vivid mosaic of American life, a veritable web of cultures whose intricate knots symbolize the complex interconnection among its members.  No two students arrive with the same knowledge or perspectives.  Rather, they bring unique (outlooks colored by their upbringings; they have personalities and dispositions that shape their learning and interpretations.  The ideal school recognizes students’ differences </w:t>
      </w:r>
      <w:r>
        <w:rPr>
          <w:rFonts w:ascii="Times New Roman" w:hAnsi="Times New Roman" w:cs="Times New Roman"/>
          <w:i/>
          <w:sz w:val="24"/>
        </w:rPr>
        <w:t xml:space="preserve">and </w:t>
      </w:r>
      <w:r>
        <w:rPr>
          <w:rFonts w:ascii="Times New Roman" w:hAnsi="Times New Roman" w:cs="Times New Roman"/>
          <w:sz w:val="24"/>
        </w:rPr>
        <w:t xml:space="preserve">their need for </w:t>
      </w:r>
      <w:r>
        <w:rPr>
          <w:rFonts w:ascii="Times New Roman" w:hAnsi="Times New Roman" w:cs="Times New Roman"/>
          <w:sz w:val="24"/>
        </w:rPr>
        <w:lastRenderedPageBreak/>
        <w:t>community.  It allows them to display individual talents and opinions but uses individuality to foster collective respect.</w:t>
      </w:r>
    </w:p>
    <w:p w:rsidR="00850876" w:rsidRPr="00FF672F"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Modern American schools seem not to have embraced this model.  Where Montessori advocated individualization, modern schools “[organize themselves] around testing” and “mandate annual high-stakes tests for every local schoolhouse.”   Where she acknowledged the importance of home and domesticity, they seem concerned with “formal literacy activities … to improve test scores” (Meier, 2002, p. 1).  To say that these modern schools serve students would be to engage in disingenuousness.  Students certainly attend school and benefit from its lessons, but this benefit comes only if they conform to the school system – if they attempt to squeeze themselves into a standardized mold – not vice versa.    The system claims to help students yet disregards almost completely the conception of school as a home.</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How, then, can school, an environment ostensibly designed for students, be so preoccupied with standardization?  If not to meet students’ individual needs, what purpose does school serve?  The following literature review offers numerous answers, all of which share a common theme: namely, they present school as an institution of social conditioning.  Such conditioning assumes many forms – economic, cultural, political – but ultimately reflects the reality of public schooling.  Schools exist not merely to educate students.  Rather, they act as agents of a government concerned with maintaining social order and harmony.  Explicit education, facts and figures and writing skills, constitute one component of this goal.  But school equally as often involves implicit education, subtle messages transmitted to students regarding society and their place in it.  The following subsections address these unstated motives and hidden functions – hidden </w:t>
      </w:r>
      <w:r>
        <w:rPr>
          <w:rFonts w:ascii="Times New Roman" w:hAnsi="Times New Roman" w:cs="Times New Roman"/>
          <w:sz w:val="24"/>
        </w:rPr>
        <w:lastRenderedPageBreak/>
        <w:t>functions that can influence the curriculum and, more specifically, selection of curricular materials.</w:t>
      </w:r>
    </w:p>
    <w:p w:rsidR="00850876" w:rsidRPr="009F3A0E" w:rsidRDefault="00850876" w:rsidP="00850876">
      <w:pPr>
        <w:spacing w:after="0" w:line="480" w:lineRule="auto"/>
        <w:contextualSpacing/>
        <w:jc w:val="both"/>
        <w:rPr>
          <w:rFonts w:ascii="Times New Roman" w:hAnsi="Times New Roman" w:cs="Times New Roman"/>
          <w:sz w:val="24"/>
        </w:rPr>
      </w:pPr>
      <w:r w:rsidRPr="009F3A0E">
        <w:rPr>
          <w:rFonts w:ascii="Times New Roman" w:hAnsi="Times New Roman" w:cs="Times New Roman"/>
          <w:b/>
          <w:sz w:val="24"/>
        </w:rPr>
        <w:t>The Economic Divider</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While Montessori’s schools strove to give impoverished youth feelings of home and love, American schools have always sought to maintain class divisions and “track” students onto specific paths that maintain economic segregation.  Warner, Havighurst, and Loeb (1944) characterize the education system as a “sorting agency” that “sift[s] out the people with the best brains” and “help[s] them rise to the top” (p. 50).  This exercise involves “serv[ing] the children of different classes in different ways” and “training [a minority of students] for social mobility” (p. 57).  These quotations portray schools less as edifying institutions and more as stratifying ones, and they suggest that schools tailor the quality of education to a student’s socioeconomic status.  Affluent and middle-class students receive an education that will enable them to ascend social ranks, while less privileged children “[learn] a way of life which … help[s] adjust them to the rank in which they were born” (p. 61).  This educ</w:t>
      </w:r>
      <w:r w:rsidR="00FB18DC">
        <w:rPr>
          <w:rFonts w:ascii="Times New Roman" w:hAnsi="Times New Roman" w:cs="Times New Roman"/>
          <w:sz w:val="24"/>
        </w:rPr>
        <w:t xml:space="preserve">ation seems focused on creating </w:t>
      </w:r>
      <w:r>
        <w:rPr>
          <w:rFonts w:ascii="Times New Roman" w:hAnsi="Times New Roman" w:cs="Times New Roman"/>
          <w:sz w:val="24"/>
        </w:rPr>
        <w:t xml:space="preserve">citizens who “know their place,” </w:t>
      </w:r>
      <w:r w:rsidR="00FB18DC">
        <w:rPr>
          <w:rFonts w:ascii="Times New Roman" w:hAnsi="Times New Roman" w:cs="Times New Roman"/>
          <w:sz w:val="24"/>
        </w:rPr>
        <w:t>who accept the futures deemed appropriate for them.</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Anyon’s (1980) seminal “hidden curriculum” article, which reinforces the assertions about education’s connection with socioeconomic status, echoes</w:t>
      </w:r>
      <w:r w:rsidRPr="00A54129">
        <w:rPr>
          <w:rFonts w:ascii="Times New Roman" w:hAnsi="Times New Roman" w:cs="Times New Roman"/>
          <w:sz w:val="24"/>
        </w:rPr>
        <w:t xml:space="preserve"> </w:t>
      </w:r>
      <w:r>
        <w:rPr>
          <w:rFonts w:ascii="Times New Roman" w:hAnsi="Times New Roman" w:cs="Times New Roman"/>
          <w:sz w:val="24"/>
        </w:rPr>
        <w:t xml:space="preserve">Warner, Havighurst, and Loeb’s (1944) findings.  Anyon visited several schools, each of which catered to a specific socioeconomic group.  Working-class schools, for example, emphasized “docility and obedience,” and they frequently engaged students in tasks requiring “rote behavior and very little decision making or choice” (p. 67, 73).  Upper-class schools, by contrast, permitted students to use “individual thought and </w:t>
      </w:r>
      <w:r>
        <w:rPr>
          <w:rFonts w:ascii="Times New Roman" w:hAnsi="Times New Roman" w:cs="Times New Roman"/>
          <w:sz w:val="24"/>
        </w:rPr>
        <w:lastRenderedPageBreak/>
        <w:t>expressiveness, expansion and illustration of ideas” (p. 79).  Unlike their working-class peers, these students received abundant autonomy; they had “relatively few rules” regarding their work and its products (p. 80).  Again, the children’s backgrounds largely determined their educational treatment, as they learned skills befitting their respective “stations” in life..  The educational system approached them with prejudices fueled by socioeconomic bias.  It provided instruction to ensure that they remained within their class’s boundaries.</w:t>
      </w:r>
    </w:p>
    <w:p w:rsidR="00E26A8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Contemporary research shows that socioeconomic categorization still plagues schools.  Collins (2012), for instance, noted that “migrant status” affects school performance and “tends to reproduce” social hierarchy (p. 198).  Children of immigrants, unversed in their new country’s language and perceived as “racial others,” struggle to acclimate to the school system.  Consequently, their lives often follow the same “lower-status working-class” path as their parents’ (p. 199).  Though it focuses more specifically on the intersections of class, race, and education, Collins’ writing affirms the broad conclusions drawn in Warner et al. (1944) and Anyon’s (1980) – namely, that schools seek to perpetuate class divisions and stratifications.  Certain statuses (e.g., whiteness, affluence) ensure greater opportunity, while other statuses (e.g., being poor or a member of a minority) limit students’ economic futures.  The span of this research suggests that, despite societal shifts, the school’s purpose </w:t>
      </w:r>
      <w:r w:rsidR="00E26A86">
        <w:rPr>
          <w:rFonts w:ascii="Times New Roman" w:hAnsi="Times New Roman" w:cs="Times New Roman"/>
          <w:sz w:val="24"/>
        </w:rPr>
        <w:t>has remained constant.</w:t>
      </w:r>
    </w:p>
    <w:p w:rsidR="00850876" w:rsidRDefault="00850876" w:rsidP="00E26A8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Why do schools perpetuate these social divisions?  What purpose does this practice serve?  Apple (2006) links socioeconomic categorization to economic policy, writing, “[N]eoliberalism transforms our very idea of democracy, making it only an economic concept, not a political one” (p. 15).  This neoliberal system, championed by </w:t>
      </w:r>
      <w:r>
        <w:rPr>
          <w:rFonts w:ascii="Times New Roman" w:hAnsi="Times New Roman" w:cs="Times New Roman"/>
          <w:sz w:val="24"/>
        </w:rPr>
        <w:lastRenderedPageBreak/>
        <w:t xml:space="preserve">“marketizers and privatizers,” prioritizes profit above all else, and to achieve this end it relies upon a “division of labor,” or certain roles for certain workers (p. 16).  The term “marketization of social life” implies that society – and presumably its institutions, such as schools – exists to serve this demand for stratified labor, this insatiable lust for profit (p. 17).  These conclusions gel nicely with Apple and King’s (1977) earlier claim that schools preserve a “complex and stratified social and economic order” (p. 341).  By emphasizing “behavioral consensus,” or obedience, and “institutional rather than personal goals,” schools prepare certain students to be toilers for the market (p. 341).  Together, Apple (2006) and Apple and King (1977) suggest that schools take directives from an impersonal economic policy that has come to dominate political discourse and influence pupil education. </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Other sources suggest that schools’ curricula directly mimic economic and market trends.  Anyon (2006, p. 37), in an update to her “hidden curriculum” article, delivers the following assessment:</w:t>
      </w:r>
    </w:p>
    <w:p w:rsidR="00850876" w:rsidRDefault="00850876" w:rsidP="00E357CF">
      <w:pPr>
        <w:spacing w:after="0" w:line="240" w:lineRule="auto"/>
        <w:ind w:left="720"/>
        <w:contextualSpacing/>
        <w:jc w:val="both"/>
        <w:rPr>
          <w:rFonts w:ascii="Times New Roman" w:hAnsi="Times New Roman" w:cs="Times New Roman"/>
          <w:sz w:val="24"/>
        </w:rPr>
      </w:pPr>
      <w:r>
        <w:rPr>
          <w:rFonts w:ascii="Times New Roman" w:hAnsi="Times New Roman" w:cs="Times New Roman"/>
          <w:sz w:val="24"/>
        </w:rPr>
        <w:t>…[W]e [must] rethink the hypothesis that schooling produces social class position.  In an era when economic growth no longer increases middle-income opportunities, but rather creates a plethora of low- and a relative few high-income jobs, an unequal distribution of knowledge and work dispositions in schools could be said not merely to reproduce social inequality, but to exacerbate it by supporting a bifurcation of incomes and class structure.</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 xml:space="preserve">This quotation posits a causal connection between the economy and curricular structure.  Anyon’s original article (1980) arrived at a time of relative middle-class prosperity and affluence (Mishel, Gould, &amp; Bivens, 2015).  She argues that the 1980 school system reflected these characteristics: though the hidden curriculum tracked students onto different paths, each path promised a decent living.  Subsequent decades have seen numerous financial crises, culminating in the Great Recession (2007-2009) in the United </w:t>
      </w:r>
      <w:r>
        <w:rPr>
          <w:rFonts w:ascii="Times New Roman" w:hAnsi="Times New Roman" w:cs="Times New Roman"/>
          <w:sz w:val="24"/>
        </w:rPr>
        <w:lastRenderedPageBreak/>
        <w:t>States, a global financial downturn that dramatically increased unemployment (Grusky, Western, &amp; Wimer, 2011, p. 3).  As Anyon notes, the ensuing recovery has produced only very low- and high-wage jobs, yielding a polarized economy.  Moreover, companies have increased “education credentialing,” requiring college degrees for jobs that previously required only high-school diplomas (p. 43).  In response, schools now operate on the principle of “All kids college-ready,” affirming the necessity of higher education in the modern economy (Roderick, Nagaoka, &amp; Coca, 2006, p. 186).  Together, these sources show that schools alter their messages to suit the economic climate.</w:t>
      </w:r>
    </w:p>
    <w:p w:rsidR="00850876" w:rsidRPr="009F3A0E" w:rsidRDefault="00850876" w:rsidP="00850876">
      <w:pPr>
        <w:spacing w:after="0" w:line="480" w:lineRule="auto"/>
        <w:contextualSpacing/>
        <w:jc w:val="both"/>
        <w:rPr>
          <w:rFonts w:ascii="Times New Roman" w:hAnsi="Times New Roman" w:cs="Times New Roman"/>
          <w:sz w:val="24"/>
        </w:rPr>
      </w:pPr>
      <w:r w:rsidRPr="009F3A0E">
        <w:rPr>
          <w:rFonts w:ascii="Times New Roman" w:hAnsi="Times New Roman" w:cs="Times New Roman"/>
          <w:b/>
          <w:sz w:val="24"/>
        </w:rPr>
        <w:t>The Acculturation Center</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Other researchers argue that schools have cultural, not only economic, motives.  Specifically, schools endeavor to maintain a cultural illusion, a false image of a unified country.  According to Galloway and Edwards (2013, p. 26), many schools adopt an “assimilationist” philosophy, initiating children into the “cultural traditions and history” of the country – or, in other words, the beliefs and viewpoints of the dominant culture.  This mindset leads schools to be wary of multicultural education, which they fear will “weaken the thread of national identity, unity, and loyalty” (Feinberg, 2000, p. 2).  .  If schools exist to perpetuate existing social structure, this emphasis on cultural uni</w:t>
      </w:r>
      <w:r w:rsidR="0030493D">
        <w:rPr>
          <w:rFonts w:ascii="Times New Roman" w:hAnsi="Times New Roman" w:cs="Times New Roman"/>
          <w:sz w:val="24"/>
        </w:rPr>
        <w:t xml:space="preserve">ty, real </w:t>
      </w:r>
      <w:r>
        <w:rPr>
          <w:rFonts w:ascii="Times New Roman" w:hAnsi="Times New Roman" w:cs="Times New Roman"/>
          <w:sz w:val="24"/>
        </w:rPr>
        <w:t>or ima</w:t>
      </w:r>
      <w:r w:rsidR="0030493D">
        <w:rPr>
          <w:rFonts w:ascii="Times New Roman" w:hAnsi="Times New Roman" w:cs="Times New Roman"/>
          <w:sz w:val="24"/>
        </w:rPr>
        <w:t xml:space="preserve">gined, seems understandable.  </w:t>
      </w:r>
      <w:r>
        <w:rPr>
          <w:rFonts w:ascii="Times New Roman" w:hAnsi="Times New Roman" w:cs="Times New Roman"/>
          <w:sz w:val="24"/>
        </w:rPr>
        <w:t>In</w:t>
      </w:r>
      <w:r w:rsidR="0030493D">
        <w:rPr>
          <w:rFonts w:ascii="Times New Roman" w:hAnsi="Times New Roman" w:cs="Times New Roman"/>
          <w:sz w:val="24"/>
        </w:rPr>
        <w:t xml:space="preserve"> theory, unity begets harmony.  </w:t>
      </w:r>
      <w:r>
        <w:rPr>
          <w:rFonts w:ascii="Times New Roman" w:hAnsi="Times New Roman" w:cs="Times New Roman"/>
          <w:sz w:val="24"/>
        </w:rPr>
        <w:t>If people</w:t>
      </w:r>
      <w:r w:rsidR="0030493D">
        <w:rPr>
          <w:rFonts w:ascii="Times New Roman" w:hAnsi="Times New Roman" w:cs="Times New Roman"/>
          <w:sz w:val="24"/>
        </w:rPr>
        <w:t xml:space="preserve"> </w:t>
      </w:r>
      <w:r>
        <w:rPr>
          <w:rFonts w:ascii="Times New Roman" w:hAnsi="Times New Roman" w:cs="Times New Roman"/>
          <w:sz w:val="24"/>
        </w:rPr>
        <w:t xml:space="preserve">subscribe to the same cultural beliefs, what reason will they have to quarrel?  Schools, tasked with preparing the next generation of workers, would seem to have a vested interest in preaching cultural unity, as unity would promote cooperation and smooth economic functioning.   To achieve this goal, cultural unity need not be real.  Students only need to believe in its existence.  Schools, with their access to the young, can create and maintain </w:t>
      </w:r>
      <w:r>
        <w:rPr>
          <w:rFonts w:ascii="Times New Roman" w:hAnsi="Times New Roman" w:cs="Times New Roman"/>
          <w:sz w:val="24"/>
        </w:rPr>
        <w:lastRenderedPageBreak/>
        <w:t xml:space="preserve">this cultural illusion; they can promote or assimilate students into whatever cultural image deemed appropriate by society’s leaders.   The veracity of that image matters comparatively little, but schools’ ability to shape and inculcate cultural beliefs matters comparatively much. </w:t>
      </w:r>
    </w:p>
    <w:p w:rsidR="00850876" w:rsidRPr="00745A6E"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Kumara (2005) approaches culture from a different perspective, showing how schools can serve as instruments of cultural oppression.  Her writing largely focuses on the British Raj, during which time the British sought to create “colonial citizens” (p. 25).  The British perceived their colonial subjects as uncivilized masses and set about “[piercing] India’s ignorance with the light of western science” (p. 36).  Education stemmed not from a sincere desire to help the Indians but from a desire to create citizens loyal to and shaped by the empire (p. 36).  Kumara thus addresses the social power of education on a wider scale by showing how education can be an invader’s most effective tool.  Schooling imparts not only knowledge but also cultural customs and practices; it teaches individuals how to live and even what to believe.  The British used the school system to inculcate certain beliefs (e.g., Christianity), hoping that their practices and philosophies would supplant the Indians’ indigenous social order (p. 38).   Such lessons often prove successful over time, as successive generations internalize the oppressor’s lessons and forget their forebears’ culture.  This colonial example demonstrates education’s history of cultural oppression and indoctrination.</w:t>
      </w:r>
    </w:p>
    <w:p w:rsidR="00850876" w:rsidRDefault="00850876" w:rsidP="00850876">
      <w:pPr>
        <w:spacing w:after="0" w:line="480" w:lineRule="auto"/>
        <w:contextualSpacing/>
        <w:jc w:val="both"/>
        <w:rPr>
          <w:rFonts w:ascii="Times New Roman" w:hAnsi="Times New Roman" w:cs="Times New Roman"/>
          <w:b/>
          <w:sz w:val="24"/>
        </w:rPr>
      </w:pPr>
      <w:r w:rsidRPr="009F3A0E">
        <w:rPr>
          <w:rFonts w:ascii="Times New Roman" w:hAnsi="Times New Roman" w:cs="Times New Roman"/>
          <w:b/>
          <w:sz w:val="24"/>
        </w:rPr>
        <w:t xml:space="preserve">The </w:t>
      </w:r>
      <w:r>
        <w:rPr>
          <w:rFonts w:ascii="Times New Roman" w:hAnsi="Times New Roman" w:cs="Times New Roman"/>
          <w:b/>
          <w:sz w:val="24"/>
        </w:rPr>
        <w:t>(A)p</w:t>
      </w:r>
      <w:r w:rsidRPr="009F3A0E">
        <w:rPr>
          <w:rFonts w:ascii="Times New Roman" w:hAnsi="Times New Roman" w:cs="Times New Roman"/>
          <w:b/>
          <w:sz w:val="24"/>
        </w:rPr>
        <w:t>olitical Machine</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Still other researchers view school as a vehicle to stress political agendas or beliefs.  Spring (2010) characterizes schools as political battlegrounds over which political parties fight for dominance and influence over students.  Democrats’ educational </w:t>
      </w:r>
      <w:r>
        <w:rPr>
          <w:rFonts w:ascii="Times New Roman" w:hAnsi="Times New Roman" w:cs="Times New Roman"/>
          <w:sz w:val="24"/>
        </w:rPr>
        <w:lastRenderedPageBreak/>
        <w:t>agendas make “passing mentions” of citizenship and similar values, but in general they focus on instilling economic readiness (p. 7).  Republicans, conversely, see schools as the primary sites of “culture wars” (p. 92).  They believe that schools should teach “patriotism, a positive view of American history, a traditional religious-based morality, and a unified American culture” (p. 89), and they criticize “multiculturalism,” bilingual education and “the undermining of traditional American values” (p. 93).   These differing agendas provide political fodder during elections.  Students’ needs and preferences become secondary or even tertiary concerns, as politicians use schools, teachers, and students as pawns to earn votes and persuade donors.  This politicization of education reinforces schools’ ability to send hidden messages – in this case, ones that satisfy leaders’ vision of society.</w:t>
      </w:r>
    </w:p>
    <w:p w:rsidR="00850876" w:rsidRPr="000E202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Westheimer and Kahne (2004), meanwhile, say that schools preserve the status quo by keeping students politically ignorant.  The researchers note a “precipitous decline in voting rates, with the biggest declines among young people” (p. 241), and they propose inadequate education as one explanation of this problem.  Specifically, they note that schools seldom teach “social movements, social transformation, and systemic change,” instead opting for “volunteerism and charity” (p. 243).  The researchers’ implications seem clear.  A political education might motivate students to scrutinize society and to “[analyze] … the causes of social problems” (p. 243).  Ergo, schools attempt to render students apolitical, to remove the means for change even if they cannot remove the desire.  They maintain the social order by limiting discussion about the social order, especially its political ramifications.  Politics hinges on participation.  If sufficient citizens and their representatives vote for a transformative measure, it will pass.  By eschewing political </w:t>
      </w:r>
      <w:r>
        <w:rPr>
          <w:rFonts w:ascii="Times New Roman" w:hAnsi="Times New Roman" w:cs="Times New Roman"/>
          <w:sz w:val="24"/>
        </w:rPr>
        <w:lastRenderedPageBreak/>
        <w:t>education, schools and society make students less likely to mount iconoclastic movements.  Schools thus use politics – or, rather, the deliberate absence of it – to stifle future opposition.</w:t>
      </w:r>
    </w:p>
    <w:p w:rsidR="00850876"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Section 2: The Use of Curriculum and Curricular Materials as Propaganda</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If schools and society have messages to transmit and students serve as the recipients of these messages, curriculum functions as a bridge between the two parties.  Lessons and curricular materials present and translate information, helping students grasp content and acquire new skills.   The curriculum under which lessons and materials operate acts as a framework of sorts: it dictates </w:t>
      </w:r>
      <w:r>
        <w:rPr>
          <w:rFonts w:ascii="Times New Roman" w:hAnsi="Times New Roman" w:cs="Times New Roman"/>
          <w:i/>
          <w:sz w:val="24"/>
        </w:rPr>
        <w:t xml:space="preserve">what </w:t>
      </w:r>
      <w:r>
        <w:rPr>
          <w:rFonts w:ascii="Times New Roman" w:hAnsi="Times New Roman" w:cs="Times New Roman"/>
          <w:sz w:val="24"/>
        </w:rPr>
        <w:t xml:space="preserve">students learn or read, </w:t>
      </w:r>
      <w:r>
        <w:rPr>
          <w:rFonts w:ascii="Times New Roman" w:hAnsi="Times New Roman" w:cs="Times New Roman"/>
          <w:i/>
          <w:sz w:val="24"/>
        </w:rPr>
        <w:t xml:space="preserve">when </w:t>
      </w:r>
      <w:r>
        <w:rPr>
          <w:rFonts w:ascii="Times New Roman" w:hAnsi="Times New Roman" w:cs="Times New Roman"/>
          <w:sz w:val="24"/>
        </w:rPr>
        <w:t xml:space="preserve">they learn or read it, </w:t>
      </w:r>
      <w:r>
        <w:rPr>
          <w:rFonts w:ascii="Times New Roman" w:hAnsi="Times New Roman" w:cs="Times New Roman"/>
          <w:i/>
          <w:sz w:val="24"/>
        </w:rPr>
        <w:t xml:space="preserve">how </w:t>
      </w:r>
      <w:r>
        <w:rPr>
          <w:rFonts w:ascii="Times New Roman" w:hAnsi="Times New Roman" w:cs="Times New Roman"/>
          <w:sz w:val="24"/>
        </w:rPr>
        <w:t xml:space="preserve">they display understanding, and </w:t>
      </w:r>
      <w:r>
        <w:rPr>
          <w:rFonts w:ascii="Times New Roman" w:hAnsi="Times New Roman" w:cs="Times New Roman"/>
          <w:i/>
          <w:sz w:val="24"/>
        </w:rPr>
        <w:t xml:space="preserve">how </w:t>
      </w:r>
      <w:r>
        <w:rPr>
          <w:rFonts w:ascii="Times New Roman" w:hAnsi="Times New Roman" w:cs="Times New Roman"/>
          <w:sz w:val="24"/>
        </w:rPr>
        <w:t xml:space="preserve">they approach the material.  As Schiro (2007) notes, curriculum proves indispensable in transmitting information </w:t>
      </w:r>
      <w:r>
        <w:rPr>
          <w:rFonts w:ascii="Times New Roman" w:hAnsi="Times New Roman" w:cs="Times New Roman"/>
          <w:i/>
          <w:sz w:val="24"/>
        </w:rPr>
        <w:t>and</w:t>
      </w:r>
      <w:r>
        <w:rPr>
          <w:rFonts w:ascii="Times New Roman" w:hAnsi="Times New Roman" w:cs="Times New Roman"/>
          <w:sz w:val="24"/>
        </w:rPr>
        <w:t xml:space="preserve"> ideology to students.  His four ideological categories – scholar academic, social efficiency, learner-centered, and social reconstruction – suggest four ways that educators might tailor curriculum to propagate certain messages.  A social reconstructionist approach might try to stimulate students’ awareness of social issues, teaching the importance of activism.  A learner-centered approach might acknowledge students’ interests, affording them autonomy and acknowledging the individuality of education.   Like any human endeavor, curriculum has biases, and these biases influence all facets of the classroom, from the teacher’s attitude to the framing of lessons and instruction.  Furthermore, its content and scope determine what messages students receive, the vision of society shown to them.</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Curriculum determines the messages to be taught, but curricular materials actually convey the information.  Any tradesperson chooses tools appropriate to the job: a </w:t>
      </w:r>
      <w:r>
        <w:rPr>
          <w:rFonts w:ascii="Times New Roman" w:hAnsi="Times New Roman" w:cs="Times New Roman"/>
          <w:sz w:val="24"/>
        </w:rPr>
        <w:lastRenderedPageBreak/>
        <w:t xml:space="preserve">screwdriver to remove a screw, a wrench to repair a sink, oil to grease a squeaky wheel.  The same principle applies to education, curriculum, and ideology.  As  Chen (2005) notes, “…[T]hrough explicit [i.e., materials actually used and taught] and implicit curriculum, schools participate in shaping students’ cultural identity” (p.12).  If educational leaders and teachers want to communicate certain messages, they will likely select materials that contain those messages.  This maxim reflects the sociological nature of education.  A public institution, school aims to preserve the dominant culture and make students contributors to it.  Educational materials prove invaluable in society’s attempts to impose its ideologies upon students.  </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How, then, does this grandiose statement apply to the everyday classroom, to the quotidian affairs of reading assignments and lesson planning?  The answer lies in the providers of education: teachers and administrators employ certain materials to create the kind of students they wish to see.  Suppose that a teacher wants to highlight racial injustice and elicit students’ empathy.  Which work is that teacher likelier to choose – </w:t>
      </w:r>
      <w:r>
        <w:rPr>
          <w:rFonts w:ascii="Times New Roman" w:hAnsi="Times New Roman" w:cs="Times New Roman"/>
          <w:i/>
          <w:sz w:val="24"/>
        </w:rPr>
        <w:t xml:space="preserve">A Raisin in the Sun </w:t>
      </w:r>
      <w:r>
        <w:rPr>
          <w:rFonts w:ascii="Times New Roman" w:hAnsi="Times New Roman" w:cs="Times New Roman"/>
          <w:sz w:val="24"/>
        </w:rPr>
        <w:t xml:space="preserve">or </w:t>
      </w:r>
      <w:r>
        <w:rPr>
          <w:rFonts w:ascii="Times New Roman" w:hAnsi="Times New Roman" w:cs="Times New Roman"/>
          <w:i/>
          <w:sz w:val="24"/>
        </w:rPr>
        <w:t>Romeo and Juliet</w:t>
      </w:r>
      <w:r>
        <w:rPr>
          <w:rFonts w:ascii="Times New Roman" w:hAnsi="Times New Roman" w:cs="Times New Roman"/>
          <w:sz w:val="24"/>
        </w:rPr>
        <w:t>?  Suppose that a teacher wishes to foster independent thought and critical, student-centered thinking.  Which assessment is that teacher likelier to use – a staid multiple-choice exam or a multifaceted, creative project?  The answers to both questions appear self-evident.  This section thus aims to (1) show how curricular materials have been used to mold, control, and proselytize to students; and (2) examine how educational materials have been chosen especially for their ability to influence students.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Here I should note that purposeful selection of educational materials is not always synonymous with “propaganda” or “indoctrination.”  Those words carry negative connotations; they suggest that educators use materials to “brainwash” students.  In many </w:t>
      </w:r>
      <w:r>
        <w:rPr>
          <w:rFonts w:ascii="Times New Roman" w:hAnsi="Times New Roman" w:cs="Times New Roman"/>
          <w:sz w:val="24"/>
        </w:rPr>
        <w:lastRenderedPageBreak/>
        <w:t>cases, teachers choose educational materials to instill positive habits and practices rather than ideologies and beliefs.  Many science educators, for example, strive to create materials that prompt “[investigation into] the everyday world and … deep understanding” (Singer, Marx, Krajcik, &amp; Chambers, 2000, p. 165).  This example depicts not propaganda but carefully planned education designed to expand students’ analytical faculties.</w:t>
      </w:r>
    </w:p>
    <w:p w:rsidR="00850876" w:rsidRPr="00FF495E"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Even the most well-intentioned education, however, involves some subliminal messaging and goals.  No facet of education occurs in a vacuum.  Educational leaders, motivated by ideology, tailor the school system to yield certain results.  In this quest they choose materials likely to effect the desired outcomes.  Singer et al. (2000) provide an admirable example of this concept – teachers creating materials meant to sharpen students’ abilities – but they establish the basic connection between materials and unstated goals.  However, they also show that ideology, the promotion of a certain belief, need not be the driving factor in instruction.   Terms such as “critical thinking” and “analytical capabilities” imply no ideological leanings, no particular worldview; they merely represent strategies to </w:t>
      </w:r>
      <w:r>
        <w:rPr>
          <w:rFonts w:ascii="Times New Roman" w:hAnsi="Times New Roman" w:cs="Times New Roman"/>
          <w:i/>
          <w:sz w:val="24"/>
        </w:rPr>
        <w:t xml:space="preserve">analyze </w:t>
      </w:r>
      <w:r>
        <w:rPr>
          <w:rFonts w:ascii="Times New Roman" w:hAnsi="Times New Roman" w:cs="Times New Roman"/>
          <w:sz w:val="24"/>
        </w:rPr>
        <w:t xml:space="preserve">the world in greater depth.  A teacher who stresses these concepts will not necessarily be an ideologue, but every teacher underlays his or her curriculum with a set of unstated goals, unspoken principles that reflect their efforts to guide and help students.  </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Unlike Singer et al. (2001), however, many educational leaders infuse education with subliminal ideological or behavioral directives, attempting to guide students toward some behavioral or intellectual ideal.  Many educators subscribe to the “character education” movement.  Poveda (2004), for instance, suggested ways that kindergarten </w:t>
      </w:r>
      <w:r>
        <w:rPr>
          <w:rFonts w:ascii="Times New Roman" w:hAnsi="Times New Roman" w:cs="Times New Roman"/>
          <w:sz w:val="24"/>
        </w:rPr>
        <w:lastRenderedPageBreak/>
        <w:t>teachers might use literature as a socialization tool.  He cites an example in which students, who have never seen a particular play, respond to the actors’ prompts from the stage, and he speculates that literature has been used to teach students the proper procedure (p. 233).  His example identifies a link between curriculum and acceptable social behavior.  Leming (2000), O’Sullivan (2004), and Freeman (2014) also focus on character education, using curriculum variously to combat bullying, to instill desirable character traits, and to prepare students for responsible adulthood.  Certainly these objectives represent noble goals, but they also prove that even well-intentioned education requires manipulation.  It involves a system trying to shape students to society’s liking.  In this case, the manipulation strives to produce positive results and behaviors.</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History abounds with examples of educational materials’ being used to inculcate negative or discriminatory beliefs.  Dyhouse’s (1978) work, for example, examines the sexist curriculum that dominated England’s schools in the nineteenth century.  In the Victorian era, societies and educators alike “claimed that lessons in domestic economy and needlework constituted the most vital part of a girl’s education” (p. 300).  They assumed that working-class girls, inclined to be more “wasteful than the wealthier,” particularly needed lessons in domestic efficiency (p. 300).  These girls received schooling not tailored to their needs but to the prejudices of society; their fates, their consignation to the home, had been decided before they crossed the classroom threshold.  More recently, the United Nations Educational, Scientific, and Cultural Organization (2012) observed, “Many studies show that girls and boys are treated differently in class and that the activities set for pupils … contribute to such differentiation [in math and science performance]” (p. 40).   Girls receive a qualitatively different education that </w:t>
      </w:r>
      <w:r>
        <w:rPr>
          <w:rFonts w:ascii="Times New Roman" w:hAnsi="Times New Roman" w:cs="Times New Roman"/>
          <w:sz w:val="24"/>
        </w:rPr>
        <w:lastRenderedPageBreak/>
        <w:t>undermines their competence vis-à-vis mathematics.  Consequently, they underperform their male peers.  Like the Victorian girls in Dyhouse’s work, these modern girls receive implicit, discouraging messages from curricula – messages that seek to limit their capabilities in certain areas.  These examples demonstrate how education often seeks to circumscribe rather than edify students.</w:t>
      </w:r>
    </w:p>
    <w:p w:rsidR="00850876" w:rsidRPr="0077594B"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Occasionally, though, curriculum has been used to criticize history and to illuminate the lives of oppressed groups.  Brown (1993), for example, shows how modern curricula have recast eighteenth-century literature and its depiction of oppressed groups.  She centers her analysis on Aphra Behn’s </w:t>
      </w:r>
      <w:r>
        <w:rPr>
          <w:rFonts w:ascii="Times New Roman" w:hAnsi="Times New Roman" w:cs="Times New Roman"/>
          <w:i/>
          <w:sz w:val="24"/>
        </w:rPr>
        <w:t>Oroonoko</w:t>
      </w:r>
      <w:r>
        <w:rPr>
          <w:rFonts w:ascii="Times New Roman" w:hAnsi="Times New Roman" w:cs="Times New Roman"/>
          <w:sz w:val="24"/>
        </w:rPr>
        <w:t>, a novella about a wealthy woman and her Caribbean slave.  The text, long an “important account” of slavery, has in recent years been used to teach the “necessary connections of race and gender, a model for the mutual interaction of the positions of the oppressed” (p. 27).  In other words, past curricula included the text only for its feminist value and strong female narrator.  More recent curricula, meanwhile, emphasize the text’s intersection between race and gender, its portrayal of how oppression affects different groups.  According to Brown, this pedagogical shift reflects literary critics’ (and presumably society’s) increased awareness of slavery and its implications.  Again, Brown’s example shows a curricular material’s being deliberately chosen to send certain messages, to stress an ideology of respect and recognition, but she demonstrates that these messages need not always be harmful or negative, that ideology can be intended for positive purposes.</w:t>
      </w:r>
    </w:p>
    <w:p w:rsidR="00850876"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 xml:space="preserve">Section 3: English Literature as a Means to Propagate Ideological Biases </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Any curricular material or lesson could promote certain messages, but literature seems especially potent in this regard.  Just as CDs may be pre-loaded with music, </w:t>
      </w:r>
      <w:r>
        <w:rPr>
          <w:rFonts w:ascii="Times New Roman" w:hAnsi="Times New Roman" w:cs="Times New Roman"/>
          <w:sz w:val="24"/>
        </w:rPr>
        <w:lastRenderedPageBreak/>
        <w:t xml:space="preserve">literature can be pre-loaded with ideology and tacit exhortations.  Many works reflect and comment upon some facet of the world.  Often, their plots and themes correspond nicely to educational leaders’ goals, reiterating and reinforcing the directives of the hidden curriculum.  The leaders, cognizant of these messages, choose these works to accomplish specific educational agendas.  Though not written expressly for educational purposes, the works become teaching and indoctrination tools.  This section thus chronicles the history of English literature’s status as educational ideologues’ most valuable tool.  </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Indeed, research indicates that certain works continue to be taught due to their ability to perpetuate ingrained cultural messages.  Martin (1992), for example, links several “classics” and their enduring presence to society’s disdain for domesticity and femininity.  She writes, “Rip, Huck, Hawkeye, and Ishmael all manage to shed relationships as easily as they slip out of their clothes” (loc. 2053).  The aforementioned protagonists embark upon individual journeys, shunning the home – a world thought to be the domain of women – and seeking masculine solitude and fulfillment.  According to Martin, this common plot structure reflects “a celebration of the individual [that is] bound up in our cultural heritage with an antipathy toward home” (loc. 2041).  These works’ status in the literary canon suggests a certain degree of cultural approval.  Men, who largely control curriculum, wish to maintain the image of “home as that which a boy or man must leave behind” (loc. 1698).  The works to which Martin alludes – </w:t>
      </w:r>
      <w:r>
        <w:rPr>
          <w:rFonts w:ascii="Times New Roman" w:hAnsi="Times New Roman" w:cs="Times New Roman"/>
          <w:i/>
          <w:sz w:val="24"/>
        </w:rPr>
        <w:t>Huckleberry Finn</w:t>
      </w:r>
      <w:r>
        <w:rPr>
          <w:rFonts w:ascii="Times New Roman" w:hAnsi="Times New Roman" w:cs="Times New Roman"/>
          <w:sz w:val="24"/>
        </w:rPr>
        <w:t xml:space="preserve">, </w:t>
      </w:r>
      <w:r>
        <w:rPr>
          <w:rFonts w:ascii="Times New Roman" w:hAnsi="Times New Roman" w:cs="Times New Roman"/>
          <w:i/>
          <w:sz w:val="24"/>
        </w:rPr>
        <w:t xml:space="preserve">Moby Dick, </w:t>
      </w:r>
      <w:r>
        <w:rPr>
          <w:rFonts w:ascii="Times New Roman" w:hAnsi="Times New Roman" w:cs="Times New Roman"/>
          <w:sz w:val="24"/>
        </w:rPr>
        <w:t>etc. – thus serve to transmit and preserve that cultural ideal, perhaps explaining their continuing influence on curriculum.</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Jehlen (1986) echoes these assertions by focusing on the canon’s enshrinement of American political and sociological values.  Contrasting European and American works, </w:t>
      </w:r>
      <w:r>
        <w:rPr>
          <w:rFonts w:ascii="Times New Roman" w:hAnsi="Times New Roman" w:cs="Times New Roman"/>
          <w:sz w:val="24"/>
        </w:rPr>
        <w:lastRenderedPageBreak/>
        <w:t xml:space="preserve">Jehlen claims, “[T]he former takes the internal organization of society as its ‘problem’ and the latter, accepting the </w:t>
      </w:r>
      <w:r>
        <w:rPr>
          <w:rFonts w:ascii="Times New Roman" w:hAnsi="Times New Roman" w:cs="Times New Roman"/>
          <w:i/>
          <w:sz w:val="24"/>
        </w:rPr>
        <w:t xml:space="preserve">status quo </w:t>
      </w:r>
      <w:r>
        <w:rPr>
          <w:rFonts w:ascii="Times New Roman" w:hAnsi="Times New Roman" w:cs="Times New Roman"/>
          <w:sz w:val="24"/>
        </w:rPr>
        <w:t xml:space="preserve">as simply natural, focuses instead on the difficulties of individual conformity” (p. 134).  America accepts the basic social structure.  A country founded by and in revolution, it believes it “need never revolve again,” and it sees its societal developments as “the unfolding realization of its inherent form and meaning” (p. 127, 128).  In other words, Americans perceive their circumstances as the inexorable consequences of their country’s political origins and philosophies.  Any alterations or deviations would have yielded another country entirely.  Ergo, the social order gains acceptance as an integral feature of American life, a vital component of national identity.  </w:t>
      </w:r>
    </w:p>
    <w:p w:rsidR="00850876" w:rsidRPr="003C6711"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Literature thus becomes a tool to reconcile the individual with the prevailing social structure and helps to promulgate the notion that “[despite] the lure of total freedom … [a person’s] mortal state requires that he [or she] still be social, even sociable” (p. 137).  Like Martin, Jehlen names such works as </w:t>
      </w:r>
      <w:r>
        <w:rPr>
          <w:rFonts w:ascii="Times New Roman" w:hAnsi="Times New Roman" w:cs="Times New Roman"/>
          <w:i/>
          <w:sz w:val="24"/>
        </w:rPr>
        <w:t>Moby Dick</w:t>
      </w:r>
      <w:r>
        <w:rPr>
          <w:rFonts w:ascii="Times New Roman" w:hAnsi="Times New Roman" w:cs="Times New Roman"/>
          <w:sz w:val="24"/>
        </w:rPr>
        <w:t xml:space="preserve">, but unlike Martin, she views these works not from a feminist perspective but a sociological one: these protagonists flee society but eventually learn “the dangers of isolation and solipsism” (p. 125); they see that they must rejoin their fellows in respectable, interconnected life.  To be blunter, many novels depict “individualist[s] who [bow] to necessity” (p. 130).  These works thus stress a certain lifestyle, a certain moral relation to society.  Individuals may temporarily deviate or venture away from social expectations and obligations.  However, they invariably assume the mantle – or, indeed, the </w:t>
      </w:r>
      <w:r>
        <w:rPr>
          <w:rFonts w:ascii="Times New Roman" w:hAnsi="Times New Roman" w:cs="Times New Roman"/>
          <w:i/>
          <w:sz w:val="24"/>
        </w:rPr>
        <w:t xml:space="preserve">yoke </w:t>
      </w:r>
      <w:r>
        <w:rPr>
          <w:rFonts w:ascii="Times New Roman" w:hAnsi="Times New Roman" w:cs="Times New Roman"/>
          <w:sz w:val="24"/>
        </w:rPr>
        <w:t xml:space="preserve">– of prescribed behavior.  Suddenly, these novels and characters transcend the world of fiction.  They convey the implicit directives of a society focused on achieving harmony, a society that expects people to conform and </w:t>
      </w:r>
      <w:r>
        <w:rPr>
          <w:rFonts w:ascii="Times New Roman" w:hAnsi="Times New Roman" w:cs="Times New Roman"/>
          <w:sz w:val="24"/>
        </w:rPr>
        <w:lastRenderedPageBreak/>
        <w:t>uphold social order, a society that ultimately expects individuality to be discarded.  Their pages simultaneously contain and can be used to inculcate society’s values.</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The preceding two sources reaffirm the notion that literature frequently – and perhaps unavoidably – </w:t>
      </w:r>
      <w:r w:rsidR="003644A2">
        <w:rPr>
          <w:rFonts w:ascii="Times New Roman" w:hAnsi="Times New Roman" w:cs="Times New Roman"/>
          <w:sz w:val="24"/>
        </w:rPr>
        <w:t>has</w:t>
      </w:r>
      <w:r>
        <w:rPr>
          <w:rFonts w:ascii="Times New Roman" w:hAnsi="Times New Roman" w:cs="Times New Roman"/>
          <w:sz w:val="24"/>
        </w:rPr>
        <w:t xml:space="preserve"> ideological biases.  No work of literature emerges from a vacuum.  It reflects its author’s perspective, or perhaps the perspective its author has chosen to adopt, and it derives its plot, its characters, its themes from the society that surrounds it.  The product of human hands, it reflects human thoughts, human foibles, and human tendencies – in this case, the tendency to broadcast and champion particular beliefs.  </w:t>
      </w:r>
    </w:p>
    <w:p w:rsidR="00850876" w:rsidRPr="00E31248"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How, then, does this principle relate to curriculum, education, and society as a whole?  Books can certainly impress their ideologies upon readers, but that statement sounds overly vague.  Thankfully, many sources detail this process on local and global, grand and minute, scales, and they show how educational leaders can use literature to accomplish a variety of social purposes – some positive, some negative.   </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Slotkin (1986), for instance, examines curriculum on a grand scale, identifying literature’s ability to aid in mythmaking, the process of “assign[ing] ideological meanings to … history” (p. 70).  He characterizes the “myths” of a society – its collection of conventional wisdom, its body of supposedly irrefutable traditions – as ideology writ large.  An ideology or belief system represents society’s views at a particular time, but that ideology will ascend to the level of myth if it enjoys continued legitimacy.  Literature provides the vehicle through which ideology attains and maintains such legitimacy.  Slotkin writes, “The function of imaginative fiction … is to … play out more fully than life usually permits the consequences of the value system on which our mythic fantasies </w:t>
      </w:r>
      <w:r>
        <w:rPr>
          <w:rFonts w:ascii="Times New Roman" w:hAnsi="Times New Roman" w:cs="Times New Roman"/>
          <w:sz w:val="24"/>
        </w:rPr>
        <w:lastRenderedPageBreak/>
        <w:t>are based” (p. 75).  In other words, literature creates a fictional arena in which a given ideology can go unchallenged.  If sufficient literary works stress a particular ideology – if they “prove” the ideology repeatedly – the ideology will become mythology.  Its premises and tenets will morph into conventional wisdom.  Literature thus has the power to “reify” ideologies so thoroughly as to make them cultural practices or “palpable aspects of material reality” (p. 73).  This process presents literature as a tool of cultural construction; it concerns a social curriculum, not merely an educational one.</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This source indicates literature’s ability to establish traditions and uphold certain ideologies.  However, Arac (1986) claims that literature can challenge and even overturn certain values.  Focusing his analysis on </w:t>
      </w:r>
      <w:r>
        <w:rPr>
          <w:rFonts w:ascii="Times New Roman" w:hAnsi="Times New Roman" w:cs="Times New Roman"/>
          <w:i/>
          <w:sz w:val="24"/>
        </w:rPr>
        <w:t>The Scarlet Letter</w:t>
      </w:r>
      <w:r>
        <w:rPr>
          <w:rFonts w:ascii="Times New Roman" w:hAnsi="Times New Roman" w:cs="Times New Roman"/>
          <w:sz w:val="24"/>
        </w:rPr>
        <w:t xml:space="preserve">, he writes, “[The novel] does, however, consider an alternative status for the letter, for its embroidery manifest Hester’s will and not only that of the public” (p. 260).  This quotation indicates a reappraisal or reevaluation of a classic novel.  The scarlet “A,” commonly a symbol of opprobrium, can instead represent Hester’s bravery and honesty.  She becomes not a wanton transgressor but a woman willing to endure society’s judgment with integrity and grace; once condemned, she comes to symbolize strength and dignity rather than sin and shame.  Such reappraisals can arise because of the “indeterminacy” with which Hawthorne imbues the novel, because of the novel’s “[openness] in its refusal to make … absolute claims for Hester’s transcendence of the contradiction between passion and principle” (p. 262-3).  In other words, Hawthorne structures the novel to be ideologically ambiguous rather than categorically condemnatory of Hester.  This ambiguity represents an ideological position in itself and tacitly urges readers to question the character’s treatment and society’s mores.  In other words, literary works, like individuals, can have and communicate a </w:t>
      </w:r>
      <w:r>
        <w:rPr>
          <w:rFonts w:ascii="Times New Roman" w:hAnsi="Times New Roman" w:cs="Times New Roman"/>
          <w:sz w:val="24"/>
        </w:rPr>
        <w:lastRenderedPageBreak/>
        <w:t xml:space="preserve">variety of ideologies and beliefs, which in turn can shape readers’ perceptions and opinions.  </w:t>
      </w:r>
    </w:p>
    <w:p w:rsidR="00850876" w:rsidRPr="00363425"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Section 4: Conclusion</w:t>
      </w:r>
    </w:p>
    <w:p w:rsidR="00850876" w:rsidRPr="000E202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These sources and their findings justify the purposes of this thesis.  </w:t>
      </w:r>
      <w:r w:rsidRPr="004505F3">
        <w:rPr>
          <w:rFonts w:ascii="Times New Roman" w:hAnsi="Times New Roman"/>
          <w:sz w:val="24"/>
        </w:rPr>
        <w:t>Schools operate not as educational institutions but as socializing ones, and their curricula and materials work to foster certain ideologies and behaviors in students.</w:t>
      </w:r>
      <w:r>
        <w:rPr>
          <w:rFonts w:ascii="Times New Roman" w:hAnsi="Times New Roman" w:cs="Times New Roman"/>
          <w:sz w:val="24"/>
        </w:rPr>
        <w:t xml:space="preserve">  Numerous authors have speculated as to the nature of this ideological education: is it meant to teach cultural lessons?  Economic ones?  Literature, a human product replete with ideological leanings, provides a means to answer these questions.  Certain works persist in the English curriculum.  Ergo, their messages, their implicit ideological directives, also persist.  Determining these messages – uncovering the ideologies within and/or surrounding each work – can reveal much about the intentions of the school system.  Using this review as a guide, the remainder of the thesis will analyze and discuss the ideologies that permeate the English curriculum and in turn expose the deep connection between literature and culture.</w:t>
      </w:r>
    </w:p>
    <w:p w:rsidR="00850876" w:rsidRDefault="00850876" w:rsidP="00850876">
      <w:pPr>
        <w:rPr>
          <w:rFonts w:ascii="Times New Roman" w:hAnsi="Times New Roman" w:cs="Times New Roman"/>
          <w:sz w:val="24"/>
        </w:rPr>
      </w:pPr>
      <w:r>
        <w:rPr>
          <w:rFonts w:ascii="Times New Roman" w:hAnsi="Times New Roman" w:cs="Times New Roman"/>
          <w:sz w:val="24"/>
        </w:rPr>
        <w:br w:type="page"/>
      </w:r>
    </w:p>
    <w:p w:rsidR="00850876" w:rsidRDefault="00850876" w:rsidP="00850876">
      <w:pPr>
        <w:spacing w:after="0" w:line="480" w:lineRule="auto"/>
        <w:contextualSpacing/>
        <w:jc w:val="both"/>
        <w:rPr>
          <w:rFonts w:ascii="Times New Roman" w:hAnsi="Times New Roman" w:cs="Times New Roman"/>
          <w:b/>
          <w:sz w:val="28"/>
        </w:rPr>
      </w:pPr>
      <w:r>
        <w:rPr>
          <w:rFonts w:ascii="Times New Roman" w:hAnsi="Times New Roman" w:cs="Times New Roman"/>
          <w:b/>
          <w:sz w:val="28"/>
        </w:rPr>
        <w:lastRenderedPageBreak/>
        <w:t>Chapter 3: Methodology</w:t>
      </w:r>
    </w:p>
    <w:p w:rsidR="00850876"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Selection and List of Literary Works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 sample includes the fifteen most commonly taught literary works in high-school classrooms.  This thesis aims to link literary themes and curricular ideology, and it strives to show how educational ideologues might use literature to promote their views.  These ideologues could conceivably select any book to further their cause, as any number of titles could </w:t>
      </w:r>
      <w:r w:rsidR="00726B85">
        <w:rPr>
          <w:rFonts w:ascii="Times New Roman" w:hAnsi="Times New Roman" w:cs="Times New Roman"/>
          <w:sz w:val="24"/>
        </w:rPr>
        <w:t>be used to represent</w:t>
      </w:r>
      <w:r>
        <w:rPr>
          <w:rFonts w:ascii="Times New Roman" w:hAnsi="Times New Roman" w:cs="Times New Roman"/>
          <w:sz w:val="24"/>
        </w:rPr>
        <w:t xml:space="preserve"> a particular ideology.  However, certain works have persisted in classrooms.  Decades after their original publication, they continue to be taught and studied; they have ascended to the pantheon of literature known as “the classics.”  Generations of students have examined these works’ themes, grappled with their prose, and become familiar with their characters.  In many instances, these titles have transcended the literary world to become pop-culture staples.  Hamlet’s famous “To be or not to be” soliloquy, for example, has reappeared in various songs and movies, and </w:t>
      </w:r>
      <w:r>
        <w:rPr>
          <w:rFonts w:ascii="Times New Roman" w:hAnsi="Times New Roman" w:cs="Times New Roman"/>
          <w:i/>
          <w:sz w:val="24"/>
        </w:rPr>
        <w:t>To Kill a Mockingbird</w:t>
      </w:r>
      <w:r>
        <w:rPr>
          <w:rFonts w:ascii="Times New Roman" w:hAnsi="Times New Roman" w:cs="Times New Roman"/>
          <w:sz w:val="24"/>
        </w:rPr>
        <w:t>’s Atticus Finch has become a paragon of rectitude.  These works and their characters live almost permanently in public consciousness, shaping innumerable readers’ views on life and people.</w:t>
      </w:r>
    </w:p>
    <w:p w:rsidR="00850876" w:rsidRPr="00B61C9C"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Therein lies the relevance to this thesis: these commonly taught works hold the greatest potential to shape readers’ views.  Any message grows stronger with repeated exposure; it insinuates itself in the receiver’s mind and subtly exercises its influence.  A television viewer, for example, might initially resist an advertisement’s insistence that he should purchase life insurance.  However, if he sees the commercial repeatedly, he might come to believe it.  The same principle applies to these literary works.  Many of these works have become integral components of public English education.  After all, who can </w:t>
      </w:r>
      <w:r>
        <w:rPr>
          <w:rFonts w:ascii="Times New Roman" w:hAnsi="Times New Roman" w:cs="Times New Roman"/>
          <w:sz w:val="24"/>
        </w:rPr>
        <w:lastRenderedPageBreak/>
        <w:t xml:space="preserve">imagine a ninth-grade experience devoid of </w:t>
      </w:r>
      <w:r>
        <w:rPr>
          <w:rFonts w:ascii="Times New Roman" w:hAnsi="Times New Roman" w:cs="Times New Roman"/>
          <w:i/>
          <w:sz w:val="24"/>
        </w:rPr>
        <w:t>Romeo and Juliet</w:t>
      </w:r>
      <w:r>
        <w:rPr>
          <w:rFonts w:ascii="Times New Roman" w:hAnsi="Times New Roman" w:cs="Times New Roman"/>
          <w:sz w:val="24"/>
        </w:rPr>
        <w:t xml:space="preserve">?  Consequently, they have had ample opportunity to influence – or to be used </w:t>
      </w:r>
      <w:r>
        <w:rPr>
          <w:rFonts w:ascii="Times New Roman" w:hAnsi="Times New Roman" w:cs="Times New Roman"/>
          <w:i/>
          <w:sz w:val="24"/>
        </w:rPr>
        <w:t xml:space="preserve">to </w:t>
      </w:r>
      <w:r>
        <w:rPr>
          <w:rFonts w:ascii="Times New Roman" w:hAnsi="Times New Roman" w:cs="Times New Roman"/>
          <w:sz w:val="24"/>
        </w:rPr>
        <w:t>influence – countless readers.  These works’ ubiquity makes them ideal vehicles for reaching students and disseminating messages, as most students will encounter all or at least several of these titles.  Selecting and analyzing these particular works thus reveals what messages have been transmitted to students, and their individual and collective ideological slants offer insight into the objectives of the school system.</w:t>
      </w:r>
    </w:p>
    <w:p w:rsidR="00CF5CD8"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Surprisingly, or perhaps unsurprisingly, these commonly taught works have remained fairly static over time.  </w:t>
      </w:r>
      <w:r w:rsidR="00CF5CD8">
        <w:rPr>
          <w:rFonts w:ascii="Times New Roman" w:hAnsi="Times New Roman" w:cs="Times New Roman"/>
          <w:sz w:val="24"/>
        </w:rPr>
        <w:t xml:space="preserve">Applebee (1989) compiled lists of the most commonly taught works in public, Catholic, and independent high schools.  His public-school list – the one most relevant to this thesis – listed such </w:t>
      </w:r>
      <w:r>
        <w:rPr>
          <w:rFonts w:ascii="Times New Roman" w:hAnsi="Times New Roman" w:cs="Times New Roman"/>
          <w:sz w:val="24"/>
        </w:rPr>
        <w:t>authors as William Shakespeare, F. Scott Fitzgerald, Mark Twain, and Nathaniel</w:t>
      </w:r>
      <w:r w:rsidR="003D7C65">
        <w:rPr>
          <w:rFonts w:ascii="Times New Roman" w:hAnsi="Times New Roman" w:cs="Times New Roman"/>
          <w:sz w:val="24"/>
        </w:rPr>
        <w:t xml:space="preserve"> Hawthorne</w:t>
      </w:r>
      <w:r>
        <w:rPr>
          <w:rFonts w:ascii="Times New Roman" w:hAnsi="Times New Roman" w:cs="Times New Roman"/>
          <w:sz w:val="24"/>
        </w:rPr>
        <w:t xml:space="preserve">.  </w:t>
      </w:r>
      <w:r w:rsidR="00CF5CD8">
        <w:rPr>
          <w:rFonts w:ascii="Times New Roman" w:hAnsi="Times New Roman" w:cs="Times New Roman"/>
          <w:sz w:val="24"/>
        </w:rPr>
        <w:t xml:space="preserve"> Notably, Applebee’s list</w:t>
      </w:r>
      <w:r>
        <w:rPr>
          <w:rFonts w:ascii="Times New Roman" w:hAnsi="Times New Roman" w:cs="Times New Roman"/>
          <w:sz w:val="24"/>
        </w:rPr>
        <w:t xml:space="preserve"> </w:t>
      </w:r>
      <w:r w:rsidR="00545BD0">
        <w:rPr>
          <w:rFonts w:ascii="Times New Roman" w:hAnsi="Times New Roman" w:cs="Times New Roman"/>
          <w:sz w:val="24"/>
        </w:rPr>
        <w:t xml:space="preserve">featured </w:t>
      </w:r>
      <w:r>
        <w:rPr>
          <w:rFonts w:ascii="Times New Roman" w:hAnsi="Times New Roman" w:cs="Times New Roman"/>
          <w:sz w:val="24"/>
        </w:rPr>
        <w:t xml:space="preserve">one female author, Harper Lee, and no authors of racial or ethnic minorities.  </w:t>
      </w:r>
      <w:r w:rsidR="00545BD0">
        <w:rPr>
          <w:rFonts w:ascii="Times New Roman" w:hAnsi="Times New Roman" w:cs="Times New Roman"/>
          <w:sz w:val="24"/>
        </w:rPr>
        <w:t xml:space="preserve">Applebee (1992, p.28) later stated that despite “changes in emphasis on specific titles,” the list of commonly taught works had remained virtually unchanged since at least the 1960s.  </w:t>
      </w:r>
      <w:r>
        <w:rPr>
          <w:rFonts w:ascii="Times New Roman" w:hAnsi="Times New Roman" w:cs="Times New Roman"/>
          <w:sz w:val="24"/>
        </w:rPr>
        <w:t xml:space="preserve">Stallworth, Gibbons, and Fauber (2006) </w:t>
      </w:r>
      <w:r w:rsidR="00545BD0">
        <w:rPr>
          <w:rFonts w:ascii="Times New Roman" w:hAnsi="Times New Roman" w:cs="Times New Roman"/>
          <w:sz w:val="24"/>
        </w:rPr>
        <w:t xml:space="preserve">confirmed these assertions when they </w:t>
      </w:r>
      <w:r>
        <w:rPr>
          <w:rFonts w:ascii="Times New Roman" w:hAnsi="Times New Roman" w:cs="Times New Roman"/>
          <w:sz w:val="24"/>
        </w:rPr>
        <w:t>compiled similar list</w:t>
      </w:r>
      <w:r w:rsidR="00545BD0">
        <w:rPr>
          <w:rFonts w:ascii="Times New Roman" w:hAnsi="Times New Roman" w:cs="Times New Roman"/>
          <w:sz w:val="24"/>
        </w:rPr>
        <w:t>s</w:t>
      </w:r>
      <w:r>
        <w:rPr>
          <w:rFonts w:ascii="Times New Roman" w:hAnsi="Times New Roman" w:cs="Times New Roman"/>
          <w:sz w:val="24"/>
        </w:rPr>
        <w:t xml:space="preserve"> for the 2002-03 and 2003-04 school years.  Their lists, which drew from interviews with teachers, contained largely the same titles, though some “multicultural” titles such as </w:t>
      </w:r>
      <w:r>
        <w:rPr>
          <w:rFonts w:ascii="Times New Roman" w:hAnsi="Times New Roman" w:cs="Times New Roman"/>
          <w:i/>
          <w:sz w:val="24"/>
        </w:rPr>
        <w:t>A Raisin in the Sun</w:t>
      </w:r>
      <w:r>
        <w:rPr>
          <w:rFonts w:ascii="Times New Roman" w:hAnsi="Times New Roman" w:cs="Times New Roman"/>
          <w:sz w:val="24"/>
        </w:rPr>
        <w:t xml:space="preserve"> had begun to appear.</w:t>
      </w:r>
      <w:r w:rsidR="00545BD0">
        <w:rPr>
          <w:rFonts w:ascii="Times New Roman" w:hAnsi="Times New Roman" w:cs="Times New Roman"/>
          <w:sz w:val="24"/>
        </w:rPr>
        <w:t xml:space="preserve">  Togethe</w:t>
      </w:r>
      <w:r w:rsidR="002A6D0E">
        <w:rPr>
          <w:rFonts w:ascii="Times New Roman" w:hAnsi="Times New Roman" w:cs="Times New Roman"/>
          <w:sz w:val="24"/>
        </w:rPr>
        <w:t>r, these lists suggest an ossified literary curriculum</w:t>
      </w:r>
      <w:r w:rsidR="00317E7D">
        <w:rPr>
          <w:rFonts w:ascii="Times New Roman" w:hAnsi="Times New Roman" w:cs="Times New Roman"/>
          <w:sz w:val="24"/>
        </w:rPr>
        <w:t xml:space="preserve"> whose upper echelons only occasionally admit new members.</w:t>
      </w:r>
    </w:p>
    <w:p w:rsidR="00317E7D" w:rsidRDefault="00545BD0" w:rsidP="003D7C65">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Th</w:t>
      </w:r>
      <w:r w:rsidR="00317E7D">
        <w:rPr>
          <w:rFonts w:ascii="Times New Roman" w:hAnsi="Times New Roman" w:cs="Times New Roman"/>
          <w:sz w:val="24"/>
        </w:rPr>
        <w:t>e constancy among these lists</w:t>
      </w:r>
      <w:r>
        <w:rPr>
          <w:rFonts w:ascii="Times New Roman" w:hAnsi="Times New Roman" w:cs="Times New Roman"/>
          <w:sz w:val="24"/>
        </w:rPr>
        <w:t xml:space="preserve"> </w:t>
      </w:r>
      <w:r w:rsidR="00CF5CD8">
        <w:rPr>
          <w:rFonts w:ascii="Times New Roman" w:hAnsi="Times New Roman" w:cs="Times New Roman"/>
          <w:sz w:val="24"/>
        </w:rPr>
        <w:t>represent</w:t>
      </w:r>
      <w:r>
        <w:rPr>
          <w:rFonts w:ascii="Times New Roman" w:hAnsi="Times New Roman" w:cs="Times New Roman"/>
          <w:sz w:val="24"/>
        </w:rPr>
        <w:t>s</w:t>
      </w:r>
      <w:r w:rsidR="00CF5CD8">
        <w:rPr>
          <w:rFonts w:ascii="Times New Roman" w:hAnsi="Times New Roman" w:cs="Times New Roman"/>
          <w:sz w:val="24"/>
        </w:rPr>
        <w:t xml:space="preserve"> what Skerrett (2008) might call the “predominantly Eurocentric official curriculum” (p. 1815) and what Kollin and Hancock (2005) might describe as “manifestations of a sexist, racist, or repressive culture” (p. 22)</w:t>
      </w:r>
      <w:r w:rsidR="00317E7D">
        <w:rPr>
          <w:rFonts w:ascii="Times New Roman" w:hAnsi="Times New Roman" w:cs="Times New Roman"/>
          <w:sz w:val="24"/>
        </w:rPr>
        <w:t xml:space="preserve">.  </w:t>
      </w:r>
      <w:r w:rsidR="00CF5CD8">
        <w:rPr>
          <w:rFonts w:ascii="Times New Roman" w:hAnsi="Times New Roman" w:cs="Times New Roman"/>
          <w:sz w:val="24"/>
        </w:rPr>
        <w:t xml:space="preserve"> </w:t>
      </w:r>
      <w:r w:rsidR="00317E7D">
        <w:rPr>
          <w:rFonts w:ascii="Times New Roman" w:hAnsi="Times New Roman" w:cs="Times New Roman"/>
          <w:sz w:val="24"/>
        </w:rPr>
        <w:lastRenderedPageBreak/>
        <w:t xml:space="preserve">The literary canon and curriculum reflect the overwhelming masculinity and whiteness of their designers.  </w:t>
      </w:r>
      <w:r w:rsidR="00157B28">
        <w:rPr>
          <w:rFonts w:ascii="Times New Roman" w:hAnsi="Times New Roman" w:cs="Times New Roman"/>
          <w:sz w:val="24"/>
        </w:rPr>
        <w:t>Because certain groups hold disproportionate power in society, their literature naturally enjoys elevated status and enduring privilege.</w:t>
      </w:r>
      <w:r w:rsidR="00E7351A">
        <w:rPr>
          <w:rFonts w:ascii="Times New Roman" w:hAnsi="Times New Roman" w:cs="Times New Roman"/>
          <w:sz w:val="24"/>
        </w:rPr>
        <w:t xml:space="preserve">  As Stallworth and company (2006) observe, more diverse titles – ones written by or depicting the lives of minorities – may infiltrate the curriculum, but these additions frequently elicit criticism.  Sandra Stotsky (2002), for example, has </w:t>
      </w:r>
      <w:r w:rsidR="001C3672">
        <w:rPr>
          <w:rFonts w:ascii="Times New Roman" w:hAnsi="Times New Roman" w:cs="Times New Roman"/>
          <w:sz w:val="24"/>
        </w:rPr>
        <w:t>claimed that multicultural curricula impede students’</w:t>
      </w:r>
      <w:r w:rsidR="004B0DD5">
        <w:rPr>
          <w:rFonts w:ascii="Times New Roman" w:hAnsi="Times New Roman" w:cs="Times New Roman"/>
          <w:sz w:val="24"/>
        </w:rPr>
        <w:t xml:space="preserve"> learning by diminishing academic and linguistic rigor. </w:t>
      </w:r>
      <w:r w:rsidR="001C3672">
        <w:rPr>
          <w:rFonts w:ascii="Times New Roman" w:hAnsi="Times New Roman" w:cs="Times New Roman"/>
          <w:sz w:val="24"/>
        </w:rPr>
        <w:t xml:space="preserve"> Even Applebee (1992) acknowledges many teachers’ reservations regarding </w:t>
      </w:r>
      <w:r w:rsidR="004B0DD5">
        <w:rPr>
          <w:rFonts w:ascii="Times New Roman" w:hAnsi="Times New Roman" w:cs="Times New Roman"/>
          <w:sz w:val="24"/>
        </w:rPr>
        <w:t>diverse literary works.  Ergo, the literary curriculum stays largely frozen, rooted in the culture and mindset of yesteryear.</w:t>
      </w:r>
    </w:p>
    <w:p w:rsidR="00850876" w:rsidRDefault="00850876" w:rsidP="003D7C65">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For this thesis, </w:t>
      </w:r>
      <w:r w:rsidR="00D66235">
        <w:rPr>
          <w:rFonts w:ascii="Times New Roman" w:hAnsi="Times New Roman" w:cs="Times New Roman"/>
          <w:sz w:val="24"/>
        </w:rPr>
        <w:t xml:space="preserve">the literary curriculum’s </w:t>
      </w:r>
      <w:r w:rsidR="00144D83">
        <w:rPr>
          <w:rFonts w:ascii="Times New Roman" w:hAnsi="Times New Roman" w:cs="Times New Roman"/>
          <w:sz w:val="24"/>
        </w:rPr>
        <w:t>“</w:t>
      </w:r>
      <w:r>
        <w:rPr>
          <w:rFonts w:ascii="Times New Roman" w:hAnsi="Times New Roman" w:cs="Times New Roman"/>
          <w:sz w:val="24"/>
        </w:rPr>
        <w:t>traditional stability</w:t>
      </w:r>
      <w:r w:rsidR="00144D83">
        <w:rPr>
          <w:rFonts w:ascii="Times New Roman" w:hAnsi="Times New Roman" w:cs="Times New Roman"/>
          <w:sz w:val="24"/>
        </w:rPr>
        <w:t>”</w:t>
      </w:r>
      <w:r>
        <w:rPr>
          <w:rFonts w:ascii="Times New Roman" w:hAnsi="Times New Roman" w:cs="Times New Roman"/>
          <w:sz w:val="24"/>
        </w:rPr>
        <w:t xml:space="preserve"> proves helpful because it provides a stable sample of literature</w:t>
      </w:r>
      <w:r w:rsidR="00144D83">
        <w:rPr>
          <w:rFonts w:ascii="Times New Roman" w:hAnsi="Times New Roman" w:cs="Times New Roman"/>
          <w:sz w:val="24"/>
        </w:rPr>
        <w:t xml:space="preserve"> (Stallworth, Gibbons, &amp; Fauber, 2006, p. 482)</w:t>
      </w:r>
      <w:r>
        <w:rPr>
          <w:rFonts w:ascii="Times New Roman" w:hAnsi="Times New Roman" w:cs="Times New Roman"/>
          <w:sz w:val="24"/>
        </w:rPr>
        <w:t>.</w:t>
      </w:r>
      <w:r w:rsidR="0088243B">
        <w:rPr>
          <w:rFonts w:ascii="Times New Roman" w:hAnsi="Times New Roman" w:cs="Times New Roman"/>
          <w:sz w:val="24"/>
        </w:rPr>
        <w:t xml:space="preserve">  This term may very well be a euphemism for ethnocentrism and cultural exclusion; it may connote unwillingness or hesitancy toward works outside the canon.  </w:t>
      </w:r>
      <w:r w:rsidR="00D66235">
        <w:rPr>
          <w:rFonts w:ascii="Times New Roman" w:hAnsi="Times New Roman" w:cs="Times New Roman"/>
          <w:sz w:val="24"/>
        </w:rPr>
        <w:t>This thesis, though mindful of broader cultural considerations, merely aims to examine the ideological leanings and applications of commonly taught literary works, and in this endeavor stability, monocultural or otherwise, ensures structural integrity.  The canon’s content, while tangentially relevant, must be discussed elsewhere.</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The list of commonly taught works comprises the following titles: </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sz w:val="24"/>
        </w:rPr>
        <w:tab/>
        <w:t xml:space="preserve">Harper Lee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To Kill a Mockingbird</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i/>
          <w:sz w:val="24"/>
        </w:rPr>
        <w:tab/>
      </w:r>
      <w:r>
        <w:rPr>
          <w:rFonts w:ascii="Times New Roman" w:hAnsi="Times New Roman" w:cs="Times New Roman"/>
          <w:sz w:val="24"/>
        </w:rPr>
        <w:t>F. Scott Fitzgerald</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The Great Gatsby</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i/>
          <w:sz w:val="24"/>
        </w:rPr>
        <w:tab/>
      </w:r>
      <w:r>
        <w:rPr>
          <w:rFonts w:ascii="Times New Roman" w:hAnsi="Times New Roman" w:cs="Times New Roman"/>
          <w:sz w:val="24"/>
        </w:rPr>
        <w:t>Nathaniel Hawthorne</w:t>
      </w:r>
      <w:r>
        <w:rPr>
          <w:rFonts w:ascii="Times New Roman" w:hAnsi="Times New Roman" w:cs="Times New Roman"/>
          <w:sz w:val="24"/>
        </w:rPr>
        <w:tab/>
        <w:t xml:space="preserve"> </w:t>
      </w:r>
      <w:r>
        <w:rPr>
          <w:rFonts w:ascii="Times New Roman" w:hAnsi="Times New Roman" w:cs="Times New Roman"/>
          <w:sz w:val="24"/>
        </w:rPr>
        <w:tab/>
      </w:r>
      <w:r>
        <w:rPr>
          <w:rFonts w:ascii="Times New Roman" w:hAnsi="Times New Roman" w:cs="Times New Roman"/>
          <w:i/>
          <w:sz w:val="24"/>
        </w:rPr>
        <w:t>The Scarlet Letter</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i/>
          <w:sz w:val="24"/>
        </w:rPr>
        <w:tab/>
      </w:r>
      <w:r>
        <w:rPr>
          <w:rFonts w:ascii="Times New Roman" w:hAnsi="Times New Roman" w:cs="Times New Roman"/>
          <w:sz w:val="24"/>
        </w:rPr>
        <w:t>William Shakespeare</w:t>
      </w:r>
      <w:r>
        <w:rPr>
          <w:rFonts w:ascii="Times New Roman" w:hAnsi="Times New Roman" w:cs="Times New Roman"/>
          <w:sz w:val="24"/>
        </w:rPr>
        <w:tab/>
        <w:t xml:space="preserve"> </w:t>
      </w:r>
      <w:r>
        <w:rPr>
          <w:rFonts w:ascii="Times New Roman" w:hAnsi="Times New Roman" w:cs="Times New Roman"/>
          <w:sz w:val="24"/>
        </w:rPr>
        <w:tab/>
      </w:r>
      <w:r>
        <w:rPr>
          <w:rFonts w:ascii="Times New Roman" w:hAnsi="Times New Roman" w:cs="Times New Roman"/>
          <w:i/>
          <w:sz w:val="24"/>
        </w:rPr>
        <w:t>Romeo and Juliet</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i/>
          <w:sz w:val="24"/>
        </w:rPr>
        <w:tab/>
      </w:r>
      <w:r>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Julius Caesar</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lastRenderedPageBreak/>
        <w:tab/>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Macbeth</w:t>
      </w:r>
    </w:p>
    <w:p w:rsidR="00850876" w:rsidRPr="009A2F2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sz w:val="24"/>
        </w:rPr>
        <w:tab/>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Hamlet</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sz w:val="24"/>
        </w:rPr>
        <w:tab/>
        <w:t>John Steinbeck</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Of Mice and Men</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i/>
          <w:sz w:val="24"/>
        </w:rPr>
        <w:tab/>
      </w:r>
      <w:r>
        <w:rPr>
          <w:rFonts w:ascii="Times New Roman" w:hAnsi="Times New Roman" w:cs="Times New Roman"/>
          <w:sz w:val="24"/>
        </w:rPr>
        <w:t>William Golding</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Lord of the Flies</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sz w:val="24"/>
        </w:rPr>
        <w:tab/>
        <w:t>Mark Twain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The Adventures of Huckleberry Finn</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i/>
          <w:sz w:val="24"/>
        </w:rPr>
        <w:tab/>
      </w:r>
      <w:r>
        <w:rPr>
          <w:rFonts w:ascii="Times New Roman" w:hAnsi="Times New Roman" w:cs="Times New Roman"/>
          <w:sz w:val="24"/>
        </w:rPr>
        <w:t>Arthur Miller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The Crucible</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i/>
          <w:sz w:val="24"/>
        </w:rPr>
        <w:tab/>
      </w:r>
      <w:r>
        <w:rPr>
          <w:rFonts w:ascii="Times New Roman" w:hAnsi="Times New Roman" w:cs="Times New Roman"/>
          <w:sz w:val="24"/>
        </w:rPr>
        <w:t>Lorraine Hansberry</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A Raisin in the Sun</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i/>
          <w:sz w:val="24"/>
        </w:rPr>
        <w:tab/>
      </w:r>
      <w:r>
        <w:rPr>
          <w:rFonts w:ascii="Times New Roman" w:hAnsi="Times New Roman" w:cs="Times New Roman"/>
          <w:sz w:val="24"/>
        </w:rPr>
        <w:t>John Knowles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A Separate Peace</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i/>
          <w:sz w:val="24"/>
        </w:rPr>
        <w:tab/>
      </w:r>
      <w:r>
        <w:rPr>
          <w:rFonts w:ascii="Times New Roman" w:hAnsi="Times New Roman" w:cs="Times New Roman"/>
          <w:sz w:val="24"/>
        </w:rPr>
        <w:t>George Orwell</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Animal Farm</w:t>
      </w:r>
    </w:p>
    <w:p w:rsidR="00850876" w:rsidRDefault="00850876" w:rsidP="00850876">
      <w:pPr>
        <w:spacing w:after="0" w:line="480" w:lineRule="auto"/>
        <w:contextualSpacing/>
        <w:jc w:val="both"/>
        <w:rPr>
          <w:rFonts w:ascii="Times New Roman" w:hAnsi="Times New Roman" w:cs="Times New Roman"/>
          <w:i/>
          <w:sz w:val="24"/>
        </w:rPr>
      </w:pPr>
      <w:r>
        <w:rPr>
          <w:rFonts w:ascii="Times New Roman" w:hAnsi="Times New Roman" w:cs="Times New Roman"/>
          <w:i/>
          <w:sz w:val="24"/>
        </w:rPr>
        <w:tab/>
      </w:r>
      <w:r>
        <w:rPr>
          <w:rFonts w:ascii="Times New Roman" w:hAnsi="Times New Roman" w:cs="Times New Roman"/>
          <w:sz w:val="24"/>
        </w:rPr>
        <w:t xml:space="preserve">Emily Bronte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Wuthering Heights</w:t>
      </w:r>
    </w:p>
    <w:p w:rsidR="00850876" w:rsidRPr="00C1281D"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 xml:space="preserve">This list encompasses neither all works regarded as “classics” nor all books taught in schools.  Rather, it attempts to synthesize the lists offered by the researchers, and it offers a reasonable inference vis-à-vis the most commonly taught works.   Though the researchers focus on a narrow range of years (i.e., 1991 and ca. 2002-2004), the similarity between the lists and the concept of “traditional stability” suggest these titles have remained somewhat constant.  This constancy also creates an ideological stability of sorts.  It provides assurance that the books’ messages, whatever they may be, have persisted and been frequently repeated.  These works’ continued presence and their boundless opportunity to influence students make them ideal for analyzing schools’ ideological underpinnings.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850876"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Overview of Ideologies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 analysis section </w:t>
      </w:r>
      <w:r w:rsidR="004B0DD5">
        <w:rPr>
          <w:rFonts w:ascii="Times New Roman" w:hAnsi="Times New Roman" w:cs="Times New Roman"/>
          <w:sz w:val="24"/>
        </w:rPr>
        <w:t>relies heavily on</w:t>
      </w:r>
      <w:r>
        <w:rPr>
          <w:rFonts w:ascii="Times New Roman" w:hAnsi="Times New Roman" w:cs="Times New Roman"/>
          <w:sz w:val="24"/>
        </w:rPr>
        <w:t xml:space="preserve"> Schiro’s (2007) four curricular ideologies: scholar academic, social efficiency, learner-centered, and social reconstruction.  Schiro </w:t>
      </w:r>
      <w:r>
        <w:rPr>
          <w:rFonts w:ascii="Times New Roman" w:hAnsi="Times New Roman" w:cs="Times New Roman"/>
          <w:sz w:val="24"/>
        </w:rPr>
        <w:lastRenderedPageBreak/>
        <w:t xml:space="preserve">has mostly used these labels to describe teachers’ and curriculum planners’ mindsets; he applies them to the </w:t>
      </w:r>
      <w:r>
        <w:rPr>
          <w:rFonts w:ascii="Times New Roman" w:hAnsi="Times New Roman" w:cs="Times New Roman"/>
          <w:i/>
          <w:sz w:val="24"/>
        </w:rPr>
        <w:t xml:space="preserve">goals </w:t>
      </w:r>
      <w:r>
        <w:rPr>
          <w:rFonts w:ascii="Times New Roman" w:hAnsi="Times New Roman" w:cs="Times New Roman"/>
          <w:sz w:val="24"/>
        </w:rPr>
        <w:t>of education rather than to the materials.  Cotti and Schiro (2004) once studied how teachers’ ideologies shaped use of children’s literature, but again, the study focused on teacher beliefs rather than the material’s ideological leanings.  This thesis, conversely, posits that literary works correspond roughly to – or, in many cases, have much in common with – Schiro’s four ideologies.  In other words, it aims to show that materials often have ideological biases, which might lead educational ideologues to select these materials.  Since the ideologies feature so prominently in the analysis, this section offers a brief overview and description of each.</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 </w:t>
      </w:r>
      <w:r w:rsidRPr="00B02A2F">
        <w:rPr>
          <w:rFonts w:ascii="Times New Roman" w:hAnsi="Times New Roman" w:cs="Times New Roman"/>
          <w:b/>
          <w:sz w:val="24"/>
        </w:rPr>
        <w:t>scholar academic</w:t>
      </w:r>
      <w:r>
        <w:rPr>
          <w:rFonts w:ascii="Times New Roman" w:hAnsi="Times New Roman" w:cs="Times New Roman"/>
          <w:sz w:val="24"/>
        </w:rPr>
        <w:t xml:space="preserve"> ideology emphasizes the study and expansion of accumulated cultural knowledge.  Over millennia, humanity has discovered and revised innumerable tomes of information.  Every scientific finding, every novel written, every artifact unearthed symbolizes an incremental furthering of our collective understanding.  Informed citizens, scholar academics argue, must be cognizant of this shared knowledge, and they must be aware of the past if they wish to contribute to the present and future.  Academia and scholarship serve as the means to these goals.  Each academic discipline houses a segment of cultural knowledge and acts as “one component of a literate culture” (Schiro, 2007, p. 19).  Scholars, armed with their predecessors’ work, engage in constant inquiry meant to fill the coffers of knowledge.  Though individual disciplines have disparate rules and customs, they all strive to broaden humanity’s outlook.</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In this model, schools serve as acculturation centers and students as scholars-in-training.  Scholar academics see cultural knowledge – awareness of the past and its intellectual implications – as vital to acculturation.  Ergo, they believe that schools should </w:t>
      </w:r>
      <w:r>
        <w:rPr>
          <w:rFonts w:ascii="Times New Roman" w:hAnsi="Times New Roman" w:cs="Times New Roman"/>
          <w:sz w:val="24"/>
        </w:rPr>
        <w:lastRenderedPageBreak/>
        <w:t xml:space="preserve">acquaint students with humanity’s achievements; it should initiate them into the world that their forebears have created.  This opinion shapes scholar academics’ views about curricula.  As Schiro says, they perceive the subject matter as “the essence of the academic disciplines, [the] central concern while creating curricula” (p. 22).  School may fulfill many purposes, but its primary objective lies in producing informed citizens who will seek new knowledge.  Instruction thus strives to prepare students to assume this role.  Curricula should not merely involve recitations of knowledge.  Rather, they should “[embody] a portion of the discipline … in such a way that students … will be exposed to the essence of the disciplines” (p. 21).  Lessons should place students in the context of a particular discipline: they should learn not only </w:t>
      </w:r>
      <w:r>
        <w:rPr>
          <w:rFonts w:ascii="Times New Roman" w:hAnsi="Times New Roman" w:cs="Times New Roman"/>
          <w:i/>
          <w:sz w:val="24"/>
        </w:rPr>
        <w:t xml:space="preserve">what </w:t>
      </w:r>
      <w:r>
        <w:rPr>
          <w:rFonts w:ascii="Times New Roman" w:hAnsi="Times New Roman" w:cs="Times New Roman"/>
          <w:sz w:val="24"/>
        </w:rPr>
        <w:t xml:space="preserve">a chemist knows but </w:t>
      </w:r>
      <w:r>
        <w:rPr>
          <w:rFonts w:ascii="Times New Roman" w:hAnsi="Times New Roman" w:cs="Times New Roman"/>
          <w:i/>
          <w:sz w:val="24"/>
        </w:rPr>
        <w:t xml:space="preserve">how </w:t>
      </w:r>
      <w:r>
        <w:rPr>
          <w:rFonts w:ascii="Times New Roman" w:hAnsi="Times New Roman" w:cs="Times New Roman"/>
          <w:sz w:val="24"/>
        </w:rPr>
        <w:t xml:space="preserve">a chemist approaches his or her work; they should experience the particular way in which a chemist constructs knowledge.  All facets of school work to convey the established knowledge of specific subjects and produce future scholars and discoverers. </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The </w:t>
      </w:r>
      <w:r>
        <w:rPr>
          <w:rFonts w:ascii="Times New Roman" w:hAnsi="Times New Roman" w:cs="Times New Roman"/>
          <w:b/>
          <w:sz w:val="24"/>
        </w:rPr>
        <w:t xml:space="preserve">social efficiency </w:t>
      </w:r>
      <w:r>
        <w:rPr>
          <w:rFonts w:ascii="Times New Roman" w:hAnsi="Times New Roman" w:cs="Times New Roman"/>
          <w:sz w:val="24"/>
        </w:rPr>
        <w:t xml:space="preserve">ideology sees school as a means to promote an orderly, efficient society.  Schools serve not only as dispensaries of knowledge but as breeding grounds for citizenship; they must not only teach but also prepare students to function and contribute.  To be blunter, schools in effect “[train] youth … in the skills and procedures … that they will need in the workplace and home in order to lead productive lives” (Cotti &amp; Schiro, 2004, p. 337).  This ideology presents education as a tool for socialization and social conditioning.  Schools represent a microcosm of the larger society; within their halls students learn to collaborate with peers, settle disputes, practice self-restraint – behaviors necessary for prosocial acclimation.  Moreover, education endows them with skills (e.g., writing, mathematical, mechanical) they can use to secure </w:t>
      </w:r>
      <w:r>
        <w:rPr>
          <w:rFonts w:ascii="Times New Roman" w:hAnsi="Times New Roman" w:cs="Times New Roman"/>
          <w:sz w:val="24"/>
        </w:rPr>
        <w:lastRenderedPageBreak/>
        <w:t>jobs.  Overall, social efficiency focuses less on content and more on eliciting desirable behaviors (Schiro, 2007, p. 58), and it tacitly asserts that schools exist to promote social order and to inculcate behaviors conducive to a stable society.</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This ideology positions students as future workers shaped by a concerted behaviorist experiment.  Schiro’s description invokes terms associated with behaviorism such as “stimuli,” the correct responses to which earn students “reinforcements,” or rewards (p. 61).  His mentioning this particular social science conveys the true objective of the ideology.  Social efficiency focuses not only on enhancing knowledge but also on modifying students’ behaviors.  Like behaviorism, it equates performance with mastery.  Students may memorize the steps to composing an essay, but they have not comprehended this material until they can </w:t>
      </w:r>
      <w:r w:rsidRPr="004505F3">
        <w:rPr>
          <w:rFonts w:ascii="Times New Roman" w:hAnsi="Times New Roman"/>
          <w:i/>
          <w:sz w:val="24"/>
        </w:rPr>
        <w:t>use</w:t>
      </w:r>
      <w:r>
        <w:rPr>
          <w:rFonts w:ascii="Times New Roman" w:hAnsi="Times New Roman" w:cs="Times New Roman"/>
          <w:sz w:val="24"/>
        </w:rPr>
        <w:t xml:space="preserve"> specific writing strategies.  Such curricula seek to satisfy the omnipotent “consumer market,” society’s demand for certain skills.  An educated student represents a “finished product,” a worker armed with skills deemed necessary for particular jobs (p. 66).  This vaguely mechanistic term conjures images of robots – </w:t>
      </w:r>
      <w:r>
        <w:rPr>
          <w:rFonts w:ascii="Times New Roman" w:hAnsi="Times New Roman" w:cs="Times New Roman"/>
          <w:i/>
          <w:sz w:val="24"/>
        </w:rPr>
        <w:t xml:space="preserve">not </w:t>
      </w:r>
      <w:r>
        <w:rPr>
          <w:rFonts w:ascii="Times New Roman" w:hAnsi="Times New Roman" w:cs="Times New Roman"/>
          <w:sz w:val="24"/>
        </w:rPr>
        <w:t xml:space="preserve">living, breathing humans – being programmed to maintain the cogs that keep society spinning.  The ideology thus stresses collective good rather than individual fulfillment; it envisions a school system that attempts to transform students into competent workers who will ensure social stability.    </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 The </w:t>
      </w:r>
      <w:r>
        <w:rPr>
          <w:rFonts w:ascii="Times New Roman" w:hAnsi="Times New Roman" w:cs="Times New Roman"/>
          <w:b/>
          <w:sz w:val="24"/>
        </w:rPr>
        <w:t xml:space="preserve">learner-centered </w:t>
      </w:r>
      <w:r>
        <w:rPr>
          <w:rFonts w:ascii="Times New Roman" w:hAnsi="Times New Roman" w:cs="Times New Roman"/>
          <w:sz w:val="24"/>
        </w:rPr>
        <w:t xml:space="preserve">ideology focuses on developing each learner’s potential and catering to his or her interests.  Once called “progressive education,” this ideology shifts attention from the “academic subjects” to the students themselves (Schiro, 2007, p. 105).  It acknowledges that every student has different interests and abilities, and it aims to create curricula that address every student’s desires and inclinations.  Schiro cites an </w:t>
      </w:r>
      <w:r>
        <w:rPr>
          <w:rFonts w:ascii="Times New Roman" w:hAnsi="Times New Roman" w:cs="Times New Roman"/>
          <w:sz w:val="24"/>
        </w:rPr>
        <w:lastRenderedPageBreak/>
        <w:t>example in which a teacher creates an outdoor laboratory comprising multiple stations.  Students choose which station they visit and which facet of nature they study.  Some may opt to examine the plants in the area, while others may be interested in the insects that roam the landscape.  In this example, the teacher has constructed a learning environment that aims to impart certain knowledge (i.e., the features of the environment), but students can control the knowledge they pursue and decide what intrigues them.  The ideology asserts that “it is important for children to make choices about what they will learn and … direct their own learning” (p. 101).  It advocates tailoring curricula to students rather than vice versa.</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Unlike scholar academics and social-efficiency ideologues, the learner-centered ideology centers on students’ unique attitudes toward learning.  The former two ideologies certainly strive to produce educated students, but their goals and curricula treat the students’ preferences and individuality as secondary considerations.  Scholar academics encourage students to choose an academic discipline… only so that they can further study and expand that discipline in the future.  Social-efficiency educators teach students skills to integrate into and contribute to society… only so that they can perpetuate the current social system.  Learner-centered ideologues, conversely, place sole emphasis on students and their learning idiosyncrasies.  No two students learn in the same fashion, and no two have exactly the same interests.  A rigidly standardized curriculum ignores students’ interests, the paces at which they learn, the styles in which they learn.  With individualization comes greater student engagement and inclusivity – in other words, a way for all students to access the material.  The learner-centered ideology grounds itself in this student-centric mindset.  </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lastRenderedPageBreak/>
        <w:t xml:space="preserve">The </w:t>
      </w:r>
      <w:r>
        <w:rPr>
          <w:rFonts w:ascii="Times New Roman" w:hAnsi="Times New Roman" w:cs="Times New Roman"/>
          <w:b/>
          <w:sz w:val="24"/>
        </w:rPr>
        <w:t xml:space="preserve">social reconstruction </w:t>
      </w:r>
      <w:r>
        <w:rPr>
          <w:rFonts w:ascii="Times New Roman" w:hAnsi="Times New Roman" w:cs="Times New Roman"/>
          <w:sz w:val="24"/>
        </w:rPr>
        <w:t>ideology claims that schools should instill activism and a desire to redress social ills.  According to Schiro, social reconstructionists see a society plagued by systemic issues: poverty, sexism, racism, religious intolerance, violence, etc.  They concern themselves not with perpetuating the status quo but with reforming it; they seize upon any opportunity to correct injustice or empower marginalized groups.  In this endeavor they have identified schools’ potential to foster social awareness.  Schiro (2007, p. 152) provides a summary of reconstructionists’ views regarding education:</w:t>
      </w:r>
    </w:p>
    <w:p w:rsidR="00850876" w:rsidRDefault="00850876" w:rsidP="00E357CF">
      <w:pPr>
        <w:spacing w:after="0" w:line="240" w:lineRule="auto"/>
        <w:ind w:left="720"/>
        <w:contextualSpacing/>
        <w:jc w:val="both"/>
        <w:rPr>
          <w:rFonts w:ascii="Times New Roman" w:hAnsi="Times New Roman" w:cs="Times New Roman"/>
          <w:sz w:val="24"/>
        </w:rPr>
      </w:pPr>
      <w:r>
        <w:rPr>
          <w:rFonts w:ascii="Times New Roman" w:hAnsi="Times New Roman" w:cs="Times New Roman"/>
          <w:sz w:val="24"/>
        </w:rPr>
        <w:t>Social Reconstructionists assume that education … has the power to educate people to analyze and understand social problems, envision a world in which those problems, and act so as to bring that vision into existence.  Thus, education of individuals in appropriately revitalized schools can lead to social transformation.</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From this perspective, school becomes a forum in which students discuss and formulate solutions to prominent issues.  Reconstructionist curricula base their activities on heightening students’ social awareness and conscience.  For example, a lesson might ask students to “compare world wealth distribution to continental population” or “analyze police data for racial profiling” (p. 156).  These activities reflect the reconstructionist mission to stir empathy among students.  Often, children – not to mention people in general – live in comfortable ignorance; they have little interaction with people different from themselves.  The social reconstructionist ideology attempts to rectify that ignorance.  It uses education to show students the harsh inequities of the world and to convey the plights of numerous peoples, minorities, and even the environment.</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This ideology asserts that education should exert its influence to make students into future reformers and iconoclasts.  Schiro interviews a teacher who claims that education can never be “neutral” (p. 160).  Word problems, for example, may contain </w:t>
      </w:r>
      <w:r>
        <w:rPr>
          <w:rFonts w:ascii="Times New Roman" w:hAnsi="Times New Roman" w:cs="Times New Roman"/>
          <w:sz w:val="24"/>
        </w:rPr>
        <w:lastRenderedPageBreak/>
        <w:t xml:space="preserve">implicit directives or messages.  Asking students to determine the cost of a candy bar tacitly encourages consumerism and unhealthy habits, while calculating mileage subtly promotes motor vehicles, many of which emit greenhouse gases (p. 160).  Social reconstructionists recognize the influence education holds, and they propose to use it to society’s advantage.  If students will receive messages anyway, why should not these messages be ones that spur action or dedication to social improvement?  Students, if exposed to assignments and readings that detail social ills, might adopt a spirit of reform and public service.  They need only have teachers committed to empathetic education and schools willing to acknowledge social inequities – schools willing to challenge the status quo rather than maintain it.  Like the scholar academic and social efficiency ideologies, social reconstruction perceives education as a utility.  In this case, however, its usefulness rests in its potential to fix social problems.  </w:t>
      </w:r>
      <w:r>
        <w:rPr>
          <w:rFonts w:ascii="Times New Roman" w:hAnsi="Times New Roman" w:cs="Times New Roman"/>
          <w:sz w:val="24"/>
        </w:rPr>
        <w:tab/>
      </w:r>
    </w:p>
    <w:p w:rsidR="00850876"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Creation of Analytical Categories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As I studied the ideologies, I began to wonder how they might be applied to literature – not just to teachers’ beliefs but to the material teachers teach and to the books students read.  Each ideology presents a firm viewpoint, a vision of what education should be and how classrooms should be run.  As Schiro notes, the ideologies have long battled for dominance, inciting conflict among educators (p. 1).  This vehemence raises concerns about how ideology affects curriculum.  Often, ardent ideologues feel compelled to propagate their beliefs, and they employ whatever means they have to effect this goal.  A political ideologue</w:t>
      </w:r>
      <w:r w:rsidR="002837F2">
        <w:rPr>
          <w:rFonts w:ascii="Times New Roman" w:hAnsi="Times New Roman" w:cs="Times New Roman"/>
          <w:sz w:val="24"/>
        </w:rPr>
        <w:t xml:space="preserve"> </w:t>
      </w:r>
      <w:r>
        <w:rPr>
          <w:rFonts w:ascii="Times New Roman" w:hAnsi="Times New Roman" w:cs="Times New Roman"/>
          <w:sz w:val="24"/>
        </w:rPr>
        <w:t xml:space="preserve">might deliver impassioned speeches on television, or a religious ideologue might leap atop the pulpit to assert a particular view of life.  How, then, would a teacher-ideologue promote his or her views?  The question produces a logical, </w:t>
      </w:r>
      <w:r>
        <w:rPr>
          <w:rFonts w:ascii="Times New Roman" w:hAnsi="Times New Roman" w:cs="Times New Roman"/>
          <w:sz w:val="24"/>
        </w:rPr>
        <w:lastRenderedPageBreak/>
        <w:t xml:space="preserve">predictable answer: by using curricula, lessons, and educational materials.  Their ideologies may never be communicated explicitly, as regular classroom routine allows little time for discussion of such topics.  However, their ideologies might permeate their classrooms, dictating their management, presentation of materials, and even selection of materials.  Specifically, English teachers and curriculum planners might choose books that represent or propagate certain messages – messages that roughly correspond to the curricular ideologies.  Schiro may have never applied his ideologies to novels, but educational ideologues may </w:t>
      </w:r>
      <w:r>
        <w:rPr>
          <w:rFonts w:ascii="Times New Roman" w:hAnsi="Times New Roman" w:cs="Times New Roman"/>
          <w:i/>
          <w:sz w:val="24"/>
        </w:rPr>
        <w:t xml:space="preserve">have </w:t>
      </w:r>
      <w:r>
        <w:rPr>
          <w:rFonts w:ascii="Times New Roman" w:hAnsi="Times New Roman" w:cs="Times New Roman"/>
          <w:sz w:val="24"/>
        </w:rPr>
        <w:t>taken that initiative.</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This thesis attempts to (1) establish this link between literature and curricular ideology and (2) show what messages the preponderance – or lack thereof – of certain ideologies among the novels reveals about the school system.  Is one ideology overrepresented or underrepresented among the commonly taught novels?  How does the ideological spread, so to speak, relate to writings and criticisms about the school system?  To answer these questions, I had to create a system to place the novels into ideological categories.  Analyzing Schiro’s work, I determined what attributes novels of each ideology might contain or evince.  In other words, I tried to connect the characteristics of each ideology to characteristics of literary works – characters, plot developments, figurative language, etc.  My efforts yielded the following literary and ideological taxonomy:</w:t>
      </w:r>
    </w:p>
    <w:p w:rsidR="00850876" w:rsidRDefault="00850876" w:rsidP="00850876">
      <w:pPr>
        <w:pStyle w:val="ListParagraph"/>
        <w:numPr>
          <w:ilvl w:val="0"/>
          <w:numId w:val="1"/>
        </w:numPr>
        <w:spacing w:after="0" w:line="480" w:lineRule="auto"/>
        <w:jc w:val="both"/>
        <w:rPr>
          <w:rFonts w:ascii="Times New Roman" w:hAnsi="Times New Roman" w:cs="Times New Roman"/>
          <w:sz w:val="24"/>
        </w:rPr>
      </w:pPr>
      <w:r w:rsidRPr="00BE440E">
        <w:rPr>
          <w:rFonts w:ascii="Times New Roman" w:hAnsi="Times New Roman" w:cs="Times New Roman"/>
          <w:sz w:val="24"/>
        </w:rPr>
        <w:t>The</w:t>
      </w:r>
      <w:r>
        <w:rPr>
          <w:rFonts w:ascii="Times New Roman" w:hAnsi="Times New Roman" w:cs="Times New Roman"/>
          <w:i/>
          <w:sz w:val="24"/>
        </w:rPr>
        <w:t xml:space="preserve"> scholar academic work</w:t>
      </w:r>
      <w:r>
        <w:rPr>
          <w:rFonts w:ascii="Times New Roman" w:hAnsi="Times New Roman" w:cs="Times New Roman"/>
          <w:sz w:val="24"/>
        </w:rPr>
        <w:t xml:space="preserve"> </w:t>
      </w:r>
      <w:r w:rsidR="001F1F75">
        <w:rPr>
          <w:rFonts w:ascii="Times New Roman" w:hAnsi="Times New Roman" w:cs="Times New Roman"/>
          <w:sz w:val="24"/>
        </w:rPr>
        <w:t>has</w:t>
      </w:r>
      <w:r>
        <w:rPr>
          <w:rFonts w:ascii="Times New Roman" w:hAnsi="Times New Roman" w:cs="Times New Roman"/>
          <w:sz w:val="24"/>
        </w:rPr>
        <w:t xml:space="preserve"> a heavily didactic mindset.  All literature could be said to “teach” the audience, but scholar academic-oriented works prioritize conveyance of facts – the “knowledge of a discipline” – over ambiguity and symbolism.  These works likely rely greatly on exposition and explicit detail.  </w:t>
      </w:r>
      <w:r>
        <w:rPr>
          <w:rFonts w:ascii="Times New Roman" w:hAnsi="Times New Roman" w:cs="Times New Roman"/>
          <w:sz w:val="24"/>
        </w:rPr>
        <w:lastRenderedPageBreak/>
        <w:t xml:space="preserve">Robert Graves’ </w:t>
      </w:r>
      <w:r>
        <w:rPr>
          <w:rFonts w:ascii="Times New Roman" w:hAnsi="Times New Roman" w:cs="Times New Roman"/>
          <w:i/>
          <w:sz w:val="24"/>
        </w:rPr>
        <w:t xml:space="preserve">I, Claudius </w:t>
      </w:r>
      <w:r>
        <w:rPr>
          <w:rFonts w:ascii="Times New Roman" w:hAnsi="Times New Roman" w:cs="Times New Roman"/>
          <w:sz w:val="24"/>
        </w:rPr>
        <w:t xml:space="preserve">(1935) symbolizes the quintessential scholar-academic novel.  Its dramatic intrigue and soap-opera antics merely serve as vehicles to accomplish its true purpose: to educate readers on the players and events of Ancient Rome.  It provides dates, chronologies, even a family tree; it supplements the catty dialogue with lengthy passages detailing the events’ historical context.  The term “historical fiction” seems incredibly apt, as the novel merely adds fictional touches to a scholarly account.  Not all scholar-academic novels have a historical basis, but they likely share </w:t>
      </w:r>
      <w:r>
        <w:rPr>
          <w:rFonts w:ascii="Times New Roman" w:hAnsi="Times New Roman" w:cs="Times New Roman"/>
          <w:i/>
          <w:sz w:val="24"/>
        </w:rPr>
        <w:t>I, Claudius</w:t>
      </w:r>
      <w:r>
        <w:rPr>
          <w:rFonts w:ascii="Times New Roman" w:hAnsi="Times New Roman" w:cs="Times New Roman"/>
          <w:sz w:val="24"/>
        </w:rPr>
        <w:t>’ penchant for dispensing abundant information in a clear, unambiguous manner.  Such methods work well in introducing readers to a certain discipline or course of study.</w:t>
      </w:r>
    </w:p>
    <w:p w:rsidR="00850876" w:rsidRDefault="00850876" w:rsidP="00850876">
      <w:pPr>
        <w:pStyle w:val="ListParagraph"/>
        <w:numPr>
          <w:ilvl w:val="0"/>
          <w:numId w:val="1"/>
        </w:numPr>
        <w:spacing w:after="0" w:line="480" w:lineRule="auto"/>
        <w:jc w:val="both"/>
        <w:rPr>
          <w:rFonts w:ascii="Times New Roman" w:hAnsi="Times New Roman" w:cs="Times New Roman"/>
          <w:sz w:val="24"/>
        </w:rPr>
      </w:pPr>
      <w:r>
        <w:rPr>
          <w:rFonts w:ascii="Times New Roman" w:hAnsi="Times New Roman" w:cs="Times New Roman"/>
          <w:sz w:val="24"/>
        </w:rPr>
        <w:t xml:space="preserve">The </w:t>
      </w:r>
      <w:r>
        <w:rPr>
          <w:rFonts w:ascii="Times New Roman" w:hAnsi="Times New Roman" w:cs="Times New Roman"/>
          <w:i/>
          <w:sz w:val="24"/>
        </w:rPr>
        <w:t xml:space="preserve">social efficiency work </w:t>
      </w:r>
      <w:r>
        <w:rPr>
          <w:rFonts w:ascii="Times New Roman" w:hAnsi="Times New Roman" w:cs="Times New Roman"/>
          <w:sz w:val="24"/>
        </w:rPr>
        <w:t xml:space="preserve">shows the consequences of some socially maladaptive behavior(s).  The ideology itself emphasizes the importance of “perpetuat[ing] the functioning of society” (Schiro, 2007, p. 69), but harmonious, properly functioning societies make for boring stories.  Consequently, social efficiency-oriented novels promote the ideology by depicting socially </w:t>
      </w:r>
      <w:r>
        <w:rPr>
          <w:rFonts w:ascii="Times New Roman" w:hAnsi="Times New Roman" w:cs="Times New Roman"/>
          <w:i/>
          <w:sz w:val="24"/>
        </w:rPr>
        <w:t xml:space="preserve">inefficient </w:t>
      </w:r>
      <w:r>
        <w:rPr>
          <w:rFonts w:ascii="Times New Roman" w:hAnsi="Times New Roman" w:cs="Times New Roman"/>
          <w:sz w:val="24"/>
        </w:rPr>
        <w:t xml:space="preserve">behavior.  They feature characters who defy social convention and ultimately receive some punishment.  The characters’ fates tacitly convey society’s expectations and harsh of view of aberration.  Consider, for example, Anthony Burgess’ </w:t>
      </w:r>
      <w:r>
        <w:rPr>
          <w:rFonts w:ascii="Times New Roman" w:hAnsi="Times New Roman" w:cs="Times New Roman"/>
          <w:i/>
          <w:sz w:val="24"/>
        </w:rPr>
        <w:t xml:space="preserve">A Clockwork Orange </w:t>
      </w:r>
      <w:r>
        <w:rPr>
          <w:rFonts w:ascii="Times New Roman" w:hAnsi="Times New Roman" w:cs="Times New Roman"/>
          <w:sz w:val="24"/>
        </w:rPr>
        <w:t xml:space="preserve">(1962).  The novel’s protagonists, juvenile delinquents, speak in strange code; they break laws and mores alike, disrupting social order and disturbing public peace.  Ultimately, however, they submit to society’s expectations: the main character undergoes therapy and emerges a productive citizen who has “like groweth up” (p. 141).  This conclusion suggests that all individuals, no matter </w:t>
      </w:r>
      <w:r>
        <w:rPr>
          <w:rFonts w:ascii="Times New Roman" w:hAnsi="Times New Roman" w:cs="Times New Roman"/>
          <w:sz w:val="24"/>
        </w:rPr>
        <w:lastRenderedPageBreak/>
        <w:t>how rebellious, will eventually conform.  Social efficiency-minded novels show what occurs when individuals deviate from prescribed behaviors, and they suggest that only adherence to social norms, observation of appropriate behavior, yields a copacetic result.  At times they may be grand in their messages, at other times subtle, but they all depict some punishment of bad behavior and some exhortation to follow social guidelines.</w:t>
      </w:r>
    </w:p>
    <w:p w:rsidR="00850876" w:rsidRDefault="00850876" w:rsidP="00850876">
      <w:pPr>
        <w:pStyle w:val="ListParagraph"/>
        <w:numPr>
          <w:ilvl w:val="0"/>
          <w:numId w:val="1"/>
        </w:numPr>
        <w:spacing w:after="0" w:line="480" w:lineRule="auto"/>
        <w:jc w:val="both"/>
        <w:rPr>
          <w:rFonts w:ascii="Times New Roman" w:hAnsi="Times New Roman" w:cs="Times New Roman"/>
          <w:sz w:val="24"/>
        </w:rPr>
      </w:pPr>
      <w:r>
        <w:rPr>
          <w:rFonts w:ascii="Times New Roman" w:hAnsi="Times New Roman" w:cs="Times New Roman"/>
          <w:sz w:val="24"/>
        </w:rPr>
        <w:t xml:space="preserve">The </w:t>
      </w:r>
      <w:r>
        <w:rPr>
          <w:rFonts w:ascii="Times New Roman" w:hAnsi="Times New Roman" w:cs="Times New Roman"/>
          <w:i/>
          <w:sz w:val="24"/>
        </w:rPr>
        <w:t>learner-centered work</w:t>
      </w:r>
      <w:r>
        <w:rPr>
          <w:rFonts w:ascii="Times New Roman" w:hAnsi="Times New Roman" w:cs="Times New Roman"/>
          <w:sz w:val="24"/>
        </w:rPr>
        <w:t xml:space="preserve"> deals in ambiguity, allowing readers to form their own inferences and interpretations.  A true learner-centered work would seemingly be any a student chooses.  After all, the ideology encourages students to pursue subjects they deem interesting, and they could conceivably choose a novel of any type and by any author.  However, I argue that certain works display a learner-centered mindset; their plots, simultaneously rich and ambiguous, invite readers to create their own subtext and delve deeply into the fictional world.  They often raise moral questions or challenge conventional ideas, leaving readers to be the ultimate judges.  Perhaps the quintessential example comes in the form of John Milton’s </w:t>
      </w:r>
      <w:r>
        <w:rPr>
          <w:rFonts w:ascii="Times New Roman" w:hAnsi="Times New Roman" w:cs="Times New Roman"/>
          <w:i/>
          <w:sz w:val="24"/>
        </w:rPr>
        <w:t>Paradise Lost</w:t>
      </w:r>
      <w:r w:rsidR="00E62C2C">
        <w:rPr>
          <w:rFonts w:ascii="Times New Roman" w:hAnsi="Times New Roman" w:cs="Times New Roman"/>
          <w:i/>
          <w:sz w:val="24"/>
        </w:rPr>
        <w:t xml:space="preserve"> </w:t>
      </w:r>
      <w:r w:rsidR="00E62C2C">
        <w:rPr>
          <w:rFonts w:ascii="Times New Roman" w:hAnsi="Times New Roman" w:cs="Times New Roman"/>
          <w:sz w:val="24"/>
        </w:rPr>
        <w:t>(2005)</w:t>
      </w:r>
      <w:r>
        <w:rPr>
          <w:rFonts w:ascii="Times New Roman" w:hAnsi="Times New Roman" w:cs="Times New Roman"/>
          <w:sz w:val="24"/>
        </w:rPr>
        <w:t>.  The epic poem casts Satan as the protagonist, subverting typical conceptions of good and evil.  How can the “bad” guy be the hero of the story?  Satan’s ruminations further attack normal perceptions of right and wrong, such as when he states, “Better to reign in Hell, then [</w:t>
      </w:r>
      <w:r>
        <w:rPr>
          <w:rFonts w:ascii="Times New Roman" w:hAnsi="Times New Roman" w:cs="Times New Roman"/>
          <w:i/>
          <w:sz w:val="24"/>
        </w:rPr>
        <w:t>sic</w:t>
      </w:r>
      <w:r>
        <w:rPr>
          <w:rFonts w:ascii="Times New Roman" w:hAnsi="Times New Roman" w:cs="Times New Roman"/>
          <w:sz w:val="24"/>
        </w:rPr>
        <w:t xml:space="preserve">] serve in Heav’n” (Book 1, l. 263).  This statement contradicts conventional morality in which Heaven represents salvation and hell damnation.  Why should people seek salvation if salvation is synonymous with subservience?  The poem thus displays a learner-centered mentality, posing questions that readers must ultimately form </w:t>
      </w:r>
      <w:r>
        <w:rPr>
          <w:rFonts w:ascii="Times New Roman" w:hAnsi="Times New Roman" w:cs="Times New Roman"/>
          <w:sz w:val="24"/>
        </w:rPr>
        <w:lastRenderedPageBreak/>
        <w:t>the answers.  Unlike scholar-academic or social-efficiency works, it seeks not to dispense information or inculcate certain behaviors; it eschews such blatant efforts to sway readers.  Rather, it and works like it feature deliberate ambiguity or lofty questions that force readers to make inferences or judgments.</w:t>
      </w:r>
    </w:p>
    <w:p w:rsidR="00850876" w:rsidRDefault="00850876" w:rsidP="00850876">
      <w:pPr>
        <w:pStyle w:val="ListParagraph"/>
        <w:numPr>
          <w:ilvl w:val="0"/>
          <w:numId w:val="1"/>
        </w:numPr>
        <w:spacing w:after="0" w:line="480" w:lineRule="auto"/>
        <w:jc w:val="both"/>
        <w:rPr>
          <w:rFonts w:ascii="Times New Roman" w:hAnsi="Times New Roman" w:cs="Times New Roman"/>
          <w:sz w:val="24"/>
        </w:rPr>
      </w:pPr>
      <w:r>
        <w:rPr>
          <w:rFonts w:ascii="Times New Roman" w:hAnsi="Times New Roman" w:cs="Times New Roman"/>
          <w:sz w:val="24"/>
        </w:rPr>
        <w:t xml:space="preserve">The </w:t>
      </w:r>
      <w:r>
        <w:rPr>
          <w:rFonts w:ascii="Times New Roman" w:hAnsi="Times New Roman" w:cs="Times New Roman"/>
          <w:i/>
          <w:sz w:val="24"/>
        </w:rPr>
        <w:t xml:space="preserve">social reconstruction work </w:t>
      </w:r>
      <w:r>
        <w:rPr>
          <w:rFonts w:ascii="Times New Roman" w:hAnsi="Times New Roman" w:cs="Times New Roman"/>
          <w:sz w:val="24"/>
        </w:rPr>
        <w:t xml:space="preserve">identifies, examines, and may even offer solutions to social inequities.  While all works could be construed to have a “moral,” social reconstruction works make explicit their desire for social justice.  Often, they feature characters belonging to disadvantaged or marginalized groups (e.g., racial, sexual, socioeconomic), and they emphasize the difficulties and injustices these groups suffer, in the process criticizing social institutions that permit such injustices.  Toni Morrison’s </w:t>
      </w:r>
      <w:r>
        <w:rPr>
          <w:rFonts w:ascii="Times New Roman" w:hAnsi="Times New Roman" w:cs="Times New Roman"/>
          <w:i/>
          <w:sz w:val="24"/>
        </w:rPr>
        <w:t xml:space="preserve">The Bluest Eye </w:t>
      </w:r>
      <w:r>
        <w:rPr>
          <w:rFonts w:ascii="Times New Roman" w:hAnsi="Times New Roman" w:cs="Times New Roman"/>
          <w:sz w:val="24"/>
        </w:rPr>
        <w:t>(1970) exemplifies the social-reconstructionist mentality.  It details the struggles of black women who grapple with domestic abuse, economic insecurity, and Eurocentric beauty ideals.  The characters’ interactions with white people, the ruling majority, further demonstrate the difficulties of their lives.  One character, for example, must neglect her own children to care for her white employer’s daughter.  The characters’ obstacles, though fictional, indicate wider societal problems; they offer a glimpse into the racism and hardship that affect real individuals’ lives.  Moreover, the novel implicitly criticizes the social and economic institutions that have yielded these unequal conditions.  These depictions of social injustices and calls for reform characterize social reconstruction-oriented works and their commitment to raising awareness.</w:t>
      </w:r>
    </w:p>
    <w:p w:rsidR="00204305" w:rsidRDefault="00204305" w:rsidP="00850876">
      <w:pPr>
        <w:spacing w:after="0" w:line="480" w:lineRule="auto"/>
        <w:jc w:val="both"/>
        <w:rPr>
          <w:rFonts w:ascii="Times New Roman" w:hAnsi="Times New Roman" w:cs="Times New Roman"/>
          <w:b/>
          <w:i/>
          <w:sz w:val="24"/>
        </w:rPr>
      </w:pPr>
    </w:p>
    <w:p w:rsidR="00850876" w:rsidRPr="00430EDF" w:rsidRDefault="00850876" w:rsidP="00850876">
      <w:pPr>
        <w:spacing w:after="0" w:line="480" w:lineRule="auto"/>
        <w:jc w:val="both"/>
        <w:rPr>
          <w:rFonts w:ascii="Times New Roman" w:hAnsi="Times New Roman" w:cs="Times New Roman"/>
          <w:b/>
          <w:i/>
          <w:sz w:val="24"/>
        </w:rPr>
      </w:pPr>
      <w:r>
        <w:rPr>
          <w:rFonts w:ascii="Times New Roman" w:hAnsi="Times New Roman" w:cs="Times New Roman"/>
          <w:b/>
          <w:i/>
          <w:sz w:val="24"/>
        </w:rPr>
        <w:lastRenderedPageBreak/>
        <w:t>Analytical Process</w:t>
      </w:r>
    </w:p>
    <w:p w:rsidR="00850876" w:rsidRDefault="00850876" w:rsidP="00850876">
      <w:pPr>
        <w:spacing w:after="0" w:line="480" w:lineRule="auto"/>
        <w:ind w:firstLine="720"/>
        <w:jc w:val="both"/>
        <w:rPr>
          <w:rFonts w:ascii="Times New Roman" w:hAnsi="Times New Roman" w:cs="Times New Roman"/>
          <w:sz w:val="24"/>
        </w:rPr>
      </w:pPr>
      <w:r w:rsidRPr="00430EDF">
        <w:rPr>
          <w:rFonts w:ascii="Times New Roman" w:hAnsi="Times New Roman" w:cs="Times New Roman"/>
          <w:sz w:val="24"/>
        </w:rPr>
        <w:t>Using these categories, I classified each work through a holistic analysis.  Any work cou</w:t>
      </w:r>
      <w:r>
        <w:rPr>
          <w:rFonts w:ascii="Times New Roman" w:hAnsi="Times New Roman" w:cs="Times New Roman"/>
          <w:sz w:val="24"/>
        </w:rPr>
        <w:t xml:space="preserve">ld possibly display qualities of multiple ideologies.  A social-efficiency work might show how discrimination disrupts the social order, incorporating elements of social reconstruction, or a social-reconstruction work might attempt to dispense historical information about a certain group, thus employing a scholar-academic approach.  Therefore, I examined each novel in its entirety and placed it into the category it most closely fit.  I compared the components of the novels – dialogue, plot development, figurative language – to Schiro’s descriptions of the four ideologies, and I attempted to show how each novel </w:t>
      </w:r>
      <w:r w:rsidR="00E96B5D">
        <w:rPr>
          <w:rFonts w:ascii="Times New Roman" w:hAnsi="Times New Roman" w:cs="Times New Roman"/>
          <w:sz w:val="24"/>
        </w:rPr>
        <w:t>lent itself well to</w:t>
      </w:r>
      <w:r>
        <w:rPr>
          <w:rFonts w:ascii="Times New Roman" w:hAnsi="Times New Roman" w:cs="Times New Roman"/>
          <w:sz w:val="24"/>
        </w:rPr>
        <w:t xml:space="preserve"> a particular ideology through its similarity to Schiro’s descriptions.  </w:t>
      </w:r>
      <w:r w:rsidR="000D40B8">
        <w:rPr>
          <w:rFonts w:ascii="Times New Roman" w:hAnsi="Times New Roman" w:cs="Times New Roman"/>
          <w:sz w:val="24"/>
        </w:rPr>
        <w:t xml:space="preserve">In several instances, a work appeared to straddle the boundary between two ideologies.  This taxonomic ambiguity required a certain degree of subjectivity to </w:t>
      </w:r>
      <w:r w:rsidR="00893F8B">
        <w:rPr>
          <w:rFonts w:ascii="Times New Roman" w:hAnsi="Times New Roman" w:cs="Times New Roman"/>
          <w:sz w:val="24"/>
        </w:rPr>
        <w:t>re</w:t>
      </w:r>
      <w:r w:rsidR="000D40B8">
        <w:rPr>
          <w:rFonts w:ascii="Times New Roman" w:hAnsi="Times New Roman" w:cs="Times New Roman"/>
          <w:sz w:val="24"/>
        </w:rPr>
        <w:t xml:space="preserve">solve; though I supported my statements with quotations from literary works and scholarly </w:t>
      </w:r>
      <w:r w:rsidR="00893F8B">
        <w:rPr>
          <w:rFonts w:ascii="Times New Roman" w:hAnsi="Times New Roman" w:cs="Times New Roman"/>
          <w:sz w:val="24"/>
        </w:rPr>
        <w:t xml:space="preserve">sources, I ultimately had to decide which ideology a particular work most strongly espoused.  To compensate, I </w:t>
      </w:r>
      <w:r w:rsidR="00C82175">
        <w:rPr>
          <w:rFonts w:ascii="Times New Roman" w:hAnsi="Times New Roman" w:cs="Times New Roman"/>
          <w:sz w:val="24"/>
        </w:rPr>
        <w:t>note</w:t>
      </w:r>
      <w:r w:rsidR="004975BF">
        <w:rPr>
          <w:rFonts w:ascii="Times New Roman" w:hAnsi="Times New Roman" w:cs="Times New Roman"/>
          <w:sz w:val="24"/>
        </w:rPr>
        <w:t xml:space="preserve">d whenever a work </w:t>
      </w:r>
      <w:r w:rsidR="001F1F75">
        <w:rPr>
          <w:rFonts w:ascii="Times New Roman" w:hAnsi="Times New Roman" w:cs="Times New Roman"/>
          <w:sz w:val="24"/>
        </w:rPr>
        <w:t>contained</w:t>
      </w:r>
      <w:r w:rsidR="004975BF">
        <w:rPr>
          <w:rFonts w:ascii="Times New Roman" w:hAnsi="Times New Roman" w:cs="Times New Roman"/>
          <w:sz w:val="24"/>
        </w:rPr>
        <w:t xml:space="preserve"> elements of multiple ideologies.  </w:t>
      </w:r>
      <w:r>
        <w:rPr>
          <w:rFonts w:ascii="Times New Roman" w:hAnsi="Times New Roman" w:cs="Times New Roman"/>
          <w:sz w:val="24"/>
        </w:rPr>
        <w:t>When applicable, I linked the novel to real-life events and philosophies that might further reinforce its ideological bent.  I used the ideologies as lenses to determine the message of each book, the societal directives it might send – in other words, the subtext students would encounter in reading it.</w:t>
      </w:r>
    </w:p>
    <w:p w:rsidR="00850876" w:rsidRPr="00430EDF" w:rsidRDefault="00850876" w:rsidP="00850876">
      <w:pPr>
        <w:spacing w:after="0" w:line="480" w:lineRule="auto"/>
        <w:jc w:val="both"/>
        <w:rPr>
          <w:rFonts w:ascii="Times New Roman" w:hAnsi="Times New Roman" w:cs="Times New Roman"/>
          <w:sz w:val="24"/>
        </w:rPr>
      </w:pPr>
      <w:r>
        <w:rPr>
          <w:rFonts w:ascii="Times New Roman" w:hAnsi="Times New Roman" w:cs="Times New Roman"/>
          <w:sz w:val="24"/>
        </w:rPr>
        <w:tab/>
        <w:t xml:space="preserve">I then wrote a discussion that relates the results of the analysis to the literature review.  Specifically, I examined the ideological spread – </w:t>
      </w:r>
      <w:r w:rsidR="001F1F75">
        <w:rPr>
          <w:rFonts w:ascii="Times New Roman" w:hAnsi="Times New Roman" w:cs="Times New Roman"/>
          <w:sz w:val="24"/>
        </w:rPr>
        <w:t>the number of books that lent themselves to</w:t>
      </w:r>
      <w:r>
        <w:rPr>
          <w:rFonts w:ascii="Times New Roman" w:hAnsi="Times New Roman" w:cs="Times New Roman"/>
          <w:sz w:val="24"/>
        </w:rPr>
        <w:t xml:space="preserve"> each ideology – and I used that number to draw inferences about the books’ purposes vis-à-vis the school system.  Was one ideology more prevalent than the others?  </w:t>
      </w:r>
      <w:r>
        <w:rPr>
          <w:rFonts w:ascii="Times New Roman" w:hAnsi="Times New Roman" w:cs="Times New Roman"/>
          <w:sz w:val="24"/>
        </w:rPr>
        <w:lastRenderedPageBreak/>
        <w:t>Did the prevalence of this ideology support the literature review’s findings about the school system’s goals?  The ideological bent of the materials, which serve as the foundation of lessons and education, enabled me to make inferences about the school system as a whole.</w:t>
      </w:r>
    </w:p>
    <w:p w:rsidR="00850876" w:rsidRDefault="00850876" w:rsidP="00850876">
      <w:pPr>
        <w:rPr>
          <w:rFonts w:ascii="Times New Roman" w:hAnsi="Times New Roman" w:cs="Times New Roman"/>
          <w:sz w:val="24"/>
        </w:rPr>
      </w:pPr>
      <w:r>
        <w:rPr>
          <w:rFonts w:ascii="Times New Roman" w:hAnsi="Times New Roman" w:cs="Times New Roman"/>
          <w:sz w:val="24"/>
        </w:rPr>
        <w:br w:type="page"/>
      </w:r>
    </w:p>
    <w:p w:rsidR="00850876" w:rsidRDefault="00850876" w:rsidP="00850876">
      <w:pPr>
        <w:spacing w:after="0" w:line="480" w:lineRule="auto"/>
        <w:contextualSpacing/>
        <w:jc w:val="both"/>
        <w:rPr>
          <w:rFonts w:ascii="Times New Roman" w:hAnsi="Times New Roman" w:cs="Times New Roman"/>
          <w:b/>
          <w:sz w:val="28"/>
        </w:rPr>
      </w:pPr>
      <w:r>
        <w:rPr>
          <w:rFonts w:ascii="Times New Roman" w:hAnsi="Times New Roman" w:cs="Times New Roman"/>
          <w:b/>
          <w:sz w:val="28"/>
        </w:rPr>
        <w:lastRenderedPageBreak/>
        <w:t>Chapter 4: Analysis and Discussion</w:t>
      </w:r>
    </w:p>
    <w:p w:rsidR="00850876"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Overview and Purpose</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This section demonstrates this thesis’ relevance to English classrooms and instruction.  The preceding chapters prove definitively that curriculum and schooling seek to influence students’ beliefs, and they identify curricular materials as the vehicles through which social conditioning occurs.   This chapter relates those concepts to the modern English classroom.  The following works appear in English classrooms more frequently than any other titles; they have had decades of opportunity to shape students’ beliefs, to dispense tacit messages, to be tools in educational ideologues’ arsenals.  Using Schiro’s (2007) four educational ideologies – scholar academic, social efficiency, learner-centered, and social reconstruction – this chapter will examine how each title serves as an apt representative for a particular ideology</w:t>
      </w:r>
      <w:r w:rsidR="006F0FA2">
        <w:rPr>
          <w:rFonts w:ascii="Times New Roman" w:hAnsi="Times New Roman" w:cs="Times New Roman"/>
          <w:sz w:val="24"/>
        </w:rPr>
        <w:t xml:space="preserve"> (or, in some cases, ideologies)</w:t>
      </w:r>
      <w:r>
        <w:rPr>
          <w:rFonts w:ascii="Times New Roman" w:hAnsi="Times New Roman" w:cs="Times New Roman"/>
          <w:sz w:val="24"/>
        </w:rPr>
        <w:t>, and it will link these works and their messages to the sociological goals of the school system.  I hope the ideological spread will illuminate the ulterior motives behind choosing these works.</w:t>
      </w:r>
    </w:p>
    <w:p w:rsidR="00850876" w:rsidRPr="00AB19CA"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Social Efficiency-Oriented Works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sidRPr="00625AC5">
        <w:rPr>
          <w:rFonts w:ascii="Times New Roman" w:hAnsi="Times New Roman" w:cs="Times New Roman"/>
          <w:b/>
          <w:i/>
          <w:sz w:val="24"/>
        </w:rPr>
        <w:t>Macbeth’s</w:t>
      </w:r>
      <w:r>
        <w:rPr>
          <w:rFonts w:ascii="Times New Roman" w:hAnsi="Times New Roman" w:cs="Times New Roman"/>
          <w:sz w:val="24"/>
        </w:rPr>
        <w:t xml:space="preserve"> equivocal attitude toward morality suggests a departure from social convention and acceptable behavior.  In the opening scene, the Weird Sisters famously incant, “Fair is foul, and foul is fair; / Hover through the fog and filthy air” (Shakespeare, 2008, 1.1.10-11).  These lines imply a disintegration of moral boundaries.  If fair and foul, good and evil, cannot be separated, what happens to conventional morality?  They become so indistinguishable as to be worthless, or perhaps they no longer carry the same heft or influence.  The imagery reaffirms this idea of blurred or uncertain morality.  “Fog” causes poor visibility; under its weight, distinct objects, or perhaps distinct concepts, </w:t>
      </w:r>
      <w:r>
        <w:rPr>
          <w:rFonts w:ascii="Times New Roman" w:hAnsi="Times New Roman" w:cs="Times New Roman"/>
          <w:sz w:val="24"/>
        </w:rPr>
        <w:lastRenderedPageBreak/>
        <w:t xml:space="preserve">become hazy.  The juxtaposition of this fog with “filthy air” also proves telling.  “Filthy,” of course, can connote many negative qualities: poor hygiene, crude speech, and even immorality or obscenity.  If the fog symbolizes moral haziness, the associated term “filthy air” indicates a moral pollution of sorts, and it foreshadows that only negative consequences will arise from this ambiguous conception of right and wrong.  </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Indeed, throughout the play characters display and incur great punishment for deviant or socially maladjusted behavior.  Consider, for example, Lady Macbeth’s characterization and her flouting of gender norms.  Lady Macbeth implores the “murd’ring ministers” to “Come to my woman’s breasts, / And take my milk for gall” (1.5.45-6).  Milk symbolizes motherhood and nurturing, while gall symbolizes poison, acrimony, the antithesis of kindness and warmth.  Lady Macbeth seeks to divest herself of feminine softness, and in the </w:t>
      </w:r>
      <w:r w:rsidR="009605EE">
        <w:rPr>
          <w:rFonts w:ascii="Times New Roman" w:hAnsi="Times New Roman" w:cs="Times New Roman"/>
          <w:sz w:val="24"/>
        </w:rPr>
        <w:t>process,</w:t>
      </w:r>
      <w:r>
        <w:rPr>
          <w:rFonts w:ascii="Times New Roman" w:hAnsi="Times New Roman" w:cs="Times New Roman"/>
          <w:sz w:val="24"/>
        </w:rPr>
        <w:t xml:space="preserve"> she defies society’s prescribed role for women.  Though Macbeth agrees to the murder plot, Lady Macbeth ultimately commits the heinous deed.  Interestingly, she uses a knife, a phallic symbol, suggesting that she has taken the assertive, dominant, “penetrative” role in the endeavor.  By the play’s end, she finds herself plagued by debilitating guilt; she sees illusory blood, “damned spot[s],” that symbolize her inability to cope with her crime.  Her ultimate suicide might represent a punishment.  She has ignored society’s directives for women and eschewed appropriate behavior, and she has blurred the boundaries, the standards of behavior, between the genders.  Her death thus sends a message that implicitly warns women against aggressive, manly conduct.</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Similarly, Macbeth’s seizure of power and eventual demise convey the consequences of breaking social order.  Monarchies operate on a strict line of succession.  </w:t>
      </w:r>
      <w:r>
        <w:rPr>
          <w:rFonts w:ascii="Times New Roman" w:hAnsi="Times New Roman" w:cs="Times New Roman"/>
          <w:sz w:val="24"/>
        </w:rPr>
        <w:lastRenderedPageBreak/>
        <w:t xml:space="preserve">Upon Duncan’s untimely death – a breach of social order in itself – his elder son should assume the throne.  However, Macbeth corrupts the order of succession, driving the king’s sons away and seizing power for himself.  As Hecate says, Macbeth’s overconfidence leads him to “spurn fate, scorn death, and bear / His hopes ‘bove wisdom, grace, and fear” – in other words, to abandon all normal restraints and proper behaviors (3.5.30-1).  These actions symbolize a blatant disregard for social structure and custom; they throw the kingdom into veritable disarray.  Macbeth’s fate, in turn, represents punishment for these misdeeds.  The wrongful king, he must be overthrown to restore social balance.  </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These events and outcomes make </w:t>
      </w:r>
      <w:r>
        <w:rPr>
          <w:rFonts w:ascii="Times New Roman" w:hAnsi="Times New Roman" w:cs="Times New Roman"/>
          <w:i/>
          <w:sz w:val="24"/>
        </w:rPr>
        <w:t xml:space="preserve">Macbeth </w:t>
      </w:r>
      <w:r>
        <w:rPr>
          <w:rFonts w:ascii="Times New Roman" w:hAnsi="Times New Roman" w:cs="Times New Roman"/>
          <w:sz w:val="24"/>
        </w:rPr>
        <w:t xml:space="preserve">an ideal exemplar for the social efficiency ideology.  As Schiro (2007) notes, the social efficiency ideology claims that education should teach students to “function appropriately and effectively in society,” and it perceives school as “the guardian of the system of values and institutions that the society has already evolved” (p. 70).  </w:t>
      </w:r>
      <w:r>
        <w:rPr>
          <w:rFonts w:ascii="Times New Roman" w:hAnsi="Times New Roman" w:cs="Times New Roman"/>
          <w:i/>
          <w:sz w:val="24"/>
        </w:rPr>
        <w:t>Macbeth</w:t>
      </w:r>
      <w:r>
        <w:rPr>
          <w:rFonts w:ascii="Times New Roman" w:hAnsi="Times New Roman" w:cs="Times New Roman"/>
          <w:sz w:val="24"/>
        </w:rPr>
        <w:t xml:space="preserve">’s characters, conversely, seem to dismiss entrenched social values, demolishing the discrete division between good and bad, acceptable and unacceptable, even male and female.  Rather than guard values, they express indifference toward them.  This aberrant mindset makes the play an apt representative for social efficiency.  Remember that social efficiency-minded works often use </w:t>
      </w:r>
      <w:r>
        <w:rPr>
          <w:rFonts w:ascii="Times New Roman" w:hAnsi="Times New Roman" w:cs="Times New Roman"/>
          <w:i/>
          <w:sz w:val="24"/>
        </w:rPr>
        <w:t xml:space="preserve">inefficient </w:t>
      </w:r>
      <w:r>
        <w:rPr>
          <w:rFonts w:ascii="Times New Roman" w:hAnsi="Times New Roman" w:cs="Times New Roman"/>
          <w:sz w:val="24"/>
        </w:rPr>
        <w:t xml:space="preserve">behavior to impart their lessons; the consequences of bad behavior illustrate the importance of good behavior.  </w:t>
      </w:r>
      <w:r>
        <w:rPr>
          <w:rFonts w:ascii="Times New Roman" w:hAnsi="Times New Roman" w:cs="Times New Roman"/>
          <w:i/>
          <w:sz w:val="24"/>
        </w:rPr>
        <w:t>Macbeth</w:t>
      </w:r>
      <w:r>
        <w:rPr>
          <w:rFonts w:ascii="Times New Roman" w:hAnsi="Times New Roman" w:cs="Times New Roman"/>
          <w:sz w:val="24"/>
        </w:rPr>
        <w:t>’s ending uses the titular couple as an example, an exhortation to maintain proper conduct, a directive to avoid power for power’s sake.</w:t>
      </w:r>
    </w:p>
    <w:p w:rsidR="004975BF" w:rsidRDefault="004975BF" w:rsidP="006777B1">
      <w:pPr>
        <w:spacing w:after="0" w:line="480" w:lineRule="auto"/>
        <w:ind w:firstLine="720"/>
        <w:contextualSpacing/>
        <w:jc w:val="both"/>
        <w:rPr>
          <w:rFonts w:ascii="Times New Roman" w:hAnsi="Times New Roman" w:cs="Times New Roman"/>
          <w:sz w:val="24"/>
        </w:rPr>
      </w:pPr>
      <w:r w:rsidRPr="000B38A8">
        <w:rPr>
          <w:rFonts w:ascii="Times New Roman" w:hAnsi="Times New Roman" w:cs="Times New Roman"/>
          <w:b/>
          <w:i/>
          <w:sz w:val="24"/>
        </w:rPr>
        <w:t>Hamlet</w:t>
      </w:r>
      <w:r>
        <w:rPr>
          <w:rFonts w:ascii="Times New Roman" w:hAnsi="Times New Roman" w:cs="Times New Roman"/>
          <w:i/>
          <w:sz w:val="24"/>
        </w:rPr>
        <w:t xml:space="preserve"> </w:t>
      </w:r>
      <w:r>
        <w:rPr>
          <w:rFonts w:ascii="Times New Roman" w:hAnsi="Times New Roman" w:cs="Times New Roman"/>
          <w:sz w:val="24"/>
        </w:rPr>
        <w:t xml:space="preserve">implicitly supports social efficiency by showing how aberrance can quickly spread, producing a domino effect and weakening the state.  Early in the play, </w:t>
      </w:r>
      <w:r>
        <w:rPr>
          <w:rFonts w:ascii="Times New Roman" w:hAnsi="Times New Roman" w:cs="Times New Roman"/>
          <w:sz w:val="24"/>
        </w:rPr>
        <w:lastRenderedPageBreak/>
        <w:t>Marcellus notices “Something rotten in the state of Denmark,” and this sentiment, as well as the social unrest and disorder it implies, pervades the play (1.4.67).  The origin of this trouble, the text suggests, lies in the alleged assassination of King Hamlet, whose ghost says:</w:t>
      </w:r>
    </w:p>
    <w:p w:rsidR="004975BF" w:rsidRDefault="004975BF" w:rsidP="00E357CF">
      <w:pPr>
        <w:spacing w:after="0" w:line="240" w:lineRule="auto"/>
        <w:contextualSpacing/>
        <w:jc w:val="both"/>
        <w:rPr>
          <w:rFonts w:ascii="Times New Roman" w:hAnsi="Times New Roman" w:cs="Times New Roman"/>
          <w:sz w:val="24"/>
        </w:rPr>
      </w:pPr>
      <w:r>
        <w:rPr>
          <w:rFonts w:ascii="Times New Roman" w:hAnsi="Times New Roman" w:cs="Times New Roman"/>
          <w:sz w:val="24"/>
        </w:rPr>
        <w:tab/>
        <w:t>‘Tis given out that, sleeping in mine orchard,</w:t>
      </w:r>
    </w:p>
    <w:p w:rsidR="004975BF" w:rsidRDefault="004975BF" w:rsidP="00E357CF">
      <w:pPr>
        <w:spacing w:after="0" w:line="240" w:lineRule="auto"/>
        <w:contextualSpacing/>
        <w:jc w:val="both"/>
        <w:rPr>
          <w:rFonts w:ascii="Times New Roman" w:hAnsi="Times New Roman" w:cs="Times New Roman"/>
          <w:sz w:val="24"/>
        </w:rPr>
      </w:pPr>
      <w:r>
        <w:rPr>
          <w:rFonts w:ascii="Times New Roman" w:hAnsi="Times New Roman" w:cs="Times New Roman"/>
          <w:sz w:val="24"/>
        </w:rPr>
        <w:tab/>
        <w:t>A serpent stung me.  So the whole ear of Denmark</w:t>
      </w:r>
    </w:p>
    <w:p w:rsidR="004975BF" w:rsidRDefault="004975BF" w:rsidP="00E357CF">
      <w:pPr>
        <w:spacing w:after="0" w:line="240" w:lineRule="auto"/>
        <w:contextualSpacing/>
        <w:jc w:val="both"/>
        <w:rPr>
          <w:rFonts w:ascii="Times New Roman" w:hAnsi="Times New Roman" w:cs="Times New Roman"/>
          <w:sz w:val="24"/>
        </w:rPr>
      </w:pPr>
      <w:r>
        <w:rPr>
          <w:rFonts w:ascii="Times New Roman" w:hAnsi="Times New Roman" w:cs="Times New Roman"/>
          <w:sz w:val="24"/>
        </w:rPr>
        <w:tab/>
        <w:t>Is by a forgèd process of my death</w:t>
      </w:r>
    </w:p>
    <w:p w:rsidR="004975BF" w:rsidRDefault="004975BF" w:rsidP="00E357CF">
      <w:pPr>
        <w:spacing w:after="0" w:line="240" w:lineRule="auto"/>
        <w:contextualSpacing/>
        <w:jc w:val="both"/>
        <w:rPr>
          <w:rFonts w:ascii="Times New Roman" w:hAnsi="Times New Roman" w:cs="Times New Roman"/>
          <w:sz w:val="24"/>
        </w:rPr>
      </w:pPr>
      <w:r>
        <w:rPr>
          <w:rFonts w:ascii="Times New Roman" w:hAnsi="Times New Roman" w:cs="Times New Roman"/>
          <w:sz w:val="24"/>
        </w:rPr>
        <w:tab/>
        <w:t>Rankly abused.  But know, thou noble youth,</w:t>
      </w:r>
    </w:p>
    <w:p w:rsidR="004975BF" w:rsidRDefault="004975BF" w:rsidP="00E357CF">
      <w:pPr>
        <w:spacing w:after="0" w:line="240" w:lineRule="auto"/>
        <w:contextualSpacing/>
        <w:jc w:val="both"/>
        <w:rPr>
          <w:rFonts w:ascii="Times New Roman" w:hAnsi="Times New Roman" w:cs="Times New Roman"/>
          <w:sz w:val="24"/>
        </w:rPr>
      </w:pPr>
      <w:r>
        <w:rPr>
          <w:rFonts w:ascii="Times New Roman" w:hAnsi="Times New Roman" w:cs="Times New Roman"/>
          <w:sz w:val="24"/>
        </w:rPr>
        <w:tab/>
        <w:t>The serpent that did sting thy father’s life</w:t>
      </w:r>
    </w:p>
    <w:p w:rsidR="004975BF" w:rsidRDefault="004975BF" w:rsidP="00E357CF">
      <w:pPr>
        <w:spacing w:after="0" w:line="240" w:lineRule="auto"/>
        <w:contextualSpacing/>
        <w:jc w:val="both"/>
        <w:rPr>
          <w:rFonts w:ascii="Times New Roman" w:hAnsi="Times New Roman" w:cs="Times New Roman"/>
          <w:sz w:val="24"/>
        </w:rPr>
      </w:pPr>
      <w:r>
        <w:rPr>
          <w:rFonts w:ascii="Times New Roman" w:hAnsi="Times New Roman" w:cs="Times New Roman"/>
          <w:sz w:val="24"/>
        </w:rPr>
        <w:tab/>
        <w:t>Now wears his crown.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(1.5.35-40)</w:t>
      </w:r>
    </w:p>
    <w:p w:rsidR="004975BF" w:rsidRDefault="004975BF" w:rsidP="004975BF">
      <w:pPr>
        <w:spacing w:after="0" w:line="480" w:lineRule="auto"/>
        <w:contextualSpacing/>
        <w:jc w:val="both"/>
        <w:rPr>
          <w:rFonts w:ascii="Times New Roman" w:hAnsi="Times New Roman" w:cs="Times New Roman"/>
          <w:sz w:val="24"/>
        </w:rPr>
      </w:pPr>
      <w:r>
        <w:rPr>
          <w:rFonts w:ascii="Times New Roman" w:hAnsi="Times New Roman" w:cs="Times New Roman"/>
          <w:sz w:val="24"/>
        </w:rPr>
        <w:t>This passage’s allusions to the Garden of Eden (e.g., an “orchard,” or garden; the presence of a serpent that commits a misdeed) indicate a corruption of social morality and values.  Claudius, the serpent of this tale, has disturbed the “paradise” of the kingdom by killing his brother, and he has used a “forgèd process,” or series of lies, to deceive the public.  Ergo, he rules neither by divine right nor public mandate.  Rather, his reign derives its dubious legitimacy from lies, subterfuge, and the regicide of his brother – a woefully inefficient combination if ever one existed.  The phrase “the serpent … Now wears his crown” encapsulates the moral subversion that has occurred, as the devious serpent has adorned himself with the diadem of virtue, the symbol of righteous rule.  This bastardization of the monarchy and deceit of the public creates an atmosphere of social inefficiency by undermining social institutions.</w:t>
      </w:r>
    </w:p>
    <w:p w:rsidR="004975BF" w:rsidRDefault="004975BF" w:rsidP="004975BF">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 play uses the characters’ behavior to convey the consequences of inefficient behavior.  Hamlet’s affectation of madness, for example, hampers communication and inhibits normal social functioning.  He addresses Polonius as a “fishmonger,” briefly plunging the latter into confusion, and he responds to statements by parroting the speaker’s words to maintain the illusion of lunacy (2.2.175; 2.2.373).  Consequently, the </w:t>
      </w:r>
      <w:r>
        <w:rPr>
          <w:rFonts w:ascii="Times New Roman" w:hAnsi="Times New Roman" w:cs="Times New Roman"/>
          <w:sz w:val="24"/>
        </w:rPr>
        <w:lastRenderedPageBreak/>
        <w:t xml:space="preserve">other characters describe him as having undergone a “transformation … Since not th’exterior nor the inward man / Resembles that it was” (2.2.5-7).  The effects of his ruse demonstrate the consequences of social inefficiency.  Smooth social functioning requires consistency and clarity.  Individuals must communicate clearly, using language others can understand; act predictably, proving themselves reliable and trustworthy; and perform their designated roles, doing work necessary to maintain the social structure.  In other words, they must endeavor to lead “meaningful adult [lives]” – this “meaning” being defined by social custom and expectations (Schiro, 2007, p. 69).  By feigning madness and acting peculiarly, Hamlet shuns all notions of social propriety.  He purposely obfuscates, deliberately misleads, and knowingly muddles; he throws his social circle into disarray, derailing normal activities.  In a state plagued by inefficiency, Hamlet’s feigned madness only exacerbates the dysfunction. </w:t>
      </w:r>
    </w:p>
    <w:p w:rsidR="004975BF" w:rsidRDefault="004975BF" w:rsidP="004975BF">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Gertrude’s conduct, specifically her marriage to Claudius, also damages normal social relations and breeds moral inefficiency.  The Ghost exhorts Hamlet to “Let not the royal bed of Denmark be / A couch for luxury and damnèd incest … Leave [your mother] to heaven” (1.5.82-6).  The word “incest” connotes extreme social deviance.  Many societies strictly forbid incestuous relationships and marriages, claiming that these unions often produce children afflicted with birth defects.  That concept can also be seen figuratively, as a metaphor for the state.  Gertrude and Claudius, already related by marriage, have married each other.  Just as biological incest weakens gene pools, their royal incest weakens the kingdom by perverting accepted conventions and institutions.   In other words, Gertrude has been complicit in Denmark’s social and moral deterioration.   The social efficiency ideology mandates that people “function in the desired way” by </w:t>
      </w:r>
      <w:r>
        <w:rPr>
          <w:rFonts w:ascii="Times New Roman" w:hAnsi="Times New Roman" w:cs="Times New Roman"/>
          <w:sz w:val="24"/>
        </w:rPr>
        <w:lastRenderedPageBreak/>
        <w:t>upholding and perpetuating social values (Schiro, 2007, p. 70).  Gertrude, however, displays contempt for social values, thereby wounding the moral fiber of the kingdom.</w:t>
      </w:r>
    </w:p>
    <w:p w:rsidR="004975BF" w:rsidRDefault="004975BF" w:rsidP="004975BF">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i/>
          <w:sz w:val="24"/>
        </w:rPr>
        <w:t xml:space="preserve">Hamlet </w:t>
      </w:r>
      <w:r>
        <w:rPr>
          <w:rFonts w:ascii="Times New Roman" w:hAnsi="Times New Roman" w:cs="Times New Roman"/>
          <w:sz w:val="24"/>
        </w:rPr>
        <w:t xml:space="preserve">seems the ideal work for showing the ramifications of social inefficiency.  It depicts deviant behavior and its consequences on multiple levels – societal, interpersonal, intrapersonal, and even regal.  A leader’s sins, for example, can erode the morals of a kingdom; a lack of clarity, purposeful or accidental, can prevent effective communication.  The play’s disheveled Denmark, rife with betrayal and deceit, advises readers against committing such sins.  It tacitly stresses the notion that transgressions breed disaster and damage all facets of society.  Such a message, such a </w:t>
      </w:r>
      <w:r>
        <w:rPr>
          <w:rFonts w:ascii="Times New Roman" w:hAnsi="Times New Roman" w:cs="Times New Roman"/>
          <w:i/>
          <w:sz w:val="24"/>
        </w:rPr>
        <w:t>warning</w:t>
      </w:r>
      <w:r>
        <w:rPr>
          <w:rFonts w:ascii="Times New Roman" w:hAnsi="Times New Roman" w:cs="Times New Roman"/>
          <w:sz w:val="24"/>
        </w:rPr>
        <w:t>, shows the desirability of social efficiency, of defined roles and obedience of custom.</w:t>
      </w:r>
    </w:p>
    <w:p w:rsidR="009F3BA9" w:rsidRDefault="009F3BA9" w:rsidP="009F3BA9">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Ostensibly </w:t>
      </w:r>
      <w:r w:rsidRPr="000B38A8">
        <w:rPr>
          <w:rFonts w:ascii="Times New Roman" w:hAnsi="Times New Roman" w:cs="Times New Roman"/>
          <w:b/>
          <w:i/>
          <w:sz w:val="24"/>
        </w:rPr>
        <w:t>Julius Caesar</w:t>
      </w:r>
      <w:r>
        <w:rPr>
          <w:rFonts w:ascii="Times New Roman" w:hAnsi="Times New Roman" w:cs="Times New Roman"/>
          <w:i/>
          <w:sz w:val="24"/>
        </w:rPr>
        <w:t xml:space="preserve"> </w:t>
      </w:r>
      <w:r>
        <w:rPr>
          <w:rFonts w:ascii="Times New Roman" w:hAnsi="Times New Roman" w:cs="Times New Roman"/>
          <w:sz w:val="24"/>
        </w:rPr>
        <w:t xml:space="preserve">seems to correspond to the scholar academic ideology.  One of Shakespeare’s history plays, it chronicles the assassination of the titular emperor.  This basis in real-world events and focus on identifiable cultural figures would seem to align the play with the scholar academic viewpoint.  This ideology seeks to convey accumulated cultural knowledge, “[initiating] children into an academic discipline at the level at which it is being taught” (Schiro, 2007, p. 20).  </w:t>
      </w:r>
      <w:r>
        <w:rPr>
          <w:rFonts w:ascii="Times New Roman" w:hAnsi="Times New Roman" w:cs="Times New Roman"/>
          <w:i/>
          <w:sz w:val="24"/>
        </w:rPr>
        <w:t>Julius Caesar</w:t>
      </w:r>
      <w:r>
        <w:rPr>
          <w:rFonts w:ascii="Times New Roman" w:hAnsi="Times New Roman" w:cs="Times New Roman"/>
          <w:sz w:val="24"/>
        </w:rPr>
        <w:t>, taught in high schools, initially seems as though it might be useful for introducing students to the discipline of history: recognizing past leaders and empires, linking historical events via cause and effect, determining the influence of the past on the present, etc.  Though only a snapshot of Roman history, the play provides ample fodder for connection and discussion.</w:t>
      </w:r>
    </w:p>
    <w:p w:rsidR="009F3BA9" w:rsidRDefault="009F3BA9" w:rsidP="009F3BA9">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However, I contend that this narrow view of Roman history prevents the play from being a scholar academic-oriented work.  It presupposes the audience’s knowledge, </w:t>
      </w:r>
      <w:r>
        <w:rPr>
          <w:rFonts w:ascii="Times New Roman" w:hAnsi="Times New Roman" w:cs="Times New Roman"/>
          <w:sz w:val="24"/>
        </w:rPr>
        <w:lastRenderedPageBreak/>
        <w:t xml:space="preserve">providing precious few details regarding the historical conflicts preceding the plot’s events.  In the opening scene, for example, a cobbler “make[s] holiday to see Caesar and to rejoice in his / triumph,” and Marullus refers to the formerly “great Pompey” whom Caesar has bested (1.1.34-5, 47).  The original text contains no annotations, no explanation of these events that have occurred prior to the play.  (Granted, anthologies and modern editions may add footnotes to the original text.)  Rather, the play relies on the audience to have learned this information.  Such an assumption seems anathema to the discipline of history and to the scholar-academic mindset.  History hinges upon context, a complete view of past, present, future, and the relationships among them, and it regards facts as indispensable.  From a historical perspective, this play begins not </w:t>
      </w:r>
      <w:r>
        <w:rPr>
          <w:rFonts w:ascii="Times New Roman" w:hAnsi="Times New Roman" w:cs="Times New Roman"/>
          <w:i/>
          <w:sz w:val="24"/>
        </w:rPr>
        <w:t xml:space="preserve">ab ovo </w:t>
      </w:r>
      <w:r>
        <w:rPr>
          <w:rFonts w:ascii="Times New Roman" w:hAnsi="Times New Roman" w:cs="Times New Roman"/>
          <w:sz w:val="24"/>
        </w:rPr>
        <w:t xml:space="preserve">but </w:t>
      </w:r>
      <w:r>
        <w:rPr>
          <w:rFonts w:ascii="Times New Roman" w:hAnsi="Times New Roman" w:cs="Times New Roman"/>
          <w:i/>
          <w:sz w:val="24"/>
        </w:rPr>
        <w:t>in media res</w:t>
      </w:r>
      <w:r>
        <w:rPr>
          <w:rFonts w:ascii="Times New Roman" w:hAnsi="Times New Roman" w:cs="Times New Roman"/>
          <w:sz w:val="24"/>
        </w:rPr>
        <w:t>, launching into events without thoroughly detailing their precedents and causalities.  In short, the play depicts historical material, but it fails to adhere to the tenets of the historical discipline, rendering it unsuitable as a scholar academic work.</w:t>
      </w:r>
    </w:p>
    <w:p w:rsidR="009F3BA9" w:rsidRDefault="009F3BA9" w:rsidP="009F3BA9">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Rather, the play transmits social efficiency-themed messages by showing the unrest caused by political upheaval.  The play begins during the Roman Republic, and several characters express republican sentiments.  Cassius, for example, says to Brutus, “I was born free as Caesar; so were you; / We both have fed as well, and we can both / Endure the winter’s cold as well as he” (1.2.105-7).  The men have heretofore lived in a society that rewards merit rather than status and consider themselves equal to Caesar despite his inflated reputation.  However, they perceive those longstanding values to be endangered, with Brutus worrying that “Crowning [Caesar]” will make him a tyrant (2.1.16).  These statements represent a deterioration of social efficiency engendered by political uncertainty.  According to Schiro (2007), social efficiency depends upon </w:t>
      </w:r>
      <w:r>
        <w:rPr>
          <w:rFonts w:ascii="Times New Roman" w:hAnsi="Times New Roman" w:cs="Times New Roman"/>
          <w:sz w:val="24"/>
        </w:rPr>
        <w:lastRenderedPageBreak/>
        <w:t>“perpetuating society” and its institutions.  Though society may be improved, these improvements must presumably increase efficiency and productivity (p. 69, 70).  Cassius and company wish to perpetuate the republic, and they fear that Caesar will institute an empire, eroding egalitarian principles.  These differing political aims plunge the entire society into disarray, culminating with an assassination – an act certain to cause instability.  This conflict, this departure from amicable relations and debate, yields behaviors inimical to peaceable, efficient existence.</w:t>
      </w:r>
    </w:p>
    <w:p w:rsidR="009F3BA9" w:rsidRDefault="009F3BA9" w:rsidP="009F3BA9">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 plot promotes social efficiency by tacitly encouraging compromise and consensus.  </w:t>
      </w:r>
      <w:r>
        <w:rPr>
          <w:rFonts w:ascii="Times New Roman" w:hAnsi="Times New Roman" w:cs="Times New Roman"/>
          <w:i/>
          <w:sz w:val="24"/>
        </w:rPr>
        <w:t>Julius Caesar</w:t>
      </w:r>
      <w:r>
        <w:rPr>
          <w:rFonts w:ascii="Times New Roman" w:hAnsi="Times New Roman" w:cs="Times New Roman"/>
          <w:sz w:val="24"/>
        </w:rPr>
        <w:t xml:space="preserve">’s bloodshed arises from a potent cocktail of personal grievances and political schisms.  Its characters feel unsatisfied with social developments, resentful at being overlooked.  In Caesar’s case, one character seemingly seems content to hoard power and inflate his status.  All of the men thus deviate from their “duties,” so to speak; they forget their commitments to their fellow citizens and society at large, fretting only about their respective statuses.  Social efficiency holds that “People are first members of society and second individuals,” so all parties have faltered in their loyalty to society (Schiro, 2007, p. 68).  Their fates – death, dishonor, guilt – imply the consequences for exhibiting such aberrant behavior.  Moreover, they stress to readers (and students) the importance of maintaining harmony, of prioritizing others over self, of following the status quo to maintain peace.  </w:t>
      </w:r>
      <w:r>
        <w:rPr>
          <w:rFonts w:ascii="Times New Roman" w:hAnsi="Times New Roman" w:cs="Times New Roman"/>
          <w:i/>
          <w:sz w:val="24"/>
        </w:rPr>
        <w:t>Julius Caesar</w:t>
      </w:r>
      <w:r>
        <w:rPr>
          <w:rFonts w:ascii="Times New Roman" w:hAnsi="Times New Roman" w:cs="Times New Roman"/>
          <w:sz w:val="24"/>
        </w:rPr>
        <w:t>, through its depiction of a fractured society, encourages readers to strive for a cooperative one.</w:t>
      </w:r>
    </w:p>
    <w:p w:rsidR="009F3BA9" w:rsidDel="0070203D" w:rsidRDefault="009F3BA9" w:rsidP="009F3BA9">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sidDel="0070203D">
        <w:rPr>
          <w:rFonts w:ascii="Times New Roman" w:hAnsi="Times New Roman" w:cs="Times New Roman"/>
          <w:b/>
          <w:i/>
          <w:sz w:val="24"/>
        </w:rPr>
        <w:t>A Separate Peace</w:t>
      </w:r>
      <w:r w:rsidDel="0070203D">
        <w:rPr>
          <w:rFonts w:ascii="Times New Roman" w:hAnsi="Times New Roman" w:cs="Times New Roman"/>
          <w:sz w:val="24"/>
        </w:rPr>
        <w:t xml:space="preserve">’s focus on inexorable social developments, on life’s “script,” aligns it with the social efficiency ideology.  Upon his return to the Devon School, Gene notices a tree’s worn and denuded state, remarking, “So the more things remain the same, </w:t>
      </w:r>
      <w:r w:rsidDel="0070203D">
        <w:rPr>
          <w:rFonts w:ascii="Times New Roman" w:hAnsi="Times New Roman" w:cs="Times New Roman"/>
          <w:sz w:val="24"/>
        </w:rPr>
        <w:lastRenderedPageBreak/>
        <w:t xml:space="preserve">the more they change after all … Nothing endures, not a tree, not love, not even a death by violence” (Knowles, 2014, p. 8).  This paradoxical statement, this co-existence of stability and inevitable change, can be read as a commentary on society.  Human lives unfold in a series of biological, personal, and social stages.  The body decays over time, just as this tree has decayed; mental faculties and motor skills diminish even in healthy individuals.  Children grow, attend school, secure employment, contribute to society, and in many cases produce children who repeat the process.  At each stage people evolve, just as the tree’s foliage and branches morph over time.  Though they perceive themselves as individuals, their stories differ little from the generations who have preceded them.  In other words, the social and biological cycles recur.  This concept corresponds to the social efficiency ideology’s emphasis on “perpetuating” society and “existing social functions” (Schiro, 2007, p. 69, 67).  </w:t>
      </w:r>
      <w:r w:rsidRPr="00194EDA" w:rsidDel="0070203D">
        <w:rPr>
          <w:rFonts w:ascii="Times New Roman" w:hAnsi="Times New Roman"/>
          <w:sz w:val="24"/>
        </w:rPr>
        <w:t>Such terms imply that particular events and institutions must invariably repeat; they suggest that social functioning require successive generations to uphold the established order</w:t>
      </w:r>
      <w:r w:rsidDel="0070203D">
        <w:rPr>
          <w:rFonts w:ascii="Times New Roman" w:hAnsi="Times New Roman"/>
          <w:sz w:val="24"/>
        </w:rPr>
        <w:t>.</w:t>
      </w:r>
      <w:r w:rsidDel="0070203D">
        <w:rPr>
          <w:rFonts w:ascii="Times New Roman" w:hAnsi="Times New Roman" w:cs="Times New Roman"/>
          <w:sz w:val="24"/>
        </w:rPr>
        <w:t xml:space="preserve">  Gene’s observations thus convey the essence of the ideology, its idea of predictable changes in an orderly social cycle.</w:t>
      </w:r>
    </w:p>
    <w:p w:rsidR="009F3BA9" w:rsidDel="0070203D" w:rsidRDefault="009F3BA9" w:rsidP="009F3BA9">
      <w:pPr>
        <w:spacing w:after="0" w:line="480" w:lineRule="auto"/>
        <w:contextualSpacing/>
        <w:jc w:val="both"/>
        <w:rPr>
          <w:rFonts w:ascii="Times New Roman" w:hAnsi="Times New Roman" w:cs="Times New Roman"/>
          <w:sz w:val="24"/>
        </w:rPr>
      </w:pPr>
      <w:r w:rsidDel="0070203D">
        <w:rPr>
          <w:rFonts w:ascii="Times New Roman" w:hAnsi="Times New Roman" w:cs="Times New Roman"/>
          <w:sz w:val="24"/>
        </w:rPr>
        <w:tab/>
        <w:t xml:space="preserve">The characters’ lives, maturations, and career paths illustrate these maxims in more concrete terms.  Musing about his time at Devon, Gene remembers, “I think we reminded them of what peace was like, we boys of sixteen.  We were registered with no draft board … Trick knees and punctured eardrums were … not yet disabilities” (p. 21).  These statements hint at the fate some of the boys will encounter.  Like many men before them, they will enlist in the army, sacrificing health and safety in the process.  Indeed, Gene’s reminiscences chronicle the boys’ schooldays during World War II, when many men enlisted and fought in “Central Europe” (p. 25).  The contrast between “we boys of </w:t>
      </w:r>
      <w:r w:rsidDel="0070203D">
        <w:rPr>
          <w:rFonts w:ascii="Times New Roman" w:hAnsi="Times New Roman" w:cs="Times New Roman"/>
          <w:sz w:val="24"/>
        </w:rPr>
        <w:lastRenderedPageBreak/>
        <w:t>sixteen” and these unnamed military men underscores the imminent approach of adult life.  Ensconced in school, the boys live relatively carefree lives, but  they will soon be required to enter a world replete with emotional and physical hardship.  These halcyon days represent but a brief period in their development.  Gene’s nostalgia thus contains a note of resignation – the realization that he and his friends, despite their youthful joy, could not avoid their entry into the adult world.  This stark depiction of social inexorability</w:t>
      </w:r>
      <w:r w:rsidR="00525EF0">
        <w:rPr>
          <w:rFonts w:ascii="Times New Roman" w:hAnsi="Times New Roman" w:cs="Times New Roman"/>
          <w:sz w:val="24"/>
        </w:rPr>
        <w:t xml:space="preserve"> stresses social efficiency’s  </w:t>
      </w:r>
      <w:r w:rsidDel="0070203D">
        <w:rPr>
          <w:rFonts w:ascii="Times New Roman" w:hAnsi="Times New Roman" w:cs="Times New Roman"/>
          <w:sz w:val="24"/>
        </w:rPr>
        <w:t xml:space="preserve">core tenets.  The cycles of growth and loss repeat endlessly. </w:t>
      </w:r>
    </w:p>
    <w:p w:rsidR="009F3BA9" w:rsidRDefault="009F3BA9" w:rsidP="009F3BA9">
      <w:pPr>
        <w:spacing w:after="0" w:line="480" w:lineRule="auto"/>
        <w:contextualSpacing/>
        <w:jc w:val="both"/>
        <w:rPr>
          <w:rFonts w:ascii="Times New Roman" w:hAnsi="Times New Roman" w:cs="Times New Roman"/>
          <w:sz w:val="24"/>
        </w:rPr>
      </w:pPr>
      <w:r w:rsidDel="0070203D">
        <w:rPr>
          <w:rFonts w:ascii="Times New Roman" w:hAnsi="Times New Roman" w:cs="Times New Roman"/>
          <w:sz w:val="24"/>
        </w:rPr>
        <w:tab/>
        <w:t>This idea manifests itself on an even smaller level, in the characters’ personalities.  Gene contemplates the nature of human memory and experience: “Everyone has a moment in history which belongs particularly to him … [W]hen you say to this person ‘the world today’ or ‘life’ or ‘reality’ he will assume you mean this moment, even if it is fifty years past” (p. 43).  Here Gene acknowledges the immense power of nostalgia.   In every life, certain moments linger indelibly in the memory.  Even “fifty years past,” a person will long for and wish to repeat those experiences.  Social efficiency depends on perpetuating systems, on preserving social order and institutions.  Likewise, Gene’s thoughts show that individuals may mentally perpetuate their desired state of affairs; they may find shelter in the familiar thoughts and experiences of their glory days.  Gene speaks only for himself, but his statements could be construed as a comment on individuals’ tendency to uphold certain values – in other words, to engage in social efficiency</w:t>
      </w:r>
    </w:p>
    <w:p w:rsidR="004975BF" w:rsidRDefault="004975BF" w:rsidP="004975BF">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sidRPr="000B38A8">
        <w:rPr>
          <w:rFonts w:ascii="Times New Roman" w:hAnsi="Times New Roman" w:cs="Times New Roman"/>
          <w:b/>
          <w:i/>
          <w:sz w:val="24"/>
        </w:rPr>
        <w:t>Lord of the Flies</w:t>
      </w:r>
      <w:r>
        <w:rPr>
          <w:rFonts w:ascii="Times New Roman" w:hAnsi="Times New Roman" w:cs="Times New Roman"/>
          <w:i/>
          <w:sz w:val="24"/>
        </w:rPr>
        <w:t xml:space="preserve"> </w:t>
      </w:r>
      <w:r>
        <w:rPr>
          <w:rFonts w:ascii="Times New Roman" w:hAnsi="Times New Roman" w:cs="Times New Roman"/>
          <w:sz w:val="24"/>
        </w:rPr>
        <w:t xml:space="preserve">extends social dysfunction to extreme lengths in its glorification of social efficiency.  Initially, the stranded boys manage to form some semblance of functional society.  They adhere to the “northern European tradition of work, play, and </w:t>
      </w:r>
      <w:r>
        <w:rPr>
          <w:rFonts w:ascii="Times New Roman" w:hAnsi="Times New Roman" w:cs="Times New Roman"/>
          <w:sz w:val="24"/>
        </w:rPr>
        <w:lastRenderedPageBreak/>
        <w:t xml:space="preserve">food,” and they establish a system of social ranks and routines (Golding, 1959, p. 63-4).  Eventually, Ralph, the boys’ chief, contends with insurrection and social collapse, with Jack asking him, “Why should choosing [Ralph as chief] make any difference?” and accusing him of “Just giving orders that don’t make any sense” (p. 103).  The island subsequently descends into abject chaos as the boys find “liberation into savagery” (p. 204).  This complete disintegration serves as a veritable advertisement for social efficiency.  Marooned, separated from their normal lives and conventions, the boys hastily assemble their own ersatz society.  They make no effort to perpetuate the social values and customs of their homeland (presumably England), adopting new ones that promptly fail and engender disorder.  Such an outcome implies that the boys should have striven to emulate “civilized” society, and it suggests that deviation from prescribed behaviors and institutions will invariably fail.  This message reflects the values and worldview of the social efficiency ideology.  The ideology believes that children should learn to “act in the desired way,” but the children of </w:t>
      </w:r>
      <w:r>
        <w:rPr>
          <w:rFonts w:ascii="Times New Roman" w:hAnsi="Times New Roman" w:cs="Times New Roman"/>
          <w:i/>
          <w:sz w:val="24"/>
        </w:rPr>
        <w:t xml:space="preserve">Lord of the Flies </w:t>
      </w:r>
      <w:r>
        <w:rPr>
          <w:rFonts w:ascii="Times New Roman" w:hAnsi="Times New Roman" w:cs="Times New Roman"/>
          <w:sz w:val="24"/>
        </w:rPr>
        <w:t>forsake the desired way and incur tragic consequences (Schiro, 2007, p. 70).  Their self-inflicted social ills thus remind readers to observe social rules, to adhere to proven practices and customs.</w:t>
      </w:r>
    </w:p>
    <w:p w:rsidR="004975BF" w:rsidRDefault="004975BF" w:rsidP="004975BF">
      <w:pPr>
        <w:spacing w:after="0" w:line="480" w:lineRule="auto"/>
        <w:contextualSpacing/>
        <w:jc w:val="both"/>
        <w:rPr>
          <w:rFonts w:ascii="Times New Roman" w:hAnsi="Times New Roman" w:cs="Times New Roman"/>
          <w:sz w:val="24"/>
        </w:rPr>
      </w:pPr>
      <w:r>
        <w:rPr>
          <w:rFonts w:ascii="Times New Roman" w:hAnsi="Times New Roman" w:cs="Times New Roman"/>
          <w:sz w:val="24"/>
        </w:rPr>
        <w:tab/>
        <w:t>The novel also implies the inherent inefficiency of boys and the necessity of adult guidance and discipline.  Golding’s phrase “liberation into savagery” suggests that unattended children</w:t>
      </w:r>
      <w:r w:rsidR="00C8651D">
        <w:rPr>
          <w:rFonts w:ascii="Times New Roman" w:hAnsi="Times New Roman" w:cs="Times New Roman"/>
          <w:sz w:val="24"/>
        </w:rPr>
        <w:t xml:space="preserve"> inevitably succumb to baser, animalstic</w:t>
      </w:r>
      <w:r>
        <w:rPr>
          <w:rFonts w:ascii="Times New Roman" w:hAnsi="Times New Roman" w:cs="Times New Roman"/>
          <w:sz w:val="24"/>
        </w:rPr>
        <w:t xml:space="preserve"> instincts.  This description of behavior echoes numerous writers who view boys as obstreperous, barely contained brutes.  Grossman (2004) notes the stereotypes associated with boyhood behavior, among them “aggression,” “loquacity,” “competitive[ness],” and “self-assertive” behavior (p. 215).  Society assumes that boys will be difficult, rambunctious, disorderly; it ascribes to </w:t>
      </w:r>
      <w:r>
        <w:rPr>
          <w:rFonts w:ascii="Times New Roman" w:hAnsi="Times New Roman" w:cs="Times New Roman"/>
          <w:sz w:val="24"/>
        </w:rPr>
        <w:lastRenderedPageBreak/>
        <w:t xml:space="preserve">them a mild form of savagery seldom imputed to girls.  </w:t>
      </w:r>
      <w:r>
        <w:rPr>
          <w:rFonts w:ascii="Times New Roman" w:hAnsi="Times New Roman" w:cs="Times New Roman"/>
          <w:i/>
          <w:sz w:val="24"/>
        </w:rPr>
        <w:t xml:space="preserve">Lord of the Flies </w:t>
      </w:r>
      <w:r>
        <w:rPr>
          <w:rFonts w:ascii="Times New Roman" w:hAnsi="Times New Roman" w:cs="Times New Roman"/>
          <w:sz w:val="24"/>
        </w:rPr>
        <w:t xml:space="preserve">exaggerates these stereotypes, depicting boys who disregard all propriety and embrace incivility.  The message implicit in the novel’s plot – that boys will descend into savagery without supervision – reads as a veritable billboard for social efficiency.  The ideology derives its tenets from behaviorism, maintaining that children must be taught “observable skills” that contribute to society (Schiro, 2007, p. 58).  Golding’s boys have no teachers, no adults to monitor </w:t>
      </w:r>
      <w:r w:rsidR="00C8651D">
        <w:rPr>
          <w:rFonts w:ascii="Times New Roman" w:hAnsi="Times New Roman" w:cs="Times New Roman"/>
          <w:sz w:val="24"/>
        </w:rPr>
        <w:t xml:space="preserve">or tame </w:t>
      </w:r>
      <w:r>
        <w:rPr>
          <w:rFonts w:ascii="Times New Roman" w:hAnsi="Times New Roman" w:cs="Times New Roman"/>
          <w:sz w:val="24"/>
        </w:rPr>
        <w:t>them.  Ergo, they and their ersatz society collapse.  Their disastrous departure from social efficiency seemingly validates the ideology, especially as it pertains to boys.</w:t>
      </w:r>
    </w:p>
    <w:p w:rsidR="004975BF" w:rsidRDefault="004975BF" w:rsidP="00FB4F41">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Overall, the novel discourages radical reformation and encourages the continuation of “proven,” civilized society.  Schiro says that the social efficiency strives to improve society, but, again, its ultimate goal lies in “perpetuat[ing] existing social functions” (p. 68).  This statement recalls the adage “If it ain’t broke, don’t fix it.”  Though society may evolve, changes should not hamper efficiency or productivity.  The boys’ changes, the society they erect, achieve neither harmony nor productivity.  Their story shows that change for change’s sake may prove harmful, and it suggests that people may be safer by adhering to standard practices.  The novel’s events and its support of civilized behavior and established conventions establish a clear affinity with social efficiency.</w:t>
      </w:r>
    </w:p>
    <w:p w:rsidR="00873633" w:rsidRPr="006777B1" w:rsidRDefault="00873633" w:rsidP="006777B1">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Social Efficiency/Social Reconstruction-Oriented Works</w:t>
      </w:r>
    </w:p>
    <w:p w:rsidR="00850876" w:rsidRDefault="00850876" w:rsidP="00850876">
      <w:pPr>
        <w:spacing w:after="0" w:line="480" w:lineRule="auto"/>
        <w:ind w:firstLine="720"/>
        <w:contextualSpacing/>
        <w:jc w:val="both"/>
        <w:rPr>
          <w:rFonts w:ascii="Times New Roman" w:hAnsi="Times New Roman" w:cs="Times New Roman"/>
          <w:sz w:val="24"/>
        </w:rPr>
      </w:pPr>
      <w:r w:rsidRPr="00CB5698">
        <w:rPr>
          <w:rFonts w:ascii="Times New Roman" w:hAnsi="Times New Roman" w:cs="Times New Roman"/>
          <w:b/>
          <w:i/>
          <w:sz w:val="24"/>
        </w:rPr>
        <w:t>Romeo and Juliet</w:t>
      </w:r>
      <w:r>
        <w:rPr>
          <w:rFonts w:ascii="Times New Roman" w:hAnsi="Times New Roman" w:cs="Times New Roman"/>
          <w:sz w:val="24"/>
        </w:rPr>
        <w:t xml:space="preserve"> </w:t>
      </w:r>
      <w:r w:rsidR="00406E2C">
        <w:rPr>
          <w:rFonts w:ascii="Times New Roman" w:hAnsi="Times New Roman" w:cs="Times New Roman"/>
          <w:sz w:val="24"/>
        </w:rPr>
        <w:t xml:space="preserve">displays characteristics of social efficiency and social reconstruction.  Its </w:t>
      </w:r>
      <w:r>
        <w:rPr>
          <w:rFonts w:ascii="Times New Roman" w:hAnsi="Times New Roman" w:cs="Times New Roman"/>
          <w:sz w:val="24"/>
        </w:rPr>
        <w:t>titular characters</w:t>
      </w:r>
      <w:r w:rsidR="00406E2C">
        <w:rPr>
          <w:rFonts w:ascii="Times New Roman" w:hAnsi="Times New Roman" w:cs="Times New Roman"/>
          <w:sz w:val="24"/>
        </w:rPr>
        <w:t>’ defiance of</w:t>
      </w:r>
      <w:r>
        <w:rPr>
          <w:rFonts w:ascii="Times New Roman" w:hAnsi="Times New Roman" w:cs="Times New Roman"/>
          <w:sz w:val="24"/>
        </w:rPr>
        <w:t xml:space="preserve"> social custom</w:t>
      </w:r>
      <w:r w:rsidR="00406E2C">
        <w:rPr>
          <w:rFonts w:ascii="Times New Roman" w:hAnsi="Times New Roman" w:cs="Times New Roman"/>
          <w:sz w:val="24"/>
        </w:rPr>
        <w:t xml:space="preserve"> – and subsequent punishment for this defiance – suggests a</w:t>
      </w:r>
      <w:r w:rsidR="006777B1">
        <w:rPr>
          <w:rFonts w:ascii="Times New Roman" w:hAnsi="Times New Roman" w:cs="Times New Roman"/>
          <w:sz w:val="24"/>
        </w:rPr>
        <w:t>lignment with social efficiency</w:t>
      </w:r>
      <w:r>
        <w:rPr>
          <w:rFonts w:ascii="Times New Roman" w:hAnsi="Times New Roman" w:cs="Times New Roman"/>
          <w:sz w:val="24"/>
        </w:rPr>
        <w:t xml:space="preserve">.  </w:t>
      </w:r>
      <w:r w:rsidR="00406E2C">
        <w:rPr>
          <w:rFonts w:ascii="Times New Roman" w:hAnsi="Times New Roman" w:cs="Times New Roman"/>
          <w:sz w:val="24"/>
        </w:rPr>
        <w:t xml:space="preserve">Juliet displays inefficient behavior by rejecting </w:t>
      </w:r>
      <w:r>
        <w:rPr>
          <w:rFonts w:ascii="Times New Roman" w:hAnsi="Times New Roman" w:cs="Times New Roman"/>
          <w:sz w:val="24"/>
        </w:rPr>
        <w:t>“so worthy a gentleman [Paris] to be [</w:t>
      </w:r>
      <w:r w:rsidR="00406E2C">
        <w:rPr>
          <w:rFonts w:ascii="Times New Roman" w:hAnsi="Times New Roman" w:cs="Times New Roman"/>
          <w:sz w:val="24"/>
        </w:rPr>
        <w:t>her</w:t>
      </w:r>
      <w:r>
        <w:rPr>
          <w:rFonts w:ascii="Times New Roman" w:hAnsi="Times New Roman" w:cs="Times New Roman"/>
          <w:sz w:val="24"/>
        </w:rPr>
        <w:t xml:space="preserve">] bride” </w:t>
      </w:r>
      <w:r>
        <w:rPr>
          <w:rFonts w:ascii="Times New Roman" w:hAnsi="Times New Roman" w:cs="Times New Roman"/>
          <w:sz w:val="24"/>
        </w:rPr>
        <w:lastRenderedPageBreak/>
        <w:t xml:space="preserve">(3.5.150).  Her father, unsurprisingly, reacts with rancor, vowing to disown Juliet: “…I’ll ne’er acknowledge thee, / Nor what is mine shall ever do thee good” (205).  Juliet’s refusal represents a marked </w:t>
      </w:r>
      <w:r w:rsidR="00406E2C">
        <w:rPr>
          <w:rFonts w:ascii="Times New Roman" w:hAnsi="Times New Roman" w:cs="Times New Roman"/>
          <w:sz w:val="24"/>
        </w:rPr>
        <w:t xml:space="preserve">flouting </w:t>
      </w:r>
      <w:r>
        <w:rPr>
          <w:rFonts w:ascii="Times New Roman" w:hAnsi="Times New Roman" w:cs="Times New Roman"/>
          <w:sz w:val="24"/>
        </w:rPr>
        <w:t>of socially efficient behavior</w:t>
      </w:r>
      <w:r w:rsidR="00406E2C">
        <w:rPr>
          <w:rFonts w:ascii="Times New Roman" w:hAnsi="Times New Roman" w:cs="Times New Roman"/>
          <w:sz w:val="24"/>
        </w:rPr>
        <w:t xml:space="preserve"> and convention</w:t>
      </w:r>
      <w:r>
        <w:rPr>
          <w:rFonts w:ascii="Times New Roman" w:hAnsi="Times New Roman" w:cs="Times New Roman"/>
          <w:sz w:val="24"/>
        </w:rPr>
        <w:t>.  The play depicts a time when marriages served less as love matches and more as business arrangements.  Fathers in particular strove to betroth daughters to titled men and thus bolster the family’s status.  Such arrangements, though archaic by modern standards, constituted a smoothly functioning society.  In this context, Juliet’s repudiation of her role also represents an unwillingness to perpetuate social order – a key tenet of social efficiency (Schiro, 2007, p. 69).  She rebels not only against her parents but also against the practices of the world she inhabits.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Romeo’s immaturity and dismissal of adult counsel indicates further spurning of social efficiency.  Friar Lawrence, upon learning of Romeo’s newfound passion, remarks, “Is Rosaline, that though didst love so dear, / So soon forsaken?  Young men’s love then lies not truly in their hearts, but in their eyes” (2.3.70-2).  His statements imply the inconstancy, superficiality, and caprice of teenage love.  In these lines lies tacit advice: he urges Romeo to stop “doting,” to develop true love rather than mere infatuation (87).  Romeo’s quip that “And [thou] bad’st me bury love” proves prescient and significant (88).  Eventually, Romeo and Juliet will be buried, or killed, by their love, by their unwillingness to heed advice.  Indeed, Romeo’s statement shows that he has willfully ignored the friar’s guidance on past occasions, that he has shunned the wisdom dispensed to him.  Though he has received instruction on how to be a “constructive, active [member] of society” – a functioning adult rather than a fickle, lovesick boy – he continues to act inefficiently (Schiro, 2007, p. 69).</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lastRenderedPageBreak/>
        <w:tab/>
      </w:r>
      <w:r w:rsidR="00406E2C">
        <w:rPr>
          <w:rFonts w:ascii="Times New Roman" w:hAnsi="Times New Roman" w:cs="Times New Roman"/>
          <w:sz w:val="24"/>
        </w:rPr>
        <w:t xml:space="preserve">Though the children bear responsibility for their </w:t>
      </w:r>
      <w:r w:rsidR="005A1340">
        <w:rPr>
          <w:rFonts w:ascii="Times New Roman" w:hAnsi="Times New Roman" w:cs="Times New Roman"/>
          <w:sz w:val="24"/>
        </w:rPr>
        <w:t xml:space="preserve">disobedience, their deaths indicate </w:t>
      </w:r>
      <w:r w:rsidR="00406E2C">
        <w:rPr>
          <w:rFonts w:ascii="Times New Roman" w:hAnsi="Times New Roman" w:cs="Times New Roman"/>
          <w:sz w:val="24"/>
        </w:rPr>
        <w:t xml:space="preserve">issues with society at large </w:t>
      </w:r>
      <w:r w:rsidR="005A1340">
        <w:rPr>
          <w:rFonts w:ascii="Times New Roman" w:hAnsi="Times New Roman" w:cs="Times New Roman"/>
          <w:sz w:val="24"/>
        </w:rPr>
        <w:t>and implicitly urge</w:t>
      </w:r>
      <w:r w:rsidR="00406E2C">
        <w:rPr>
          <w:rFonts w:ascii="Times New Roman" w:hAnsi="Times New Roman" w:cs="Times New Roman"/>
          <w:sz w:val="24"/>
        </w:rPr>
        <w:t xml:space="preserve"> social reform.  </w:t>
      </w:r>
      <w:r>
        <w:rPr>
          <w:rFonts w:ascii="Times New Roman" w:hAnsi="Times New Roman" w:cs="Times New Roman"/>
          <w:sz w:val="24"/>
        </w:rPr>
        <w:t xml:space="preserve">In the final scene, the Prince says, “Capulet, Montague, / See what a scourge is laid upon your hate, / That heaven finds means to kill your joys with love” (5.3.301-3).  </w:t>
      </w:r>
      <w:r w:rsidR="00684789">
        <w:rPr>
          <w:rFonts w:ascii="Times New Roman" w:hAnsi="Times New Roman" w:cs="Times New Roman"/>
          <w:sz w:val="24"/>
        </w:rPr>
        <w:t xml:space="preserve">The juxtaposition of the words “kill” and “love” </w:t>
      </w:r>
      <w:r w:rsidR="005A1340">
        <w:rPr>
          <w:rFonts w:ascii="Times New Roman" w:hAnsi="Times New Roman" w:cs="Times New Roman"/>
          <w:sz w:val="24"/>
        </w:rPr>
        <w:t xml:space="preserve">proves telling.  Love should theoretically lead to satisfaction and happiness.  In Romeo and Juliet’s case, their love, forbidden by the society they inhabit, has contributed to their deaths.  This result </w:t>
      </w:r>
      <w:r w:rsidR="00EF3E88">
        <w:rPr>
          <w:rFonts w:ascii="Times New Roman" w:hAnsi="Times New Roman" w:cs="Times New Roman"/>
          <w:sz w:val="24"/>
        </w:rPr>
        <w:t>contradicts expectations and suggests that society has somehow strayed, has become afflicted with a moral illness.  How else could love, an emotion associated with fervent passion, lead to the cold embrace of death?  Therein lies the connection with social reconstruction.  The Prince implies that if the families had comported themselves more harmoniously – if they had created a climate more hospitable to their children’s wishes – Romeo and Juliet would be alive.  Romeo and Juliet shirked social custom, certainly, but their parents and society summarily dismissed their wishes and prompted their reckless actions.</w:t>
      </w:r>
      <w:r w:rsidR="00FD2A47">
        <w:rPr>
          <w:rFonts w:ascii="Times New Roman" w:hAnsi="Times New Roman" w:cs="Times New Roman"/>
          <w:sz w:val="24"/>
        </w:rPr>
        <w:t xml:space="preserve">  As Schiro (2007) notes, the social reconstruction ideology identifies and attempts to redress societal problems, and </w:t>
      </w:r>
      <w:r w:rsidR="00FD2A47">
        <w:rPr>
          <w:rFonts w:ascii="Times New Roman" w:hAnsi="Times New Roman" w:cs="Times New Roman"/>
          <w:i/>
          <w:sz w:val="24"/>
        </w:rPr>
        <w:t>Romeo and Juliet</w:t>
      </w:r>
      <w:r w:rsidR="00FD2A47">
        <w:rPr>
          <w:rFonts w:ascii="Times New Roman" w:hAnsi="Times New Roman" w:cs="Times New Roman"/>
          <w:sz w:val="24"/>
        </w:rPr>
        <w:t xml:space="preserve"> uses </w:t>
      </w:r>
      <w:r w:rsidR="00C30AB8">
        <w:rPr>
          <w:rFonts w:ascii="Times New Roman" w:hAnsi="Times New Roman" w:cs="Times New Roman"/>
          <w:sz w:val="24"/>
        </w:rPr>
        <w:t>its</w:t>
      </w:r>
      <w:r w:rsidR="00FD2A47">
        <w:rPr>
          <w:rFonts w:ascii="Times New Roman" w:hAnsi="Times New Roman" w:cs="Times New Roman"/>
          <w:sz w:val="24"/>
        </w:rPr>
        <w:t xml:space="preserve"> characters’ deaths to convey the need for social reform, the abolition of rigid institutions.  Consequently, the play fits into both the social efficiency and social reconstruction categories.  </w:t>
      </w:r>
      <w:r>
        <w:rPr>
          <w:rFonts w:ascii="Times New Roman" w:hAnsi="Times New Roman" w:cs="Times New Roman"/>
          <w:sz w:val="24"/>
        </w:rPr>
        <w:tab/>
      </w:r>
    </w:p>
    <w:p w:rsidR="00FD2A47" w:rsidRDefault="00FD2A47" w:rsidP="00FD2A47">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b/>
          <w:i/>
          <w:sz w:val="24"/>
        </w:rPr>
        <w:t xml:space="preserve">Wuthering Heights </w:t>
      </w:r>
      <w:r>
        <w:rPr>
          <w:rFonts w:ascii="Times New Roman" w:hAnsi="Times New Roman" w:cs="Times New Roman"/>
          <w:sz w:val="24"/>
        </w:rPr>
        <w:t xml:space="preserve">quickly conveys its orientation toward social efficiency and societal participation.  Near the novel’s beginning, Mr. Lockwood muses, “I, who had determined to hold myself independent of all social intercourse … was finally compelled to strike my colours … [and] desired [to talk to] Mrs. Dean” (Bronte, 2011, p. 21).  This quotation communicates the futility of isolation, the impossibility of rejecting society </w:t>
      </w:r>
      <w:r>
        <w:rPr>
          <w:rFonts w:ascii="Times New Roman" w:hAnsi="Times New Roman" w:cs="Times New Roman"/>
          <w:sz w:val="24"/>
        </w:rPr>
        <w:lastRenderedPageBreak/>
        <w:t xml:space="preserve">completely.  Mr. Lockwood acknowledges his preference for solitude, but he realizes also that only by engaging in “gossip,” or social discourse, can he learn about the manor’s history and inhabitants.  His experience reinforces the notion that humans rely on each other in various ways but especially for information.  To be fully informed means to seek enlightenment and education from one’s fellows, and understanding of society arises only from participation in it.  If Mr. Lockwood indulged unremittingly his penchant for solitude he would deny himself knowledge and, by extension, social inclusion.  Though brief, this passage communicates a profound message, implying that intellectual satisfaction stems from embracing “existing social functions” (Schiro, 2007, p. 67).  </w:t>
      </w:r>
    </w:p>
    <w:p w:rsidR="00FD2A47" w:rsidRDefault="00FD2A47" w:rsidP="00FD2A47">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sidR="007F26C4">
        <w:rPr>
          <w:rFonts w:ascii="Times New Roman" w:hAnsi="Times New Roman" w:cs="Times New Roman"/>
          <w:sz w:val="24"/>
        </w:rPr>
        <w:t xml:space="preserve"> Other</w:t>
      </w:r>
      <w:r>
        <w:rPr>
          <w:rFonts w:ascii="Times New Roman" w:hAnsi="Times New Roman" w:cs="Times New Roman"/>
          <w:sz w:val="24"/>
        </w:rPr>
        <w:t xml:space="preserve"> portions offer </w:t>
      </w:r>
      <w:r w:rsidR="007F26C4">
        <w:rPr>
          <w:rFonts w:ascii="Times New Roman" w:hAnsi="Times New Roman" w:cs="Times New Roman"/>
          <w:sz w:val="24"/>
        </w:rPr>
        <w:t>criticism</w:t>
      </w:r>
      <w:r>
        <w:rPr>
          <w:rFonts w:ascii="Times New Roman" w:hAnsi="Times New Roman" w:cs="Times New Roman"/>
          <w:sz w:val="24"/>
        </w:rPr>
        <w:t xml:space="preserve"> of social institutions</w:t>
      </w:r>
      <w:r w:rsidR="007F26C4">
        <w:rPr>
          <w:rFonts w:ascii="Times New Roman" w:hAnsi="Times New Roman" w:cs="Times New Roman"/>
          <w:sz w:val="24"/>
        </w:rPr>
        <w:t xml:space="preserve"> and circumscriptions</w:t>
      </w:r>
      <w:r>
        <w:rPr>
          <w:rFonts w:ascii="Times New Roman" w:hAnsi="Times New Roman" w:cs="Times New Roman"/>
          <w:sz w:val="24"/>
        </w:rPr>
        <w:t xml:space="preserve">, </w:t>
      </w:r>
      <w:r w:rsidR="007F26C4">
        <w:rPr>
          <w:rFonts w:ascii="Times New Roman" w:hAnsi="Times New Roman" w:cs="Times New Roman"/>
          <w:sz w:val="24"/>
        </w:rPr>
        <w:t>displaying characteristics of the social reconstruction ideology</w:t>
      </w:r>
      <w:r>
        <w:rPr>
          <w:rFonts w:ascii="Times New Roman" w:hAnsi="Times New Roman" w:cs="Times New Roman"/>
          <w:sz w:val="24"/>
        </w:rPr>
        <w:t xml:space="preserve">.  Heathcliff longs to marry Catherine, who says, “It would degrade me to marry Heathcliff now; so he shall never know how I love him” (p. 51).  Her statement highlights the contemporary social structure: </w:t>
      </w:r>
      <w:r w:rsidR="007F26C4">
        <w:rPr>
          <w:rFonts w:ascii="Times New Roman" w:hAnsi="Times New Roman" w:cs="Times New Roman"/>
          <w:sz w:val="24"/>
        </w:rPr>
        <w:t xml:space="preserve">the affluent </w:t>
      </w:r>
      <w:r>
        <w:rPr>
          <w:rFonts w:ascii="Times New Roman" w:hAnsi="Times New Roman" w:cs="Times New Roman"/>
          <w:sz w:val="24"/>
        </w:rPr>
        <w:t xml:space="preserve">seems a logical betrothed, while Heathcliff, an orphan, has no material wealth or social status.  </w:t>
      </w:r>
      <w:r w:rsidR="007F26C4">
        <w:rPr>
          <w:rFonts w:ascii="Times New Roman" w:hAnsi="Times New Roman" w:cs="Times New Roman"/>
          <w:sz w:val="24"/>
        </w:rPr>
        <w:t>Catherine and Edgar’s inability to marry might be read as</w:t>
      </w:r>
      <w:r>
        <w:rPr>
          <w:rFonts w:ascii="Times New Roman" w:hAnsi="Times New Roman" w:cs="Times New Roman"/>
          <w:sz w:val="24"/>
        </w:rPr>
        <w:t xml:space="preserve"> a call for social reconstruction.  Why </w:t>
      </w:r>
      <w:r w:rsidR="007F26C4">
        <w:rPr>
          <w:rFonts w:ascii="Times New Roman" w:hAnsi="Times New Roman" w:cs="Times New Roman"/>
          <w:sz w:val="24"/>
        </w:rPr>
        <w:t>should they be bound by these</w:t>
      </w:r>
      <w:r>
        <w:rPr>
          <w:rFonts w:ascii="Times New Roman" w:hAnsi="Times New Roman" w:cs="Times New Roman"/>
          <w:sz w:val="24"/>
        </w:rPr>
        <w:t xml:space="preserve"> social customs that inhibit their union?  </w:t>
      </w:r>
      <w:r>
        <w:rPr>
          <w:rFonts w:ascii="Times New Roman" w:hAnsi="Times New Roman" w:cs="Times New Roman"/>
          <w:i/>
          <w:sz w:val="24"/>
        </w:rPr>
        <w:t xml:space="preserve">Wuthering Heights </w:t>
      </w:r>
      <w:r>
        <w:rPr>
          <w:rFonts w:ascii="Times New Roman" w:hAnsi="Times New Roman" w:cs="Times New Roman"/>
          <w:sz w:val="24"/>
        </w:rPr>
        <w:t xml:space="preserve">contains no </w:t>
      </w:r>
      <w:r w:rsidR="000E11B9">
        <w:rPr>
          <w:rFonts w:ascii="Times New Roman" w:hAnsi="Times New Roman" w:cs="Times New Roman"/>
          <w:sz w:val="24"/>
        </w:rPr>
        <w:t>explicit</w:t>
      </w:r>
      <w:r>
        <w:rPr>
          <w:rFonts w:ascii="Times New Roman" w:hAnsi="Times New Roman" w:cs="Times New Roman"/>
          <w:sz w:val="24"/>
        </w:rPr>
        <w:t xml:space="preserve"> directive</w:t>
      </w:r>
      <w:r w:rsidR="000E11B9">
        <w:rPr>
          <w:rFonts w:ascii="Times New Roman" w:hAnsi="Times New Roman" w:cs="Times New Roman"/>
          <w:sz w:val="24"/>
        </w:rPr>
        <w:t>s for improving society;</w:t>
      </w:r>
      <w:r>
        <w:rPr>
          <w:rFonts w:ascii="Times New Roman" w:hAnsi="Times New Roman" w:cs="Times New Roman"/>
          <w:sz w:val="24"/>
        </w:rPr>
        <w:t xml:space="preserve"> Catherine marries Edgar, elevating her social status, while Heathcliff remains a lowly orphan.  They accept, if somewhat reluctantly, the prevailing social structure</w:t>
      </w:r>
      <w:r w:rsidR="00DA1A5D">
        <w:rPr>
          <w:rFonts w:ascii="Times New Roman" w:hAnsi="Times New Roman" w:cs="Times New Roman"/>
          <w:sz w:val="24"/>
        </w:rPr>
        <w:t xml:space="preserve">.  However, their plight exposes a societal inequity – namely, how money and status often erect barriers between individuals.  Their mutual longing </w:t>
      </w:r>
      <w:r w:rsidR="00B4657C">
        <w:rPr>
          <w:rFonts w:ascii="Times New Roman" w:hAnsi="Times New Roman" w:cs="Times New Roman"/>
          <w:sz w:val="24"/>
        </w:rPr>
        <w:t xml:space="preserve">and unrealized love </w:t>
      </w:r>
      <w:r w:rsidR="00282F62">
        <w:rPr>
          <w:rFonts w:ascii="Times New Roman" w:hAnsi="Times New Roman" w:cs="Times New Roman"/>
          <w:sz w:val="24"/>
        </w:rPr>
        <w:t>convey the ef</w:t>
      </w:r>
      <w:r w:rsidR="00DD0529">
        <w:rPr>
          <w:rFonts w:ascii="Times New Roman" w:hAnsi="Times New Roman" w:cs="Times New Roman"/>
          <w:sz w:val="24"/>
        </w:rPr>
        <w:t>fects of such austere mores, tacitly questioning the validity and humanity of these customs</w:t>
      </w:r>
      <w:r w:rsidR="002C3E00">
        <w:rPr>
          <w:rFonts w:ascii="Times New Roman" w:hAnsi="Times New Roman" w:cs="Times New Roman"/>
          <w:sz w:val="24"/>
        </w:rPr>
        <w:t xml:space="preserve">. </w:t>
      </w:r>
      <w:r w:rsidR="00DD0529">
        <w:rPr>
          <w:rFonts w:ascii="Times New Roman" w:hAnsi="Times New Roman" w:cs="Times New Roman"/>
          <w:sz w:val="24"/>
        </w:rPr>
        <w:t xml:space="preserve"> Though the characters ultimately follow</w:t>
      </w:r>
      <w:r>
        <w:rPr>
          <w:rFonts w:ascii="Times New Roman" w:hAnsi="Times New Roman" w:cs="Times New Roman"/>
          <w:sz w:val="24"/>
        </w:rPr>
        <w:t xml:space="preserve"> “existing social functions</w:t>
      </w:r>
      <w:r w:rsidR="00DD0529">
        <w:rPr>
          <w:rFonts w:ascii="Times New Roman" w:hAnsi="Times New Roman" w:cs="Times New Roman"/>
          <w:sz w:val="24"/>
        </w:rPr>
        <w:t>,</w:t>
      </w:r>
      <w:r>
        <w:rPr>
          <w:rFonts w:ascii="Times New Roman" w:hAnsi="Times New Roman" w:cs="Times New Roman"/>
          <w:sz w:val="24"/>
        </w:rPr>
        <w:t>”</w:t>
      </w:r>
      <w:r w:rsidR="00DD0529">
        <w:rPr>
          <w:rFonts w:ascii="Times New Roman" w:hAnsi="Times New Roman" w:cs="Times New Roman"/>
          <w:sz w:val="24"/>
        </w:rPr>
        <w:t xml:space="preserve"> the novel </w:t>
      </w:r>
      <w:r w:rsidR="00DD0529">
        <w:rPr>
          <w:rFonts w:ascii="Times New Roman" w:hAnsi="Times New Roman" w:cs="Times New Roman"/>
          <w:sz w:val="24"/>
        </w:rPr>
        <w:lastRenderedPageBreak/>
        <w:t>engages in subtle social reconstruction by examining</w:t>
      </w:r>
      <w:r w:rsidR="0012111B">
        <w:rPr>
          <w:rFonts w:ascii="Times New Roman" w:hAnsi="Times New Roman" w:cs="Times New Roman"/>
          <w:sz w:val="24"/>
        </w:rPr>
        <w:t>, pondering,</w:t>
      </w:r>
      <w:r w:rsidR="00DD0529">
        <w:rPr>
          <w:rFonts w:ascii="Times New Roman" w:hAnsi="Times New Roman" w:cs="Times New Roman"/>
          <w:sz w:val="24"/>
        </w:rPr>
        <w:t xml:space="preserve"> and interrogating those functions.</w:t>
      </w:r>
    </w:p>
    <w:p w:rsidR="00036661" w:rsidRDefault="00036661" w:rsidP="00036661">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b/>
          <w:i/>
          <w:sz w:val="24"/>
        </w:rPr>
        <w:t>The Scarlet Letter</w:t>
      </w:r>
      <w:r>
        <w:rPr>
          <w:rFonts w:ascii="Times New Roman" w:hAnsi="Times New Roman" w:cs="Times New Roman"/>
          <w:sz w:val="24"/>
        </w:rPr>
        <w:t>, with its focus on public modesty and decency, contains strong elements of social efficiency.  Hester contravenes the mores of the “Utopia of human virtue and happiness” to which her fellow citizens aspire (Hawthorne, 2012, p. 28).  Consequently, she and her illegitimate child incur widespread condemnation; and she must don a tangible symbol of opprobrium.  Schiro writes that the social efficiency ideology aims to inculcate desirable behavior, and according to Gagne to teach individuals to live lives that “[contribute] to the goals of [their] society” (as quoted in Schiro, 2007, p. 69).  The “goals of a society” can vary by time and location, but Hester’s Puritan town evidently defines desirable behavior as chastity and adherence to a constrictive sexual code.  Her conduct disappoints the townspeople, who say, “This woman has brought shame upon us all, and ought to die” (p. 31).  Hester has thus failed in her particular social context, deviated from acceptable behavior, and provoked society’s ire.  Despite her beauty and dignified bearing, she at first seems to stand as a monument to socially inefficient behavior.</w:t>
      </w:r>
    </w:p>
    <w:p w:rsidR="00036661" w:rsidRDefault="00036661" w:rsidP="00036661">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However, the novel soon reveals </w:t>
      </w:r>
      <w:r w:rsidR="00945050">
        <w:rPr>
          <w:rFonts w:ascii="Times New Roman" w:hAnsi="Times New Roman" w:cs="Times New Roman"/>
          <w:sz w:val="24"/>
        </w:rPr>
        <w:t>social-</w:t>
      </w:r>
      <w:r>
        <w:rPr>
          <w:rFonts w:ascii="Times New Roman" w:hAnsi="Times New Roman" w:cs="Times New Roman"/>
          <w:sz w:val="24"/>
        </w:rPr>
        <w:t>reconstruction</w:t>
      </w:r>
      <w:r w:rsidR="00945050">
        <w:rPr>
          <w:rFonts w:ascii="Times New Roman" w:hAnsi="Times New Roman" w:cs="Times New Roman"/>
          <w:sz w:val="24"/>
        </w:rPr>
        <w:t xml:space="preserve"> sentiments</w:t>
      </w:r>
      <w:r>
        <w:rPr>
          <w:rFonts w:ascii="Times New Roman" w:hAnsi="Times New Roman" w:cs="Times New Roman"/>
          <w:sz w:val="24"/>
        </w:rPr>
        <w:t xml:space="preserve">, portraying Hester’s moral strength and questioning society’s harsh judgments.  Hester’s first appearance </w:t>
      </w:r>
      <w:r w:rsidR="00945050">
        <w:rPr>
          <w:rFonts w:ascii="Times New Roman" w:hAnsi="Times New Roman" w:cs="Times New Roman"/>
          <w:sz w:val="24"/>
        </w:rPr>
        <w:t>refers</w:t>
      </w:r>
      <w:r>
        <w:rPr>
          <w:rFonts w:ascii="Times New Roman" w:hAnsi="Times New Roman" w:cs="Times New Roman"/>
          <w:sz w:val="24"/>
        </w:rPr>
        <w:t xml:space="preserve"> to her “ladylike” manner, her “serene deportment” (p. 31-3).  These virtuous qualities contradict the citizens’ unflattering descriptions, suggesting grace and poise diametrically opposed to the figure of a wanton adulteress.  This sympathetic lens the narrative places on Hester, accomplishes a major part of social reconstruction: “taking a value stance” (Schiro, 2007, p. 159).  The narrative certainly acknowledges Hester’s </w:t>
      </w:r>
      <w:r>
        <w:rPr>
          <w:rFonts w:ascii="Times New Roman" w:hAnsi="Times New Roman" w:cs="Times New Roman"/>
          <w:sz w:val="24"/>
        </w:rPr>
        <w:lastRenderedPageBreak/>
        <w:t xml:space="preserve">sin; in fact, the sin provides the basis for the plot itself.   Even so, it offers kindness rather than censure; it underscores Hester’s upright behavior and repentant demeanor.  The narrative’s positive value judgment contradicts the other characters’ evaluations, perhaps telling the audience that Hester has been judged too harshly.  This call for mercy, this unspoken desire for society to soften its stance, displays reconstructionist attitudes.  </w:t>
      </w:r>
    </w:p>
    <w:p w:rsidR="00036661" w:rsidRDefault="00036661" w:rsidP="00036661">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 novel also examines the problem of gender inequality, especially as it pertains to sexual relations.  According to Wood and Fixmer-Oraiz (2016), women “who have sex with different partners [or, in Hester’s case, commit adultery]” receive far more scorn than men who commit similar acts (p. 194).  Reverend Dimmesdale’s presence </w:t>
      </w:r>
      <w:r w:rsidR="00E07A03">
        <w:rPr>
          <w:rFonts w:ascii="Times New Roman" w:hAnsi="Times New Roman" w:cs="Times New Roman"/>
          <w:sz w:val="24"/>
        </w:rPr>
        <w:t xml:space="preserve">and conduct </w:t>
      </w:r>
      <w:r>
        <w:rPr>
          <w:rFonts w:ascii="Times New Roman" w:hAnsi="Times New Roman" w:cs="Times New Roman"/>
          <w:sz w:val="24"/>
        </w:rPr>
        <w:t>co</w:t>
      </w:r>
      <w:r w:rsidR="00E07A03">
        <w:rPr>
          <w:rFonts w:ascii="Times New Roman" w:hAnsi="Times New Roman" w:cs="Times New Roman"/>
          <w:sz w:val="24"/>
        </w:rPr>
        <w:t>nfirm</w:t>
      </w:r>
      <w:r>
        <w:rPr>
          <w:rFonts w:ascii="Times New Roman" w:hAnsi="Times New Roman" w:cs="Times New Roman"/>
          <w:sz w:val="24"/>
        </w:rPr>
        <w:t xml:space="preserve"> this </w:t>
      </w:r>
      <w:r w:rsidR="00E07A03">
        <w:rPr>
          <w:rFonts w:ascii="Times New Roman" w:hAnsi="Times New Roman" w:cs="Times New Roman"/>
          <w:sz w:val="24"/>
        </w:rPr>
        <w:t>assertion</w:t>
      </w:r>
      <w:r>
        <w:rPr>
          <w:rFonts w:ascii="Times New Roman" w:hAnsi="Times New Roman" w:cs="Times New Roman"/>
          <w:sz w:val="24"/>
        </w:rPr>
        <w:t>.  Pearl’s father and Hester’s lover, he can nevertheless feign innocence because of his sex.  Unlike Hester, he exhibits none of the conspicuous consequences of intercourse</w:t>
      </w:r>
      <w:r w:rsidR="009E0782">
        <w:rPr>
          <w:rFonts w:ascii="Times New Roman" w:hAnsi="Times New Roman" w:cs="Times New Roman"/>
          <w:sz w:val="24"/>
        </w:rPr>
        <w:t xml:space="preserve"> and</w:t>
      </w:r>
      <w:r>
        <w:rPr>
          <w:rFonts w:ascii="Times New Roman" w:hAnsi="Times New Roman" w:cs="Times New Roman"/>
          <w:sz w:val="24"/>
        </w:rPr>
        <w:t xml:space="preserve"> continue</w:t>
      </w:r>
      <w:r w:rsidR="009E0782">
        <w:rPr>
          <w:rFonts w:ascii="Times New Roman" w:hAnsi="Times New Roman" w:cs="Times New Roman"/>
          <w:sz w:val="24"/>
        </w:rPr>
        <w:t>s</w:t>
      </w:r>
      <w:r>
        <w:rPr>
          <w:rFonts w:ascii="Times New Roman" w:hAnsi="Times New Roman" w:cs="Times New Roman"/>
          <w:sz w:val="24"/>
        </w:rPr>
        <w:t xml:space="preserve"> his life unaltered.  Irony manifests itself sharply when he commands Hester to “speak out the name of thy fellow-sinner” (p. 39).  Here the man stands, perhaps inwardly tormented but outwardly unexposed, while the woman’s behavior and sexual activity have been tried in the court of public opinion.  This situation underscores the differing punishments that men and women receive for the same sin.  Social reconstructionists look at “hidden aspects of the curriculum that invisibly shape human behavior” (Schiro, 2007, p. 162). This scene likewise examines critically those hidden dynamics and biases that govern relations between the sexes.</w:t>
      </w:r>
      <w:r w:rsidR="00207D70">
        <w:rPr>
          <w:rFonts w:ascii="Times New Roman" w:hAnsi="Times New Roman" w:cs="Times New Roman"/>
          <w:sz w:val="24"/>
        </w:rPr>
        <w:t xml:space="preserve">  Social efficiency and social reconstruction interlock to produce a novel </w:t>
      </w:r>
      <w:r w:rsidR="004E1E3C">
        <w:rPr>
          <w:rFonts w:ascii="Times New Roman" w:hAnsi="Times New Roman" w:cs="Times New Roman"/>
          <w:sz w:val="24"/>
        </w:rPr>
        <w:t>that acknowledges and preserves the social structure but also questions it.</w:t>
      </w:r>
    </w:p>
    <w:p w:rsidR="006551D4" w:rsidRDefault="006551D4" w:rsidP="00850876">
      <w:pPr>
        <w:spacing w:after="0" w:line="480" w:lineRule="auto"/>
        <w:contextualSpacing/>
        <w:jc w:val="both"/>
        <w:rPr>
          <w:rFonts w:ascii="Times New Roman" w:hAnsi="Times New Roman" w:cs="Times New Roman"/>
          <w:b/>
          <w:i/>
          <w:sz w:val="24"/>
        </w:rPr>
      </w:pPr>
    </w:p>
    <w:p w:rsidR="006551D4" w:rsidRDefault="006551D4" w:rsidP="00850876">
      <w:pPr>
        <w:spacing w:after="0" w:line="480" w:lineRule="auto"/>
        <w:contextualSpacing/>
        <w:jc w:val="both"/>
        <w:rPr>
          <w:rFonts w:ascii="Times New Roman" w:hAnsi="Times New Roman" w:cs="Times New Roman"/>
          <w:b/>
          <w:i/>
          <w:sz w:val="24"/>
        </w:rPr>
      </w:pPr>
    </w:p>
    <w:p w:rsidR="00850876"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lastRenderedPageBreak/>
        <w:t>Social Reconstruction-Oriented Works</w:t>
      </w:r>
    </w:p>
    <w:p w:rsidR="00850876" w:rsidRDefault="00850876" w:rsidP="00850876">
      <w:pPr>
        <w:spacing w:after="0" w:line="480" w:lineRule="auto"/>
        <w:ind w:firstLine="720"/>
        <w:contextualSpacing/>
        <w:jc w:val="both"/>
        <w:rPr>
          <w:rFonts w:ascii="Times New Roman" w:hAnsi="Times New Roman" w:cs="Times New Roman"/>
          <w:sz w:val="24"/>
        </w:rPr>
      </w:pPr>
      <w:r w:rsidRPr="000B38A8">
        <w:rPr>
          <w:rFonts w:ascii="Times New Roman" w:hAnsi="Times New Roman" w:cs="Times New Roman"/>
          <w:b/>
          <w:i/>
          <w:sz w:val="24"/>
        </w:rPr>
        <w:t>Of Mice and Men</w:t>
      </w:r>
      <w:r>
        <w:rPr>
          <w:rFonts w:ascii="Times New Roman" w:hAnsi="Times New Roman" w:cs="Times New Roman"/>
          <w:i/>
          <w:sz w:val="24"/>
        </w:rPr>
        <w:t xml:space="preserve"> </w:t>
      </w:r>
      <w:r>
        <w:rPr>
          <w:rFonts w:ascii="Times New Roman" w:hAnsi="Times New Roman" w:cs="Times New Roman"/>
          <w:sz w:val="24"/>
        </w:rPr>
        <w:t>engages in social reconstruction by depicting the plight of individuals afflicted with mental dis</w:t>
      </w:r>
      <w:r w:rsidR="00057709">
        <w:rPr>
          <w:rFonts w:ascii="Times New Roman" w:hAnsi="Times New Roman" w:cs="Times New Roman"/>
          <w:sz w:val="24"/>
        </w:rPr>
        <w:t xml:space="preserve">abilities.  Lennie, a grown man, </w:t>
      </w:r>
      <w:r>
        <w:rPr>
          <w:rFonts w:ascii="Times New Roman" w:hAnsi="Times New Roman" w:cs="Times New Roman"/>
          <w:sz w:val="24"/>
        </w:rPr>
        <w:t xml:space="preserve">lacks coping skills, becoming distraught over a mouse’s death (Steinbeck, 1993, p. 8).  Compared to George, Lennie seems – nay, </w:t>
      </w:r>
      <w:r>
        <w:rPr>
          <w:rFonts w:ascii="Times New Roman" w:hAnsi="Times New Roman" w:cs="Times New Roman"/>
          <w:i/>
          <w:sz w:val="24"/>
        </w:rPr>
        <w:t xml:space="preserve">is </w:t>
      </w:r>
      <w:r>
        <w:rPr>
          <w:rFonts w:ascii="Times New Roman" w:hAnsi="Times New Roman" w:cs="Times New Roman"/>
          <w:sz w:val="24"/>
        </w:rPr>
        <w:t xml:space="preserve">– naïve, emotionally and mentally helpless despite his physical bulk.  After Lennie kills Curley’s wife, George says, “We can’t let ‘im get away.  Why, the poor bastard’d starve … Maybe they’ll lock ‘im up and an’ be nice to ‘im” (p. 88).  These statements, which seem alternately to condemn and sympathize with Lennie, tacitly acknowledge a social problem.  George knows that Lennie </w:t>
      </w:r>
      <w:r w:rsidR="00057709">
        <w:rPr>
          <w:rFonts w:ascii="Times New Roman" w:hAnsi="Times New Roman" w:cs="Times New Roman"/>
          <w:sz w:val="24"/>
        </w:rPr>
        <w:t>never meant to kill</w:t>
      </w:r>
      <w:r>
        <w:rPr>
          <w:rFonts w:ascii="Times New Roman" w:hAnsi="Times New Roman" w:cs="Times New Roman"/>
          <w:sz w:val="24"/>
        </w:rPr>
        <w:t xml:space="preserve"> the wife, but he knows also that the law will perceive Lennie as it would any other murderer</w:t>
      </w:r>
      <w:r w:rsidR="00057709">
        <w:rPr>
          <w:rFonts w:ascii="Times New Roman" w:hAnsi="Times New Roman" w:cs="Times New Roman"/>
          <w:sz w:val="24"/>
        </w:rPr>
        <w:t>,</w:t>
      </w:r>
      <w:r>
        <w:rPr>
          <w:rFonts w:ascii="Times New Roman" w:hAnsi="Times New Roman" w:cs="Times New Roman"/>
          <w:sz w:val="24"/>
        </w:rPr>
        <w:t xml:space="preserve"> offering him no leniency.  The novella thus shows society’s lack of understanding vis-à-vis mental disabilities, its unwillingness </w:t>
      </w:r>
      <w:r>
        <w:rPr>
          <w:rFonts w:ascii="Times New Roman" w:hAnsi="Times New Roman" w:cs="Times New Roman"/>
          <w:i/>
          <w:sz w:val="24"/>
        </w:rPr>
        <w:t xml:space="preserve">to </w:t>
      </w:r>
      <w:r>
        <w:rPr>
          <w:rFonts w:ascii="Times New Roman" w:hAnsi="Times New Roman" w:cs="Times New Roman"/>
          <w:sz w:val="24"/>
        </w:rPr>
        <w:t>understand individuals with these disabilities.  Justice, as the saying goes, should be swift and fair.  Never should a crime be excused, as George demonstrates by not “let[ting] ‘im get away,” but the law should recognize mitigating circumstances and adjudicate accordingly.  George’s fears indicate the unlikelihood of this outcome, showing readers the lack of justice in the situation and thus accomplishing a key goal of social reconstruction.</w:t>
      </w:r>
    </w:p>
    <w:p w:rsidR="00EF466D"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 men’s broader predicament works to inform readers about the </w:t>
      </w:r>
      <w:r w:rsidR="00EF466D">
        <w:rPr>
          <w:rFonts w:ascii="Times New Roman" w:hAnsi="Times New Roman" w:cs="Times New Roman"/>
          <w:sz w:val="24"/>
        </w:rPr>
        <w:t xml:space="preserve">effects of </w:t>
      </w:r>
      <w:r>
        <w:rPr>
          <w:rFonts w:ascii="Times New Roman" w:hAnsi="Times New Roman" w:cs="Times New Roman"/>
          <w:sz w:val="24"/>
        </w:rPr>
        <w:t xml:space="preserve">Great Depression.  George refers to “work cards and bus tickets” and recounts his and Lennie’s “shovin’ all over the country all the time” (p. 3, 9).  This dialogue alludes to the desperate economic conditions that prevailed during the 1930s.  During that time, the country’s unemployment rate exceeded twenty-five percent, and displaced agricultural workers fled to California (Frank &amp; Bernanke, 2007, p. 98; Gregory, 1989, p. 10; cf. Steinbeck’s </w:t>
      </w:r>
      <w:r>
        <w:rPr>
          <w:rFonts w:ascii="Times New Roman" w:hAnsi="Times New Roman" w:cs="Times New Roman"/>
          <w:i/>
          <w:sz w:val="24"/>
        </w:rPr>
        <w:t xml:space="preserve">The </w:t>
      </w:r>
      <w:r>
        <w:rPr>
          <w:rFonts w:ascii="Times New Roman" w:hAnsi="Times New Roman" w:cs="Times New Roman"/>
          <w:i/>
          <w:sz w:val="24"/>
        </w:rPr>
        <w:lastRenderedPageBreak/>
        <w:t>Grapes of Wrath</w:t>
      </w:r>
      <w:r>
        <w:rPr>
          <w:rFonts w:ascii="Times New Roman" w:hAnsi="Times New Roman" w:cs="Times New Roman"/>
          <w:sz w:val="24"/>
        </w:rPr>
        <w:t xml:space="preserve">).  According to Gregory (1989), contemporary historians compared these migrants to “refugees” who had embarked upon a “flight from privation” (p. 10).  Though George and Lennie’s exact origins remain unclear, the novella itself takes place in California (p. 1).  that they have encountered the same hardships the researchers describe.  Such geographic, economic, and cultural verisimilitude moves the work toward the realm of historical fiction.  Indeed, by explicitly setting the novella in this time period, Steinbeck informs readers about the deplorable conditions – the economic insecurity, the fear of unemployment and starvation, the lack </w:t>
      </w:r>
      <w:r w:rsidR="00057709">
        <w:rPr>
          <w:rFonts w:ascii="Times New Roman" w:hAnsi="Times New Roman" w:cs="Times New Roman"/>
          <w:sz w:val="24"/>
        </w:rPr>
        <w:t>social welfare</w:t>
      </w:r>
      <w:r>
        <w:rPr>
          <w:rFonts w:ascii="Times New Roman" w:hAnsi="Times New Roman" w:cs="Times New Roman"/>
          <w:sz w:val="24"/>
        </w:rPr>
        <w:t xml:space="preserve"> – </w:t>
      </w:r>
      <w:r w:rsidR="00EF466D">
        <w:rPr>
          <w:rFonts w:ascii="Times New Roman" w:hAnsi="Times New Roman" w:cs="Times New Roman"/>
          <w:sz w:val="24"/>
        </w:rPr>
        <w:t>of</w:t>
      </w:r>
      <w:r>
        <w:rPr>
          <w:rFonts w:ascii="Times New Roman" w:hAnsi="Times New Roman" w:cs="Times New Roman"/>
          <w:sz w:val="24"/>
        </w:rPr>
        <w:t xml:space="preserve"> the era.  </w:t>
      </w:r>
      <w:r>
        <w:rPr>
          <w:rFonts w:ascii="Times New Roman" w:hAnsi="Times New Roman" w:cs="Times New Roman"/>
          <w:sz w:val="24"/>
        </w:rPr>
        <w:tab/>
      </w:r>
    </w:p>
    <w:p w:rsidR="00850876" w:rsidRDefault="00850876" w:rsidP="00EF466D">
      <w:pPr>
        <w:spacing w:after="0" w:line="480" w:lineRule="auto"/>
        <w:ind w:firstLine="720"/>
        <w:contextualSpacing/>
        <w:jc w:val="both"/>
        <w:rPr>
          <w:rFonts w:ascii="Times New Roman" w:hAnsi="Times New Roman" w:cs="Times New Roman"/>
          <w:sz w:val="24"/>
        </w:rPr>
      </w:pPr>
      <w:r w:rsidRPr="005D539A">
        <w:rPr>
          <w:rFonts w:ascii="Times New Roman" w:hAnsi="Times New Roman" w:cs="Times New Roman"/>
          <w:i/>
          <w:sz w:val="24"/>
        </w:rPr>
        <w:t>O</w:t>
      </w:r>
      <w:r w:rsidRPr="00194EDA">
        <w:rPr>
          <w:rFonts w:ascii="Times New Roman" w:hAnsi="Times New Roman"/>
          <w:i/>
          <w:sz w:val="24"/>
        </w:rPr>
        <w:t>f Mice and Men</w:t>
      </w:r>
      <w:r w:rsidRPr="00194EDA">
        <w:rPr>
          <w:rFonts w:ascii="Times New Roman" w:hAnsi="Times New Roman"/>
          <w:sz w:val="24"/>
        </w:rPr>
        <w:t>, with its portrayal of interpersonal and societal inequities, accomplishes nearly all the objectives of social reconstruction.</w:t>
      </w:r>
      <w:r>
        <w:rPr>
          <w:rFonts w:ascii="Times New Roman" w:hAnsi="Times New Roman" w:cs="Times New Roman"/>
          <w:sz w:val="24"/>
        </w:rPr>
        <w:t xml:space="preserve">  According to Schiro (2007), social reconstructionists first attempt to identify a problem (p. 151), and </w:t>
      </w:r>
      <w:r>
        <w:rPr>
          <w:rFonts w:ascii="Times New Roman" w:hAnsi="Times New Roman" w:cs="Times New Roman"/>
          <w:i/>
          <w:sz w:val="24"/>
        </w:rPr>
        <w:t xml:space="preserve">Of Mice and Men </w:t>
      </w:r>
      <w:r>
        <w:rPr>
          <w:rFonts w:ascii="Times New Roman" w:hAnsi="Times New Roman" w:cs="Times New Roman"/>
          <w:sz w:val="24"/>
        </w:rPr>
        <w:t>addresses many: poverty, misunderstanding of individuals with mental disabilities, difficulties of settling into a new community, etc.  Its references to history only make these problems more poignant, as readers realize that thousands of people shared George and Lennie’s plight.  Moreover, the novella envisions resolutions to these problems, the improved society that Schiro mentions (p. 151).  At one point George says, “If I was bright … I’d have my own little place, I’d be bringin’ in my own crops” (p. 37).  This statement reflects not only George’s personal desires but also a vision for society.  George, like many men of this time, longs for comfort, security, and self-sufficiency, and he envisions a country whose economic climate proves conducive to this goal.  The social reconstruction mindset, an emphasis on identification and rectification of social ills, suffuses the novella’s pages.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lastRenderedPageBreak/>
        <w:tab/>
      </w:r>
      <w:r w:rsidRPr="00794100">
        <w:rPr>
          <w:rFonts w:ascii="Times New Roman" w:hAnsi="Times New Roman" w:cs="Times New Roman"/>
          <w:b/>
          <w:i/>
          <w:sz w:val="24"/>
        </w:rPr>
        <w:t>A Raisin in the Sun</w:t>
      </w:r>
      <w:r>
        <w:rPr>
          <w:rFonts w:ascii="Times New Roman" w:hAnsi="Times New Roman" w:cs="Times New Roman"/>
          <w:i/>
          <w:sz w:val="24"/>
        </w:rPr>
        <w:t xml:space="preserve"> </w:t>
      </w:r>
      <w:r>
        <w:rPr>
          <w:rFonts w:ascii="Times New Roman" w:hAnsi="Times New Roman" w:cs="Times New Roman"/>
          <w:sz w:val="24"/>
        </w:rPr>
        <w:t xml:space="preserve">advocates social reconstruction through its examination of African-Americans’ economic plight.  On many occasions, the Youngers openly address their straitened circumstances.  Ruth, for example, considers obtaining an abortion because the family cannot support another child, while Walter Lee laments, “…and all I got to give [my son] is stories about how rich white people live” (Hansberry, 1959, p. 75, 34).  The family’s economic </w:t>
      </w:r>
      <w:r w:rsidR="00697D31">
        <w:rPr>
          <w:rFonts w:ascii="Times New Roman" w:hAnsi="Times New Roman" w:cs="Times New Roman"/>
          <w:sz w:val="24"/>
        </w:rPr>
        <w:t xml:space="preserve">frustrations reflect fully the </w:t>
      </w:r>
      <w:r>
        <w:rPr>
          <w:rFonts w:ascii="Times New Roman" w:hAnsi="Times New Roman" w:cs="Times New Roman"/>
          <w:sz w:val="24"/>
        </w:rPr>
        <w:t>hardships of African Americans in the 1950s.  .  Schiele (2011) notes that “Unemployment rates soared for African American men in the 1950s and became even more established by the 1980s” (p. 32).  The Youngers’ story draws from reality, allowing the play to transcend its pages to become a piece of social commentary; it serves not merely to entertain but to highlight actual injustice.  This relation of fiction to actual social ills and inequities fits comfortably into the social-reconstruction ethos.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 characters’ proposed solutions also symbolize the social-reconstructionist commitment to redressing social ills.  Ruth recalls Walter Lee’s claim that “colored people ain’t never going to start getting ahead till they start gambling on some different kind of things in the world – investments and things” (p. 42).  This statement indicates that the traditional economic arrangement – wages paid by an employer – has proved insufficient to bolster African Americans’ fortunes.  Instead, African Americans should take economic initiative.  The Youngers live in a society that impedes such actions, and Walter Lee sees these obstacles and considers ways to circumvent them.  He </w:t>
      </w:r>
      <w:r w:rsidR="00885C63">
        <w:rPr>
          <w:rFonts w:ascii="Times New Roman" w:hAnsi="Times New Roman" w:cs="Times New Roman"/>
          <w:sz w:val="24"/>
        </w:rPr>
        <w:t>display</w:t>
      </w:r>
      <w:r>
        <w:rPr>
          <w:rFonts w:ascii="Times New Roman" w:hAnsi="Times New Roman" w:cs="Times New Roman"/>
          <w:sz w:val="24"/>
        </w:rPr>
        <w:t xml:space="preserve">s a reconstructionist mindset by “forming a group vision [in this case, an African-American vision] … of what a more just world might look like” (Schiro, 2007, p. 159).  Walter Lee knows that the current system will oppress him, that he will continue to languish in </w:t>
      </w:r>
      <w:r>
        <w:rPr>
          <w:rFonts w:ascii="Times New Roman" w:hAnsi="Times New Roman" w:cs="Times New Roman"/>
          <w:sz w:val="24"/>
        </w:rPr>
        <w:lastRenderedPageBreak/>
        <w:t xml:space="preserve">mediocrity, so he dreams of changing it as a means to attain more equitable conditions.  His commitment to improving his and others’ lives more firmly establishes the play’s reconstructionist </w:t>
      </w:r>
      <w:r w:rsidRPr="006860DC">
        <w:rPr>
          <w:rFonts w:ascii="Times New Roman" w:hAnsi="Times New Roman" w:cs="Times New Roman"/>
          <w:i/>
          <w:sz w:val="24"/>
        </w:rPr>
        <w:t>bona fides</w:t>
      </w:r>
      <w:r>
        <w:rPr>
          <w:rFonts w:ascii="Times New Roman" w:hAnsi="Times New Roman" w:cs="Times New Roman"/>
          <w:sz w:val="24"/>
        </w:rPr>
        <w:t>.</w:t>
      </w:r>
    </w:p>
    <w:p w:rsidR="00850876" w:rsidRDefault="00850876" w:rsidP="00850876">
      <w:pPr>
        <w:spacing w:after="0" w:line="480" w:lineRule="auto"/>
        <w:contextualSpacing/>
        <w:rPr>
          <w:rFonts w:ascii="Times New Roman" w:hAnsi="Times New Roman" w:cs="Times New Roman"/>
          <w:sz w:val="24"/>
        </w:rPr>
      </w:pPr>
      <w:r>
        <w:rPr>
          <w:rFonts w:ascii="Times New Roman" w:hAnsi="Times New Roman" w:cs="Times New Roman"/>
          <w:sz w:val="24"/>
        </w:rPr>
        <w:tab/>
        <w:t>Asagai’s solution approaches reconstruction from a different angle, advocating separatism as means to achieve a better society.  He announces his intention to return to Africa, saying, “…or perhaps I shall live to be a very old man, respected and esteemed in my new nation” (p. 135).  Unlike Walter Lee, he has little desire to work within the current system.  Rather, he wants to abandon it entirely and find a place where he need not grovel for respect.  Furthermore, he has adopted an African name, subtly announcing his renunciation of “American” society and nomenclature.  Asagai views social justice not only as a matter of values but also of geography: sometimes creating a better life might entail creating a home elsewhere.  Social reconstruction provides the broad goal of “making the world a better place” (Schiro, 2007, p. 159), and Asagai’s solution represents an extreme, idiosyncratic interpretation of that objective.  Social reconstructionists “attempt to build a new society out of the existing one,” but the ideology makes no claims about individuals being chained to a particular society (p. 163).  Asagai could recognize the futility of trying to improve America, move elsewhere, and attempt to optimize that society.  Though radical in his thinking, he proposes some solution to social ills and exhibits reconstructionist thinking.</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Altogether, the play’s sustained focus on social issues and intersections conveys this ideological underpinning.  It portrays a black family’s lingering economic and social hardships, and it shows how race relates to such issues as gender and nationality.  Ruth, a poor black woman, must make a harrowing reproductive choice – one with which an </w:t>
      </w:r>
      <w:r>
        <w:rPr>
          <w:rFonts w:ascii="Times New Roman" w:hAnsi="Times New Roman" w:cs="Times New Roman"/>
          <w:sz w:val="24"/>
        </w:rPr>
        <w:lastRenderedPageBreak/>
        <w:t xml:space="preserve">affluent white woman might not be faced.  Because of his race, Asagai feels alienated from his country and yearns to leave it.  Walter Lee faces daily emasculation and servitude that would likely not plague a white man.  Within every page, every character, lives an unspoken commentary on some aspect of society, the scars of innumerable injustices.  Not merely entertainment, </w:t>
      </w:r>
      <w:r>
        <w:rPr>
          <w:rFonts w:ascii="Times New Roman" w:hAnsi="Times New Roman" w:cs="Times New Roman"/>
          <w:i/>
          <w:sz w:val="24"/>
        </w:rPr>
        <w:t>A Raisin in the Sun</w:t>
      </w:r>
      <w:r>
        <w:rPr>
          <w:rFonts w:ascii="Times New Roman" w:hAnsi="Times New Roman" w:cs="Times New Roman"/>
          <w:sz w:val="24"/>
        </w:rPr>
        <w:t xml:space="preserve"> offers a complex, subtle glance at the deleterious effects of discrimination, and through this process it asks, or perhaps pleads, for change.  A work fueled simultaneously by cynicism and idealism, it embodies social reconstruction.</w:t>
      </w:r>
      <w:r>
        <w:rPr>
          <w:rFonts w:ascii="Times New Roman" w:hAnsi="Times New Roman" w:cs="Times New Roman"/>
          <w:sz w:val="24"/>
        </w:rPr>
        <w:tab/>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sidRPr="00794100">
        <w:rPr>
          <w:rFonts w:ascii="Times New Roman" w:hAnsi="Times New Roman" w:cs="Times New Roman"/>
          <w:b/>
          <w:i/>
          <w:sz w:val="24"/>
        </w:rPr>
        <w:t>The Great Gatsby</w:t>
      </w:r>
      <w:r>
        <w:rPr>
          <w:rFonts w:ascii="Times New Roman" w:hAnsi="Times New Roman" w:cs="Times New Roman"/>
          <w:i/>
          <w:sz w:val="24"/>
        </w:rPr>
        <w:t xml:space="preserve"> </w:t>
      </w:r>
      <w:r>
        <w:rPr>
          <w:rFonts w:ascii="Times New Roman" w:hAnsi="Times New Roman" w:cs="Times New Roman"/>
          <w:sz w:val="24"/>
        </w:rPr>
        <w:t>engages in social reconstruction through its criticisms of social exclusion and discriminations.  Specifically, the disparity between Jay Gatsby’s per</w:t>
      </w:r>
      <w:r w:rsidR="00D33BD8">
        <w:rPr>
          <w:rFonts w:ascii="Times New Roman" w:hAnsi="Times New Roman" w:cs="Times New Roman"/>
          <w:sz w:val="24"/>
        </w:rPr>
        <w:t xml:space="preserve">sona and his origins indicates the </w:t>
      </w:r>
      <w:r>
        <w:rPr>
          <w:rFonts w:ascii="Times New Roman" w:hAnsi="Times New Roman" w:cs="Times New Roman"/>
          <w:sz w:val="24"/>
        </w:rPr>
        <w:t xml:space="preserve">rigidity of the American class system.  Gatsby portrays himself as a man of unfettered opulence, throwing lavish balls and dressing in elegant clothes.  After Gatsby’s death, Nick meets Gatsby’s father Mr. Gatz, who reveals his son’s humble beginnings, aspirations to wealth, and original name (Fitzgerald, 2012, p. 200, 203).   These ending scenes demonstrate how Gatsby effectively reinvented himself and infiltrated the rarefied world he longed to join, but other characters’ reactions to and perceptions of Gatsby – Daisy’s ignoring his death (p. 205), a party guest’s “sneering most bitterly” (p. 197) – suggest that his efforts proved in vain, that the rich always dismissed him as a </w:t>
      </w:r>
      <w:r>
        <w:rPr>
          <w:rFonts w:ascii="Times New Roman" w:hAnsi="Times New Roman" w:cs="Times New Roman"/>
          <w:i/>
          <w:sz w:val="24"/>
        </w:rPr>
        <w:t xml:space="preserve">nouveau riche </w:t>
      </w:r>
      <w:r>
        <w:rPr>
          <w:rFonts w:ascii="Times New Roman" w:hAnsi="Times New Roman" w:cs="Times New Roman"/>
          <w:sz w:val="24"/>
        </w:rPr>
        <w:t>poseur.  This class consciousness implicitly addr</w:t>
      </w:r>
      <w:r w:rsidR="006A5653">
        <w:rPr>
          <w:rFonts w:ascii="Times New Roman" w:hAnsi="Times New Roman" w:cs="Times New Roman"/>
          <w:sz w:val="24"/>
        </w:rPr>
        <w:t>esses social problems endemic to</w:t>
      </w:r>
      <w:r>
        <w:rPr>
          <w:rFonts w:ascii="Times New Roman" w:hAnsi="Times New Roman" w:cs="Times New Roman"/>
          <w:sz w:val="24"/>
        </w:rPr>
        <w:t xml:space="preserve"> the 1920s.  According to Savran (2009), the 1920s focused heavily on class habitus, the “internalized form of class condition and of the conditioning it entails” (p. 121).  In other words, individuals’ behaviors served as cultural shibboleths.  Their habitus, their pattern of reactions and values, would betray their true origins despite </w:t>
      </w:r>
      <w:r>
        <w:rPr>
          <w:rFonts w:ascii="Times New Roman" w:hAnsi="Times New Roman" w:cs="Times New Roman"/>
          <w:sz w:val="24"/>
        </w:rPr>
        <w:lastRenderedPageBreak/>
        <w:t>their wealth.  Jay Gatsby functions as a fictional victim of this class obsession, as an outsider despite his outward prosperity.  The novella promotes social reconstruction, by presenting the harmful, even lethal effects of class discrimination.</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Elsewhere, the novella criticizes the latitude afforded the upper classes.  Nick muses, “They were careless people, Tom and Daisy – they smashed into things and creatures [i.e., Myrtle] and then retreated back into their money or their vast carelessness … and let other people clean up the mess they had made” (p. 210).  He notes the </w:t>
      </w:r>
      <w:r>
        <w:rPr>
          <w:rFonts w:ascii="Times New Roman" w:hAnsi="Times New Roman" w:cs="Times New Roman"/>
          <w:i/>
          <w:sz w:val="24"/>
        </w:rPr>
        <w:t xml:space="preserve">carte blanche </w:t>
      </w:r>
      <w:r>
        <w:rPr>
          <w:rFonts w:ascii="Times New Roman" w:hAnsi="Times New Roman" w:cs="Times New Roman"/>
          <w:sz w:val="24"/>
        </w:rPr>
        <w:t>society bestows upon the rich.  The Buchanans and their ilk enjoy privilege and freedom unknown to most.  Even worse, they realize that their money can solve any problem, silence any dissent, buy any favors.  Myrtle’s death simultaneously exemplifies and symbolizes this concept.  The wife of an auto mechanic, she has little value to Tom or Daisy, who see her death as an inconvenience to be handled and then promptly forgotten.  Here Nick’s perspective proves invaluable.  An outsider, he recognizes and feels repulsion for the Buchanans’ moneyed indifference; the narrator, he leads the reader to share these feelings and criticisms.  Tom and Daisy, shielded by their wealth, likely see no need for change, but Nick and Gatsby, respectively observers and victims of the rich’s decadence, envision a different society.  Social reconstructionists attempt to rectify the “crisis” in society (Schiro, 2007, p. 161), and Nick perceives the crisis as one of morality being subjugated by money.  His commentary and its implicit criticism of social values adhere to the social reconstruction ideology.</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 novella’s underlying message about the corruption of the wealthy cements its social reconstruction leanings.  </w:t>
      </w:r>
      <w:r>
        <w:rPr>
          <w:rFonts w:ascii="Times New Roman" w:hAnsi="Times New Roman" w:cs="Times New Roman"/>
          <w:i/>
          <w:sz w:val="24"/>
        </w:rPr>
        <w:t xml:space="preserve">The Great Gatsby </w:t>
      </w:r>
      <w:r>
        <w:rPr>
          <w:rFonts w:ascii="Times New Roman" w:hAnsi="Times New Roman" w:cs="Times New Roman"/>
          <w:sz w:val="24"/>
        </w:rPr>
        <w:t xml:space="preserve">focuses on a rarefied realm: the playground of the rich, the beautiful, the privileged.  However, it employs outsider </w:t>
      </w:r>
      <w:r>
        <w:rPr>
          <w:rFonts w:ascii="Times New Roman" w:hAnsi="Times New Roman" w:cs="Times New Roman"/>
          <w:sz w:val="24"/>
        </w:rPr>
        <w:lastRenderedPageBreak/>
        <w:t>characters who languish in that realm.  Gatsby’s insecurities contradict the ingrained belief that money brings happiness, and Nick casts a sober Midwestern eye on the eastern elites’ nonchalant morals and conduct.  Together, they tacitly condemn the “deep social structures that shape and determine” this group’s behavior (Schiro, 2007, p. 162).  Nick expresses disdain for this world, and his departure – his return to more respectable surroundings – indicates his refusal to tolerate its coldness any longer.  His physical and emotional distance reads as a condemnation of Jazz Age society’s heartless, sybaritic atmosphere.  This exposé and rejection of the upper class and its carelessness roots the novella in social reconstruction principles.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sidRPr="00794100">
        <w:rPr>
          <w:rFonts w:ascii="Times New Roman" w:hAnsi="Times New Roman" w:cs="Times New Roman"/>
          <w:b/>
          <w:i/>
          <w:sz w:val="24"/>
        </w:rPr>
        <w:t>To Kill a Mockingbird</w:t>
      </w:r>
      <w:r>
        <w:rPr>
          <w:rFonts w:ascii="Times New Roman" w:hAnsi="Times New Roman" w:cs="Times New Roman"/>
          <w:sz w:val="24"/>
        </w:rPr>
        <w:t xml:space="preserve">’s focus on racial injustice and its child protagonist position it within the social reconstruction ideology.  Numerous passages chronicle Scout’s becoming aware of prejudice.  Jem, for example, describes mixed-race children to her: “They don’t belong anywhere … [W]hite folks won’t have ‘em ‘cause they’re colored” (Lee, 1962, p. 214).  Jim alludes to the “one-drop rule,” the idea that “[one] drop of Negro blood … makes you all black” (p. 216).  Though related from a child’s perspective, his explanation accurately addresses a longstanding prejudice.  Historically, mixed-race individuals </w:t>
      </w:r>
      <w:r>
        <w:rPr>
          <w:rFonts w:ascii="Times New Roman" w:hAnsi="Times New Roman" w:cs="Times New Roman"/>
          <w:i/>
          <w:sz w:val="24"/>
        </w:rPr>
        <w:t xml:space="preserve">have </w:t>
      </w:r>
      <w:r>
        <w:rPr>
          <w:rFonts w:ascii="Times New Roman" w:hAnsi="Times New Roman" w:cs="Times New Roman"/>
          <w:sz w:val="24"/>
        </w:rPr>
        <w:t>encountered hate and ostracism from black and white communities.  Moreover, the “one-drop rule” once served as an excuse to deny mixed-race individuals freedoms and social status.  According to Hickman (1997), “mulattoes with a minimum amount of ‘Black blood’ were … presumed also to be slaves” (p. 1179).  Jem’s speech only hints at this deeper cultural context, but it succinctly identifies a prejudi</w:t>
      </w:r>
      <w:r w:rsidR="00D33BD8">
        <w:rPr>
          <w:rFonts w:ascii="Times New Roman" w:hAnsi="Times New Roman" w:cs="Times New Roman"/>
          <w:sz w:val="24"/>
        </w:rPr>
        <w:t xml:space="preserve">ce that had persisted into the </w:t>
      </w:r>
      <w:r>
        <w:rPr>
          <w:rFonts w:ascii="Times New Roman" w:hAnsi="Times New Roman" w:cs="Times New Roman"/>
          <w:sz w:val="24"/>
        </w:rPr>
        <w:t xml:space="preserve">novel’s time.  This description of prejudice – as well as Scout’s bemused reaction to it – seems characteristic of the social reconstruction ideology, which aims to </w:t>
      </w:r>
      <w:r>
        <w:rPr>
          <w:rFonts w:ascii="Times New Roman" w:hAnsi="Times New Roman" w:cs="Times New Roman"/>
          <w:sz w:val="24"/>
        </w:rPr>
        <w:lastRenderedPageBreak/>
        <w:t>“educate people to analyze and understand social problems” (Schiro, 2007, p. 152).  Scout, an educable youth, has become aware of a problem, exposing her to society’s ills and setting her on the path to reconstruction.</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Tom Robinson’s plight, meanwhile, educates readers about racial prejudice in the legal system.  The townspeople presume Mr. Robinson, a black man, guilty of raping a white woman.  This situation mirrors the predicaments of many real-life black men.  According to Dorr (2005), many white southerners believed in a “rape myth,” an erroneous “[acceptance of] all white women’s accounts of rape when they accused black men” (n.p.).  Such a situation occurs in the novel when the townspeople ignore evidence that would exonerate Mr. Robinson.  Mr. Robinson’s being shot rather than tried fairly reflects a disregard for black men’s legal rights.  The novel again serves as a semi-fictional counterpart to real-life events.  Mr. Robinson could be any of the innumerable black men who have endured accusations and suffered brutality, and his mistreatment conveys the legal and social challenges that have long plagued him and men like him.  This intimate glimpse into institutionalized racism raises awareness and fulfils a social reconstruction objective.</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The novel’s use of a child protagonist to document these events further indicates its social reconstruction ethos.  Children begin life free of prejudices, bigotry, and preconceived notions.  Unable to comprehend fully discrimination and antipathy, they question such behaviors</w:t>
      </w:r>
      <w:r w:rsidR="002837F2">
        <w:rPr>
          <w:rFonts w:ascii="Times New Roman" w:hAnsi="Times New Roman" w:cs="Times New Roman"/>
          <w:sz w:val="24"/>
        </w:rPr>
        <w:t xml:space="preserve"> and</w:t>
      </w:r>
      <w:r>
        <w:rPr>
          <w:rFonts w:ascii="Times New Roman" w:hAnsi="Times New Roman" w:cs="Times New Roman"/>
          <w:sz w:val="24"/>
        </w:rPr>
        <w:t xml:space="preserve"> wonder why adults act so acrimoniously.  Throughout the novel, Scout displays this inability to comprehend human ugliness.  When she expresses her ignorance of the term “nigger-lover,” Atticus tells her, “[It] is just one of those terms that doesn’t mean anything – like snot-nose … [I]gnorant, trashy people use it” (p. 144).  </w:t>
      </w:r>
      <w:r>
        <w:rPr>
          <w:rFonts w:ascii="Times New Roman" w:hAnsi="Times New Roman" w:cs="Times New Roman"/>
          <w:sz w:val="24"/>
        </w:rPr>
        <w:lastRenderedPageBreak/>
        <w:t xml:space="preserve">He explains by using childish terms with which Scout might be familiar, and in the process he implicitly asserts the immaturity of racial epithets.  His acknowledgement of Scout’s age and naïveté reaffirm the conception of bigotry as a pestilence spread by adults.  This exchange would lack the same heft with two adults.  Scout as protagonist enables the narrative to approach and highlight inequities from an inherently innocent perspective.  </w:t>
      </w:r>
    </w:p>
    <w:p w:rsidR="00850876" w:rsidRPr="00DC3F97"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All of these factors make </w:t>
      </w:r>
      <w:r>
        <w:rPr>
          <w:rFonts w:ascii="Times New Roman" w:hAnsi="Times New Roman" w:cs="Times New Roman"/>
          <w:i/>
          <w:sz w:val="24"/>
        </w:rPr>
        <w:t>To Kill a Mockingbird</w:t>
      </w:r>
      <w:r>
        <w:rPr>
          <w:rFonts w:ascii="Times New Roman" w:hAnsi="Times New Roman" w:cs="Times New Roman"/>
          <w:sz w:val="24"/>
        </w:rPr>
        <w:t xml:space="preserve"> a paragon of social reconstruction.  The novel examines fully the realities and inequalities of its historical setting.  Scout and her brother live fairly privileged lives, but they encounter others, not least of all Mr. Robinson, who have suffered under the same society.  Rather than dismiss this suffering – rather than trivialize it as part of southern life – the novel addresses and explains it.  Moreover, it delivers its judgments through a child’s eyes, enabling readers to feel as flummoxed and discomfited as Scout herself.  It commits itself to critiquing society and showing how individuals can notice and protest hatred – a quintessential element of social reconstruction.</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b/>
          <w:i/>
          <w:sz w:val="24"/>
        </w:rPr>
        <w:t xml:space="preserve">The Crucible </w:t>
      </w:r>
      <w:r>
        <w:rPr>
          <w:rFonts w:ascii="Times New Roman" w:hAnsi="Times New Roman" w:cs="Times New Roman"/>
          <w:sz w:val="24"/>
        </w:rPr>
        <w:t>criticizes the use of religion as a tool of condemnation and social mani</w:t>
      </w:r>
      <w:r w:rsidR="00FE1AA4">
        <w:rPr>
          <w:rFonts w:ascii="Times New Roman" w:hAnsi="Times New Roman" w:cs="Times New Roman"/>
          <w:sz w:val="24"/>
        </w:rPr>
        <w:t xml:space="preserve">pulation.  The unseen narrator </w:t>
      </w:r>
      <w:r>
        <w:rPr>
          <w:rFonts w:ascii="Times New Roman" w:hAnsi="Times New Roman" w:cs="Times New Roman"/>
          <w:sz w:val="24"/>
        </w:rPr>
        <w:t xml:space="preserve">questions the Christian perception of Hell and damnation: “[U]ntil the Christian era the underworld was never regarded as a hostile area” (Miller, 1976, Loc. 609).  Miller’s play suggests that previous religions had no strict dichotomy of heaven and hell and no moral </w:t>
      </w:r>
      <w:r w:rsidR="00DA566C">
        <w:rPr>
          <w:rFonts w:ascii="Times New Roman" w:hAnsi="Times New Roman" w:cs="Times New Roman"/>
          <w:sz w:val="24"/>
        </w:rPr>
        <w:t xml:space="preserve">distinctions between them.  </w:t>
      </w:r>
      <w:r>
        <w:rPr>
          <w:rFonts w:ascii="Times New Roman" w:hAnsi="Times New Roman" w:cs="Times New Roman"/>
          <w:sz w:val="24"/>
        </w:rPr>
        <w:t xml:space="preserve">Only under Christian teachings did Hell become the obverse of Heaven, a pit of eternal torment.  The play attributes this Christian characterization of Hell to political motives: “[T]he Devil may become evident as a weapon … to whip men into a surrender to a particular church </w:t>
      </w:r>
      <w:r>
        <w:rPr>
          <w:rFonts w:ascii="Times New Roman" w:hAnsi="Times New Roman" w:cs="Times New Roman"/>
          <w:sz w:val="24"/>
        </w:rPr>
        <w:lastRenderedPageBreak/>
        <w:t>or church-state” (Loc. 609).  Threatened with eternal suffering, the faithful could be made to obey the church’s orders, to relinquish their tithes, to accept ill treatment.  This passage subtly accuses Christianity of bastardizing religious principles. Herein lies the play’s “understanding a problem” (Schiro, 2007, p. 159) that establishes it as a reconstructionist piece.</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The plot itself provides practical examples to support these theoretical criticisms.  It centers on Salem, Massachusetts, a town plagued by accusations of witchcraft, but the text shows that these accusations as ploys to further the accusers’ ends.  Mr. Putnam, for example, wishes to buy the executed persons’ land and bolster his social status, so “it is not surprising to find that so many accusations against people are in [his] handwriting” (Loc. 296).  Similarly, Abigail, the most prolific accuser and the origin of the furor, seeks revenge against her lover’s wife (Loc. 450).  These characters hold no true religious convictions.  They offer “pretense,” not true accounts of demonic activity (Loc. 1524).  They distort religion to satisfy their selfish desires and profit from suffering.  The narrator and the other characters adopt a sharply critical tone toward the accusers, showing how scurrilous lies have damaged reputations and livelihoods.  The accusers provide human faces to the narrator’s criticism of Christianity – or, rather, individuals’ co-opting of Christianity to achieve nefarious ends – and they show how this obsession with damnation, judgment, and sanctimony infects the morale of a society.  By illustrating its claims with human interactions, the play addresses a social problem on concrete terms.</w:t>
      </w:r>
    </w:p>
    <w:p w:rsidR="00FE1AA4" w:rsidRPr="006D5B19"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Though fictional, the play serves as an allegory and criticism of the Red Scare of the 1950s.  The narrator writes, “[I]n America any man who is not reactionary in his views is open to the charge of alliance with the Red [Communist] hell” (Loc. 621).  During the </w:t>
      </w:r>
      <w:r>
        <w:rPr>
          <w:rFonts w:ascii="Times New Roman" w:hAnsi="Times New Roman" w:cs="Times New Roman"/>
          <w:sz w:val="24"/>
        </w:rPr>
        <w:lastRenderedPageBreak/>
        <w:t>Red Scare, Senator Joseph McCarthy and his ilk practiced targeted and persecuted individuals who had any link, no matter how tangential, with “subversive organizations” (Cole, 2003, p. 6).  These individuals faced the wrath of the House Un-American Activities Committee (HUAC), designed to expose these “subversive” influences.  By explicitly mentioning this event, the play draws parallels between the Red Scare’s victims and the witch hunt’s victims.  Both groups faced unsubstantiated accusations, suffered blows to their reputations, and even died literally or figuratively.  The play’s term “Red hell” links the themes of McCarthyism to the themes of religious persecution.  Specifically, it implies that McCarthy and the accusers of the play strove to destroy lives and benefit from others’ pain.   An allegory, the play criticizes government and religion, two prominent social institutions, and it implicitly calls for a religious and public reformation that emphasizes empathy and investigation over demonization and quick judgment.  These critical messages link it definitively to the social reconstruction ideology.</w:t>
      </w:r>
    </w:p>
    <w:p w:rsidR="00850876"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Scholar Academic</w:t>
      </w:r>
      <w:r w:rsidR="00FE1AA4">
        <w:rPr>
          <w:rFonts w:ascii="Times New Roman" w:hAnsi="Times New Roman" w:cs="Times New Roman"/>
          <w:b/>
          <w:i/>
          <w:sz w:val="24"/>
        </w:rPr>
        <w:t>/ Social Reconstruction-</w:t>
      </w:r>
      <w:r>
        <w:rPr>
          <w:rFonts w:ascii="Times New Roman" w:hAnsi="Times New Roman" w:cs="Times New Roman"/>
          <w:b/>
          <w:i/>
          <w:sz w:val="24"/>
        </w:rPr>
        <w:t>Oriented Works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b/>
          <w:i/>
          <w:sz w:val="24"/>
        </w:rPr>
        <w:t>Animal Farm</w:t>
      </w:r>
      <w:r>
        <w:rPr>
          <w:rFonts w:ascii="Times New Roman" w:hAnsi="Times New Roman" w:cs="Times New Roman"/>
          <w:sz w:val="24"/>
        </w:rPr>
        <w:t xml:space="preserve">’s status as a political, historical allegory establishes it as a scholar academic work.  The animals’ dialogue and actions mirror those of real-life leaders and philosophers.  Major Pig, for example, declaims, “Let us face it, our lives are miserable, laborious and short … [We are] forced to work to the last atom of our strength … and [finally] slaughtered with hideous cruelty” (Orwell, 2016, Loc. 244).  The Major’s claims echo the sentiments and objectives of Marxist ideology.  He casts the animals as the proletariat who enrich the capitalists, or farmers.  Moreover, his exhortation to “get rid of Man, and the produce of our labor would be our own” (Loc. 270) reflects the class conflict </w:t>
      </w:r>
      <w:r>
        <w:rPr>
          <w:rFonts w:ascii="Times New Roman" w:hAnsi="Times New Roman" w:cs="Times New Roman"/>
          <w:sz w:val="24"/>
        </w:rPr>
        <w:lastRenderedPageBreak/>
        <w:t xml:space="preserve">envisaged by Marx: like the real-life proles, these creatures should overthrow their oppressors.   Many works derive inspiration from real-life events, certainly, but </w:t>
      </w:r>
      <w:r>
        <w:rPr>
          <w:rFonts w:ascii="Times New Roman" w:hAnsi="Times New Roman" w:cs="Times New Roman"/>
          <w:i/>
          <w:sz w:val="24"/>
        </w:rPr>
        <w:t xml:space="preserve">Animal Farm </w:t>
      </w:r>
      <w:r>
        <w:rPr>
          <w:rFonts w:ascii="Times New Roman" w:hAnsi="Times New Roman" w:cs="Times New Roman"/>
          <w:sz w:val="24"/>
        </w:rPr>
        <w:t>thoroughly summarizes, elucidates, and repackages these events, passing them through a literary and metaphorical filter.  In other words, the fable not only draws from history but delves deeply into it.  This emphasis on providing scholarly, if figurative, analysis of history suggests an affinity with the scholar academic ideology.</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Of course, a mere penchant for facts and history may not necessarily align a work with the scholar academic ideology</w:t>
      </w:r>
      <w:r w:rsidR="00D367A6">
        <w:rPr>
          <w:rFonts w:ascii="Times New Roman" w:hAnsi="Times New Roman" w:cs="Times New Roman"/>
          <w:sz w:val="24"/>
        </w:rPr>
        <w:t xml:space="preserve"> </w:t>
      </w:r>
      <w:r>
        <w:rPr>
          <w:rFonts w:ascii="Times New Roman" w:hAnsi="Times New Roman" w:cs="Times New Roman"/>
          <w:sz w:val="24"/>
        </w:rPr>
        <w:t xml:space="preserve">if the work ignores context and causality.  </w:t>
      </w:r>
      <w:r>
        <w:rPr>
          <w:rFonts w:ascii="Times New Roman" w:hAnsi="Times New Roman" w:cs="Times New Roman"/>
          <w:i/>
          <w:sz w:val="24"/>
        </w:rPr>
        <w:t>Animal Farm</w:t>
      </w:r>
      <w:r w:rsidR="00343AF2">
        <w:rPr>
          <w:rFonts w:ascii="Times New Roman" w:hAnsi="Times New Roman" w:cs="Times New Roman"/>
          <w:sz w:val="24"/>
        </w:rPr>
        <w:t xml:space="preserve">, a work replete with scholar-academic characteristics, commits itself to </w:t>
      </w:r>
      <w:r>
        <w:rPr>
          <w:rFonts w:ascii="Times New Roman" w:hAnsi="Times New Roman" w:cs="Times New Roman"/>
          <w:sz w:val="24"/>
        </w:rPr>
        <w:t xml:space="preserve">“[initiating] children into an academic discipline at the level at which it is being taught” (Schiro, 2007, p. 20).  In any discipline understanding comes not in one piece but in various stages.  One must attain a novice’s knowledge and ability before progressing to higher tiers, and to that end one must consult writings and resources that facilitate entry into and basic comprehension of the discipline.  </w:t>
      </w:r>
      <w:r w:rsidRPr="00F91FF8">
        <w:rPr>
          <w:rFonts w:ascii="Times New Roman" w:hAnsi="Times New Roman"/>
          <w:i/>
          <w:sz w:val="24"/>
        </w:rPr>
        <w:t xml:space="preserve">Animal Farm </w:t>
      </w:r>
      <w:r w:rsidRPr="00F91FF8">
        <w:rPr>
          <w:rFonts w:ascii="Times New Roman" w:hAnsi="Times New Roman"/>
          <w:sz w:val="24"/>
        </w:rPr>
        <w:t>accomplishes this goal by functioning as a veritable primer on political theory, Marxist and Communist ideology, and the context of the Russian Revolution.</w:t>
      </w:r>
      <w:r>
        <w:rPr>
          <w:rFonts w:ascii="Times New Roman" w:hAnsi="Times New Roman" w:cs="Times New Roman"/>
          <w:sz w:val="24"/>
        </w:rPr>
        <w:t xml:space="preserve">  Its extended metaphor – animals as exploited proles, Napoleon’s tyranny as evidence of Communism’s innate unviability, etc. – familiarize these concepts, couching them in terms more easily understood by readers.  It may not offer an exhaustive examination of these ideas as a history book would, but it imparts the fundaments and encourages further study.  This unspoken goal of initiating readers into political and social analysis solidifies the connection to the scholar academic ideology.</w:t>
      </w:r>
    </w:p>
    <w:p w:rsidR="00850876" w:rsidRPr="00D66F39"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r>
      <w:r w:rsidR="006D5B19">
        <w:rPr>
          <w:rFonts w:ascii="Times New Roman" w:hAnsi="Times New Roman" w:cs="Times New Roman"/>
          <w:sz w:val="24"/>
        </w:rPr>
        <w:t xml:space="preserve">The fable also contains an undercurrent </w:t>
      </w:r>
      <w:r w:rsidR="00527D67">
        <w:rPr>
          <w:rFonts w:ascii="Times New Roman" w:hAnsi="Times New Roman" w:cs="Times New Roman"/>
          <w:sz w:val="24"/>
        </w:rPr>
        <w:t xml:space="preserve">of </w:t>
      </w:r>
      <w:r w:rsidR="006D5B19">
        <w:rPr>
          <w:rFonts w:ascii="Times New Roman" w:hAnsi="Times New Roman" w:cs="Times New Roman"/>
          <w:sz w:val="24"/>
        </w:rPr>
        <w:t>social reconstructionist sentiment, albeit one minimized by the</w:t>
      </w:r>
      <w:r>
        <w:rPr>
          <w:rFonts w:ascii="Times New Roman" w:hAnsi="Times New Roman" w:cs="Times New Roman"/>
          <w:sz w:val="24"/>
        </w:rPr>
        <w:t xml:space="preserve"> failure of the animals</w:t>
      </w:r>
      <w:r w:rsidR="006D5B19">
        <w:rPr>
          <w:rFonts w:ascii="Times New Roman" w:hAnsi="Times New Roman" w:cs="Times New Roman"/>
          <w:sz w:val="24"/>
        </w:rPr>
        <w:t>’ utopia</w:t>
      </w:r>
      <w:r>
        <w:rPr>
          <w:rFonts w:ascii="Times New Roman" w:hAnsi="Times New Roman" w:cs="Times New Roman"/>
          <w:sz w:val="24"/>
        </w:rPr>
        <w:t xml:space="preserve">.  Social reconstruction involves </w:t>
      </w:r>
      <w:r>
        <w:rPr>
          <w:rFonts w:ascii="Times New Roman" w:hAnsi="Times New Roman" w:cs="Times New Roman"/>
          <w:sz w:val="24"/>
        </w:rPr>
        <w:lastRenderedPageBreak/>
        <w:t>envisioning a better, more equitable society, and the animals’ striving for equitable distribution of resources certainly reflects that mindset.  Unfortunately, the animals’ vision remains a fantasy due to Napoleon’s betraying them and fraternizing with humans.   This outcome shows the flaws inherent in the animals’ plan; it conveys the notion that greed, human or animal, precludes the formation of a classless society.</w:t>
      </w:r>
      <w:r w:rsidR="00E45D7A">
        <w:rPr>
          <w:rFonts w:ascii="Times New Roman" w:hAnsi="Times New Roman" w:cs="Times New Roman"/>
          <w:sz w:val="24"/>
        </w:rPr>
        <w:t xml:space="preserve">  In other words, the animal’s utopia quickly reverts to its former state.</w:t>
      </w:r>
      <w:r>
        <w:rPr>
          <w:rFonts w:ascii="Times New Roman" w:hAnsi="Times New Roman" w:cs="Times New Roman"/>
          <w:sz w:val="24"/>
        </w:rPr>
        <w:t xml:space="preserve">  </w:t>
      </w:r>
      <w:r w:rsidR="006D5B19">
        <w:rPr>
          <w:rFonts w:ascii="Times New Roman" w:hAnsi="Times New Roman" w:cs="Times New Roman"/>
          <w:sz w:val="24"/>
        </w:rPr>
        <w:t>Give</w:t>
      </w:r>
      <w:r w:rsidR="00527D67">
        <w:rPr>
          <w:rFonts w:ascii="Times New Roman" w:hAnsi="Times New Roman" w:cs="Times New Roman"/>
          <w:sz w:val="24"/>
        </w:rPr>
        <w:t>n</w:t>
      </w:r>
      <w:r w:rsidR="006D5B19">
        <w:rPr>
          <w:rFonts w:ascii="Times New Roman" w:hAnsi="Times New Roman" w:cs="Times New Roman"/>
          <w:sz w:val="24"/>
        </w:rPr>
        <w:t xml:space="preserve"> the fable’s historical and political context, the intermingling of these </w:t>
      </w:r>
      <w:r w:rsidR="00527D67">
        <w:rPr>
          <w:rFonts w:ascii="Times New Roman" w:hAnsi="Times New Roman" w:cs="Times New Roman"/>
          <w:sz w:val="24"/>
        </w:rPr>
        <w:t xml:space="preserve">two </w:t>
      </w:r>
      <w:r w:rsidR="006D5B19">
        <w:rPr>
          <w:rFonts w:ascii="Times New Roman" w:hAnsi="Times New Roman" w:cs="Times New Roman"/>
          <w:sz w:val="24"/>
        </w:rPr>
        <w:t xml:space="preserve">ideologies seems appropriate.  Often, intrepid citizens mount a revolution only to flounder, but their failures become advice and warnings for subsequent generations.  The </w:t>
      </w:r>
      <w:r w:rsidR="007C40B9">
        <w:rPr>
          <w:rFonts w:ascii="Times New Roman" w:hAnsi="Times New Roman" w:cs="Times New Roman"/>
          <w:sz w:val="24"/>
        </w:rPr>
        <w:t xml:space="preserve">fable lends itself to the </w:t>
      </w:r>
      <w:r w:rsidR="00527D67">
        <w:rPr>
          <w:rFonts w:ascii="Times New Roman" w:hAnsi="Times New Roman" w:cs="Times New Roman"/>
          <w:sz w:val="24"/>
        </w:rPr>
        <w:t>scholar-</w:t>
      </w:r>
      <w:r w:rsidR="00343AF2">
        <w:rPr>
          <w:rFonts w:ascii="Times New Roman" w:hAnsi="Times New Roman" w:cs="Times New Roman"/>
          <w:sz w:val="24"/>
        </w:rPr>
        <w:t xml:space="preserve">academic </w:t>
      </w:r>
      <w:r w:rsidR="007C40B9">
        <w:rPr>
          <w:rFonts w:ascii="Times New Roman" w:hAnsi="Times New Roman" w:cs="Times New Roman"/>
          <w:sz w:val="24"/>
        </w:rPr>
        <w:t>ideology by</w:t>
      </w:r>
      <w:r w:rsidR="00343AF2">
        <w:rPr>
          <w:rFonts w:ascii="Times New Roman" w:hAnsi="Times New Roman" w:cs="Times New Roman"/>
          <w:sz w:val="24"/>
        </w:rPr>
        <w:t xml:space="preserve"> allegorically communicate the era’s political turmoil, </w:t>
      </w:r>
      <w:r w:rsidR="007C40B9">
        <w:rPr>
          <w:rFonts w:ascii="Times New Roman" w:hAnsi="Times New Roman" w:cs="Times New Roman"/>
          <w:sz w:val="24"/>
        </w:rPr>
        <w:t>but it also embraces social reconstruction by showing societally transformative efforts and the labor involved in them</w:t>
      </w:r>
      <w:r>
        <w:rPr>
          <w:rFonts w:ascii="Times New Roman" w:hAnsi="Times New Roman" w:cs="Times New Roman"/>
          <w:sz w:val="24"/>
        </w:rPr>
        <w:t>.</w:t>
      </w:r>
      <w:r w:rsidR="007C40B9">
        <w:rPr>
          <w:rFonts w:ascii="Times New Roman" w:hAnsi="Times New Roman" w:cs="Times New Roman"/>
          <w:sz w:val="24"/>
        </w:rPr>
        <w:t xml:space="preserve">  Together, these ideologies yield a work equally intent on transmitting cultural information and planting germs of revolution.</w:t>
      </w:r>
    </w:p>
    <w:p w:rsidR="00850876"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Learner Centered-Oriented Works</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b/>
          <w:i/>
          <w:sz w:val="24"/>
        </w:rPr>
        <w:t>The Adventures of Huckleberry Finn</w:t>
      </w:r>
      <w:r>
        <w:rPr>
          <w:rFonts w:ascii="Times New Roman" w:hAnsi="Times New Roman" w:cs="Times New Roman"/>
          <w:sz w:val="24"/>
        </w:rPr>
        <w:t>, with its protagonist who flouts social norms and seeks individual fulfillment,</w:t>
      </w:r>
      <w:r>
        <w:rPr>
          <w:rFonts w:ascii="Times New Roman" w:hAnsi="Times New Roman" w:cs="Times New Roman"/>
          <w:b/>
          <w:i/>
          <w:sz w:val="24"/>
        </w:rPr>
        <w:t xml:space="preserve"> </w:t>
      </w:r>
      <w:r>
        <w:rPr>
          <w:rFonts w:ascii="Times New Roman" w:hAnsi="Times New Roman" w:cs="Times New Roman"/>
          <w:sz w:val="24"/>
        </w:rPr>
        <w:t xml:space="preserve">stands as a testament to the learner-centered ideology.  Huck recounts Miss Watson’s efforts to instill manners in him, resenting her orders not to “put your feet up there” or “scrunch up like that” or “gap and stretch like that” (Twain, 2015, p. 8).  Miss Watson’s directions symbolize an attempt to civilize Huck.  His resistance further symbolizes a dilemma faced by any individualist: though he must live in society, he longs to be free of its strictures; the ceaseless instructionsand the limitations render him “tired and lonesome.”  Huck has no desire to reform society.  Rather, he simply wishes to abandon society’s rules entirely, to explore and discover on </w:t>
      </w:r>
      <w:r>
        <w:rPr>
          <w:rFonts w:ascii="Times New Roman" w:hAnsi="Times New Roman" w:cs="Times New Roman"/>
          <w:sz w:val="24"/>
        </w:rPr>
        <w:lastRenderedPageBreak/>
        <w:t>his own.  Like Schiro’s theoretical learner-centered students, Huck longs to learn through “self-expression,” and he spurns Miss Watson, who seems to regard him as a “future adult” rather than a child with unique interests (Schiro, 2007, p. 116).  Huck’s rejection of conformist education and inclination toward individuality convey the novel’s learner-centered mentality.</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Huck’s eventual freedom confirms this learner-centered orientation.  Free of his father, Huck triumphantly proclaims, “… I went exploring down through the island.  I was boss of it; it all belonged to me, so to say, and I wanted to know all about it; but mainly I wanted to put in the time” (p. 30).  In this statement lies the essence of the learner-centered ideology and its practitioners.  Schiro’s ideology perceives learners as “agents who must actualize their own growth,” and it defines “beneficial” learning as learning that “come[s] out naturally” (p. 115).  Huck’s solitude and autonomy on the island reflect these principles.  He lacks a structured curriculum but displays great curiosity about his surroundings and their minutiae.  Moreover, as “the boss of it,” he can dictate the focus and pace of his learning and study what he deems relevant.  His knowledge will be gleaned “naturally” as a result of his learning organically, with no set schedule.  This equation of freedom with learning, this appreciation for a child’s preferences and inclinations, </w:t>
      </w:r>
      <w:r w:rsidR="00E223B8">
        <w:rPr>
          <w:rFonts w:ascii="Times New Roman" w:hAnsi="Times New Roman" w:cs="Times New Roman"/>
          <w:sz w:val="24"/>
        </w:rPr>
        <w:t>expresses</w:t>
      </w:r>
      <w:r>
        <w:rPr>
          <w:rFonts w:ascii="Times New Roman" w:hAnsi="Times New Roman" w:cs="Times New Roman"/>
          <w:sz w:val="24"/>
        </w:rPr>
        <w:t xml:space="preserve"> learner-centered sentiments.</w:t>
      </w:r>
    </w:p>
    <w:p w:rsidR="00850876" w:rsidRDefault="00850876" w:rsidP="00850876">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Strangely, the novel’s sexist undertones actually help to prove its learner-centered orientation.  Roland Martin (1992) claims that novels such as </w:t>
      </w:r>
      <w:r>
        <w:rPr>
          <w:rFonts w:ascii="Times New Roman" w:hAnsi="Times New Roman" w:cs="Times New Roman"/>
          <w:i/>
          <w:sz w:val="24"/>
        </w:rPr>
        <w:t xml:space="preserve">Huckleberry Finn </w:t>
      </w:r>
      <w:r>
        <w:rPr>
          <w:rFonts w:ascii="Times New Roman" w:hAnsi="Times New Roman" w:cs="Times New Roman"/>
          <w:sz w:val="24"/>
        </w:rPr>
        <w:t xml:space="preserve">show society’s distaste for domesticity, the realm of women.  Protagonists such as Huck and </w:t>
      </w:r>
      <w:r>
        <w:rPr>
          <w:rFonts w:ascii="Times New Roman" w:hAnsi="Times New Roman" w:cs="Times New Roman"/>
          <w:i/>
          <w:sz w:val="24"/>
        </w:rPr>
        <w:t>Moby Dick</w:t>
      </w:r>
      <w:r>
        <w:rPr>
          <w:rFonts w:ascii="Times New Roman" w:hAnsi="Times New Roman" w:cs="Times New Roman"/>
          <w:sz w:val="24"/>
        </w:rPr>
        <w:t xml:space="preserve">’s Ishmael flee home and “shed relationships,” and these works’ “celebration of the individual” reflects our “cultural heritage and [its] … antipathy toward home” (Loc. </w:t>
      </w:r>
      <w:r>
        <w:rPr>
          <w:rFonts w:ascii="Times New Roman" w:hAnsi="Times New Roman" w:cs="Times New Roman"/>
          <w:sz w:val="24"/>
        </w:rPr>
        <w:lastRenderedPageBreak/>
        <w:t xml:space="preserve">2053, 2041).  These novels promulgate the notion that men should be able to live unencumbered, “learner-centered” lives, while women should be relegated to the restrictive domestic sphere.  </w:t>
      </w:r>
      <w:r>
        <w:rPr>
          <w:rFonts w:ascii="Times New Roman" w:hAnsi="Times New Roman" w:cs="Times New Roman"/>
          <w:i/>
          <w:sz w:val="24"/>
        </w:rPr>
        <w:t xml:space="preserve">Huckleberry Finn </w:t>
      </w:r>
      <w:r>
        <w:rPr>
          <w:rFonts w:ascii="Times New Roman" w:hAnsi="Times New Roman" w:cs="Times New Roman"/>
          <w:sz w:val="24"/>
        </w:rPr>
        <w:t>reaffirms these sexist stereotypes: Huck, a young boy, achieves freedom and autonomy, and in the process</w:t>
      </w:r>
      <w:r w:rsidR="00C41BA0">
        <w:rPr>
          <w:rFonts w:ascii="Times New Roman" w:hAnsi="Times New Roman" w:cs="Times New Roman"/>
          <w:sz w:val="24"/>
        </w:rPr>
        <w:t>,</w:t>
      </w:r>
      <w:r>
        <w:rPr>
          <w:rFonts w:ascii="Times New Roman" w:hAnsi="Times New Roman" w:cs="Times New Roman"/>
          <w:sz w:val="24"/>
        </w:rPr>
        <w:t xml:space="preserve"> he leaves behind a rigid, regimented, mannered world ruled largely by women.  He thus has the opportunity to be an “individual” in the educational and social sense.  By implicitly upholding this cultural dichotomy, </w:t>
      </w:r>
      <w:r>
        <w:rPr>
          <w:rFonts w:ascii="Times New Roman" w:hAnsi="Times New Roman" w:cs="Times New Roman"/>
          <w:i/>
          <w:sz w:val="24"/>
        </w:rPr>
        <w:t xml:space="preserve">Huckleberry Finn </w:t>
      </w:r>
      <w:r>
        <w:rPr>
          <w:rFonts w:ascii="Times New Roman" w:hAnsi="Times New Roman" w:cs="Times New Roman"/>
          <w:sz w:val="24"/>
        </w:rPr>
        <w:t>indirectly supports the tenets of the learner-centered ideology… if in an unequal fashion.</w:t>
      </w:r>
    </w:p>
    <w:p w:rsidR="00850876" w:rsidRDefault="00850876" w:rsidP="00850876">
      <w:pPr>
        <w:spacing w:after="0" w:line="480" w:lineRule="auto"/>
        <w:contextualSpacing/>
        <w:jc w:val="both"/>
        <w:rPr>
          <w:rFonts w:ascii="Times New Roman" w:hAnsi="Times New Roman" w:cs="Times New Roman"/>
          <w:b/>
          <w:i/>
          <w:sz w:val="24"/>
        </w:rPr>
      </w:pPr>
      <w:r>
        <w:rPr>
          <w:rFonts w:ascii="Times New Roman" w:hAnsi="Times New Roman" w:cs="Times New Roman"/>
          <w:b/>
          <w:i/>
          <w:sz w:val="24"/>
        </w:rPr>
        <w:t>Discussion</w:t>
      </w:r>
    </w:p>
    <w:tbl>
      <w:tblPr>
        <w:tblStyle w:val="TableGrid"/>
        <w:tblW w:w="0" w:type="auto"/>
        <w:tblLook w:val="04A0" w:firstRow="1" w:lastRow="0" w:firstColumn="1" w:lastColumn="0" w:noHBand="0" w:noVBand="1"/>
      </w:tblPr>
      <w:tblGrid>
        <w:gridCol w:w="4243"/>
        <w:gridCol w:w="4243"/>
      </w:tblGrid>
      <w:tr w:rsidR="0020183D" w:rsidTr="0020183D">
        <w:tc>
          <w:tcPr>
            <w:tcW w:w="4243" w:type="dxa"/>
          </w:tcPr>
          <w:p w:rsidR="0020183D" w:rsidRPr="0057680B" w:rsidRDefault="0020183D" w:rsidP="0020183D">
            <w:pPr>
              <w:spacing w:line="480" w:lineRule="auto"/>
              <w:contextualSpacing/>
              <w:jc w:val="center"/>
              <w:rPr>
                <w:rFonts w:ascii="Times New Roman" w:hAnsi="Times New Roman" w:cs="Times New Roman"/>
                <w:b/>
              </w:rPr>
            </w:pPr>
            <w:r w:rsidRPr="0057680B">
              <w:rPr>
                <w:rFonts w:ascii="Times New Roman" w:hAnsi="Times New Roman" w:cs="Times New Roman"/>
                <w:b/>
              </w:rPr>
              <w:t>Curricular Ideology</w:t>
            </w:r>
          </w:p>
        </w:tc>
        <w:tc>
          <w:tcPr>
            <w:tcW w:w="4243" w:type="dxa"/>
          </w:tcPr>
          <w:p w:rsidR="0020183D" w:rsidRPr="0057680B" w:rsidRDefault="0020183D" w:rsidP="0020183D">
            <w:pPr>
              <w:spacing w:line="480" w:lineRule="auto"/>
              <w:contextualSpacing/>
              <w:jc w:val="center"/>
              <w:rPr>
                <w:rFonts w:ascii="Times New Roman" w:hAnsi="Times New Roman" w:cs="Times New Roman"/>
                <w:b/>
              </w:rPr>
            </w:pPr>
            <w:r w:rsidRPr="0057680B">
              <w:rPr>
                <w:rFonts w:ascii="Times New Roman" w:hAnsi="Times New Roman" w:cs="Times New Roman"/>
                <w:b/>
              </w:rPr>
              <w:t>Number of Representative Works</w:t>
            </w:r>
          </w:p>
        </w:tc>
      </w:tr>
      <w:tr w:rsidR="0020183D" w:rsidTr="0020183D">
        <w:tc>
          <w:tcPr>
            <w:tcW w:w="4243" w:type="dxa"/>
          </w:tcPr>
          <w:p w:rsidR="0020183D" w:rsidRPr="0057680B" w:rsidRDefault="00D33BD8" w:rsidP="00850876">
            <w:pPr>
              <w:spacing w:line="480" w:lineRule="auto"/>
              <w:contextualSpacing/>
              <w:jc w:val="both"/>
              <w:rPr>
                <w:rFonts w:ascii="Times New Roman" w:hAnsi="Times New Roman" w:cs="Times New Roman"/>
              </w:rPr>
            </w:pPr>
            <w:r w:rsidRPr="0057680B">
              <w:rPr>
                <w:rFonts w:ascii="Times New Roman" w:hAnsi="Times New Roman" w:cs="Times New Roman"/>
              </w:rPr>
              <w:t>Social Efficiency</w:t>
            </w:r>
          </w:p>
        </w:tc>
        <w:tc>
          <w:tcPr>
            <w:tcW w:w="4243" w:type="dxa"/>
          </w:tcPr>
          <w:p w:rsidR="0020183D" w:rsidRPr="0057680B" w:rsidRDefault="00D33BD8" w:rsidP="00850876">
            <w:pPr>
              <w:spacing w:line="480" w:lineRule="auto"/>
              <w:contextualSpacing/>
              <w:jc w:val="both"/>
              <w:rPr>
                <w:rFonts w:ascii="Times New Roman" w:hAnsi="Times New Roman" w:cs="Times New Roman"/>
              </w:rPr>
            </w:pPr>
            <w:r w:rsidRPr="0057680B">
              <w:rPr>
                <w:rFonts w:ascii="Times New Roman" w:hAnsi="Times New Roman" w:cs="Times New Roman"/>
              </w:rPr>
              <w:t>5 (</w:t>
            </w:r>
            <w:r w:rsidRPr="0057680B">
              <w:rPr>
                <w:rFonts w:ascii="Times New Roman" w:hAnsi="Times New Roman" w:cs="Times New Roman"/>
                <w:i/>
              </w:rPr>
              <w:t>Macbeth, Hamlet, A Separate Peace, Julius Caesar, Lord of the Flies</w:t>
            </w:r>
            <w:r w:rsidRPr="0057680B">
              <w:rPr>
                <w:rFonts w:ascii="Times New Roman" w:hAnsi="Times New Roman" w:cs="Times New Roman"/>
              </w:rPr>
              <w:t>)</w:t>
            </w:r>
          </w:p>
        </w:tc>
      </w:tr>
      <w:tr w:rsidR="0020183D" w:rsidTr="0020183D">
        <w:tc>
          <w:tcPr>
            <w:tcW w:w="4243" w:type="dxa"/>
          </w:tcPr>
          <w:p w:rsidR="0020183D" w:rsidRPr="0057680B" w:rsidRDefault="00D33BD8" w:rsidP="00850876">
            <w:pPr>
              <w:spacing w:line="480" w:lineRule="auto"/>
              <w:contextualSpacing/>
              <w:jc w:val="both"/>
              <w:rPr>
                <w:rFonts w:ascii="Times New Roman" w:hAnsi="Times New Roman" w:cs="Times New Roman"/>
              </w:rPr>
            </w:pPr>
            <w:r w:rsidRPr="0057680B">
              <w:rPr>
                <w:rFonts w:ascii="Times New Roman" w:hAnsi="Times New Roman" w:cs="Times New Roman"/>
              </w:rPr>
              <w:t>Social Efficiency/Social Reconstruction</w:t>
            </w:r>
          </w:p>
        </w:tc>
        <w:tc>
          <w:tcPr>
            <w:tcW w:w="4243" w:type="dxa"/>
          </w:tcPr>
          <w:p w:rsidR="0020183D" w:rsidRPr="0057680B" w:rsidRDefault="00D33BD8" w:rsidP="00850876">
            <w:pPr>
              <w:spacing w:line="480" w:lineRule="auto"/>
              <w:contextualSpacing/>
              <w:jc w:val="both"/>
              <w:rPr>
                <w:rFonts w:ascii="Times New Roman" w:hAnsi="Times New Roman" w:cs="Times New Roman"/>
              </w:rPr>
            </w:pPr>
            <w:r w:rsidRPr="0057680B">
              <w:rPr>
                <w:rFonts w:ascii="Times New Roman" w:hAnsi="Times New Roman" w:cs="Times New Roman"/>
              </w:rPr>
              <w:t>3 (</w:t>
            </w:r>
            <w:r w:rsidRPr="0057680B">
              <w:rPr>
                <w:rFonts w:ascii="Times New Roman" w:hAnsi="Times New Roman" w:cs="Times New Roman"/>
                <w:i/>
              </w:rPr>
              <w:t>Romeo and Juliet, Wuthering Heights, The Scarlet Letter</w:t>
            </w:r>
            <w:r w:rsidRPr="0057680B">
              <w:rPr>
                <w:rFonts w:ascii="Times New Roman" w:hAnsi="Times New Roman" w:cs="Times New Roman"/>
              </w:rPr>
              <w:t>)</w:t>
            </w:r>
          </w:p>
        </w:tc>
      </w:tr>
      <w:tr w:rsidR="0020183D" w:rsidTr="0020183D">
        <w:tc>
          <w:tcPr>
            <w:tcW w:w="4243" w:type="dxa"/>
          </w:tcPr>
          <w:p w:rsidR="0020183D" w:rsidRPr="0057680B" w:rsidRDefault="00D33BD8" w:rsidP="00850876">
            <w:pPr>
              <w:spacing w:line="480" w:lineRule="auto"/>
              <w:contextualSpacing/>
              <w:jc w:val="both"/>
              <w:rPr>
                <w:rFonts w:ascii="Times New Roman" w:hAnsi="Times New Roman" w:cs="Times New Roman"/>
              </w:rPr>
            </w:pPr>
            <w:r w:rsidRPr="0057680B">
              <w:rPr>
                <w:rFonts w:ascii="Times New Roman" w:hAnsi="Times New Roman" w:cs="Times New Roman"/>
              </w:rPr>
              <w:t>Social Reconstruction</w:t>
            </w:r>
          </w:p>
        </w:tc>
        <w:tc>
          <w:tcPr>
            <w:tcW w:w="4243" w:type="dxa"/>
          </w:tcPr>
          <w:p w:rsidR="0020183D" w:rsidRPr="0057680B" w:rsidRDefault="00D33BD8" w:rsidP="00850876">
            <w:pPr>
              <w:spacing w:line="480" w:lineRule="auto"/>
              <w:contextualSpacing/>
              <w:jc w:val="both"/>
              <w:rPr>
                <w:rFonts w:ascii="Times New Roman" w:hAnsi="Times New Roman" w:cs="Times New Roman"/>
              </w:rPr>
            </w:pPr>
            <w:r w:rsidRPr="0057680B">
              <w:rPr>
                <w:rFonts w:ascii="Times New Roman" w:hAnsi="Times New Roman" w:cs="Times New Roman"/>
              </w:rPr>
              <w:t>5 (</w:t>
            </w:r>
            <w:r w:rsidRPr="0057680B">
              <w:rPr>
                <w:rFonts w:ascii="Times New Roman" w:hAnsi="Times New Roman" w:cs="Times New Roman"/>
                <w:i/>
              </w:rPr>
              <w:t xml:space="preserve">Of Mice and Men, To Kill a Mockingbird, The Crucible, The Great Gatsby, </w:t>
            </w:r>
            <w:r w:rsidR="00FF7366" w:rsidRPr="0057680B">
              <w:rPr>
                <w:rFonts w:ascii="Times New Roman" w:hAnsi="Times New Roman" w:cs="Times New Roman"/>
                <w:i/>
              </w:rPr>
              <w:t>A Raisin in the Sun</w:t>
            </w:r>
            <w:r w:rsidR="00FF7366" w:rsidRPr="0057680B">
              <w:rPr>
                <w:rFonts w:ascii="Times New Roman" w:hAnsi="Times New Roman" w:cs="Times New Roman"/>
              </w:rPr>
              <w:t>)</w:t>
            </w:r>
          </w:p>
        </w:tc>
      </w:tr>
      <w:tr w:rsidR="0020183D" w:rsidTr="0020183D">
        <w:tc>
          <w:tcPr>
            <w:tcW w:w="4243" w:type="dxa"/>
          </w:tcPr>
          <w:p w:rsidR="0020183D" w:rsidRPr="0057680B" w:rsidRDefault="00FF7366" w:rsidP="00850876">
            <w:pPr>
              <w:spacing w:line="480" w:lineRule="auto"/>
              <w:contextualSpacing/>
              <w:jc w:val="both"/>
              <w:rPr>
                <w:rFonts w:ascii="Times New Roman" w:hAnsi="Times New Roman" w:cs="Times New Roman"/>
              </w:rPr>
            </w:pPr>
            <w:r w:rsidRPr="0057680B">
              <w:rPr>
                <w:rFonts w:ascii="Times New Roman" w:hAnsi="Times New Roman" w:cs="Times New Roman"/>
              </w:rPr>
              <w:t>Scholar Academic/ Soc. Reconstruction</w:t>
            </w:r>
          </w:p>
        </w:tc>
        <w:tc>
          <w:tcPr>
            <w:tcW w:w="4243" w:type="dxa"/>
          </w:tcPr>
          <w:p w:rsidR="00FF7366" w:rsidRPr="0057680B" w:rsidRDefault="00FF7366" w:rsidP="00850876">
            <w:pPr>
              <w:spacing w:line="480" w:lineRule="auto"/>
              <w:contextualSpacing/>
              <w:jc w:val="both"/>
              <w:rPr>
                <w:rFonts w:ascii="Times New Roman" w:hAnsi="Times New Roman" w:cs="Times New Roman"/>
              </w:rPr>
            </w:pPr>
            <w:r w:rsidRPr="0057680B">
              <w:rPr>
                <w:rFonts w:ascii="Times New Roman" w:hAnsi="Times New Roman" w:cs="Times New Roman"/>
              </w:rPr>
              <w:t>1 (</w:t>
            </w:r>
            <w:r w:rsidRPr="0057680B">
              <w:rPr>
                <w:rFonts w:ascii="Times New Roman" w:hAnsi="Times New Roman" w:cs="Times New Roman"/>
                <w:i/>
              </w:rPr>
              <w:t>Animal Farm</w:t>
            </w:r>
            <w:r w:rsidRPr="0057680B">
              <w:rPr>
                <w:rFonts w:ascii="Times New Roman" w:hAnsi="Times New Roman" w:cs="Times New Roman"/>
              </w:rPr>
              <w:t>)</w:t>
            </w:r>
          </w:p>
        </w:tc>
      </w:tr>
      <w:tr w:rsidR="00FF7366" w:rsidTr="0020183D">
        <w:tc>
          <w:tcPr>
            <w:tcW w:w="4243" w:type="dxa"/>
          </w:tcPr>
          <w:p w:rsidR="00FF7366" w:rsidRPr="0057680B" w:rsidRDefault="00FF7366" w:rsidP="00850876">
            <w:pPr>
              <w:spacing w:line="480" w:lineRule="auto"/>
              <w:contextualSpacing/>
              <w:jc w:val="both"/>
              <w:rPr>
                <w:rFonts w:ascii="Times New Roman" w:hAnsi="Times New Roman" w:cs="Times New Roman"/>
              </w:rPr>
            </w:pPr>
            <w:r w:rsidRPr="0057680B">
              <w:rPr>
                <w:rFonts w:ascii="Times New Roman" w:hAnsi="Times New Roman" w:cs="Times New Roman"/>
              </w:rPr>
              <w:t>Learner Centered</w:t>
            </w:r>
          </w:p>
        </w:tc>
        <w:tc>
          <w:tcPr>
            <w:tcW w:w="4243" w:type="dxa"/>
          </w:tcPr>
          <w:p w:rsidR="00FF7366" w:rsidRPr="0057680B" w:rsidRDefault="00FF7366" w:rsidP="00850876">
            <w:pPr>
              <w:spacing w:line="480" w:lineRule="auto"/>
              <w:contextualSpacing/>
              <w:jc w:val="both"/>
              <w:rPr>
                <w:rFonts w:ascii="Times New Roman" w:hAnsi="Times New Roman" w:cs="Times New Roman"/>
              </w:rPr>
            </w:pPr>
            <w:r w:rsidRPr="0057680B">
              <w:rPr>
                <w:rFonts w:ascii="Times New Roman" w:hAnsi="Times New Roman" w:cs="Times New Roman"/>
              </w:rPr>
              <w:t>1 (</w:t>
            </w:r>
            <w:r w:rsidRPr="0057680B">
              <w:rPr>
                <w:rFonts w:ascii="Times New Roman" w:hAnsi="Times New Roman" w:cs="Times New Roman"/>
                <w:i/>
              </w:rPr>
              <w:t>The Adventures of Huckleberry Finn</w:t>
            </w:r>
            <w:r w:rsidRPr="0057680B">
              <w:rPr>
                <w:rFonts w:ascii="Times New Roman" w:hAnsi="Times New Roman" w:cs="Times New Roman"/>
              </w:rPr>
              <w:t>)</w:t>
            </w:r>
          </w:p>
        </w:tc>
      </w:tr>
    </w:tbl>
    <w:p w:rsidR="0020183D" w:rsidRDefault="0020183D" w:rsidP="0057680B">
      <w:pPr>
        <w:spacing w:after="0" w:line="480" w:lineRule="auto"/>
        <w:contextualSpacing/>
        <w:jc w:val="both"/>
        <w:rPr>
          <w:rFonts w:ascii="Times New Roman" w:hAnsi="Times New Roman" w:cs="Times New Roman"/>
          <w:sz w:val="24"/>
        </w:rPr>
      </w:pPr>
    </w:p>
    <w:p w:rsidR="00850876" w:rsidRDefault="00850876" w:rsidP="0020183D">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The ideological analysis yields a plurality of works rooted </w:t>
      </w:r>
      <w:r w:rsidR="0074425D">
        <w:rPr>
          <w:rFonts w:ascii="Times New Roman" w:hAnsi="Times New Roman" w:cs="Times New Roman"/>
          <w:sz w:val="24"/>
        </w:rPr>
        <w:t xml:space="preserve">at least partially </w:t>
      </w:r>
      <w:r>
        <w:rPr>
          <w:rFonts w:ascii="Times New Roman" w:hAnsi="Times New Roman" w:cs="Times New Roman"/>
          <w:sz w:val="24"/>
        </w:rPr>
        <w:t xml:space="preserve">in the social efficiency ideology.  This result – and this high number of selections that call for the preservation of society and its institutions – echoes the researchers’ claims about the purpose of public schooling. Though the social efficiency-oriented works address </w:t>
      </w:r>
      <w:r>
        <w:rPr>
          <w:rFonts w:ascii="Times New Roman" w:hAnsi="Times New Roman" w:cs="Times New Roman"/>
          <w:sz w:val="24"/>
        </w:rPr>
        <w:lastRenderedPageBreak/>
        <w:t>different facets of culture, all evince the same mindset that emphasizes perpetuation of current values and ideals.  Indeed, the actions and values advocated in the works correspond to writings about the goals of the school system in general.</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For example, Warner, Havighurst, and Loeb (1944) note that schools “[train a minority of students] for social mobility” (p. 57).  This same emphasis on class distinctions appears in </w:t>
      </w:r>
      <w:r>
        <w:rPr>
          <w:rFonts w:ascii="Times New Roman" w:hAnsi="Times New Roman" w:cs="Times New Roman"/>
          <w:i/>
          <w:sz w:val="24"/>
        </w:rPr>
        <w:t>Wuthering Heights</w:t>
      </w:r>
      <w:r>
        <w:rPr>
          <w:rFonts w:ascii="Times New Roman" w:hAnsi="Times New Roman" w:cs="Times New Roman"/>
          <w:sz w:val="24"/>
        </w:rPr>
        <w:t xml:space="preserve">.  Catherine cannot marry Heathcliff because of his lowly status, but her family eagerly accepts a marriage to wealthy Edgar Linton.  Catherine and Edgar have received this training for mobility by virtue of their birth; Heathcliff, by virtue (or vice) of his, has not.  The novel thus mirrors the school system that researchers describe – a system in which a minority of students receives advantages and support.  Moreover, the novel’s end finds this system virtually unchanged.  The work thus transmits the tacit message that the class system is immovable, and it perhaps even encourages the acceptance and continuance of </w:t>
      </w:r>
      <w:r w:rsidR="00300D9A">
        <w:rPr>
          <w:rFonts w:ascii="Times New Roman" w:hAnsi="Times New Roman" w:cs="Times New Roman"/>
          <w:sz w:val="24"/>
        </w:rPr>
        <w:t>it.</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Similarly, Westheimer and Kane (2004) observe that schools preserve the status quo by training students to be passive rather than active, political members of society.  Many of the social efficiency-oriented works share this negative attitude toward youth advocacy or action.  </w:t>
      </w:r>
      <w:r>
        <w:rPr>
          <w:rFonts w:ascii="Times New Roman" w:hAnsi="Times New Roman" w:cs="Times New Roman"/>
          <w:i/>
          <w:sz w:val="24"/>
        </w:rPr>
        <w:t xml:space="preserve">Romeo and Juliet </w:t>
      </w:r>
      <w:r>
        <w:rPr>
          <w:rFonts w:ascii="Times New Roman" w:hAnsi="Times New Roman" w:cs="Times New Roman"/>
          <w:sz w:val="24"/>
        </w:rPr>
        <w:t>serves as the quintessential example of this claim.  The titular teenagers rebel against their families’ wishes and the prescribed social order.    By the play’s end, the two have died, felled by their rejection of sensi</w:t>
      </w:r>
      <w:r w:rsidR="009F2192">
        <w:rPr>
          <w:rFonts w:ascii="Times New Roman" w:hAnsi="Times New Roman" w:cs="Times New Roman"/>
          <w:sz w:val="24"/>
        </w:rPr>
        <w:t xml:space="preserve">ble adult advice.  This ending </w:t>
      </w:r>
      <w:r>
        <w:rPr>
          <w:rFonts w:ascii="Times New Roman" w:hAnsi="Times New Roman" w:cs="Times New Roman"/>
          <w:sz w:val="24"/>
        </w:rPr>
        <w:t xml:space="preserve">implies the brutal consequences of youth advocacy.  Similarly, </w:t>
      </w:r>
      <w:r>
        <w:rPr>
          <w:rFonts w:ascii="Times New Roman" w:hAnsi="Times New Roman" w:cs="Times New Roman"/>
          <w:i/>
          <w:sz w:val="24"/>
        </w:rPr>
        <w:t xml:space="preserve">Lord of the Flies </w:t>
      </w:r>
      <w:r>
        <w:rPr>
          <w:rFonts w:ascii="Times New Roman" w:hAnsi="Times New Roman" w:cs="Times New Roman"/>
          <w:sz w:val="24"/>
        </w:rPr>
        <w:t xml:space="preserve">takes youth advocacy and its consequences to perilous extremes.  The boys’ ersatz civilization, devoid of adult guidance and instruction, collapses.  Again, this work </w:t>
      </w:r>
      <w:r>
        <w:rPr>
          <w:rFonts w:ascii="Times New Roman" w:hAnsi="Times New Roman" w:cs="Times New Roman"/>
          <w:sz w:val="24"/>
        </w:rPr>
        <w:lastRenderedPageBreak/>
        <w:t>implicitly tells students to defer to adult expertise.  These works nicely complement schools’ focus on political inaction by dissuading youth involvement.</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According to other researchers, schools also operate with cultural goals in mind.  According to Galloway and Edwards (2013, p. 26), schools teach students to live in the dominant culture.  This objective and the dangers of contravening it can be seen in the social efficiency works.  </w:t>
      </w:r>
      <w:r>
        <w:rPr>
          <w:rFonts w:ascii="Times New Roman" w:hAnsi="Times New Roman" w:cs="Times New Roman"/>
          <w:i/>
          <w:sz w:val="24"/>
        </w:rPr>
        <w:t>Macbeth</w:t>
      </w:r>
      <w:r>
        <w:rPr>
          <w:rFonts w:ascii="Times New Roman" w:hAnsi="Times New Roman" w:cs="Times New Roman"/>
          <w:sz w:val="24"/>
        </w:rPr>
        <w:t xml:space="preserve">, for instance, features a protagonist who circumvents custom by killing the king and withholding the throne from the rightful heir.  He ignores society’s rules in his lust for the crown.  His death warns that social deviance brings disaster.  </w:t>
      </w:r>
      <w:r>
        <w:rPr>
          <w:rFonts w:ascii="Times New Roman" w:hAnsi="Times New Roman" w:cs="Times New Roman"/>
          <w:i/>
          <w:sz w:val="24"/>
        </w:rPr>
        <w:t xml:space="preserve">Hamlet </w:t>
      </w:r>
      <w:r>
        <w:rPr>
          <w:rFonts w:ascii="Times New Roman" w:hAnsi="Times New Roman" w:cs="Times New Roman"/>
          <w:sz w:val="24"/>
        </w:rPr>
        <w:t xml:space="preserve">and </w:t>
      </w:r>
      <w:r>
        <w:rPr>
          <w:rFonts w:ascii="Times New Roman" w:hAnsi="Times New Roman" w:cs="Times New Roman"/>
          <w:i/>
          <w:sz w:val="24"/>
        </w:rPr>
        <w:t>Julius Caesar</w:t>
      </w:r>
      <w:r>
        <w:rPr>
          <w:rFonts w:ascii="Times New Roman" w:hAnsi="Times New Roman" w:cs="Times New Roman"/>
          <w:sz w:val="24"/>
        </w:rPr>
        <w:t>, too, follows characters who buck social order for poli</w:t>
      </w:r>
      <w:r w:rsidR="009F2192">
        <w:rPr>
          <w:rFonts w:ascii="Times New Roman" w:hAnsi="Times New Roman" w:cs="Times New Roman"/>
          <w:sz w:val="24"/>
        </w:rPr>
        <w:t>tical and personal expediency</w:t>
      </w:r>
      <w:r>
        <w:rPr>
          <w:rFonts w:ascii="Times New Roman" w:hAnsi="Times New Roman" w:cs="Times New Roman"/>
          <w:sz w:val="24"/>
        </w:rPr>
        <w:t xml:space="preserve">.  These characters’ untimely ends serve as cautionary tales, telling readers to behave appropriately and obey accepted norms and values.  These works thus assimilate students into to the culture by illustrating the perils of contradicting it. </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This message arrives in more benign forms, too.  </w:t>
      </w:r>
      <w:r>
        <w:rPr>
          <w:rFonts w:ascii="Times New Roman" w:hAnsi="Times New Roman" w:cs="Times New Roman"/>
          <w:i/>
          <w:sz w:val="24"/>
        </w:rPr>
        <w:t xml:space="preserve">A Separate Peace </w:t>
      </w:r>
      <w:r>
        <w:rPr>
          <w:rFonts w:ascii="Times New Roman" w:hAnsi="Times New Roman" w:cs="Times New Roman"/>
          <w:sz w:val="24"/>
        </w:rPr>
        <w:t>features no bloody coups or gruesome deaths.  Rather, it simply seeks to depict and normalize American culture.  It focuses on young boys who, after their idyllic school days, follow life’s script: careers, military service, etc.  In the novel’s view, these events seem healthy and eventual; they touch all lives without exception.  Though innocent and nostalgic, th</w:t>
      </w:r>
      <w:r w:rsidR="001F0C61">
        <w:rPr>
          <w:rFonts w:ascii="Times New Roman" w:hAnsi="Times New Roman" w:cs="Times New Roman"/>
          <w:sz w:val="24"/>
        </w:rPr>
        <w:t xml:space="preserve">e narrator’s musings reinforce </w:t>
      </w:r>
      <w:r>
        <w:rPr>
          <w:rFonts w:ascii="Times New Roman" w:hAnsi="Times New Roman" w:cs="Times New Roman"/>
          <w:sz w:val="24"/>
        </w:rPr>
        <w:t>social efficiency by emphasizing a specific “script” for life.</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While a plurality </w:t>
      </w:r>
      <w:r w:rsidR="00434D56">
        <w:rPr>
          <w:rFonts w:ascii="Times New Roman" w:hAnsi="Times New Roman" w:cs="Times New Roman"/>
          <w:sz w:val="24"/>
        </w:rPr>
        <w:t xml:space="preserve">of the works </w:t>
      </w:r>
      <w:r>
        <w:rPr>
          <w:rFonts w:ascii="Times New Roman" w:hAnsi="Times New Roman" w:cs="Times New Roman"/>
          <w:sz w:val="24"/>
        </w:rPr>
        <w:t>adhere</w:t>
      </w:r>
      <w:r w:rsidR="00434D56">
        <w:rPr>
          <w:rFonts w:ascii="Times New Roman" w:hAnsi="Times New Roman" w:cs="Times New Roman"/>
          <w:sz w:val="24"/>
        </w:rPr>
        <w:t>s</w:t>
      </w:r>
      <w:r>
        <w:rPr>
          <w:rFonts w:ascii="Times New Roman" w:hAnsi="Times New Roman" w:cs="Times New Roman"/>
          <w:sz w:val="24"/>
        </w:rPr>
        <w:t xml:space="preserve"> to social efficiency, a sizable number of the works have affinity with the social reconstruction ideology.  Many of these works criticize the dominant culture by highlighting the injustices experienced by an oppressed group.  </w:t>
      </w:r>
      <w:r>
        <w:rPr>
          <w:rFonts w:ascii="Times New Roman" w:hAnsi="Times New Roman" w:cs="Times New Roman"/>
          <w:i/>
          <w:sz w:val="24"/>
        </w:rPr>
        <w:t>A Raisin in the Sun</w:t>
      </w:r>
      <w:r>
        <w:rPr>
          <w:rFonts w:ascii="Times New Roman" w:hAnsi="Times New Roman" w:cs="Times New Roman"/>
          <w:sz w:val="24"/>
        </w:rPr>
        <w:t xml:space="preserve">, for instance, shows how American society denies black </w:t>
      </w:r>
      <w:r>
        <w:rPr>
          <w:rFonts w:ascii="Times New Roman" w:hAnsi="Times New Roman" w:cs="Times New Roman"/>
          <w:sz w:val="24"/>
        </w:rPr>
        <w:lastRenderedPageBreak/>
        <w:t xml:space="preserve">individuals economic parity and social respect, while </w:t>
      </w:r>
      <w:r>
        <w:rPr>
          <w:rFonts w:ascii="Times New Roman" w:hAnsi="Times New Roman" w:cs="Times New Roman"/>
          <w:i/>
          <w:sz w:val="24"/>
        </w:rPr>
        <w:t xml:space="preserve">The Great Gatsby </w:t>
      </w:r>
      <w:r>
        <w:rPr>
          <w:rFonts w:ascii="Times New Roman" w:hAnsi="Times New Roman" w:cs="Times New Roman"/>
          <w:sz w:val="24"/>
        </w:rPr>
        <w:t xml:space="preserve">examines the deleterious effects of America’s class system and the decadence of the rich.  Others focus on historical inequities, the failings of the culture at a particular time.  </w:t>
      </w:r>
      <w:r>
        <w:rPr>
          <w:rFonts w:ascii="Times New Roman" w:hAnsi="Times New Roman" w:cs="Times New Roman"/>
          <w:i/>
          <w:sz w:val="24"/>
        </w:rPr>
        <w:t xml:space="preserve">Of Mice and Men </w:t>
      </w:r>
      <w:r>
        <w:rPr>
          <w:rFonts w:ascii="Times New Roman" w:hAnsi="Times New Roman" w:cs="Times New Roman"/>
          <w:sz w:val="24"/>
        </w:rPr>
        <w:t xml:space="preserve">depicts the economic hardship that predominated during the Great Depression, </w:t>
      </w:r>
      <w:r>
        <w:rPr>
          <w:rFonts w:ascii="Times New Roman" w:hAnsi="Times New Roman" w:cs="Times New Roman"/>
          <w:i/>
          <w:sz w:val="24"/>
        </w:rPr>
        <w:t xml:space="preserve">To Kill a Mockingbird </w:t>
      </w:r>
      <w:r>
        <w:rPr>
          <w:rFonts w:ascii="Times New Roman" w:hAnsi="Times New Roman" w:cs="Times New Roman"/>
          <w:sz w:val="24"/>
        </w:rPr>
        <w:t xml:space="preserve">shows racism in the context of the Jim Crow south, and </w:t>
      </w:r>
      <w:r>
        <w:rPr>
          <w:rFonts w:ascii="Times New Roman" w:hAnsi="Times New Roman" w:cs="Times New Roman"/>
          <w:i/>
          <w:sz w:val="24"/>
        </w:rPr>
        <w:t xml:space="preserve">The Crucible </w:t>
      </w:r>
      <w:r>
        <w:rPr>
          <w:rFonts w:ascii="Times New Roman" w:hAnsi="Times New Roman" w:cs="Times New Roman"/>
          <w:sz w:val="24"/>
        </w:rPr>
        <w:t xml:space="preserve">equates the Salem witch hysteria to the Communist witch hunts of the 1950s.  The novels differ in setting and characters, but they all criticize and provide solutions – implicit and explicit – for redressing social ills.  Whereas the social efficiency novels </w:t>
      </w:r>
      <w:r>
        <w:rPr>
          <w:rFonts w:ascii="Times New Roman" w:hAnsi="Times New Roman" w:cs="Times New Roman"/>
          <w:sz w:val="24"/>
        </w:rPr>
        <w:br/>
      </w:r>
      <w:r w:rsidR="00DB0001">
        <w:rPr>
          <w:rFonts w:ascii="Times New Roman" w:hAnsi="Times New Roman" w:cs="Times New Roman"/>
          <w:sz w:val="24"/>
        </w:rPr>
        <w:t>assimilate students into</w:t>
      </w:r>
      <w:r>
        <w:rPr>
          <w:rFonts w:ascii="Times New Roman" w:hAnsi="Times New Roman" w:cs="Times New Roman"/>
          <w:sz w:val="24"/>
        </w:rPr>
        <w:t xml:space="preserve"> to a culture, these novels prompt them to view the culture objectively and to notice its faults.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  What, then, can explain the relatively equal number of social efficiency- and social reconstruction-oriented works?  Do not these two ideologies have some conflicting goals?  What do these ideological results indicate about the objectives of the school system?</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These results might indicate warring factions within the school system – specifically, conflicts between policymakers (legislators, school administrators) and teachers.  Anyon (1980) used the term “hidden curriculum” to refer to schools’ unstated goals and use of socioeconomic tracking, but full understanding of this term requires knowledge of curricular creation and dissemination.  According to Gordon (1984), legislators perceive a public education as a “[medium] for transmitting the values, beliefs, and ideology of their community” (p. 524).  The final curriculum, the material actually taught to students, bears influence from individuals bent on preserving certain “values.”  Ergo, these individuals would likely advocate a curriculum replete with social efficiency </w:t>
      </w:r>
      <w:r>
        <w:rPr>
          <w:rFonts w:ascii="Times New Roman" w:hAnsi="Times New Roman" w:cs="Times New Roman"/>
          <w:sz w:val="24"/>
        </w:rPr>
        <w:lastRenderedPageBreak/>
        <w:t>– a curriculum whose materials tell students how to behave and what to believe.  This idea might work to explain the abundance of social efficiency-minded literary works, as the individuals in power tailor the curriculum to suit current society’s needs.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The appreciable number of social reconstruction works, conversely, might indicate rebellion against such values inculcation – rebellion mounted by teachers.  Yoon, Simpson, and Haag (2010) write that teachers embrace “multicultural literature” to “[help] students critically analyze their cultural, social, and political worlds” and to “challenge the existing [monocultural] canon” (p. 110).   Teachers recognize the exclusionary nature of the traditional canon, and they attempt to use new works to broaden students’ perspectives.  To be blunter, they use literature to fight the cultural and social edicts that plague the curriculum.  This conflict manifests itself in the literature that reaches the classroom: the people above (i.e., legislators) insist upon works that stress social efficiency, while the people beneath (i.e., teachers) favor works that support social reconstruction.  One group wishes to keep students trapped in the same social structures; the other group wants to foster students’ advocacy and help them break societal bonds.</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The lack of learner-centered works seems telling.  Schiro (2007) notes that learner-centered schools “orient themselves around the needs and interests of children rather than around parental and societal expectations for children” (p. 105).  Many schools have yet to embrace this model.  Instead, they practice what Schiro and others dub “traditional education,” the standard model of students following a prescribed curriculum and listening to teachers’ lessons.  They see the students as future servants of society, not vice versa.  Therefore, the dearth of learner-centered works (only one) seems </w:t>
      </w:r>
      <w:r>
        <w:rPr>
          <w:rFonts w:ascii="Times New Roman" w:hAnsi="Times New Roman" w:cs="Times New Roman"/>
          <w:sz w:val="24"/>
        </w:rPr>
        <w:lastRenderedPageBreak/>
        <w:t xml:space="preserve">simultaneously lamentable and predictable.  Schools have no desire to teach true autonomy, so they shun works </w:t>
      </w:r>
      <w:r w:rsidR="00BE0287">
        <w:rPr>
          <w:rFonts w:ascii="Times New Roman" w:hAnsi="Times New Roman" w:cs="Times New Roman"/>
          <w:sz w:val="24"/>
        </w:rPr>
        <w:t>featuring</w:t>
      </w:r>
      <w:r>
        <w:rPr>
          <w:rFonts w:ascii="Times New Roman" w:hAnsi="Times New Roman" w:cs="Times New Roman"/>
          <w:sz w:val="24"/>
        </w:rPr>
        <w:t xml:space="preserve"> that concept.</w:t>
      </w:r>
    </w:p>
    <w:p w:rsidR="00850876" w:rsidRDefault="00850876"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A similar explanation could be applied to the small number of scholar academic works.  This ideology aims to “initiate children into an academic discipline at the level at which it is being taught” (Schiro, 2007, p. 20).  It believes that lessons should be tailored to the specific discipline.  For example, if students aspire to be biologists, they should conduct the work of biologists, structuring their learning and inquiry as a biologist might.  School curricula, conversely, adopt a standardized approach; they seek to arm students with general skills necessary to participate in society.  Works overly rooted in one discipline (e.g., </w:t>
      </w:r>
      <w:r>
        <w:rPr>
          <w:rFonts w:ascii="Times New Roman" w:hAnsi="Times New Roman" w:cs="Times New Roman"/>
          <w:i/>
          <w:sz w:val="24"/>
        </w:rPr>
        <w:t xml:space="preserve">Animal Farm </w:t>
      </w:r>
      <w:r>
        <w:rPr>
          <w:rFonts w:ascii="Times New Roman" w:hAnsi="Times New Roman" w:cs="Times New Roman"/>
          <w:sz w:val="24"/>
        </w:rPr>
        <w:t>and political science) might seem too esoteric from this perspective.  Scholar academic works thus go underrepresented.</w:t>
      </w:r>
    </w:p>
    <w:p w:rsidR="00E00C43" w:rsidRDefault="00E00C43" w:rsidP="00850876">
      <w:pPr>
        <w:spacing w:after="0" w:line="480" w:lineRule="auto"/>
        <w:contextualSpacing/>
        <w:jc w:val="both"/>
        <w:rPr>
          <w:rFonts w:ascii="Times New Roman" w:hAnsi="Times New Roman" w:cs="Times New Roman"/>
          <w:sz w:val="24"/>
        </w:rPr>
      </w:pPr>
      <w:r>
        <w:rPr>
          <w:rFonts w:ascii="Times New Roman" w:hAnsi="Times New Roman" w:cs="Times New Roman"/>
          <w:sz w:val="24"/>
        </w:rPr>
        <w:tab/>
        <w:t>This ideological spread definitivel</w:t>
      </w:r>
      <w:r w:rsidR="00DB0001">
        <w:rPr>
          <w:rFonts w:ascii="Times New Roman" w:hAnsi="Times New Roman" w:cs="Times New Roman"/>
          <w:sz w:val="24"/>
        </w:rPr>
        <w:t xml:space="preserve">y links the school system, social objectives, and works used in English classrooms.  </w:t>
      </w:r>
      <w:r w:rsidR="00F43A76">
        <w:rPr>
          <w:rFonts w:ascii="Times New Roman" w:hAnsi="Times New Roman" w:cs="Times New Roman"/>
          <w:sz w:val="24"/>
        </w:rPr>
        <w:t>Schools operate as extensions of the government.  Social institutions, they seek to accomplish society’s primary goal: molding young people into citizens who will uphold social order and structure, fuel the economic machine, and remain within the confines of their respective classes.  The s</w:t>
      </w:r>
      <w:r w:rsidR="002C034A">
        <w:rPr>
          <w:rFonts w:ascii="Times New Roman" w:hAnsi="Times New Roman" w:cs="Times New Roman"/>
          <w:sz w:val="24"/>
        </w:rPr>
        <w:t xml:space="preserve">ocial efficiency-oriented works, which emphasize social cohesion and punishment for deviation, </w:t>
      </w:r>
      <w:r w:rsidR="003B1A8A">
        <w:rPr>
          <w:rFonts w:ascii="Times New Roman" w:hAnsi="Times New Roman" w:cs="Times New Roman"/>
          <w:sz w:val="24"/>
        </w:rPr>
        <w:t>reflect this cultural mindset and its influence on curriculum.  Similarly, the social reconstruction</w:t>
      </w:r>
      <w:r w:rsidR="00171391">
        <w:rPr>
          <w:rFonts w:ascii="Times New Roman" w:hAnsi="Times New Roman" w:cs="Times New Roman"/>
          <w:sz w:val="24"/>
        </w:rPr>
        <w:t xml:space="preserve"> works, which demand redress for social ills, mirror the myriad movements for equality that dot the social landscape.  </w:t>
      </w:r>
      <w:r w:rsidR="00F43A76">
        <w:rPr>
          <w:rFonts w:ascii="Times New Roman" w:hAnsi="Times New Roman" w:cs="Times New Roman"/>
          <w:sz w:val="24"/>
        </w:rPr>
        <w:t xml:space="preserve"> </w:t>
      </w:r>
      <w:r w:rsidR="005F06AE">
        <w:rPr>
          <w:rFonts w:ascii="Times New Roman" w:hAnsi="Times New Roman" w:cs="Times New Roman"/>
          <w:sz w:val="24"/>
        </w:rPr>
        <w:t>If schools represent a microcosm of society</w:t>
      </w:r>
      <w:r w:rsidR="002C034A">
        <w:rPr>
          <w:rFonts w:ascii="Times New Roman" w:hAnsi="Times New Roman" w:cs="Times New Roman"/>
          <w:sz w:val="24"/>
        </w:rPr>
        <w:t>, these literary ideologies represent the conflicting viewpoints – conformity versus individuality, stability versus revolution, freedom versus restriction – that seek to</w:t>
      </w:r>
      <w:r w:rsidR="00F322D5">
        <w:rPr>
          <w:rFonts w:ascii="Times New Roman" w:hAnsi="Times New Roman" w:cs="Times New Roman"/>
          <w:sz w:val="24"/>
        </w:rPr>
        <w:t xml:space="preserve"> attain dominance over the youth and, by extension, the future.</w:t>
      </w:r>
    </w:p>
    <w:p w:rsidR="00340900" w:rsidRDefault="00340900" w:rsidP="00850876">
      <w:pPr>
        <w:spacing w:after="0" w:line="480" w:lineRule="auto"/>
        <w:contextualSpacing/>
        <w:jc w:val="both"/>
        <w:rPr>
          <w:rFonts w:ascii="Times New Roman" w:hAnsi="Times New Roman" w:cs="Times New Roman"/>
          <w:sz w:val="24"/>
        </w:rPr>
      </w:pPr>
      <w:r>
        <w:rPr>
          <w:rFonts w:ascii="Times New Roman" w:hAnsi="Times New Roman" w:cs="Times New Roman"/>
          <w:b/>
          <w:i/>
          <w:sz w:val="24"/>
        </w:rPr>
        <w:lastRenderedPageBreak/>
        <w:t>Conclusion and Next Steps</w:t>
      </w:r>
      <w:r w:rsidR="00850876">
        <w:rPr>
          <w:rFonts w:ascii="Times New Roman" w:hAnsi="Times New Roman" w:cs="Times New Roman"/>
          <w:sz w:val="24"/>
        </w:rPr>
        <w:tab/>
      </w:r>
    </w:p>
    <w:p w:rsidR="009B38C8" w:rsidRDefault="009B38C8" w:rsidP="009B38C8">
      <w:pPr>
        <w:spacing w:after="0" w:line="480" w:lineRule="auto"/>
        <w:ind w:firstLine="720"/>
        <w:contextualSpacing/>
        <w:rPr>
          <w:rFonts w:ascii="Times New Roman" w:hAnsi="Times New Roman" w:cs="Times New Roman"/>
          <w:sz w:val="24"/>
        </w:rPr>
      </w:pPr>
      <w:r>
        <w:rPr>
          <w:rFonts w:ascii="Times New Roman" w:hAnsi="Times New Roman" w:cs="Times New Roman"/>
          <w:sz w:val="24"/>
        </w:rPr>
        <w:t>A snappy 1940s newspaper reporter might remark, “Everybody’s got an angle.”  This concept pervades society.  Anything touched by human hands or shaped by human minds has a viewpoint, an inborn bias.  How could subjective minds produce anything else?  We all aim to influence each other, to assert our opinions; we want our respective views of reality to reign supreme.</w:t>
      </w:r>
    </w:p>
    <w:p w:rsidR="00850876" w:rsidRDefault="009B38C8" w:rsidP="009B38C8">
      <w:pPr>
        <w:spacing w:after="0" w:line="480" w:lineRule="auto"/>
        <w:contextualSpacing/>
        <w:jc w:val="both"/>
        <w:rPr>
          <w:rFonts w:ascii="Times New Roman" w:hAnsi="Times New Roman" w:cs="Times New Roman"/>
          <w:sz w:val="24"/>
        </w:rPr>
      </w:pPr>
      <w:r>
        <w:rPr>
          <w:rFonts w:ascii="Times New Roman" w:hAnsi="Times New Roman" w:cs="Times New Roman"/>
          <w:sz w:val="24"/>
        </w:rPr>
        <w:tab/>
        <w:t>The school system functions in much the same way.  Education occurs not in a vacuum but in a wider world filled with special interests, social groups, and ideological disagreements.  Ergo, education and curriculum can differ according to who holds power, who creates curriculum, who determines the structure and function of educational institutions.  These ideologies manifest themselves most starkly in curricular materials.  Literature, the ultimate human product, contains the same viewpoints and biases that define human opinion and interaction.  The surface conveys only a portion of a work’s message; the subtext, the commentary that lurks just beneath, proves far more influential.</w:t>
      </w:r>
    </w:p>
    <w:p w:rsidR="00850876" w:rsidRDefault="005E36E9" w:rsidP="00AC50E1">
      <w:pPr>
        <w:spacing w:after="0" w:line="480" w:lineRule="auto"/>
        <w:contextualSpacing/>
        <w:jc w:val="both"/>
        <w:rPr>
          <w:rFonts w:ascii="Times New Roman" w:hAnsi="Times New Roman" w:cs="Times New Roman"/>
          <w:sz w:val="24"/>
        </w:rPr>
      </w:pPr>
      <w:r>
        <w:rPr>
          <w:rFonts w:ascii="Times New Roman" w:hAnsi="Times New Roman" w:cs="Times New Roman"/>
          <w:sz w:val="24"/>
        </w:rPr>
        <w:tab/>
        <w:t xml:space="preserve">Though such subliminal messages will never disappear, teachers can at least be cognizant of them.  </w:t>
      </w:r>
      <w:r w:rsidR="00306CAB">
        <w:rPr>
          <w:rFonts w:ascii="Times New Roman" w:hAnsi="Times New Roman" w:cs="Times New Roman"/>
          <w:sz w:val="24"/>
        </w:rPr>
        <w:t xml:space="preserve">Specifically, they can interrogate the works they intend to teach, asking such questions as, “What does it encourage my students to do or not to do?  What ideology does it support, and how aggressively?”  Choosing the right ideological spread can give students a broad view of society; it can expose them not only to myriad viewpoints and cultures, as literary study should, but also to different perceptions of reality and their place in it.  Every literary work (or television show or movie) has a slant, but </w:t>
      </w:r>
      <w:r w:rsidR="00FA58EC">
        <w:rPr>
          <w:rFonts w:ascii="Times New Roman" w:hAnsi="Times New Roman" w:cs="Times New Roman"/>
          <w:sz w:val="24"/>
        </w:rPr>
        <w:t>teachers can balance these slants and teach an equitable social agenda.</w:t>
      </w:r>
    </w:p>
    <w:p w:rsidR="00B003EF" w:rsidRDefault="00B003EF" w:rsidP="00756F78">
      <w:pPr>
        <w:spacing w:after="0" w:line="240" w:lineRule="auto"/>
        <w:contextualSpacing/>
        <w:rPr>
          <w:rFonts w:ascii="Times New Roman" w:hAnsi="Times New Roman" w:cs="Times New Roman"/>
          <w:sz w:val="24"/>
        </w:rPr>
      </w:pPr>
    </w:p>
    <w:p w:rsidR="002B0BA4" w:rsidRDefault="002B0BA4" w:rsidP="00756F78">
      <w:pPr>
        <w:spacing w:after="0" w:line="240" w:lineRule="auto"/>
        <w:contextualSpacing/>
        <w:rPr>
          <w:rFonts w:ascii="Times New Roman" w:hAnsi="Times New Roman" w:cs="Times New Roman"/>
          <w:sz w:val="24"/>
        </w:rPr>
      </w:pPr>
    </w:p>
    <w:p w:rsidR="00176F38" w:rsidRDefault="00176F38" w:rsidP="00176F38">
      <w:pPr>
        <w:spacing w:after="0" w:line="240" w:lineRule="auto"/>
        <w:contextualSpacing/>
        <w:jc w:val="center"/>
        <w:rPr>
          <w:rFonts w:ascii="Times New Roman" w:hAnsi="Times New Roman" w:cs="Times New Roman"/>
          <w:sz w:val="24"/>
        </w:rPr>
      </w:pPr>
      <w:r>
        <w:rPr>
          <w:rFonts w:ascii="Times New Roman" w:hAnsi="Times New Roman" w:cs="Times New Roman"/>
          <w:sz w:val="24"/>
        </w:rPr>
        <w:lastRenderedPageBreak/>
        <w:t>References</w:t>
      </w:r>
    </w:p>
    <w:p w:rsidR="0075258C" w:rsidRDefault="0075258C" w:rsidP="00176F38">
      <w:pPr>
        <w:spacing w:after="0" w:line="240" w:lineRule="auto"/>
        <w:ind w:left="720" w:hanging="720"/>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Anyon, J. (1980).  Social class and the hidden curriculum of work.  </w:t>
      </w:r>
      <w:r>
        <w:rPr>
          <w:rFonts w:ascii="Times New Roman" w:hAnsi="Times New Roman" w:cs="Times New Roman"/>
          <w:i/>
          <w:sz w:val="24"/>
        </w:rPr>
        <w:t>Journal of Education, 162(1)</w:t>
      </w:r>
      <w:r>
        <w:rPr>
          <w:rFonts w:ascii="Times New Roman" w:hAnsi="Times New Roman" w:cs="Times New Roman"/>
          <w:sz w:val="24"/>
        </w:rPr>
        <w:t xml:space="preserve">, 67-92. </w:t>
      </w:r>
    </w:p>
    <w:p w:rsidR="0075258C" w:rsidRDefault="0075258C" w:rsidP="001B3065">
      <w:pPr>
        <w:spacing w:after="0" w:line="240" w:lineRule="auto"/>
        <w:contextualSpacing/>
        <w:jc w:val="both"/>
        <w:rPr>
          <w:rFonts w:ascii="Times New Roman" w:hAnsi="Times New Roman" w:cs="Times New Roman"/>
          <w:sz w:val="24"/>
        </w:rPr>
      </w:pPr>
    </w:p>
    <w:p w:rsidR="00176F38" w:rsidRPr="00D50D77"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Anyon, J. (2006).  Social class, school knowledge, and the hidden curriculum: Retheorizing reproduction.  In L. Weis</w:t>
      </w:r>
      <w:r w:rsidRPr="00D50D77">
        <w:rPr>
          <w:rFonts w:ascii="Times New Roman" w:hAnsi="Times New Roman" w:cs="Times New Roman"/>
          <w:sz w:val="24"/>
        </w:rPr>
        <w:t xml:space="preserve">, </w:t>
      </w:r>
      <w:r>
        <w:rPr>
          <w:rFonts w:ascii="Times New Roman" w:hAnsi="Times New Roman" w:cs="Times New Roman"/>
          <w:sz w:val="24"/>
        </w:rPr>
        <w:t xml:space="preserve">C. McCarthy, &amp; G. Dimitriadis (Eds.), </w:t>
      </w:r>
      <w:r w:rsidRPr="00D50D77">
        <w:rPr>
          <w:rFonts w:ascii="Times New Roman" w:hAnsi="Times New Roman" w:cs="Times New Roman"/>
          <w:i/>
          <w:sz w:val="24"/>
        </w:rPr>
        <w:t>Ideology, curriculum, and the new sociology of education</w:t>
      </w:r>
      <w:r>
        <w:rPr>
          <w:rFonts w:ascii="Times New Roman" w:hAnsi="Times New Roman" w:cs="Times New Roman"/>
          <w:i/>
          <w:sz w:val="24"/>
        </w:rPr>
        <w:t xml:space="preserve"> </w:t>
      </w:r>
      <w:r>
        <w:rPr>
          <w:rFonts w:ascii="Times New Roman" w:hAnsi="Times New Roman" w:cs="Times New Roman"/>
          <w:sz w:val="24"/>
        </w:rPr>
        <w:t>(pp. 37-46)</w:t>
      </w:r>
      <w:r w:rsidRPr="00D50D77">
        <w:rPr>
          <w:rFonts w:ascii="Times New Roman" w:hAnsi="Times New Roman" w:cs="Times New Roman"/>
          <w:sz w:val="24"/>
        </w:rPr>
        <w:t>.  New York, NY: Routledge.</w:t>
      </w:r>
    </w:p>
    <w:p w:rsidR="0075258C" w:rsidRDefault="0075258C"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Apple, M.W., &amp; King, N.R. (1977).  What do schools teach?  </w:t>
      </w:r>
      <w:r>
        <w:rPr>
          <w:rFonts w:ascii="Times New Roman" w:hAnsi="Times New Roman" w:cs="Times New Roman"/>
          <w:i/>
          <w:sz w:val="24"/>
        </w:rPr>
        <w:t>Curriculum Inquiry, 6(4)</w:t>
      </w:r>
      <w:r>
        <w:rPr>
          <w:rFonts w:ascii="Times New Roman" w:hAnsi="Times New Roman" w:cs="Times New Roman"/>
          <w:sz w:val="24"/>
        </w:rPr>
        <w:t>, 341-358.</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Default="00176F38" w:rsidP="00176F38">
      <w:pPr>
        <w:spacing w:after="0" w:line="240" w:lineRule="auto"/>
        <w:ind w:left="720" w:hanging="720"/>
        <w:contextualSpacing/>
        <w:jc w:val="both"/>
        <w:rPr>
          <w:rFonts w:ascii="Times New Roman" w:hAnsi="Times New Roman" w:cs="Times New Roman"/>
          <w:sz w:val="24"/>
        </w:rPr>
      </w:pPr>
      <w:r>
        <w:rPr>
          <w:rFonts w:ascii="Times New Roman" w:hAnsi="Times New Roman" w:cs="Times New Roman"/>
          <w:sz w:val="24"/>
        </w:rPr>
        <w:t xml:space="preserve">Apple, M.W. (2006).  </w:t>
      </w:r>
      <w:r>
        <w:rPr>
          <w:rFonts w:ascii="Times New Roman" w:hAnsi="Times New Roman" w:cs="Times New Roman"/>
          <w:i/>
          <w:sz w:val="24"/>
        </w:rPr>
        <w:t>Educating the “right” way</w:t>
      </w:r>
      <w:r>
        <w:rPr>
          <w:rFonts w:ascii="Times New Roman" w:hAnsi="Times New Roman" w:cs="Times New Roman"/>
          <w:sz w:val="24"/>
        </w:rPr>
        <w:t>.  New York, NY: Routledge.</w:t>
      </w:r>
    </w:p>
    <w:p w:rsidR="00545BD0" w:rsidRDefault="00545BD0" w:rsidP="00176F38">
      <w:pPr>
        <w:spacing w:after="0" w:line="240" w:lineRule="auto"/>
        <w:ind w:left="720" w:hanging="720"/>
        <w:contextualSpacing/>
        <w:jc w:val="both"/>
        <w:rPr>
          <w:rFonts w:ascii="Times New Roman" w:hAnsi="Times New Roman" w:cs="Times New Roman"/>
          <w:sz w:val="24"/>
        </w:rPr>
      </w:pPr>
    </w:p>
    <w:p w:rsidR="00545BD0" w:rsidRDefault="00545BD0"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Applebee, A.N. (1990).  </w:t>
      </w:r>
      <w:r w:rsidRPr="001B3065">
        <w:rPr>
          <w:rFonts w:ascii="Times New Roman" w:hAnsi="Times New Roman" w:cs="Times New Roman"/>
          <w:i/>
          <w:sz w:val="24"/>
        </w:rPr>
        <w:t>A study of book-length works taught in high school English courses</w:t>
      </w:r>
      <w:r w:rsidR="00B53C9C">
        <w:rPr>
          <w:rFonts w:ascii="Times New Roman" w:hAnsi="Times New Roman" w:cs="Times New Roman"/>
          <w:i/>
          <w:sz w:val="24"/>
        </w:rPr>
        <w:t xml:space="preserve"> </w:t>
      </w:r>
      <w:r w:rsidR="00B53C9C">
        <w:rPr>
          <w:rFonts w:ascii="Times New Roman" w:hAnsi="Times New Roman" w:cs="Times New Roman"/>
          <w:sz w:val="24"/>
        </w:rPr>
        <w:t xml:space="preserve">(Grant No. </w:t>
      </w:r>
      <w:r w:rsidR="00B53C9C" w:rsidRPr="001B3065">
        <w:rPr>
          <w:rFonts w:ascii="Times New Roman" w:hAnsi="Times New Roman" w:cs="Times New Roman"/>
          <w:sz w:val="24"/>
        </w:rPr>
        <w:t>G008720278</w:t>
      </w:r>
      <w:r w:rsidR="00B53C9C">
        <w:rPr>
          <w:rFonts w:ascii="Times New Roman" w:hAnsi="Times New Roman" w:cs="Times New Roman"/>
          <w:sz w:val="24"/>
        </w:rPr>
        <w:t>)</w:t>
      </w:r>
      <w:r>
        <w:rPr>
          <w:rFonts w:ascii="Times New Roman" w:hAnsi="Times New Roman" w:cs="Times New Roman"/>
          <w:sz w:val="24"/>
        </w:rPr>
        <w:t>.</w:t>
      </w:r>
      <w:r w:rsidR="00B53C9C">
        <w:rPr>
          <w:rFonts w:ascii="Times New Roman" w:hAnsi="Times New Roman" w:cs="Times New Roman"/>
          <w:sz w:val="24"/>
        </w:rPr>
        <w:t xml:space="preserve">  Washington, D.C.: Office of Educational Research and Improvement.</w:t>
      </w:r>
      <w:r>
        <w:rPr>
          <w:rFonts w:ascii="Times New Roman" w:hAnsi="Times New Roman" w:cs="Times New Roman"/>
          <w:sz w:val="24"/>
        </w:rPr>
        <w:t xml:space="preserve">  </w:t>
      </w:r>
    </w:p>
    <w:p w:rsidR="00545BD0" w:rsidRDefault="00545BD0" w:rsidP="001B3065">
      <w:pPr>
        <w:spacing w:after="0" w:line="240" w:lineRule="auto"/>
        <w:contextualSpacing/>
        <w:jc w:val="both"/>
        <w:rPr>
          <w:rFonts w:ascii="Times New Roman" w:hAnsi="Times New Roman" w:cs="Times New Roman"/>
          <w:sz w:val="24"/>
        </w:rPr>
      </w:pPr>
    </w:p>
    <w:p w:rsidR="00545BD0" w:rsidRPr="00545BD0" w:rsidRDefault="00545BD0"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Applebee, A.N. (1992).  Stability and change in the high-school canon.  </w:t>
      </w:r>
      <w:r>
        <w:rPr>
          <w:rFonts w:ascii="Times New Roman" w:hAnsi="Times New Roman" w:cs="Times New Roman"/>
          <w:i/>
          <w:sz w:val="24"/>
        </w:rPr>
        <w:t>The English Journal, 81(5)</w:t>
      </w:r>
      <w:r>
        <w:rPr>
          <w:rFonts w:ascii="Times New Roman" w:hAnsi="Times New Roman" w:cs="Times New Roman"/>
          <w:sz w:val="24"/>
        </w:rPr>
        <w:t>, 27-32.</w:t>
      </w:r>
    </w:p>
    <w:p w:rsidR="003213C2" w:rsidRDefault="003213C2" w:rsidP="00176F38">
      <w:pPr>
        <w:spacing w:after="0" w:line="240" w:lineRule="auto"/>
        <w:ind w:left="720" w:hanging="720"/>
        <w:contextualSpacing/>
        <w:jc w:val="both"/>
        <w:rPr>
          <w:rFonts w:ascii="Times New Roman" w:hAnsi="Times New Roman" w:cs="Times New Roman"/>
          <w:sz w:val="24"/>
        </w:rPr>
      </w:pPr>
    </w:p>
    <w:p w:rsidR="003213C2" w:rsidRPr="003213C2" w:rsidRDefault="003213C2"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Arac, J. (1986).  The politics of </w:t>
      </w:r>
      <w:r>
        <w:rPr>
          <w:rFonts w:ascii="Times New Roman" w:hAnsi="Times New Roman" w:cs="Times New Roman"/>
          <w:i/>
          <w:sz w:val="24"/>
        </w:rPr>
        <w:t>The scarlet letter</w:t>
      </w:r>
      <w:r>
        <w:rPr>
          <w:rFonts w:ascii="Times New Roman" w:hAnsi="Times New Roman" w:cs="Times New Roman"/>
          <w:sz w:val="24"/>
        </w:rPr>
        <w:t xml:space="preserve">.  In S. Bercovitch &amp; M. Jehlen (Eds.).  </w:t>
      </w:r>
      <w:r>
        <w:rPr>
          <w:rFonts w:ascii="Times New Roman" w:hAnsi="Times New Roman" w:cs="Times New Roman"/>
          <w:i/>
          <w:sz w:val="24"/>
        </w:rPr>
        <w:t xml:space="preserve">Ideology and classic American literature </w:t>
      </w:r>
      <w:r>
        <w:rPr>
          <w:rFonts w:ascii="Times New Roman" w:hAnsi="Times New Roman" w:cs="Times New Roman"/>
          <w:sz w:val="24"/>
        </w:rPr>
        <w:t>(pp. 247-266).  Cambridge, MA: Cambridge University Press.</w:t>
      </w:r>
    </w:p>
    <w:p w:rsidR="00176F38" w:rsidRDefault="00176F38" w:rsidP="003213C2">
      <w:pPr>
        <w:spacing w:after="0" w:line="240" w:lineRule="auto"/>
        <w:contextualSpacing/>
        <w:jc w:val="both"/>
        <w:rPr>
          <w:rFonts w:ascii="Times New Roman" w:hAnsi="Times New Roman" w:cs="Times New Roman"/>
          <w:sz w:val="24"/>
        </w:rPr>
      </w:pPr>
    </w:p>
    <w:p w:rsidR="00176F38" w:rsidRPr="00D16AAD" w:rsidRDefault="00176F38" w:rsidP="00176F38">
      <w:pPr>
        <w:spacing w:after="0" w:line="240" w:lineRule="auto"/>
        <w:ind w:left="720" w:hanging="720"/>
        <w:contextualSpacing/>
        <w:jc w:val="both"/>
        <w:rPr>
          <w:rFonts w:ascii="Times New Roman" w:hAnsi="Times New Roman" w:cs="Times New Roman"/>
          <w:sz w:val="24"/>
        </w:rPr>
      </w:pPr>
      <w:r>
        <w:rPr>
          <w:rFonts w:ascii="Times New Roman" w:hAnsi="Times New Roman" w:cs="Times New Roman"/>
          <w:sz w:val="24"/>
        </w:rPr>
        <w:t xml:space="preserve">Bronte, E. (2011).  </w:t>
      </w:r>
      <w:r>
        <w:rPr>
          <w:rFonts w:ascii="Times New Roman" w:hAnsi="Times New Roman" w:cs="Times New Roman"/>
          <w:i/>
          <w:sz w:val="24"/>
        </w:rPr>
        <w:t xml:space="preserve">Wuthering heights </w:t>
      </w:r>
      <w:r>
        <w:rPr>
          <w:rFonts w:ascii="Times New Roman" w:hAnsi="Times New Roman" w:cs="Times New Roman"/>
          <w:sz w:val="24"/>
        </w:rPr>
        <w:t>(Kindle version).  Retrieved from Amazon.com.</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Pr="00AA3517"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Brown, L. (1993).  </w:t>
      </w:r>
      <w:r>
        <w:rPr>
          <w:rFonts w:ascii="Times New Roman" w:hAnsi="Times New Roman" w:cs="Times New Roman"/>
          <w:i/>
          <w:sz w:val="24"/>
        </w:rPr>
        <w:t>Ends of empire: Women and ideology in early eighteenth-century English literature</w:t>
      </w:r>
      <w:r>
        <w:rPr>
          <w:rFonts w:ascii="Times New Roman" w:hAnsi="Times New Roman" w:cs="Times New Roman"/>
          <w:sz w:val="24"/>
        </w:rPr>
        <w:t>.  Ithaca, NY: Cornell University Press.</w:t>
      </w:r>
    </w:p>
    <w:p w:rsidR="00176F38" w:rsidRDefault="00176F38" w:rsidP="001B3065">
      <w:pPr>
        <w:spacing w:after="0" w:line="240" w:lineRule="auto"/>
        <w:ind w:left="720"/>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Burgess, A. (1962).  </w:t>
      </w:r>
      <w:r>
        <w:rPr>
          <w:rFonts w:ascii="Times New Roman" w:hAnsi="Times New Roman" w:cs="Times New Roman"/>
          <w:i/>
          <w:sz w:val="24"/>
        </w:rPr>
        <w:t xml:space="preserve">A clockwork orange </w:t>
      </w:r>
      <w:r>
        <w:rPr>
          <w:rFonts w:ascii="Times New Roman" w:hAnsi="Times New Roman" w:cs="Times New Roman"/>
          <w:sz w:val="24"/>
        </w:rPr>
        <w:t>(Kindle version).  Retrieved from Amazon.com.</w:t>
      </w:r>
    </w:p>
    <w:p w:rsidR="00176F38" w:rsidRDefault="00176F38" w:rsidP="001B3065">
      <w:pPr>
        <w:spacing w:after="0" w:line="240" w:lineRule="auto"/>
        <w:ind w:left="720"/>
        <w:contextualSpacing/>
        <w:jc w:val="both"/>
        <w:rPr>
          <w:rFonts w:ascii="Times New Roman" w:hAnsi="Times New Roman" w:cs="Times New Roman"/>
          <w:sz w:val="24"/>
        </w:rPr>
      </w:pPr>
    </w:p>
    <w:p w:rsidR="00176F38" w:rsidRPr="004C0FF2"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Chen, H. (2005)</w:t>
      </w:r>
      <w:r w:rsidRPr="004C0FF2">
        <w:rPr>
          <w:rFonts w:ascii="Times New Roman" w:hAnsi="Times New Roman" w:cs="Times New Roman"/>
          <w:sz w:val="24"/>
        </w:rPr>
        <w:t xml:space="preserve">. </w:t>
      </w:r>
      <w:r>
        <w:rPr>
          <w:rFonts w:ascii="Times New Roman" w:hAnsi="Times New Roman" w:cs="Times New Roman"/>
          <w:sz w:val="24"/>
        </w:rPr>
        <w:t xml:space="preserve"> </w:t>
      </w:r>
      <w:r w:rsidRPr="004C0FF2">
        <w:rPr>
          <w:rFonts w:ascii="Times New Roman" w:hAnsi="Times New Roman" w:cs="Times New Roman"/>
          <w:sz w:val="24"/>
        </w:rPr>
        <w:t xml:space="preserve">The rationale for </w:t>
      </w:r>
      <w:r>
        <w:rPr>
          <w:rFonts w:ascii="Times New Roman" w:hAnsi="Times New Roman" w:cs="Times New Roman"/>
          <w:sz w:val="24"/>
        </w:rPr>
        <w:t>c</w:t>
      </w:r>
      <w:r w:rsidRPr="004C0FF2">
        <w:rPr>
          <w:rFonts w:ascii="Times New Roman" w:hAnsi="Times New Roman" w:cs="Times New Roman"/>
          <w:sz w:val="24"/>
        </w:rPr>
        <w:t xml:space="preserve">ritical </w:t>
      </w:r>
      <w:r>
        <w:rPr>
          <w:rFonts w:ascii="Times New Roman" w:hAnsi="Times New Roman" w:cs="Times New Roman"/>
          <w:sz w:val="24"/>
        </w:rPr>
        <w:t>p</w:t>
      </w:r>
      <w:r w:rsidRPr="004C0FF2">
        <w:rPr>
          <w:rFonts w:ascii="Times New Roman" w:hAnsi="Times New Roman" w:cs="Times New Roman"/>
          <w:sz w:val="24"/>
        </w:rPr>
        <w:t>edagogy in facilitating cultural identity</w:t>
      </w:r>
    </w:p>
    <w:p w:rsidR="00176F38" w:rsidRDefault="00176F38" w:rsidP="001B3065">
      <w:pPr>
        <w:spacing w:after="0" w:line="240" w:lineRule="auto"/>
        <w:contextualSpacing/>
        <w:jc w:val="both"/>
        <w:rPr>
          <w:rFonts w:ascii="Times New Roman" w:hAnsi="Times New Roman" w:cs="Times New Roman"/>
          <w:sz w:val="24"/>
        </w:rPr>
      </w:pPr>
      <w:r w:rsidRPr="004C0FF2">
        <w:rPr>
          <w:rFonts w:ascii="Times New Roman" w:hAnsi="Times New Roman" w:cs="Times New Roman"/>
          <w:sz w:val="24"/>
        </w:rPr>
        <w:t xml:space="preserve">development. </w:t>
      </w:r>
      <w:r>
        <w:rPr>
          <w:rFonts w:ascii="Times New Roman" w:hAnsi="Times New Roman" w:cs="Times New Roman"/>
          <w:sz w:val="24"/>
        </w:rPr>
        <w:t xml:space="preserve"> </w:t>
      </w:r>
      <w:r w:rsidRPr="004C0FF2">
        <w:rPr>
          <w:rFonts w:ascii="Times New Roman" w:hAnsi="Times New Roman" w:cs="Times New Roman"/>
          <w:i/>
          <w:sz w:val="24"/>
        </w:rPr>
        <w:t>Curriculum and Teaching Dialogue</w:t>
      </w:r>
      <w:r w:rsidRPr="004C0FF2">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i/>
          <w:sz w:val="24"/>
        </w:rPr>
        <w:t>7(1&amp;2)</w:t>
      </w:r>
      <w:r>
        <w:rPr>
          <w:rFonts w:ascii="Times New Roman" w:hAnsi="Times New Roman" w:cs="Times New Roman"/>
          <w:sz w:val="24"/>
        </w:rPr>
        <w:t xml:space="preserve">, </w:t>
      </w:r>
      <w:r w:rsidRPr="004C0FF2">
        <w:rPr>
          <w:rFonts w:ascii="Times New Roman" w:hAnsi="Times New Roman" w:cs="Times New Roman"/>
          <w:sz w:val="24"/>
        </w:rPr>
        <w:t>11-22.</w:t>
      </w:r>
    </w:p>
    <w:p w:rsidR="00176F38" w:rsidRDefault="00176F38" w:rsidP="001B3065">
      <w:pPr>
        <w:spacing w:after="0" w:line="240" w:lineRule="auto"/>
        <w:ind w:left="720"/>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Cole, D. (2003).  The new McCarthyism: Repeating history in the war on terrorism.  </w:t>
      </w:r>
      <w:r>
        <w:rPr>
          <w:rFonts w:ascii="Times New Roman" w:hAnsi="Times New Roman" w:cs="Times New Roman"/>
          <w:i/>
          <w:sz w:val="24"/>
        </w:rPr>
        <w:t>Harvard Civil Rights – Civil Liberties Law Review, 38</w:t>
      </w:r>
      <w:r>
        <w:rPr>
          <w:rFonts w:ascii="Times New Roman" w:hAnsi="Times New Roman" w:cs="Times New Roman"/>
          <w:sz w:val="24"/>
        </w:rPr>
        <w:t>, 1-30.</w:t>
      </w:r>
    </w:p>
    <w:p w:rsidR="00176F38" w:rsidRDefault="00176F38" w:rsidP="001B3065">
      <w:pPr>
        <w:spacing w:after="0" w:line="240" w:lineRule="auto"/>
        <w:ind w:left="720"/>
        <w:contextualSpacing/>
        <w:jc w:val="both"/>
        <w:rPr>
          <w:rFonts w:ascii="Times New Roman" w:hAnsi="Times New Roman" w:cs="Times New Roman"/>
          <w:sz w:val="24"/>
        </w:rPr>
      </w:pPr>
    </w:p>
    <w:p w:rsidR="00176F38" w:rsidRPr="00D92AE7"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Collins, J. (2012).  </w:t>
      </w:r>
      <w:r w:rsidRPr="00D92AE7">
        <w:rPr>
          <w:rFonts w:ascii="Times New Roman" w:hAnsi="Times New Roman" w:cs="Times New Roman"/>
          <w:sz w:val="24"/>
        </w:rPr>
        <w:t>Migration, sociolinguistic scale</w:t>
      </w:r>
      <w:r>
        <w:rPr>
          <w:rFonts w:ascii="Times New Roman" w:hAnsi="Times New Roman" w:cs="Times New Roman"/>
          <w:sz w:val="24"/>
        </w:rPr>
        <w:t xml:space="preserve">, and educational reproduction.  </w:t>
      </w:r>
      <w:r>
        <w:rPr>
          <w:rFonts w:ascii="Times New Roman" w:hAnsi="Times New Roman" w:cs="Times New Roman"/>
          <w:i/>
          <w:sz w:val="24"/>
        </w:rPr>
        <w:t>Anthropology Quarterly, 43(2)</w:t>
      </w:r>
      <w:r>
        <w:rPr>
          <w:rFonts w:ascii="Times New Roman" w:hAnsi="Times New Roman" w:cs="Times New Roman"/>
          <w:sz w:val="24"/>
        </w:rPr>
        <w:t>, 192-213.</w:t>
      </w:r>
    </w:p>
    <w:p w:rsidR="00176F38" w:rsidRDefault="00176F38" w:rsidP="001B3065">
      <w:pPr>
        <w:spacing w:after="0" w:line="240" w:lineRule="auto"/>
        <w:ind w:left="720"/>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Cotti, R., &amp; Schiro, M.S. (2004).  </w:t>
      </w:r>
      <w:r w:rsidRPr="00294F2C">
        <w:rPr>
          <w:rFonts w:ascii="Times New Roman" w:hAnsi="Times New Roman" w:cs="Times New Roman"/>
          <w:sz w:val="24"/>
        </w:rPr>
        <w:t>Connec</w:t>
      </w:r>
      <w:r>
        <w:rPr>
          <w:rFonts w:ascii="Times New Roman" w:hAnsi="Times New Roman" w:cs="Times New Roman"/>
          <w:sz w:val="24"/>
        </w:rPr>
        <w:t xml:space="preserve">ting teacher beliefs to the use of </w:t>
      </w:r>
      <w:r w:rsidRPr="00294F2C">
        <w:rPr>
          <w:rFonts w:ascii="Times New Roman" w:hAnsi="Times New Roman" w:cs="Times New Roman"/>
          <w:sz w:val="24"/>
        </w:rPr>
        <w:t>children’s literature in the teaching of</w:t>
      </w:r>
      <w:r>
        <w:rPr>
          <w:rFonts w:ascii="Times New Roman" w:hAnsi="Times New Roman" w:cs="Times New Roman"/>
          <w:sz w:val="24"/>
        </w:rPr>
        <w:t xml:space="preserve"> </w:t>
      </w:r>
      <w:r w:rsidRPr="00294F2C">
        <w:rPr>
          <w:rFonts w:ascii="Times New Roman" w:hAnsi="Times New Roman" w:cs="Times New Roman"/>
          <w:sz w:val="24"/>
        </w:rPr>
        <w:t>mathematics</w:t>
      </w:r>
      <w:r>
        <w:rPr>
          <w:rFonts w:ascii="Times New Roman" w:hAnsi="Times New Roman" w:cs="Times New Roman"/>
          <w:sz w:val="24"/>
        </w:rPr>
        <w:t xml:space="preserve">.  </w:t>
      </w:r>
      <w:r>
        <w:rPr>
          <w:rFonts w:ascii="Times New Roman" w:hAnsi="Times New Roman" w:cs="Times New Roman"/>
          <w:i/>
          <w:sz w:val="24"/>
        </w:rPr>
        <w:t xml:space="preserve">Journal of Mathematics Teacher Education, 7, </w:t>
      </w:r>
      <w:r>
        <w:rPr>
          <w:rFonts w:ascii="Times New Roman" w:hAnsi="Times New Roman" w:cs="Times New Roman"/>
          <w:sz w:val="24"/>
        </w:rPr>
        <w:t>329-356.</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lastRenderedPageBreak/>
        <w:t xml:space="preserve">Dorr, L.L. (2005).  </w:t>
      </w:r>
      <w:r w:rsidRPr="00F95B0A">
        <w:rPr>
          <w:rFonts w:ascii="Times New Roman" w:hAnsi="Times New Roman" w:cs="Times New Roman"/>
          <w:i/>
          <w:sz w:val="24"/>
        </w:rPr>
        <w:t>White women, rape and the power of race in Virginia, 1900–1960</w:t>
      </w:r>
      <w:r w:rsidRPr="00F95B0A">
        <w:rPr>
          <w:rFonts w:ascii="Times New Roman" w:hAnsi="Times New Roman" w:cs="Times New Roman"/>
          <w:sz w:val="24"/>
        </w:rPr>
        <w:t>.</w:t>
      </w:r>
      <w:r>
        <w:rPr>
          <w:rFonts w:ascii="Times New Roman" w:hAnsi="Times New Roman" w:cs="Times New Roman"/>
          <w:sz w:val="24"/>
        </w:rPr>
        <w:t xml:space="preserve">  Chapel Hill, NC: University of North Carolina Press.</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Dyhouse, C. (1978).  Towards a ‘feminine’ curriculum for English schoolgirls: The demands of ideology, 1870-1963.  </w:t>
      </w:r>
      <w:r>
        <w:rPr>
          <w:rFonts w:ascii="Times New Roman" w:hAnsi="Times New Roman" w:cs="Times New Roman"/>
          <w:i/>
          <w:sz w:val="24"/>
        </w:rPr>
        <w:t xml:space="preserve">Women’s Studies International Quarterly, 1, </w:t>
      </w:r>
      <w:r>
        <w:rPr>
          <w:rFonts w:ascii="Times New Roman" w:hAnsi="Times New Roman" w:cs="Times New Roman"/>
          <w:sz w:val="24"/>
        </w:rPr>
        <w:t>291-311.</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Eliot, T.S. (1922).  </w:t>
      </w:r>
      <w:r>
        <w:rPr>
          <w:rFonts w:ascii="Times New Roman" w:hAnsi="Times New Roman" w:cs="Times New Roman"/>
          <w:i/>
          <w:sz w:val="24"/>
        </w:rPr>
        <w:t>The waste land</w:t>
      </w:r>
      <w:r>
        <w:rPr>
          <w:rFonts w:ascii="Times New Roman" w:hAnsi="Times New Roman" w:cs="Times New Roman"/>
          <w:sz w:val="24"/>
        </w:rPr>
        <w:t xml:space="preserve">.  New York, NY: Horace Lovelight. </w:t>
      </w:r>
    </w:p>
    <w:p w:rsidR="00176F38" w:rsidRDefault="00176F38" w:rsidP="001B3065">
      <w:pPr>
        <w:spacing w:after="0" w:line="240" w:lineRule="auto"/>
        <w:contextualSpacing/>
        <w:jc w:val="both"/>
        <w:rPr>
          <w:rFonts w:ascii="Times New Roman" w:hAnsi="Times New Roman" w:cs="Times New Roman"/>
          <w:sz w:val="24"/>
        </w:rPr>
      </w:pPr>
    </w:p>
    <w:p w:rsidR="00176F38" w:rsidRPr="00F87C11"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Feinberg, W. (2000).  </w:t>
      </w:r>
      <w:r w:rsidRPr="00F87C11">
        <w:rPr>
          <w:rFonts w:ascii="Times New Roman" w:hAnsi="Times New Roman" w:cs="Times New Roman"/>
          <w:i/>
          <w:sz w:val="24"/>
        </w:rPr>
        <w:t>Common schools/uncommon identities: National unity and cultural difference</w:t>
      </w:r>
      <w:r>
        <w:rPr>
          <w:rFonts w:ascii="Times New Roman" w:hAnsi="Times New Roman" w:cs="Times New Roman"/>
          <w:sz w:val="24"/>
        </w:rPr>
        <w:t>.  New Haven, CT: Yale University Press.</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Fitzgerald, F.S. (1925).  </w:t>
      </w:r>
      <w:r>
        <w:rPr>
          <w:rFonts w:ascii="Times New Roman" w:hAnsi="Times New Roman" w:cs="Times New Roman"/>
          <w:i/>
          <w:sz w:val="24"/>
        </w:rPr>
        <w:t xml:space="preserve">The great Gatsby </w:t>
      </w:r>
      <w:r>
        <w:rPr>
          <w:rFonts w:ascii="Times New Roman" w:hAnsi="Times New Roman" w:cs="Times New Roman"/>
          <w:sz w:val="24"/>
        </w:rPr>
        <w:t>(Kindle version).  Retrieved from Amazon.com.</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Frank, R.H., &amp; Bernanke, B.S. (2007).  </w:t>
      </w:r>
      <w:r>
        <w:rPr>
          <w:rFonts w:ascii="Times New Roman" w:hAnsi="Times New Roman" w:cs="Times New Roman"/>
          <w:i/>
          <w:sz w:val="24"/>
        </w:rPr>
        <w:t>Principles of macroeconomics</w:t>
      </w:r>
      <w:r>
        <w:rPr>
          <w:rFonts w:ascii="Times New Roman" w:hAnsi="Times New Roman" w:cs="Times New Roman"/>
          <w:sz w:val="24"/>
        </w:rPr>
        <w:t>.  Boston, MA: McGraw-Hill.</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Pr="002860DD"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Galloway, D., &amp; Edwards, A. (2013).  </w:t>
      </w:r>
      <w:r>
        <w:rPr>
          <w:rFonts w:ascii="Times New Roman" w:hAnsi="Times New Roman" w:cs="Times New Roman"/>
          <w:i/>
          <w:sz w:val="24"/>
        </w:rPr>
        <w:t>Secondary school teaching and educational psychology</w:t>
      </w:r>
      <w:r>
        <w:rPr>
          <w:rFonts w:ascii="Times New Roman" w:hAnsi="Times New Roman" w:cs="Times New Roman"/>
          <w:sz w:val="24"/>
        </w:rPr>
        <w:t>.  New York, NY: Routledge.</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Golding, W. (1959).  </w:t>
      </w:r>
      <w:r>
        <w:rPr>
          <w:rFonts w:ascii="Times New Roman" w:hAnsi="Times New Roman" w:cs="Times New Roman"/>
          <w:i/>
          <w:sz w:val="24"/>
        </w:rPr>
        <w:t>Lord of the flies</w:t>
      </w:r>
      <w:r>
        <w:rPr>
          <w:rFonts w:ascii="Times New Roman" w:hAnsi="Times New Roman" w:cs="Times New Roman"/>
          <w:sz w:val="24"/>
        </w:rPr>
        <w:t xml:space="preserve">.  New York, NY: Penguin. </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Gordon, R.M. (1984).  Freedom of expression and values inculcation in the public school curriculum.  </w:t>
      </w:r>
      <w:r>
        <w:rPr>
          <w:rFonts w:ascii="Times New Roman" w:hAnsi="Times New Roman" w:cs="Times New Roman"/>
          <w:i/>
          <w:sz w:val="24"/>
        </w:rPr>
        <w:t>Journal of Law &amp; Education, 13(4)</w:t>
      </w:r>
      <w:r>
        <w:rPr>
          <w:rFonts w:ascii="Times New Roman" w:hAnsi="Times New Roman" w:cs="Times New Roman"/>
          <w:sz w:val="24"/>
        </w:rPr>
        <w:t>, 523-580.</w:t>
      </w:r>
    </w:p>
    <w:p w:rsidR="00191A0F" w:rsidRDefault="00191A0F" w:rsidP="001B3065">
      <w:pPr>
        <w:spacing w:after="0" w:line="240" w:lineRule="auto"/>
        <w:contextualSpacing/>
        <w:jc w:val="both"/>
        <w:rPr>
          <w:rFonts w:ascii="Times New Roman" w:hAnsi="Times New Roman" w:cs="Times New Roman"/>
          <w:sz w:val="24"/>
        </w:rPr>
      </w:pPr>
    </w:p>
    <w:p w:rsidR="00191A0F" w:rsidRPr="00191A0F" w:rsidRDefault="00191A0F"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Graves, R. (1935).  </w:t>
      </w:r>
      <w:r>
        <w:rPr>
          <w:rFonts w:ascii="Times New Roman" w:hAnsi="Times New Roman" w:cs="Times New Roman"/>
          <w:i/>
          <w:sz w:val="24"/>
        </w:rPr>
        <w:t xml:space="preserve">I, Claudius </w:t>
      </w:r>
      <w:r>
        <w:rPr>
          <w:rFonts w:ascii="Times New Roman" w:hAnsi="Times New Roman" w:cs="Times New Roman"/>
          <w:sz w:val="24"/>
        </w:rPr>
        <w:t>(Kindle version).  Retrieved from Amazon.com.</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Gregory, J.N. (1989).  </w:t>
      </w:r>
      <w:r w:rsidRPr="00FD2825">
        <w:rPr>
          <w:rFonts w:ascii="Times New Roman" w:hAnsi="Times New Roman" w:cs="Times New Roman"/>
          <w:i/>
          <w:sz w:val="24"/>
        </w:rPr>
        <w:t xml:space="preserve">American exodus: </w:t>
      </w:r>
      <w:r>
        <w:rPr>
          <w:rFonts w:ascii="Times New Roman" w:hAnsi="Times New Roman" w:cs="Times New Roman"/>
          <w:i/>
          <w:sz w:val="24"/>
        </w:rPr>
        <w:t>T</w:t>
      </w:r>
      <w:r w:rsidRPr="00FD2825">
        <w:rPr>
          <w:rFonts w:ascii="Times New Roman" w:hAnsi="Times New Roman" w:cs="Times New Roman"/>
          <w:i/>
          <w:sz w:val="24"/>
        </w:rPr>
        <w:t xml:space="preserve">he dust bowl migration and </w:t>
      </w:r>
      <w:r>
        <w:rPr>
          <w:rFonts w:ascii="Times New Roman" w:hAnsi="Times New Roman" w:cs="Times New Roman"/>
          <w:i/>
          <w:sz w:val="24"/>
        </w:rPr>
        <w:t>O</w:t>
      </w:r>
      <w:r w:rsidRPr="00FD2825">
        <w:rPr>
          <w:rFonts w:ascii="Times New Roman" w:hAnsi="Times New Roman" w:cs="Times New Roman"/>
          <w:i/>
          <w:sz w:val="24"/>
        </w:rPr>
        <w:t xml:space="preserve">kie culture in </w:t>
      </w:r>
      <w:r>
        <w:rPr>
          <w:rFonts w:ascii="Times New Roman" w:hAnsi="Times New Roman" w:cs="Times New Roman"/>
          <w:i/>
          <w:sz w:val="24"/>
        </w:rPr>
        <w:t>C</w:t>
      </w:r>
      <w:r w:rsidRPr="00FD2825">
        <w:rPr>
          <w:rFonts w:ascii="Times New Roman" w:hAnsi="Times New Roman" w:cs="Times New Roman"/>
          <w:i/>
          <w:sz w:val="24"/>
        </w:rPr>
        <w:t>alifornia</w:t>
      </w:r>
      <w:r>
        <w:rPr>
          <w:rFonts w:ascii="Times New Roman" w:hAnsi="Times New Roman" w:cs="Times New Roman"/>
          <w:sz w:val="24"/>
        </w:rPr>
        <w:t>.  New York, NY: Oxford University Press.</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Grossman, H. (2004).  </w:t>
      </w:r>
      <w:r w:rsidRPr="006016EB">
        <w:rPr>
          <w:rFonts w:ascii="Times New Roman" w:hAnsi="Times New Roman" w:cs="Times New Roman"/>
          <w:i/>
          <w:sz w:val="24"/>
        </w:rPr>
        <w:t>Classroom behavior management for diverse and inclusive schools</w:t>
      </w:r>
      <w:r>
        <w:rPr>
          <w:rFonts w:ascii="Times New Roman" w:hAnsi="Times New Roman" w:cs="Times New Roman"/>
          <w:sz w:val="24"/>
        </w:rPr>
        <w:t>.  Lanham, MD: Rowman &amp; Littlefield Publishing Group.</w:t>
      </w:r>
    </w:p>
    <w:p w:rsidR="00176F38" w:rsidRDefault="00176F38" w:rsidP="001B3065">
      <w:pPr>
        <w:spacing w:after="0" w:line="240" w:lineRule="auto"/>
        <w:contextualSpacing/>
        <w:jc w:val="both"/>
        <w:rPr>
          <w:rFonts w:ascii="Times New Roman" w:hAnsi="Times New Roman" w:cs="Times New Roman"/>
          <w:sz w:val="24"/>
        </w:rPr>
      </w:pPr>
    </w:p>
    <w:p w:rsidR="00176F38" w:rsidRPr="0049421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Grusky, D.B., Western, B., &amp; Wimer, C. (2011).  The consequences of the Great Recession.  In D.B. Grusky, B. Western, &amp; C. Wimer (Eds.), </w:t>
      </w:r>
      <w:r>
        <w:rPr>
          <w:rFonts w:ascii="Times New Roman" w:hAnsi="Times New Roman" w:cs="Times New Roman"/>
          <w:i/>
          <w:sz w:val="24"/>
        </w:rPr>
        <w:t>The Great Recession</w:t>
      </w:r>
      <w:r>
        <w:rPr>
          <w:rFonts w:ascii="Times New Roman" w:hAnsi="Times New Roman" w:cs="Times New Roman"/>
          <w:sz w:val="24"/>
        </w:rPr>
        <w:t xml:space="preserve"> (pp. 3-20).  New York, NY: SAGE Publications.</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Default="00176F38" w:rsidP="00176F38">
      <w:pPr>
        <w:spacing w:after="0" w:line="240" w:lineRule="auto"/>
        <w:ind w:left="720" w:hanging="720"/>
        <w:contextualSpacing/>
        <w:jc w:val="both"/>
        <w:rPr>
          <w:rFonts w:ascii="Times New Roman" w:hAnsi="Times New Roman" w:cs="Times New Roman"/>
          <w:sz w:val="24"/>
        </w:rPr>
      </w:pPr>
      <w:r>
        <w:rPr>
          <w:rFonts w:ascii="Times New Roman" w:hAnsi="Times New Roman" w:cs="Times New Roman"/>
          <w:sz w:val="24"/>
        </w:rPr>
        <w:t xml:space="preserve">Hansberry, L. (2011).  </w:t>
      </w:r>
      <w:r>
        <w:rPr>
          <w:rFonts w:ascii="Times New Roman" w:hAnsi="Times New Roman" w:cs="Times New Roman"/>
          <w:i/>
          <w:sz w:val="24"/>
        </w:rPr>
        <w:t>A raisin in the sun</w:t>
      </w:r>
      <w:r>
        <w:rPr>
          <w:rFonts w:ascii="Times New Roman" w:hAnsi="Times New Roman" w:cs="Times New Roman"/>
          <w:sz w:val="24"/>
        </w:rPr>
        <w:t>.  New York, NY: Vintage.</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Default="00176F38" w:rsidP="00176F38">
      <w:pPr>
        <w:spacing w:after="0" w:line="240" w:lineRule="auto"/>
        <w:ind w:left="720" w:hanging="720"/>
        <w:contextualSpacing/>
        <w:jc w:val="both"/>
        <w:rPr>
          <w:rFonts w:ascii="Times New Roman" w:hAnsi="Times New Roman" w:cs="Times New Roman"/>
          <w:sz w:val="24"/>
        </w:rPr>
      </w:pPr>
      <w:r>
        <w:rPr>
          <w:rFonts w:ascii="Times New Roman" w:hAnsi="Times New Roman" w:cs="Times New Roman"/>
          <w:sz w:val="24"/>
        </w:rPr>
        <w:t xml:space="preserve">Hawthorne, N. (2012).  </w:t>
      </w:r>
      <w:r>
        <w:rPr>
          <w:rFonts w:ascii="Times New Roman" w:hAnsi="Times New Roman" w:cs="Times New Roman"/>
          <w:i/>
          <w:sz w:val="24"/>
        </w:rPr>
        <w:t xml:space="preserve">The scarlet letter </w:t>
      </w:r>
      <w:r>
        <w:rPr>
          <w:rFonts w:ascii="Times New Roman" w:hAnsi="Times New Roman" w:cs="Times New Roman"/>
          <w:sz w:val="24"/>
        </w:rPr>
        <w:t>(Kindle version).  Retrieved from Amazon.com.</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Hickman, C. (1997).  </w:t>
      </w:r>
      <w:r w:rsidRPr="00595121">
        <w:rPr>
          <w:rFonts w:ascii="Times New Roman" w:hAnsi="Times New Roman" w:cs="Times New Roman"/>
          <w:sz w:val="24"/>
        </w:rPr>
        <w:t xml:space="preserve">The devil and the one drop rule: </w:t>
      </w:r>
      <w:r>
        <w:rPr>
          <w:rFonts w:ascii="Times New Roman" w:hAnsi="Times New Roman" w:cs="Times New Roman"/>
          <w:sz w:val="24"/>
        </w:rPr>
        <w:t>R</w:t>
      </w:r>
      <w:r w:rsidRPr="00595121">
        <w:rPr>
          <w:rFonts w:ascii="Times New Roman" w:hAnsi="Times New Roman" w:cs="Times New Roman"/>
          <w:sz w:val="24"/>
        </w:rPr>
        <w:t xml:space="preserve">acial categories, </w:t>
      </w:r>
      <w:r>
        <w:rPr>
          <w:rFonts w:ascii="Times New Roman" w:hAnsi="Times New Roman" w:cs="Times New Roman"/>
          <w:sz w:val="24"/>
        </w:rPr>
        <w:t>A</w:t>
      </w:r>
      <w:r w:rsidRPr="00595121">
        <w:rPr>
          <w:rFonts w:ascii="Times New Roman" w:hAnsi="Times New Roman" w:cs="Times New Roman"/>
          <w:sz w:val="24"/>
        </w:rPr>
        <w:t xml:space="preserve">frican </w:t>
      </w:r>
      <w:r>
        <w:rPr>
          <w:rFonts w:ascii="Times New Roman" w:hAnsi="Times New Roman" w:cs="Times New Roman"/>
          <w:sz w:val="24"/>
        </w:rPr>
        <w:t>A</w:t>
      </w:r>
      <w:r w:rsidRPr="00595121">
        <w:rPr>
          <w:rFonts w:ascii="Times New Roman" w:hAnsi="Times New Roman" w:cs="Times New Roman"/>
          <w:sz w:val="24"/>
        </w:rPr>
        <w:t xml:space="preserve">mericans, and the </w:t>
      </w:r>
      <w:r>
        <w:rPr>
          <w:rFonts w:ascii="Times New Roman" w:hAnsi="Times New Roman" w:cs="Times New Roman"/>
          <w:sz w:val="24"/>
        </w:rPr>
        <w:t>U.S</w:t>
      </w:r>
      <w:r w:rsidRPr="00595121">
        <w:rPr>
          <w:rFonts w:ascii="Times New Roman" w:hAnsi="Times New Roman" w:cs="Times New Roman"/>
          <w:sz w:val="24"/>
        </w:rPr>
        <w:t>. census</w:t>
      </w:r>
      <w:r>
        <w:rPr>
          <w:rFonts w:ascii="Times New Roman" w:hAnsi="Times New Roman" w:cs="Times New Roman"/>
          <w:sz w:val="24"/>
        </w:rPr>
        <w:t xml:space="preserve">.  </w:t>
      </w:r>
      <w:r>
        <w:rPr>
          <w:rFonts w:ascii="Times New Roman" w:hAnsi="Times New Roman" w:cs="Times New Roman"/>
          <w:i/>
          <w:sz w:val="24"/>
        </w:rPr>
        <w:t>Michigan Law Review, 95(5)</w:t>
      </w:r>
      <w:r>
        <w:rPr>
          <w:rFonts w:ascii="Times New Roman" w:hAnsi="Times New Roman" w:cs="Times New Roman"/>
          <w:sz w:val="24"/>
        </w:rPr>
        <w:t>, 1161-1265.</w:t>
      </w:r>
    </w:p>
    <w:p w:rsidR="00C165AC" w:rsidRDefault="00C165AC" w:rsidP="001B3065">
      <w:pPr>
        <w:spacing w:after="0" w:line="240" w:lineRule="auto"/>
        <w:contextualSpacing/>
        <w:jc w:val="both"/>
        <w:rPr>
          <w:rFonts w:ascii="Times New Roman" w:hAnsi="Times New Roman" w:cs="Times New Roman"/>
          <w:sz w:val="24"/>
        </w:rPr>
      </w:pPr>
    </w:p>
    <w:p w:rsidR="00C165AC" w:rsidRPr="00595121" w:rsidRDefault="00C165AC"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lastRenderedPageBreak/>
        <w:t xml:space="preserve">Jehlen, M. (1986).  The novel and the middle class in America.  In S. Bercovitch &amp; M. Jehlen (Eds.).  </w:t>
      </w:r>
      <w:r>
        <w:rPr>
          <w:rFonts w:ascii="Times New Roman" w:hAnsi="Times New Roman" w:cs="Times New Roman"/>
          <w:i/>
          <w:sz w:val="24"/>
        </w:rPr>
        <w:t xml:space="preserve">Ideology and classic American literature </w:t>
      </w:r>
      <w:r>
        <w:rPr>
          <w:rFonts w:ascii="Times New Roman" w:hAnsi="Times New Roman" w:cs="Times New Roman"/>
          <w:sz w:val="24"/>
        </w:rPr>
        <w:t>(pp. 125-144).  Cambridge, MA: Cambridge University Press.</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Kellner, D. (2004).  </w:t>
      </w:r>
      <w:r w:rsidRPr="004D07F3">
        <w:rPr>
          <w:rFonts w:ascii="Times New Roman" w:hAnsi="Times New Roman" w:cs="Times New Roman"/>
          <w:sz w:val="24"/>
        </w:rPr>
        <w:t xml:space="preserve">Media propaganda and spectacle in the war on Iraq: A </w:t>
      </w:r>
      <w:r>
        <w:rPr>
          <w:rFonts w:ascii="Times New Roman" w:hAnsi="Times New Roman" w:cs="Times New Roman"/>
          <w:sz w:val="24"/>
        </w:rPr>
        <w:t>c</w:t>
      </w:r>
      <w:r w:rsidRPr="004D07F3">
        <w:rPr>
          <w:rFonts w:ascii="Times New Roman" w:hAnsi="Times New Roman" w:cs="Times New Roman"/>
          <w:sz w:val="24"/>
        </w:rPr>
        <w:t xml:space="preserve">ritique of U.S. </w:t>
      </w:r>
      <w:r>
        <w:rPr>
          <w:rFonts w:ascii="Times New Roman" w:hAnsi="Times New Roman" w:cs="Times New Roman"/>
          <w:sz w:val="24"/>
        </w:rPr>
        <w:t>b</w:t>
      </w:r>
      <w:r w:rsidRPr="004D07F3">
        <w:rPr>
          <w:rFonts w:ascii="Times New Roman" w:hAnsi="Times New Roman" w:cs="Times New Roman"/>
          <w:sz w:val="24"/>
        </w:rPr>
        <w:t xml:space="preserve">roadcasting </w:t>
      </w:r>
      <w:r>
        <w:rPr>
          <w:rFonts w:ascii="Times New Roman" w:hAnsi="Times New Roman" w:cs="Times New Roman"/>
          <w:sz w:val="24"/>
        </w:rPr>
        <w:t>n</w:t>
      </w:r>
      <w:r w:rsidRPr="004D07F3">
        <w:rPr>
          <w:rFonts w:ascii="Times New Roman" w:hAnsi="Times New Roman" w:cs="Times New Roman"/>
          <w:sz w:val="24"/>
        </w:rPr>
        <w:t>etworks</w:t>
      </w:r>
      <w:r>
        <w:rPr>
          <w:rFonts w:ascii="Times New Roman" w:hAnsi="Times New Roman" w:cs="Times New Roman"/>
          <w:sz w:val="24"/>
        </w:rPr>
        <w:t xml:space="preserve">.  </w:t>
      </w:r>
      <w:r>
        <w:rPr>
          <w:rFonts w:ascii="Times New Roman" w:hAnsi="Times New Roman" w:cs="Times New Roman"/>
          <w:i/>
          <w:sz w:val="24"/>
        </w:rPr>
        <w:t>Cultural Studies/Critical Methodologies</w:t>
      </w:r>
      <w:r>
        <w:rPr>
          <w:rFonts w:ascii="Times New Roman" w:hAnsi="Times New Roman" w:cs="Times New Roman"/>
          <w:sz w:val="24"/>
        </w:rPr>
        <w:t xml:space="preserve">, </w:t>
      </w:r>
      <w:r>
        <w:rPr>
          <w:rFonts w:ascii="Times New Roman" w:hAnsi="Times New Roman" w:cs="Times New Roman"/>
          <w:i/>
          <w:sz w:val="24"/>
        </w:rPr>
        <w:t>4(3)</w:t>
      </w:r>
      <w:r>
        <w:rPr>
          <w:rFonts w:ascii="Times New Roman" w:hAnsi="Times New Roman" w:cs="Times New Roman"/>
          <w:sz w:val="24"/>
        </w:rPr>
        <w:t>, 329-338.</w:t>
      </w:r>
    </w:p>
    <w:p w:rsidR="00176F38" w:rsidRDefault="00176F38" w:rsidP="001B3065">
      <w:pPr>
        <w:spacing w:after="0" w:line="240" w:lineRule="auto"/>
        <w:contextualSpacing/>
        <w:jc w:val="both"/>
        <w:rPr>
          <w:rFonts w:ascii="Times New Roman" w:hAnsi="Times New Roman" w:cs="Times New Roman"/>
          <w:sz w:val="24"/>
        </w:rPr>
      </w:pPr>
    </w:p>
    <w:p w:rsidR="00176F38" w:rsidRPr="007F0852"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Knowles, J. (2014).  </w:t>
      </w:r>
      <w:r>
        <w:rPr>
          <w:rFonts w:ascii="Times New Roman" w:hAnsi="Times New Roman" w:cs="Times New Roman"/>
          <w:i/>
          <w:sz w:val="24"/>
        </w:rPr>
        <w:t xml:space="preserve">A separate peace </w:t>
      </w:r>
      <w:r>
        <w:rPr>
          <w:rFonts w:ascii="Times New Roman" w:hAnsi="Times New Roman" w:cs="Times New Roman"/>
          <w:sz w:val="24"/>
        </w:rPr>
        <w:t xml:space="preserve">(Kindle edition).  Retrieved from Amazon.com  </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Kolln, M., &amp; Hancock, C. (2005).  The story of English grammar in United States schools.  </w:t>
      </w:r>
      <w:r>
        <w:rPr>
          <w:rFonts w:ascii="Times New Roman" w:hAnsi="Times New Roman" w:cs="Times New Roman"/>
          <w:i/>
          <w:sz w:val="24"/>
        </w:rPr>
        <w:t>English Teaching: Practice and Critique, 4(3)</w:t>
      </w:r>
      <w:r>
        <w:rPr>
          <w:rFonts w:ascii="Times New Roman" w:hAnsi="Times New Roman" w:cs="Times New Roman"/>
          <w:sz w:val="24"/>
        </w:rPr>
        <w:t>, 11-31.</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Kumara, K. (2005).  </w:t>
      </w:r>
      <w:r>
        <w:rPr>
          <w:rFonts w:ascii="Times New Roman" w:hAnsi="Times New Roman" w:cs="Times New Roman"/>
          <w:i/>
          <w:sz w:val="24"/>
        </w:rPr>
        <w:t>Political agendas of education: A study of colonialist and nationalist ideas</w:t>
      </w:r>
      <w:r>
        <w:rPr>
          <w:rFonts w:ascii="Times New Roman" w:hAnsi="Times New Roman" w:cs="Times New Roman"/>
          <w:sz w:val="24"/>
        </w:rPr>
        <w:t>.  New Delhi, India: SAGE Publications.</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Lee, H. (2014).  </w:t>
      </w:r>
      <w:r>
        <w:rPr>
          <w:rFonts w:ascii="Times New Roman" w:hAnsi="Times New Roman" w:cs="Times New Roman"/>
          <w:i/>
          <w:sz w:val="24"/>
        </w:rPr>
        <w:t xml:space="preserve">To kill a mockingbird </w:t>
      </w:r>
      <w:r>
        <w:rPr>
          <w:rFonts w:ascii="Times New Roman" w:hAnsi="Times New Roman" w:cs="Times New Roman"/>
          <w:sz w:val="24"/>
        </w:rPr>
        <w:t>(Kindle version).  Retrieved from Amazon.com.</w:t>
      </w:r>
    </w:p>
    <w:p w:rsidR="00176F38" w:rsidRDefault="00176F38" w:rsidP="001B3065">
      <w:pPr>
        <w:spacing w:after="0" w:line="240" w:lineRule="auto"/>
        <w:contextualSpacing/>
        <w:jc w:val="both"/>
        <w:rPr>
          <w:rFonts w:ascii="Times New Roman" w:hAnsi="Times New Roman" w:cs="Times New Roman"/>
          <w:sz w:val="24"/>
        </w:rPr>
      </w:pPr>
    </w:p>
    <w:p w:rsidR="00176F38" w:rsidRPr="00723393"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Leming, J.S. (2000).  Tell me a story: An evaluation of a literature-based character education programme.  </w:t>
      </w:r>
      <w:r>
        <w:rPr>
          <w:rFonts w:ascii="Times New Roman" w:hAnsi="Times New Roman" w:cs="Times New Roman"/>
          <w:i/>
          <w:sz w:val="24"/>
        </w:rPr>
        <w:t xml:space="preserve">Journal of Moral Education, 29(4), </w:t>
      </w:r>
      <w:r>
        <w:rPr>
          <w:rFonts w:ascii="Times New Roman" w:hAnsi="Times New Roman" w:cs="Times New Roman"/>
          <w:sz w:val="24"/>
        </w:rPr>
        <w:t>413-427.</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Martin, J.R. (1992).  </w:t>
      </w:r>
      <w:r>
        <w:rPr>
          <w:rFonts w:ascii="Times New Roman" w:hAnsi="Times New Roman" w:cs="Times New Roman"/>
          <w:i/>
          <w:sz w:val="24"/>
        </w:rPr>
        <w:t xml:space="preserve">The schoolhome </w:t>
      </w:r>
      <w:r>
        <w:rPr>
          <w:rFonts w:ascii="Times New Roman" w:hAnsi="Times New Roman" w:cs="Times New Roman"/>
          <w:sz w:val="24"/>
        </w:rPr>
        <w:t>(Kindle version).  Retrieved from Amazon.com.</w:t>
      </w:r>
    </w:p>
    <w:p w:rsidR="00176F38" w:rsidRDefault="00176F38" w:rsidP="001B3065">
      <w:pPr>
        <w:spacing w:after="0" w:line="240" w:lineRule="auto"/>
        <w:contextualSpacing/>
        <w:jc w:val="both"/>
        <w:rPr>
          <w:rFonts w:ascii="Times New Roman" w:hAnsi="Times New Roman" w:cs="Times New Roman"/>
          <w:sz w:val="24"/>
        </w:rPr>
      </w:pPr>
    </w:p>
    <w:p w:rsidR="00176F38" w:rsidRPr="00A52FD2"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Meier, D. (2002).  </w:t>
      </w:r>
      <w:r w:rsidRPr="00A5589E">
        <w:rPr>
          <w:rFonts w:ascii="Times New Roman" w:hAnsi="Times New Roman" w:cs="Times New Roman"/>
          <w:i/>
          <w:sz w:val="24"/>
        </w:rPr>
        <w:t>In schools we trust: Creating communities of learning in an era of testing and standardization</w:t>
      </w:r>
      <w:r>
        <w:rPr>
          <w:rFonts w:ascii="Times New Roman" w:hAnsi="Times New Roman" w:cs="Times New Roman"/>
          <w:sz w:val="24"/>
        </w:rPr>
        <w:t>.  Boston, MA: Beacon.</w:t>
      </w:r>
    </w:p>
    <w:p w:rsidR="00545BD0" w:rsidRDefault="00545BD0"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Miller, A. (1976).  </w:t>
      </w:r>
      <w:r>
        <w:rPr>
          <w:rFonts w:ascii="Times New Roman" w:hAnsi="Times New Roman" w:cs="Times New Roman"/>
          <w:i/>
          <w:sz w:val="24"/>
        </w:rPr>
        <w:t>The crucible</w:t>
      </w:r>
      <w:r>
        <w:rPr>
          <w:rFonts w:ascii="Times New Roman" w:hAnsi="Times New Roman" w:cs="Times New Roman"/>
          <w:sz w:val="24"/>
        </w:rPr>
        <w:t>.  New York, NY: Penguin.</w:t>
      </w:r>
    </w:p>
    <w:p w:rsidR="00191A0F" w:rsidRDefault="00191A0F" w:rsidP="001B3065">
      <w:pPr>
        <w:spacing w:after="0" w:line="240" w:lineRule="auto"/>
        <w:contextualSpacing/>
        <w:jc w:val="both"/>
        <w:rPr>
          <w:rFonts w:ascii="Times New Roman" w:hAnsi="Times New Roman" w:cs="Times New Roman"/>
          <w:sz w:val="24"/>
        </w:rPr>
      </w:pPr>
    </w:p>
    <w:p w:rsidR="00191A0F" w:rsidRPr="00191A0F" w:rsidRDefault="00191A0F"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Milton, J. (2005).  </w:t>
      </w:r>
      <w:r>
        <w:rPr>
          <w:rFonts w:ascii="Times New Roman" w:hAnsi="Times New Roman" w:cs="Times New Roman"/>
          <w:i/>
          <w:sz w:val="24"/>
        </w:rPr>
        <w:t>Paradise lost</w:t>
      </w:r>
      <w:r>
        <w:rPr>
          <w:rFonts w:ascii="Times New Roman" w:hAnsi="Times New Roman" w:cs="Times New Roman"/>
          <w:sz w:val="24"/>
        </w:rPr>
        <w:t xml:space="preserve"> (Kindle version).  Retrieved from Amazon.com.</w:t>
      </w:r>
    </w:p>
    <w:p w:rsidR="00176F38" w:rsidRDefault="00176F38" w:rsidP="001B3065">
      <w:pPr>
        <w:spacing w:after="0" w:line="240" w:lineRule="auto"/>
        <w:contextualSpacing/>
        <w:jc w:val="both"/>
        <w:rPr>
          <w:rFonts w:ascii="Times New Roman" w:hAnsi="Times New Roman" w:cs="Times New Roman"/>
          <w:sz w:val="24"/>
        </w:rPr>
      </w:pPr>
    </w:p>
    <w:p w:rsidR="00176F38" w:rsidRPr="008422EE"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Mishel, L., Gould, E., &amp; Bivens, J. (2015, January 6).  </w:t>
      </w:r>
      <w:r>
        <w:rPr>
          <w:rFonts w:ascii="Times New Roman" w:hAnsi="Times New Roman" w:cs="Times New Roman"/>
          <w:i/>
          <w:sz w:val="24"/>
        </w:rPr>
        <w:t>Wage stagnation in nine charts</w:t>
      </w:r>
      <w:r>
        <w:rPr>
          <w:rFonts w:ascii="Times New Roman" w:hAnsi="Times New Roman" w:cs="Times New Roman"/>
          <w:sz w:val="24"/>
        </w:rPr>
        <w:t xml:space="preserve">.  Economic Policy Institute.  Retrieved from      </w:t>
      </w:r>
      <w:r w:rsidRPr="008422EE">
        <w:rPr>
          <w:rFonts w:ascii="Times New Roman" w:hAnsi="Times New Roman" w:cs="Times New Roman"/>
          <w:sz w:val="24"/>
        </w:rPr>
        <w:t>http://www.epi.org/publication/charting-wage-stagnation/</w:t>
      </w:r>
    </w:p>
    <w:p w:rsidR="00176F38" w:rsidRDefault="00176F38" w:rsidP="00176F38">
      <w:pPr>
        <w:spacing w:after="0" w:line="240" w:lineRule="auto"/>
        <w:ind w:left="720" w:hanging="720"/>
        <w:contextualSpacing/>
        <w:jc w:val="both"/>
        <w:rPr>
          <w:rFonts w:ascii="Times New Roman" w:hAnsi="Times New Roman" w:cs="Times New Roman"/>
          <w:sz w:val="24"/>
        </w:rPr>
      </w:pPr>
    </w:p>
    <w:p w:rsidR="00191A0F" w:rsidRDefault="00191A0F" w:rsidP="00176F38">
      <w:pPr>
        <w:spacing w:after="0" w:line="240" w:lineRule="auto"/>
        <w:ind w:left="720" w:hanging="720"/>
        <w:contextualSpacing/>
        <w:jc w:val="both"/>
        <w:rPr>
          <w:rFonts w:ascii="Times New Roman" w:hAnsi="Times New Roman" w:cs="Times New Roman"/>
          <w:sz w:val="24"/>
        </w:rPr>
      </w:pPr>
      <w:r>
        <w:rPr>
          <w:rFonts w:ascii="Times New Roman" w:hAnsi="Times New Roman" w:cs="Times New Roman"/>
          <w:sz w:val="24"/>
        </w:rPr>
        <w:t xml:space="preserve">Morrison, T. (1971).  </w:t>
      </w:r>
      <w:r>
        <w:rPr>
          <w:rFonts w:ascii="Times New Roman" w:hAnsi="Times New Roman" w:cs="Times New Roman"/>
          <w:i/>
          <w:sz w:val="24"/>
        </w:rPr>
        <w:t>The bluest eye</w:t>
      </w:r>
      <w:r>
        <w:rPr>
          <w:rFonts w:ascii="Times New Roman" w:hAnsi="Times New Roman" w:cs="Times New Roman"/>
          <w:sz w:val="24"/>
        </w:rPr>
        <w:t xml:space="preserve"> (Kindle version).  Retrieved from Amazon.com.</w:t>
      </w:r>
    </w:p>
    <w:p w:rsidR="00191A0F" w:rsidRPr="00191A0F" w:rsidRDefault="00191A0F" w:rsidP="00176F38">
      <w:pPr>
        <w:spacing w:after="0" w:line="240" w:lineRule="auto"/>
        <w:ind w:left="720" w:hanging="720"/>
        <w:contextualSpacing/>
        <w:jc w:val="both"/>
        <w:rPr>
          <w:rFonts w:ascii="Times New Roman" w:hAnsi="Times New Roman" w:cs="Times New Roman"/>
          <w:sz w:val="24"/>
        </w:rPr>
      </w:pPr>
    </w:p>
    <w:p w:rsidR="00176F38" w:rsidRPr="007F0852"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Orwell, G. (2016).  </w:t>
      </w:r>
      <w:r>
        <w:rPr>
          <w:rFonts w:ascii="Times New Roman" w:hAnsi="Times New Roman" w:cs="Times New Roman"/>
          <w:i/>
          <w:sz w:val="24"/>
        </w:rPr>
        <w:t xml:space="preserve">Animal farm: a fairy story </w:t>
      </w:r>
      <w:r>
        <w:rPr>
          <w:rFonts w:ascii="Times New Roman" w:hAnsi="Times New Roman" w:cs="Times New Roman"/>
          <w:sz w:val="24"/>
        </w:rPr>
        <w:t>(Kindle version).  Retrieved from Amazon.com.</w:t>
      </w:r>
    </w:p>
    <w:p w:rsidR="00176F38" w:rsidRDefault="00176F38" w:rsidP="001B3065">
      <w:pPr>
        <w:spacing w:after="0" w:line="240" w:lineRule="auto"/>
        <w:contextualSpacing/>
        <w:jc w:val="both"/>
        <w:rPr>
          <w:rFonts w:ascii="Times New Roman" w:hAnsi="Times New Roman" w:cs="Times New Roman"/>
          <w:sz w:val="24"/>
        </w:rPr>
      </w:pPr>
    </w:p>
    <w:p w:rsidR="00176F38" w:rsidRPr="004E58FE"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Poveda, D. (2003).  Literature socialization in a kindergarten classroom.  </w:t>
      </w:r>
      <w:r>
        <w:rPr>
          <w:rFonts w:ascii="Times New Roman" w:hAnsi="Times New Roman" w:cs="Times New Roman"/>
          <w:i/>
          <w:sz w:val="24"/>
        </w:rPr>
        <w:t xml:space="preserve">Journal of Folklore Research, 40(3), </w:t>
      </w:r>
      <w:r>
        <w:rPr>
          <w:rFonts w:ascii="Times New Roman" w:hAnsi="Times New Roman" w:cs="Times New Roman"/>
          <w:sz w:val="24"/>
        </w:rPr>
        <w:t>233-272.</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Roderick, M., Nagaoka, J., &amp; Coca, V. (2006).  College readiness for all: The challenge for urban high schools.  </w:t>
      </w:r>
      <w:r w:rsidRPr="00717AFB">
        <w:rPr>
          <w:rFonts w:ascii="Times New Roman" w:hAnsi="Times New Roman" w:cs="Times New Roman"/>
          <w:i/>
          <w:sz w:val="24"/>
        </w:rPr>
        <w:t>T</w:t>
      </w:r>
      <w:r>
        <w:rPr>
          <w:rFonts w:ascii="Times New Roman" w:hAnsi="Times New Roman" w:cs="Times New Roman"/>
          <w:i/>
          <w:sz w:val="24"/>
        </w:rPr>
        <w:t>he Future o</w:t>
      </w:r>
      <w:r w:rsidRPr="00717AFB">
        <w:rPr>
          <w:rFonts w:ascii="Times New Roman" w:hAnsi="Times New Roman" w:cs="Times New Roman"/>
          <w:i/>
          <w:sz w:val="24"/>
        </w:rPr>
        <w:t>f Children, 19(1)</w:t>
      </w:r>
      <w:r w:rsidRPr="00717AFB">
        <w:rPr>
          <w:rFonts w:ascii="Times New Roman" w:hAnsi="Times New Roman" w:cs="Times New Roman"/>
          <w:sz w:val="24"/>
        </w:rPr>
        <w:t>, 185-210</w:t>
      </w:r>
      <w:r>
        <w:rPr>
          <w:rFonts w:ascii="Times New Roman" w:hAnsi="Times New Roman" w:cs="Times New Roman"/>
          <w:sz w:val="24"/>
        </w:rPr>
        <w:t>.</w:t>
      </w:r>
    </w:p>
    <w:p w:rsidR="00176F38" w:rsidRDefault="00176F38" w:rsidP="001B3065">
      <w:pPr>
        <w:spacing w:after="0" w:line="240" w:lineRule="auto"/>
        <w:contextualSpacing/>
        <w:jc w:val="both"/>
        <w:rPr>
          <w:rFonts w:ascii="Times New Roman" w:hAnsi="Times New Roman" w:cs="Times New Roman"/>
          <w:sz w:val="24"/>
        </w:rPr>
      </w:pPr>
    </w:p>
    <w:p w:rsidR="00176F38" w:rsidRPr="00AE2DB7"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Savran, D. (2009).  </w:t>
      </w:r>
      <w:r>
        <w:rPr>
          <w:rFonts w:ascii="Times New Roman" w:hAnsi="Times New Roman" w:cs="Times New Roman"/>
          <w:i/>
          <w:sz w:val="24"/>
        </w:rPr>
        <w:t>Highbrow/lowdown: T</w:t>
      </w:r>
      <w:r w:rsidRPr="00AE2DB7">
        <w:rPr>
          <w:rFonts w:ascii="Times New Roman" w:hAnsi="Times New Roman" w:cs="Times New Roman"/>
          <w:i/>
          <w:sz w:val="24"/>
        </w:rPr>
        <w:t>heater, Jazz, and the Making of the New Middle Class</w:t>
      </w:r>
      <w:r>
        <w:rPr>
          <w:rFonts w:ascii="Times New Roman" w:hAnsi="Times New Roman" w:cs="Times New Roman"/>
          <w:sz w:val="24"/>
        </w:rPr>
        <w:t>.  Ann Arbor, MI: University of Michigan Press.</w:t>
      </w:r>
    </w:p>
    <w:p w:rsidR="00176F38" w:rsidRDefault="00176F38" w:rsidP="001B3065">
      <w:pPr>
        <w:spacing w:after="0" w:line="240" w:lineRule="auto"/>
        <w:contextualSpacing/>
        <w:jc w:val="both"/>
        <w:rPr>
          <w:rFonts w:ascii="Times New Roman" w:hAnsi="Times New Roman" w:cs="Times New Roman"/>
          <w:sz w:val="24"/>
        </w:rPr>
      </w:pPr>
    </w:p>
    <w:p w:rsidR="00176F38" w:rsidRPr="00A73BD6"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Schiele, J.H. (2011).  </w:t>
      </w:r>
      <w:r w:rsidRPr="00A73BD6">
        <w:rPr>
          <w:rFonts w:ascii="Times New Roman" w:hAnsi="Times New Roman" w:cs="Times New Roman"/>
          <w:i/>
          <w:sz w:val="24"/>
        </w:rPr>
        <w:t>Social welfare policy: Regulation and resistance among people of color</w:t>
      </w:r>
      <w:r>
        <w:rPr>
          <w:rFonts w:ascii="Times New Roman" w:hAnsi="Times New Roman" w:cs="Times New Roman"/>
          <w:sz w:val="24"/>
        </w:rPr>
        <w:t>.  New York, NY: Sage Publications.</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sidRPr="00294F2C">
        <w:rPr>
          <w:rFonts w:ascii="Times New Roman" w:hAnsi="Times New Roman" w:cs="Times New Roman"/>
          <w:sz w:val="24"/>
        </w:rPr>
        <w:t xml:space="preserve">Schiro, M.S. (2007).  </w:t>
      </w:r>
      <w:r w:rsidRPr="00294F2C">
        <w:rPr>
          <w:rFonts w:ascii="Times New Roman" w:hAnsi="Times New Roman" w:cs="Times New Roman"/>
          <w:i/>
          <w:sz w:val="24"/>
        </w:rPr>
        <w:t>Curriculum theory: Conflicting visions and enduring concerns</w:t>
      </w:r>
      <w:r w:rsidRPr="00294F2C">
        <w:rPr>
          <w:rFonts w:ascii="Times New Roman" w:hAnsi="Times New Roman" w:cs="Times New Roman"/>
          <w:sz w:val="24"/>
        </w:rPr>
        <w:t>.  Los Angeles, CA: Sage Publications.</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Shakespeare, W. (2008).  </w:t>
      </w:r>
      <w:r>
        <w:rPr>
          <w:rFonts w:ascii="Times New Roman" w:hAnsi="Times New Roman" w:cs="Times New Roman"/>
          <w:i/>
          <w:sz w:val="24"/>
        </w:rPr>
        <w:t>Hamlet</w:t>
      </w:r>
      <w:r>
        <w:rPr>
          <w:rFonts w:ascii="Times New Roman" w:hAnsi="Times New Roman" w:cs="Times New Roman"/>
          <w:sz w:val="24"/>
        </w:rPr>
        <w:t xml:space="preserve">.  In S. Greenblatt (Ed.), </w:t>
      </w:r>
      <w:r>
        <w:rPr>
          <w:rFonts w:ascii="Times New Roman" w:hAnsi="Times New Roman" w:cs="Times New Roman"/>
          <w:i/>
          <w:sz w:val="24"/>
        </w:rPr>
        <w:t>The Norton Shakespeare</w:t>
      </w:r>
      <w:r>
        <w:rPr>
          <w:rFonts w:ascii="Times New Roman" w:hAnsi="Times New Roman" w:cs="Times New Roman"/>
          <w:sz w:val="24"/>
        </w:rPr>
        <w:t>.  London, UK: W.W. Norton &amp; Company.</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Shakespeare, W. (2008).  </w:t>
      </w:r>
      <w:r>
        <w:rPr>
          <w:rFonts w:ascii="Times New Roman" w:hAnsi="Times New Roman" w:cs="Times New Roman"/>
          <w:i/>
          <w:sz w:val="24"/>
        </w:rPr>
        <w:t>Julius Caesar</w:t>
      </w:r>
      <w:r>
        <w:rPr>
          <w:rFonts w:ascii="Times New Roman" w:hAnsi="Times New Roman" w:cs="Times New Roman"/>
          <w:sz w:val="24"/>
        </w:rPr>
        <w:t xml:space="preserve">.  In S. Greenblatt (Ed.), </w:t>
      </w:r>
      <w:r>
        <w:rPr>
          <w:rFonts w:ascii="Times New Roman" w:hAnsi="Times New Roman" w:cs="Times New Roman"/>
          <w:i/>
          <w:sz w:val="24"/>
        </w:rPr>
        <w:t>The Norton Shakespeare</w:t>
      </w:r>
      <w:r>
        <w:rPr>
          <w:rFonts w:ascii="Times New Roman" w:hAnsi="Times New Roman" w:cs="Times New Roman"/>
          <w:sz w:val="24"/>
        </w:rPr>
        <w:t>.  London, UK: W.W. Norton &amp; Company.</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Shakespeare, W. (2008).  </w:t>
      </w:r>
      <w:r>
        <w:rPr>
          <w:rFonts w:ascii="Times New Roman" w:hAnsi="Times New Roman" w:cs="Times New Roman"/>
          <w:i/>
          <w:sz w:val="24"/>
        </w:rPr>
        <w:t>Macbeth</w:t>
      </w:r>
      <w:r>
        <w:rPr>
          <w:rFonts w:ascii="Times New Roman" w:hAnsi="Times New Roman" w:cs="Times New Roman"/>
          <w:sz w:val="24"/>
        </w:rPr>
        <w:t xml:space="preserve">.  In S. Greenblatt (Ed.), </w:t>
      </w:r>
      <w:r>
        <w:rPr>
          <w:rFonts w:ascii="Times New Roman" w:hAnsi="Times New Roman" w:cs="Times New Roman"/>
          <w:i/>
          <w:sz w:val="24"/>
        </w:rPr>
        <w:t>The Norton Shakespeare</w:t>
      </w:r>
      <w:r>
        <w:rPr>
          <w:rFonts w:ascii="Times New Roman" w:hAnsi="Times New Roman" w:cs="Times New Roman"/>
          <w:sz w:val="24"/>
        </w:rPr>
        <w:t>.  London, UK: W.W. Norton &amp; Company.</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Shakespeare, W. (2008).  </w:t>
      </w:r>
      <w:r>
        <w:rPr>
          <w:rFonts w:ascii="Times New Roman" w:hAnsi="Times New Roman" w:cs="Times New Roman"/>
          <w:i/>
          <w:sz w:val="24"/>
        </w:rPr>
        <w:t>Romeo and Juliet</w:t>
      </w:r>
      <w:r>
        <w:rPr>
          <w:rFonts w:ascii="Times New Roman" w:hAnsi="Times New Roman" w:cs="Times New Roman"/>
          <w:sz w:val="24"/>
        </w:rPr>
        <w:t xml:space="preserve">.  In S. Greenblatt (Ed.), </w:t>
      </w:r>
      <w:r>
        <w:rPr>
          <w:rFonts w:ascii="Times New Roman" w:hAnsi="Times New Roman" w:cs="Times New Roman"/>
          <w:i/>
          <w:sz w:val="24"/>
        </w:rPr>
        <w:t>The Norton Shakespeare</w:t>
      </w:r>
      <w:r>
        <w:rPr>
          <w:rFonts w:ascii="Times New Roman" w:hAnsi="Times New Roman" w:cs="Times New Roman"/>
          <w:sz w:val="24"/>
        </w:rPr>
        <w:t>.  London, UK: W.W. Norton &amp; Company.</w:t>
      </w:r>
    </w:p>
    <w:p w:rsidR="00176F38" w:rsidRDefault="00176F38" w:rsidP="001B3065">
      <w:pPr>
        <w:spacing w:after="0" w:line="240" w:lineRule="auto"/>
        <w:contextualSpacing/>
        <w:jc w:val="both"/>
        <w:rPr>
          <w:rFonts w:ascii="Times New Roman" w:hAnsi="Times New Roman" w:cs="Times New Roman"/>
          <w:sz w:val="24"/>
        </w:rPr>
      </w:pPr>
    </w:p>
    <w:p w:rsidR="00176F38" w:rsidRPr="002B0E23"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Singer, J., Marx, R.W., Krajcik, J., &amp; Chambers, J.C. (2000).  Constructing extended inquiry projects: Curriculum materials for science education reform.  </w:t>
      </w:r>
      <w:r>
        <w:rPr>
          <w:rFonts w:ascii="Times New Roman" w:hAnsi="Times New Roman" w:cs="Times New Roman"/>
          <w:i/>
          <w:sz w:val="24"/>
        </w:rPr>
        <w:t>Educational Psychologist, 35(3)</w:t>
      </w:r>
      <w:r>
        <w:rPr>
          <w:rFonts w:ascii="Times New Roman" w:hAnsi="Times New Roman" w:cs="Times New Roman"/>
          <w:sz w:val="24"/>
        </w:rPr>
        <w:t>, 165-178.</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Skerrett, A. (2008).  “Going the race way”: Biographical influences on multicultural and antiracist English curriculum practices.  </w:t>
      </w:r>
      <w:r>
        <w:rPr>
          <w:rFonts w:ascii="Times New Roman" w:hAnsi="Times New Roman" w:cs="Times New Roman"/>
          <w:i/>
          <w:sz w:val="24"/>
        </w:rPr>
        <w:t>Teaching and Teacher Education, 24</w:t>
      </w:r>
      <w:r>
        <w:rPr>
          <w:rFonts w:ascii="Times New Roman" w:hAnsi="Times New Roman" w:cs="Times New Roman"/>
          <w:sz w:val="24"/>
        </w:rPr>
        <w:t>, 1813-1826.</w:t>
      </w:r>
    </w:p>
    <w:p w:rsidR="00B949BF" w:rsidRDefault="00B949BF" w:rsidP="001B3065">
      <w:pPr>
        <w:spacing w:after="0" w:line="240" w:lineRule="auto"/>
        <w:contextualSpacing/>
        <w:jc w:val="both"/>
        <w:rPr>
          <w:rFonts w:ascii="Times New Roman" w:hAnsi="Times New Roman" w:cs="Times New Roman"/>
          <w:sz w:val="24"/>
        </w:rPr>
      </w:pPr>
    </w:p>
    <w:p w:rsidR="00B949BF" w:rsidRDefault="00B949BF"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Slotkin, R. (1986).  Myth and the production of history.  In S. Bercovitch &amp; M. Jehlen (Eds.).  </w:t>
      </w:r>
      <w:r>
        <w:rPr>
          <w:rFonts w:ascii="Times New Roman" w:hAnsi="Times New Roman" w:cs="Times New Roman"/>
          <w:i/>
          <w:sz w:val="24"/>
        </w:rPr>
        <w:t xml:space="preserve">Ideology and classic American literature </w:t>
      </w:r>
      <w:r>
        <w:rPr>
          <w:rFonts w:ascii="Times New Roman" w:hAnsi="Times New Roman" w:cs="Times New Roman"/>
          <w:sz w:val="24"/>
        </w:rPr>
        <w:t>(pp. 70-90).  Cambridge, MA: Cambridge University Press</w:t>
      </w:r>
    </w:p>
    <w:p w:rsidR="00176F38" w:rsidRDefault="00176F38" w:rsidP="001B3065">
      <w:pPr>
        <w:spacing w:after="0" w:line="240" w:lineRule="auto"/>
        <w:contextualSpacing/>
        <w:jc w:val="both"/>
        <w:rPr>
          <w:rFonts w:ascii="Times New Roman" w:hAnsi="Times New Roman" w:cs="Times New Roman"/>
          <w:sz w:val="24"/>
        </w:rPr>
      </w:pPr>
    </w:p>
    <w:p w:rsidR="00176F38" w:rsidRPr="00E95AA1"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Spring, J. (2010).  </w:t>
      </w:r>
      <w:r>
        <w:rPr>
          <w:rFonts w:ascii="Times New Roman" w:hAnsi="Times New Roman" w:cs="Times New Roman"/>
          <w:i/>
          <w:sz w:val="24"/>
        </w:rPr>
        <w:t>Political agendas for education: From change we can believe in to putting America first</w:t>
      </w:r>
      <w:r>
        <w:rPr>
          <w:rFonts w:ascii="Times New Roman" w:hAnsi="Times New Roman" w:cs="Times New Roman"/>
          <w:sz w:val="24"/>
        </w:rPr>
        <w:t>.  New York, NY: Routledge.</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Stallworth, B.J., Gibbons, L., &amp; Fauber, L. (2006).  It’s not on the list: An exploration of teachers’ perspectives on using multicultural literature.  </w:t>
      </w:r>
      <w:r>
        <w:rPr>
          <w:rFonts w:ascii="Times New Roman" w:hAnsi="Times New Roman" w:cs="Times New Roman"/>
          <w:i/>
          <w:sz w:val="24"/>
        </w:rPr>
        <w:t>Journal of Adolescent and Adult Literacy, 49(6)</w:t>
      </w:r>
      <w:r>
        <w:rPr>
          <w:rFonts w:ascii="Times New Roman" w:hAnsi="Times New Roman" w:cs="Times New Roman"/>
          <w:sz w:val="24"/>
        </w:rPr>
        <w:t>, 478-489.</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Pr="00580A6D" w:rsidRDefault="00176F38" w:rsidP="00176F38">
      <w:pPr>
        <w:spacing w:after="0" w:line="240" w:lineRule="auto"/>
        <w:ind w:left="720" w:hanging="720"/>
        <w:contextualSpacing/>
        <w:jc w:val="both"/>
        <w:rPr>
          <w:rFonts w:ascii="Times New Roman" w:hAnsi="Times New Roman" w:cs="Times New Roman"/>
          <w:sz w:val="24"/>
        </w:rPr>
      </w:pPr>
      <w:r>
        <w:rPr>
          <w:rFonts w:ascii="Times New Roman" w:hAnsi="Times New Roman" w:cs="Times New Roman"/>
          <w:sz w:val="24"/>
        </w:rPr>
        <w:t xml:space="preserve">Steinbeck, J. (1993).  </w:t>
      </w:r>
      <w:r>
        <w:rPr>
          <w:rFonts w:ascii="Times New Roman" w:hAnsi="Times New Roman" w:cs="Times New Roman"/>
          <w:i/>
          <w:sz w:val="24"/>
        </w:rPr>
        <w:t>Of mice and men</w:t>
      </w:r>
      <w:r>
        <w:rPr>
          <w:rFonts w:ascii="Times New Roman" w:hAnsi="Times New Roman" w:cs="Times New Roman"/>
          <w:sz w:val="24"/>
        </w:rPr>
        <w:t>.  New York, NY: Penguin.</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Steuter, E., &amp; Wills, D. (2009).  </w:t>
      </w:r>
      <w:r>
        <w:rPr>
          <w:rFonts w:ascii="Times New Roman" w:hAnsi="Times New Roman" w:cs="Times New Roman"/>
          <w:i/>
          <w:sz w:val="24"/>
        </w:rPr>
        <w:t>At war with metaphor: Media, propaganda, and racism in the war on terror</w:t>
      </w:r>
      <w:r>
        <w:rPr>
          <w:rFonts w:ascii="Times New Roman" w:hAnsi="Times New Roman" w:cs="Times New Roman"/>
          <w:sz w:val="24"/>
        </w:rPr>
        <w:t>.  Lanham, MD: Lexington Books.</w:t>
      </w:r>
    </w:p>
    <w:p w:rsidR="006C5A35" w:rsidRDefault="006C5A35" w:rsidP="001B3065">
      <w:pPr>
        <w:spacing w:after="0" w:line="240" w:lineRule="auto"/>
        <w:contextualSpacing/>
        <w:jc w:val="both"/>
        <w:rPr>
          <w:rFonts w:ascii="Times New Roman" w:hAnsi="Times New Roman" w:cs="Times New Roman"/>
          <w:sz w:val="24"/>
        </w:rPr>
      </w:pPr>
    </w:p>
    <w:p w:rsidR="006C5A35" w:rsidRPr="006C5A35" w:rsidRDefault="006C5A35"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Stotsky, S. (2002).  </w:t>
      </w:r>
      <w:r w:rsidRPr="001B3065">
        <w:rPr>
          <w:rFonts w:ascii="Times New Roman" w:hAnsi="Times New Roman" w:cs="Times New Roman"/>
          <w:i/>
          <w:sz w:val="24"/>
        </w:rPr>
        <w:t xml:space="preserve">Losing </w:t>
      </w:r>
      <w:r w:rsidRPr="006C5A35">
        <w:rPr>
          <w:rFonts w:ascii="Times New Roman" w:hAnsi="Times New Roman" w:cs="Times New Roman"/>
          <w:i/>
          <w:sz w:val="24"/>
        </w:rPr>
        <w:t xml:space="preserve">our language: </w:t>
      </w:r>
      <w:r>
        <w:rPr>
          <w:rFonts w:ascii="Times New Roman" w:hAnsi="Times New Roman" w:cs="Times New Roman"/>
          <w:i/>
          <w:sz w:val="24"/>
        </w:rPr>
        <w:t>H</w:t>
      </w:r>
      <w:r w:rsidRPr="006C5A35">
        <w:rPr>
          <w:rFonts w:ascii="Times New Roman" w:hAnsi="Times New Roman" w:cs="Times New Roman"/>
          <w:i/>
          <w:sz w:val="24"/>
        </w:rPr>
        <w:t>ow multiculturalism undermines our children's ability to read, write and reason</w:t>
      </w:r>
      <w:r>
        <w:rPr>
          <w:rFonts w:ascii="Times New Roman" w:hAnsi="Times New Roman" w:cs="Times New Roman"/>
          <w:sz w:val="24"/>
        </w:rPr>
        <w:t>.  New York, NY: Encounter Books.</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lastRenderedPageBreak/>
        <w:t xml:space="preserve">Twain, M. (2015).  </w:t>
      </w:r>
      <w:r>
        <w:rPr>
          <w:rFonts w:ascii="Times New Roman" w:hAnsi="Times New Roman" w:cs="Times New Roman"/>
          <w:i/>
          <w:sz w:val="24"/>
        </w:rPr>
        <w:t>The adventures of Huckleberry Finn</w:t>
      </w:r>
      <w:r>
        <w:rPr>
          <w:rFonts w:ascii="Times New Roman" w:hAnsi="Times New Roman" w:cs="Times New Roman"/>
          <w:sz w:val="24"/>
        </w:rPr>
        <w:t>.  New York, NY: Wisehouse Classics.</w:t>
      </w:r>
    </w:p>
    <w:p w:rsidR="00176F38" w:rsidRDefault="00176F38" w:rsidP="001B3065">
      <w:pPr>
        <w:spacing w:after="0" w:line="240" w:lineRule="auto"/>
        <w:contextualSpacing/>
        <w:jc w:val="both"/>
        <w:rPr>
          <w:rFonts w:ascii="Times New Roman" w:hAnsi="Times New Roman" w:cs="Times New Roman"/>
          <w:sz w:val="24"/>
        </w:rPr>
      </w:pPr>
    </w:p>
    <w:p w:rsidR="00176F38" w:rsidRPr="00C077D2"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United Nations Educational, Scientific, and Cultural Organization (2012).  </w:t>
      </w:r>
      <w:r>
        <w:rPr>
          <w:rFonts w:ascii="Times New Roman" w:hAnsi="Times New Roman" w:cs="Times New Roman"/>
          <w:i/>
          <w:sz w:val="24"/>
        </w:rPr>
        <w:t>Challenges in basic mathematics education</w:t>
      </w:r>
      <w:r>
        <w:rPr>
          <w:rFonts w:ascii="Times New Roman" w:hAnsi="Times New Roman" w:cs="Times New Roman"/>
          <w:sz w:val="24"/>
        </w:rPr>
        <w:t>.  Paris, France: UNESCO.</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Warner, W.L., Havighurst, R.J., &amp; Loeb, M.L. (1944).  </w:t>
      </w:r>
      <w:r>
        <w:rPr>
          <w:rFonts w:ascii="Times New Roman" w:hAnsi="Times New Roman" w:cs="Times New Roman"/>
          <w:i/>
          <w:sz w:val="24"/>
        </w:rPr>
        <w:t>Who shall be educated?  The challenge of unequal opportunities</w:t>
      </w:r>
      <w:r>
        <w:rPr>
          <w:rFonts w:ascii="Times New Roman" w:hAnsi="Times New Roman" w:cs="Times New Roman"/>
          <w:sz w:val="24"/>
        </w:rPr>
        <w:t>.  New York, NY: Routledge.</w:t>
      </w:r>
    </w:p>
    <w:p w:rsidR="00176F38" w:rsidRDefault="00176F38" w:rsidP="001B3065">
      <w:pPr>
        <w:spacing w:after="0" w:line="240" w:lineRule="auto"/>
        <w:contextualSpacing/>
        <w:jc w:val="both"/>
        <w:rPr>
          <w:rFonts w:ascii="Times New Roman" w:hAnsi="Times New Roman" w:cs="Times New Roman"/>
          <w:sz w:val="24"/>
        </w:rPr>
      </w:pPr>
    </w:p>
    <w:p w:rsidR="00176F38" w:rsidRPr="00DE572F"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Westheimer, J., &amp; Kahne, J. (2004).  Educating the “good” citizen: Political choices and pedagogical goals.  </w:t>
      </w:r>
      <w:r>
        <w:rPr>
          <w:rFonts w:ascii="Times New Roman" w:hAnsi="Times New Roman" w:cs="Times New Roman"/>
          <w:i/>
          <w:sz w:val="24"/>
        </w:rPr>
        <w:t>PS: Political Science and Politics, 37(2)</w:t>
      </w:r>
      <w:r>
        <w:rPr>
          <w:rFonts w:ascii="Times New Roman" w:hAnsi="Times New Roman" w:cs="Times New Roman"/>
          <w:sz w:val="24"/>
        </w:rPr>
        <w:t>, 241-247.</w:t>
      </w:r>
    </w:p>
    <w:p w:rsidR="00176F38" w:rsidRDefault="00176F38" w:rsidP="00176F38">
      <w:pPr>
        <w:spacing w:after="0" w:line="240" w:lineRule="auto"/>
        <w:ind w:left="720" w:hanging="720"/>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Williams, T. (1998).  </w:t>
      </w:r>
      <w:r>
        <w:rPr>
          <w:rFonts w:ascii="Times New Roman" w:hAnsi="Times New Roman" w:cs="Times New Roman"/>
          <w:i/>
          <w:sz w:val="24"/>
        </w:rPr>
        <w:t>A streetcar named desire</w:t>
      </w:r>
      <w:r>
        <w:rPr>
          <w:rFonts w:ascii="Times New Roman" w:hAnsi="Times New Roman" w:cs="Times New Roman"/>
          <w:sz w:val="24"/>
        </w:rPr>
        <w:t>.  New York, NY: Dramatists’ Play Service, Inc.</w:t>
      </w:r>
    </w:p>
    <w:p w:rsidR="00176F38" w:rsidRDefault="00176F38" w:rsidP="001B3065">
      <w:pPr>
        <w:spacing w:after="0" w:line="240" w:lineRule="auto"/>
        <w:contextualSpacing/>
        <w:jc w:val="both"/>
        <w:rPr>
          <w:rFonts w:ascii="Times New Roman" w:hAnsi="Times New Roman" w:cs="Times New Roman"/>
          <w:sz w:val="24"/>
        </w:rPr>
      </w:pPr>
    </w:p>
    <w:p w:rsidR="00176F38"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Wimsatt, W.K., &amp; Beardsley, M.C. (1946).  </w:t>
      </w:r>
      <w:r w:rsidRPr="00D51D1C">
        <w:rPr>
          <w:rFonts w:ascii="Times New Roman" w:hAnsi="Times New Roman" w:cs="Times New Roman"/>
          <w:sz w:val="24"/>
        </w:rPr>
        <w:t>The intentional fallacy</w:t>
      </w:r>
      <w:r>
        <w:rPr>
          <w:rFonts w:ascii="Times New Roman" w:hAnsi="Times New Roman" w:cs="Times New Roman"/>
          <w:sz w:val="24"/>
        </w:rPr>
        <w:t xml:space="preserve">.  </w:t>
      </w:r>
      <w:r>
        <w:rPr>
          <w:rFonts w:ascii="Times New Roman" w:hAnsi="Times New Roman" w:cs="Times New Roman"/>
          <w:i/>
          <w:sz w:val="24"/>
        </w:rPr>
        <w:t xml:space="preserve">The Sewanee Review, 54(3), </w:t>
      </w:r>
      <w:r>
        <w:rPr>
          <w:rFonts w:ascii="Times New Roman" w:hAnsi="Times New Roman" w:cs="Times New Roman"/>
          <w:sz w:val="24"/>
        </w:rPr>
        <w:t>468-488.</w:t>
      </w:r>
    </w:p>
    <w:p w:rsidR="00176F38" w:rsidRDefault="00176F38" w:rsidP="001B3065">
      <w:pPr>
        <w:spacing w:after="0" w:line="240" w:lineRule="auto"/>
        <w:contextualSpacing/>
        <w:jc w:val="both"/>
        <w:rPr>
          <w:rFonts w:ascii="Times New Roman" w:hAnsi="Times New Roman" w:cs="Times New Roman"/>
          <w:sz w:val="24"/>
        </w:rPr>
      </w:pPr>
    </w:p>
    <w:p w:rsidR="00176F38" w:rsidRPr="00CD2311" w:rsidRDefault="00176F38" w:rsidP="001B3065">
      <w:pPr>
        <w:spacing w:after="0" w:line="240" w:lineRule="auto"/>
        <w:contextualSpacing/>
        <w:jc w:val="both"/>
        <w:rPr>
          <w:rFonts w:ascii="Times New Roman" w:hAnsi="Times New Roman" w:cs="Times New Roman"/>
          <w:sz w:val="24"/>
        </w:rPr>
      </w:pPr>
      <w:r>
        <w:rPr>
          <w:rFonts w:ascii="Times New Roman" w:hAnsi="Times New Roman" w:cs="Times New Roman"/>
          <w:sz w:val="24"/>
        </w:rPr>
        <w:t xml:space="preserve">Wood, J.T., &amp; Fixmer-Oraiz, N. (2016).  </w:t>
      </w:r>
      <w:r>
        <w:rPr>
          <w:rFonts w:ascii="Times New Roman" w:hAnsi="Times New Roman" w:cs="Times New Roman"/>
          <w:i/>
          <w:sz w:val="24"/>
        </w:rPr>
        <w:t>Gendered lives</w:t>
      </w:r>
      <w:r>
        <w:rPr>
          <w:rFonts w:ascii="Times New Roman" w:hAnsi="Times New Roman" w:cs="Times New Roman"/>
          <w:sz w:val="24"/>
        </w:rPr>
        <w:t>.  Boston, MA: Cengage Learning.</w:t>
      </w:r>
    </w:p>
    <w:p w:rsidR="00176F38" w:rsidRDefault="00176F38" w:rsidP="001B3065">
      <w:pPr>
        <w:spacing w:line="240" w:lineRule="auto"/>
        <w:contextualSpacing/>
        <w:rPr>
          <w:rFonts w:ascii="Times New Roman" w:hAnsi="Times New Roman" w:cs="Times New Roman"/>
          <w:sz w:val="24"/>
        </w:rPr>
      </w:pPr>
    </w:p>
    <w:p w:rsidR="00850876" w:rsidRDefault="00176F38" w:rsidP="001B3065">
      <w:pPr>
        <w:spacing w:line="240" w:lineRule="auto"/>
        <w:contextualSpacing/>
      </w:pPr>
      <w:r>
        <w:rPr>
          <w:rFonts w:ascii="Times New Roman" w:hAnsi="Times New Roman" w:cs="Times New Roman"/>
          <w:sz w:val="24"/>
        </w:rPr>
        <w:t xml:space="preserve">Yoon, B., Simpson, A., &amp; Haag, C. (2010).  </w:t>
      </w:r>
      <w:r w:rsidRPr="00A52FD2">
        <w:rPr>
          <w:rFonts w:ascii="Times New Roman" w:hAnsi="Times New Roman" w:cs="Times New Roman"/>
          <w:sz w:val="24"/>
        </w:rPr>
        <w:t>Assimilation</w:t>
      </w:r>
      <w:r>
        <w:rPr>
          <w:rFonts w:ascii="Times New Roman" w:hAnsi="Times New Roman" w:cs="Times New Roman"/>
          <w:sz w:val="24"/>
        </w:rPr>
        <w:t xml:space="preserve"> ideology: Critically examining </w:t>
      </w:r>
      <w:r w:rsidRPr="00A52FD2">
        <w:rPr>
          <w:rFonts w:ascii="Times New Roman" w:hAnsi="Times New Roman" w:cs="Times New Roman"/>
          <w:sz w:val="24"/>
        </w:rPr>
        <w:t>under</w:t>
      </w:r>
      <w:r>
        <w:rPr>
          <w:rFonts w:ascii="Times New Roman" w:hAnsi="Times New Roman" w:cs="Times New Roman"/>
          <w:sz w:val="24"/>
        </w:rPr>
        <w:t xml:space="preserve">lying messages in multicultural </w:t>
      </w:r>
      <w:r w:rsidRPr="00A52FD2">
        <w:rPr>
          <w:rFonts w:ascii="Times New Roman" w:hAnsi="Times New Roman" w:cs="Times New Roman"/>
          <w:sz w:val="24"/>
        </w:rPr>
        <w:t>literature</w:t>
      </w:r>
      <w:r>
        <w:rPr>
          <w:rFonts w:ascii="Times New Roman" w:hAnsi="Times New Roman" w:cs="Times New Roman"/>
          <w:sz w:val="24"/>
        </w:rPr>
        <w:t xml:space="preserve">.  </w:t>
      </w:r>
      <w:r>
        <w:rPr>
          <w:rFonts w:ascii="Times New Roman" w:hAnsi="Times New Roman" w:cs="Times New Roman"/>
          <w:i/>
          <w:sz w:val="24"/>
        </w:rPr>
        <w:t>Journal of Adolescent &amp; Adult Literacy, 54(2)</w:t>
      </w:r>
      <w:r>
        <w:rPr>
          <w:rFonts w:ascii="Times New Roman" w:hAnsi="Times New Roman" w:cs="Times New Roman"/>
          <w:sz w:val="24"/>
        </w:rPr>
        <w:t>, 109-118.</w:t>
      </w:r>
    </w:p>
    <w:p w:rsidR="00653302" w:rsidRPr="00594A8D" w:rsidRDefault="00653302" w:rsidP="00850876">
      <w:pPr>
        <w:spacing w:after="0" w:line="480" w:lineRule="auto"/>
        <w:contextualSpacing/>
        <w:rPr>
          <w:rFonts w:ascii="Times New Roman" w:hAnsi="Times New Roman" w:cs="Times New Roman"/>
          <w:sz w:val="24"/>
        </w:rPr>
      </w:pPr>
    </w:p>
    <w:sectPr w:rsidR="00653302" w:rsidRPr="00594A8D" w:rsidSect="00DB0001">
      <w:footerReference w:type="default" r:id="rId12"/>
      <w:type w:val="continuous"/>
      <w:pgSz w:w="12240" w:h="15840"/>
      <w:pgMar w:top="1440" w:right="1440" w:bottom="1440" w:left="2304" w:header="720" w:footer="864"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D5B" w:rsidRDefault="00B02D5B" w:rsidP="00CD2B6A">
      <w:pPr>
        <w:spacing w:after="0" w:line="240" w:lineRule="auto"/>
      </w:pPr>
      <w:r>
        <w:separator/>
      </w:r>
    </w:p>
  </w:endnote>
  <w:endnote w:type="continuationSeparator" w:id="0">
    <w:p w:rsidR="00B02D5B" w:rsidRDefault="00B02D5B" w:rsidP="00CD2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6C" w:rsidRPr="00CD2B6A" w:rsidRDefault="00E6426C" w:rsidP="00CD2B6A">
    <w:pPr>
      <w:pStyle w:val="Footer"/>
      <w:jc w:val="center"/>
      <w:rPr>
        <w:rFonts w:ascii="Times New Roman" w:hAnsi="Times New Roman" w:cs="Times New Roman"/>
        <w:sz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6C" w:rsidRPr="00CD2B6A" w:rsidRDefault="00E6426C" w:rsidP="00CD2B6A">
    <w:pPr>
      <w:pStyle w:val="Footer"/>
      <w:jc w:val="center"/>
      <w:rPr>
        <w:rFonts w:ascii="Times New Roman" w:hAnsi="Times New Roman" w:cs="Times New Roman"/>
        <w:sz w:val="24"/>
      </w:rPr>
    </w:pPr>
    <w:r>
      <w:rPr>
        <w:rFonts w:ascii="Times New Roman" w:hAnsi="Times New Roman" w:cs="Times New Roman"/>
        <w:sz w:val="24"/>
      </w:rPr>
      <w:t>iv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6C" w:rsidRPr="005E7359" w:rsidRDefault="00E6426C" w:rsidP="00CD2B6A">
    <w:pPr>
      <w:pStyle w:val="Footer"/>
      <w:jc w:val="center"/>
      <w:rPr>
        <w:rFonts w:ascii="Times New Roman" w:hAnsi="Times New Roman" w:cs="Times New Roman"/>
        <w:sz w:val="24"/>
      </w:rPr>
    </w:pPr>
    <w:r>
      <w:rPr>
        <w:rFonts w:ascii="Times New Roman" w:hAnsi="Times New Roman" w:cs="Times New Roman"/>
        <w:sz w:val="24"/>
      </w:rPr>
      <w:t>vi</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6C" w:rsidRPr="005E7359" w:rsidRDefault="00E6426C" w:rsidP="005E7359">
    <w:pPr>
      <w:pStyle w:val="Footer"/>
      <w:jc w:val="center"/>
      <w:rPr>
        <w:rFonts w:ascii="Times New Roman" w:hAnsi="Times New Roman" w:cs="Times New Roman"/>
        <w:sz w:val="24"/>
      </w:rPr>
    </w:pPr>
    <w:r>
      <w:rPr>
        <w:rFonts w:ascii="Times New Roman" w:hAnsi="Times New Roman" w:cs="Times New Roman"/>
        <w:sz w:val="24"/>
      </w:rPr>
      <w:t>v</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37D" w:rsidRPr="005E7359" w:rsidRDefault="00A6037D" w:rsidP="005E7359">
    <w:pPr>
      <w:pStyle w:val="Footer"/>
      <w:jc w:val="center"/>
      <w:rPr>
        <w:rFonts w:ascii="Times New Roman" w:hAnsi="Times New Roman" w:cs="Times New Roman"/>
        <w:sz w:val="24"/>
      </w:rPr>
    </w:pPr>
    <w:r>
      <w:rPr>
        <w:rFonts w:ascii="Times New Roman" w:hAnsi="Times New Roman" w:cs="Times New Roman"/>
        <w:sz w:val="24"/>
      </w:rPr>
      <w:t>vii</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6C" w:rsidRPr="005E7359" w:rsidRDefault="00E6426C" w:rsidP="00CD2B6A">
    <w:pPr>
      <w:pStyle w:val="Footer"/>
      <w:jc w:val="center"/>
      <w:rPr>
        <w:rFonts w:ascii="Times New Roman" w:hAnsi="Times New Roman" w:cs="Times New Roman"/>
        <w:sz w:val="24"/>
      </w:rPr>
    </w:pPr>
    <w:r w:rsidRPr="00DB0001">
      <w:rPr>
        <w:rFonts w:ascii="Times New Roman" w:hAnsi="Times New Roman" w:cs="Times New Roman"/>
        <w:sz w:val="24"/>
      </w:rPr>
      <w:fldChar w:fldCharType="begin"/>
    </w:r>
    <w:r w:rsidRPr="00DB0001">
      <w:rPr>
        <w:rFonts w:ascii="Times New Roman" w:hAnsi="Times New Roman" w:cs="Times New Roman"/>
        <w:sz w:val="24"/>
      </w:rPr>
      <w:instrText xml:space="preserve"> PAGE   \* MERGEFORMAT </w:instrText>
    </w:r>
    <w:r w:rsidRPr="00DB0001">
      <w:rPr>
        <w:rFonts w:ascii="Times New Roman" w:hAnsi="Times New Roman" w:cs="Times New Roman"/>
        <w:sz w:val="24"/>
      </w:rPr>
      <w:fldChar w:fldCharType="separate"/>
    </w:r>
    <w:r w:rsidR="00BA6B62">
      <w:rPr>
        <w:rFonts w:ascii="Times New Roman" w:hAnsi="Times New Roman" w:cs="Times New Roman"/>
        <w:noProof/>
        <w:sz w:val="24"/>
      </w:rPr>
      <w:t>14</w:t>
    </w:r>
    <w:r w:rsidRPr="00DB0001">
      <w:rPr>
        <w:rFonts w:ascii="Times New Roman" w:hAnsi="Times New Roman" w:cs="Times New Roman"/>
        <w:noProof/>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D5B" w:rsidRDefault="00B02D5B" w:rsidP="00CD2B6A">
      <w:pPr>
        <w:spacing w:after="0" w:line="240" w:lineRule="auto"/>
      </w:pPr>
      <w:r>
        <w:separator/>
      </w:r>
    </w:p>
  </w:footnote>
  <w:footnote w:type="continuationSeparator" w:id="0">
    <w:p w:rsidR="00B02D5B" w:rsidRDefault="00B02D5B" w:rsidP="00CD2B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85181E"/>
    <w:multiLevelType w:val="hybridMultilevel"/>
    <w:tmpl w:val="EFB2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A8D"/>
    <w:rsid w:val="000018FD"/>
    <w:rsid w:val="00036661"/>
    <w:rsid w:val="00057709"/>
    <w:rsid w:val="000816CE"/>
    <w:rsid w:val="00082DFC"/>
    <w:rsid w:val="000A0681"/>
    <w:rsid w:val="000D0065"/>
    <w:rsid w:val="000D40B8"/>
    <w:rsid w:val="000E11B9"/>
    <w:rsid w:val="00110D2A"/>
    <w:rsid w:val="0012111B"/>
    <w:rsid w:val="00144D83"/>
    <w:rsid w:val="00157B28"/>
    <w:rsid w:val="00171391"/>
    <w:rsid w:val="00176F38"/>
    <w:rsid w:val="00191A0F"/>
    <w:rsid w:val="001A6152"/>
    <w:rsid w:val="001B3065"/>
    <w:rsid w:val="001C3672"/>
    <w:rsid w:val="001C72D3"/>
    <w:rsid w:val="001E2983"/>
    <w:rsid w:val="001E7326"/>
    <w:rsid w:val="001F0C61"/>
    <w:rsid w:val="001F1F75"/>
    <w:rsid w:val="0020183D"/>
    <w:rsid w:val="00204305"/>
    <w:rsid w:val="00207D70"/>
    <w:rsid w:val="002207E0"/>
    <w:rsid w:val="00282F62"/>
    <w:rsid w:val="002837F2"/>
    <w:rsid w:val="0028387B"/>
    <w:rsid w:val="002918BD"/>
    <w:rsid w:val="002A16D9"/>
    <w:rsid w:val="002A6D0E"/>
    <w:rsid w:val="002B0BA4"/>
    <w:rsid w:val="002C034A"/>
    <w:rsid w:val="002C3E00"/>
    <w:rsid w:val="00300D9A"/>
    <w:rsid w:val="0030493D"/>
    <w:rsid w:val="00306CAB"/>
    <w:rsid w:val="00317E7D"/>
    <w:rsid w:val="0032039A"/>
    <w:rsid w:val="003213C2"/>
    <w:rsid w:val="003246D0"/>
    <w:rsid w:val="00326176"/>
    <w:rsid w:val="00340900"/>
    <w:rsid w:val="00343AF2"/>
    <w:rsid w:val="003644A2"/>
    <w:rsid w:val="00366184"/>
    <w:rsid w:val="003A7561"/>
    <w:rsid w:val="003B1A8A"/>
    <w:rsid w:val="003D7C65"/>
    <w:rsid w:val="00406E2C"/>
    <w:rsid w:val="00434D56"/>
    <w:rsid w:val="00442955"/>
    <w:rsid w:val="00455D7D"/>
    <w:rsid w:val="00471958"/>
    <w:rsid w:val="004975BF"/>
    <w:rsid w:val="00497CDD"/>
    <w:rsid w:val="004B0DD5"/>
    <w:rsid w:val="004C6860"/>
    <w:rsid w:val="004E1E3C"/>
    <w:rsid w:val="00525EF0"/>
    <w:rsid w:val="00527D67"/>
    <w:rsid w:val="00545BD0"/>
    <w:rsid w:val="0057680B"/>
    <w:rsid w:val="00594A8D"/>
    <w:rsid w:val="005A1340"/>
    <w:rsid w:val="005A4336"/>
    <w:rsid w:val="005B4CF7"/>
    <w:rsid w:val="005C4B3A"/>
    <w:rsid w:val="005E36E9"/>
    <w:rsid w:val="005E7359"/>
    <w:rsid w:val="005F06AE"/>
    <w:rsid w:val="00613DE2"/>
    <w:rsid w:val="00653302"/>
    <w:rsid w:val="006551D4"/>
    <w:rsid w:val="0065761B"/>
    <w:rsid w:val="006777B1"/>
    <w:rsid w:val="00684789"/>
    <w:rsid w:val="00697D31"/>
    <w:rsid w:val="006A30C6"/>
    <w:rsid w:val="006A5653"/>
    <w:rsid w:val="006B16A4"/>
    <w:rsid w:val="006C5A35"/>
    <w:rsid w:val="006D2116"/>
    <w:rsid w:val="006D5B19"/>
    <w:rsid w:val="006F0FA2"/>
    <w:rsid w:val="0070203D"/>
    <w:rsid w:val="00726B85"/>
    <w:rsid w:val="00730C81"/>
    <w:rsid w:val="0074425D"/>
    <w:rsid w:val="0075258C"/>
    <w:rsid w:val="00756F78"/>
    <w:rsid w:val="0079089C"/>
    <w:rsid w:val="007C40B9"/>
    <w:rsid w:val="007D5952"/>
    <w:rsid w:val="007F26C4"/>
    <w:rsid w:val="00850876"/>
    <w:rsid w:val="00863C7A"/>
    <w:rsid w:val="00873633"/>
    <w:rsid w:val="0088243B"/>
    <w:rsid w:val="00885C63"/>
    <w:rsid w:val="00893F8B"/>
    <w:rsid w:val="008953A5"/>
    <w:rsid w:val="008A2774"/>
    <w:rsid w:val="008C7784"/>
    <w:rsid w:val="00945050"/>
    <w:rsid w:val="009521BD"/>
    <w:rsid w:val="009605EE"/>
    <w:rsid w:val="00962FE4"/>
    <w:rsid w:val="009A7387"/>
    <w:rsid w:val="009B38C8"/>
    <w:rsid w:val="009E0782"/>
    <w:rsid w:val="009F2192"/>
    <w:rsid w:val="009F3BA9"/>
    <w:rsid w:val="00A16904"/>
    <w:rsid w:val="00A40DAA"/>
    <w:rsid w:val="00A6037D"/>
    <w:rsid w:val="00AC50E1"/>
    <w:rsid w:val="00AC7737"/>
    <w:rsid w:val="00B003EF"/>
    <w:rsid w:val="00B02D5B"/>
    <w:rsid w:val="00B1447E"/>
    <w:rsid w:val="00B22283"/>
    <w:rsid w:val="00B45A11"/>
    <w:rsid w:val="00B4657C"/>
    <w:rsid w:val="00B53C9C"/>
    <w:rsid w:val="00B949BF"/>
    <w:rsid w:val="00B949F5"/>
    <w:rsid w:val="00BA6B62"/>
    <w:rsid w:val="00BD6F81"/>
    <w:rsid w:val="00BE0287"/>
    <w:rsid w:val="00C165AC"/>
    <w:rsid w:val="00C30AB8"/>
    <w:rsid w:val="00C41BA0"/>
    <w:rsid w:val="00C82175"/>
    <w:rsid w:val="00C8651D"/>
    <w:rsid w:val="00CD2B6A"/>
    <w:rsid w:val="00CF5CD8"/>
    <w:rsid w:val="00D33BD8"/>
    <w:rsid w:val="00D367A6"/>
    <w:rsid w:val="00D37BCB"/>
    <w:rsid w:val="00D446FE"/>
    <w:rsid w:val="00D6574F"/>
    <w:rsid w:val="00D66235"/>
    <w:rsid w:val="00DA1A5D"/>
    <w:rsid w:val="00DA566C"/>
    <w:rsid w:val="00DB0001"/>
    <w:rsid w:val="00DD0529"/>
    <w:rsid w:val="00DE0D76"/>
    <w:rsid w:val="00E00C43"/>
    <w:rsid w:val="00E07A03"/>
    <w:rsid w:val="00E11E09"/>
    <w:rsid w:val="00E223B8"/>
    <w:rsid w:val="00E26A86"/>
    <w:rsid w:val="00E357CF"/>
    <w:rsid w:val="00E45D7A"/>
    <w:rsid w:val="00E57869"/>
    <w:rsid w:val="00E62C2C"/>
    <w:rsid w:val="00E6426C"/>
    <w:rsid w:val="00E7351A"/>
    <w:rsid w:val="00E76EE6"/>
    <w:rsid w:val="00E77C27"/>
    <w:rsid w:val="00E96B5D"/>
    <w:rsid w:val="00EA4180"/>
    <w:rsid w:val="00EF3E88"/>
    <w:rsid w:val="00EF466D"/>
    <w:rsid w:val="00F322D5"/>
    <w:rsid w:val="00F43A76"/>
    <w:rsid w:val="00FA58EC"/>
    <w:rsid w:val="00FB18DC"/>
    <w:rsid w:val="00FB4F41"/>
    <w:rsid w:val="00FD2A47"/>
    <w:rsid w:val="00FE1AA4"/>
    <w:rsid w:val="00FF7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3C40A534-788F-426E-8ADC-157BCA349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952"/>
  </w:style>
  <w:style w:type="paragraph" w:styleId="Heading1">
    <w:name w:val="heading 1"/>
    <w:basedOn w:val="Normal"/>
    <w:next w:val="Normal"/>
    <w:link w:val="Heading1Char"/>
    <w:uiPriority w:val="9"/>
    <w:qFormat/>
    <w:rsid w:val="004C686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C686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B6A"/>
  </w:style>
  <w:style w:type="paragraph" w:styleId="Footer">
    <w:name w:val="footer"/>
    <w:basedOn w:val="Normal"/>
    <w:link w:val="FooterChar"/>
    <w:uiPriority w:val="99"/>
    <w:unhideWhenUsed/>
    <w:rsid w:val="00CD2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B6A"/>
  </w:style>
  <w:style w:type="paragraph" w:styleId="ListParagraph">
    <w:name w:val="List Paragraph"/>
    <w:basedOn w:val="Normal"/>
    <w:uiPriority w:val="34"/>
    <w:qFormat/>
    <w:rsid w:val="00850876"/>
    <w:pPr>
      <w:ind w:left="720"/>
      <w:contextualSpacing/>
    </w:pPr>
  </w:style>
  <w:style w:type="character" w:styleId="Hyperlink">
    <w:name w:val="Hyperlink"/>
    <w:basedOn w:val="DefaultParagraphFont"/>
    <w:uiPriority w:val="99"/>
    <w:unhideWhenUsed/>
    <w:rsid w:val="005E36E9"/>
    <w:rPr>
      <w:color w:val="0000FF" w:themeColor="hyperlink"/>
      <w:u w:val="single"/>
    </w:rPr>
  </w:style>
  <w:style w:type="paragraph" w:styleId="BalloonText">
    <w:name w:val="Balloon Text"/>
    <w:basedOn w:val="Normal"/>
    <w:link w:val="BalloonTextChar"/>
    <w:uiPriority w:val="99"/>
    <w:semiHidden/>
    <w:unhideWhenUsed/>
    <w:rsid w:val="00CF5C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CD8"/>
    <w:rPr>
      <w:rFonts w:ascii="Segoe UI" w:hAnsi="Segoe UI" w:cs="Segoe UI"/>
      <w:sz w:val="18"/>
      <w:szCs w:val="18"/>
    </w:rPr>
  </w:style>
  <w:style w:type="table" w:styleId="TableGrid">
    <w:name w:val="Table Grid"/>
    <w:basedOn w:val="TableNormal"/>
    <w:uiPriority w:val="59"/>
    <w:rsid w:val="00201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C686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4C686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91</Pages>
  <Words>23987</Words>
  <Characters>136727</Characters>
  <Application>Microsoft Office Word</Application>
  <DocSecurity>0</DocSecurity>
  <Lines>1139</Lines>
  <Paragraphs>320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Buren</dc:creator>
  <cp:lastModifiedBy>JRCoE Student</cp:lastModifiedBy>
  <cp:revision>2</cp:revision>
  <cp:lastPrinted>2016-12-08T15:09:00Z</cp:lastPrinted>
  <dcterms:created xsi:type="dcterms:W3CDTF">2016-12-08T17:27:00Z</dcterms:created>
  <dcterms:modified xsi:type="dcterms:W3CDTF">2016-12-08T17:27:00Z</dcterms:modified>
</cp:coreProperties>
</file>