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BD54F130A28C9943B96848EFB8B59478"/>
        </w:placeholder>
        <w:group/>
      </w:sdtPr>
      <w:sdtEndPr/>
      <w:sdtContent>
        <w:p w14:paraId="729795C4" w14:textId="77777777" w:rsidR="00BF0494" w:rsidRPr="0008176F" w:rsidRDefault="00BF0494" w:rsidP="008E2757">
          <w:pPr>
            <w:pStyle w:val="NoSpacing"/>
            <w:jc w:val="center"/>
            <w:rPr>
              <w:caps/>
            </w:rPr>
          </w:pPr>
          <w:r w:rsidRPr="0008176F">
            <w:rPr>
              <w:caps/>
            </w:rPr>
            <w:t>University of Oklahoma</w:t>
          </w:r>
        </w:p>
        <w:p w14:paraId="3C597F95" w14:textId="77777777" w:rsidR="00BF0494" w:rsidRPr="0008176F" w:rsidRDefault="00BF0494" w:rsidP="008E2757">
          <w:pPr>
            <w:pStyle w:val="NoSpacing"/>
            <w:jc w:val="center"/>
            <w:rPr>
              <w:caps/>
            </w:rPr>
          </w:pPr>
        </w:p>
        <w:p w14:paraId="508048E0" w14:textId="77777777" w:rsidR="00BF0494" w:rsidRPr="0008176F" w:rsidRDefault="00BF0494" w:rsidP="008E2757">
          <w:pPr>
            <w:pStyle w:val="NoSpacing"/>
            <w:jc w:val="center"/>
            <w:rPr>
              <w:caps/>
            </w:rPr>
          </w:pPr>
          <w:r w:rsidRPr="0008176F">
            <w:rPr>
              <w:caps/>
            </w:rPr>
            <w:t>Graduate College</w:t>
          </w:r>
        </w:p>
      </w:sdtContent>
    </w:sdt>
    <w:p w14:paraId="647899BB" w14:textId="77777777" w:rsidR="00BF0494" w:rsidRPr="0008176F" w:rsidRDefault="00BF0494" w:rsidP="008E2757">
      <w:pPr>
        <w:pStyle w:val="NoSpacing"/>
        <w:jc w:val="center"/>
        <w:rPr>
          <w:caps/>
        </w:rPr>
      </w:pPr>
    </w:p>
    <w:p w14:paraId="01AE8B68" w14:textId="77777777" w:rsidR="00BF0494" w:rsidRPr="0008176F" w:rsidRDefault="00BF0494" w:rsidP="008E2757">
      <w:pPr>
        <w:pStyle w:val="NoSpacing"/>
        <w:jc w:val="center"/>
        <w:rPr>
          <w:caps/>
        </w:rPr>
      </w:pPr>
    </w:p>
    <w:p w14:paraId="2026BA8C" w14:textId="77777777" w:rsidR="00BF0494" w:rsidRPr="0008176F" w:rsidRDefault="00BF0494" w:rsidP="008E2757">
      <w:pPr>
        <w:pStyle w:val="NoSpacing"/>
        <w:jc w:val="center"/>
        <w:rPr>
          <w:caps/>
        </w:rPr>
      </w:pPr>
    </w:p>
    <w:p w14:paraId="08CF5552" w14:textId="77777777" w:rsidR="00BF0494" w:rsidRPr="0008176F" w:rsidRDefault="00BF0494" w:rsidP="008E2757">
      <w:pPr>
        <w:pStyle w:val="NoSpacing"/>
        <w:jc w:val="center"/>
        <w:rPr>
          <w:caps/>
        </w:rPr>
      </w:pPr>
    </w:p>
    <w:p w14:paraId="1508E7B5" w14:textId="77777777" w:rsidR="00BF0494" w:rsidRPr="0008176F" w:rsidRDefault="00BF0494" w:rsidP="008E2757">
      <w:pPr>
        <w:pStyle w:val="NoSpacing"/>
        <w:jc w:val="center"/>
        <w:rPr>
          <w:caps/>
        </w:rPr>
      </w:pPr>
    </w:p>
    <w:p w14:paraId="11ADD815" w14:textId="77777777" w:rsidR="00BF0494" w:rsidRPr="0008176F" w:rsidRDefault="00BF0494" w:rsidP="008E2757">
      <w:pPr>
        <w:pStyle w:val="NoSpacing"/>
        <w:jc w:val="center"/>
        <w:rPr>
          <w:caps/>
        </w:rPr>
      </w:pPr>
    </w:p>
    <w:p w14:paraId="5547627D" w14:textId="77777777" w:rsidR="00BF0494" w:rsidRPr="0008176F" w:rsidRDefault="00BF0494" w:rsidP="008E2757">
      <w:pPr>
        <w:pStyle w:val="NoSpacing"/>
        <w:jc w:val="center"/>
        <w:rPr>
          <w:caps/>
        </w:rPr>
      </w:pPr>
    </w:p>
    <w:sdt>
      <w:sdtPr>
        <w:rPr>
          <w:caps/>
        </w:rPr>
        <w:alias w:val="Click to enter dissertation title"/>
        <w:tag w:val="Click to enter dissertation title"/>
        <w:id w:val="30091832"/>
        <w:placeholder>
          <w:docPart w:val="BD54F130A28C9943B96848EFB8B59478"/>
        </w:placeholder>
      </w:sdtPr>
      <w:sdtEndPr/>
      <w:sdtContent>
        <w:p w14:paraId="6BA920B4" w14:textId="2F90DC37" w:rsidR="00BF0494" w:rsidRPr="0008176F" w:rsidRDefault="00CF609A" w:rsidP="005D5DD4">
          <w:pPr>
            <w:pStyle w:val="NoSpacing"/>
            <w:spacing w:line="480" w:lineRule="auto"/>
            <w:jc w:val="center"/>
            <w:rPr>
              <w:caps/>
            </w:rPr>
          </w:pPr>
          <w:r>
            <w:rPr>
              <w:caps/>
            </w:rPr>
            <w:t>Wister area</w:t>
          </w:r>
          <w:r w:rsidR="00BF0494">
            <w:rPr>
              <w:caps/>
            </w:rPr>
            <w:t xml:space="preserve"> Fourche Maline:</w:t>
          </w:r>
          <w:r w:rsidR="005D5DD4">
            <w:rPr>
              <w:caps/>
            </w:rPr>
            <w:t xml:space="preserve">  </w:t>
          </w:r>
          <w:r w:rsidR="00BF0494">
            <w:rPr>
              <w:caps/>
            </w:rPr>
            <w:t>A Contested Landscape</w:t>
          </w:r>
        </w:p>
      </w:sdtContent>
    </w:sdt>
    <w:p w14:paraId="5258982B" w14:textId="77777777" w:rsidR="00BF0494" w:rsidRPr="0008176F" w:rsidRDefault="00BF0494" w:rsidP="008E2757">
      <w:pPr>
        <w:pStyle w:val="NoSpacing"/>
        <w:jc w:val="center"/>
        <w:rPr>
          <w:caps/>
        </w:rPr>
      </w:pPr>
    </w:p>
    <w:p w14:paraId="2BD29059" w14:textId="77777777" w:rsidR="00BF0494" w:rsidRPr="0008176F" w:rsidRDefault="00BF0494" w:rsidP="008E2757">
      <w:pPr>
        <w:pStyle w:val="NoSpacing"/>
        <w:jc w:val="center"/>
        <w:rPr>
          <w:caps/>
        </w:rPr>
      </w:pPr>
    </w:p>
    <w:p w14:paraId="47F8814B" w14:textId="77777777" w:rsidR="00BF0494" w:rsidRPr="0008176F" w:rsidRDefault="00BF0494" w:rsidP="008E2757">
      <w:pPr>
        <w:pStyle w:val="NoSpacing"/>
        <w:jc w:val="center"/>
        <w:rPr>
          <w:caps/>
        </w:rPr>
      </w:pPr>
    </w:p>
    <w:p w14:paraId="238507B8" w14:textId="77777777" w:rsidR="00BF0494" w:rsidRPr="0008176F" w:rsidRDefault="00BF0494" w:rsidP="008E2757">
      <w:pPr>
        <w:pStyle w:val="NoSpacing"/>
        <w:jc w:val="center"/>
        <w:rPr>
          <w:caps/>
        </w:rPr>
      </w:pPr>
    </w:p>
    <w:p w14:paraId="4185DFC8" w14:textId="77777777" w:rsidR="00BF0494" w:rsidRPr="0008176F" w:rsidRDefault="00BF0494" w:rsidP="008E2757">
      <w:pPr>
        <w:pStyle w:val="NoSpacing"/>
        <w:jc w:val="center"/>
        <w:rPr>
          <w:caps/>
        </w:rPr>
      </w:pPr>
      <w:r>
        <w:rPr>
          <w:caps/>
        </w:rPr>
        <w:t>A DISSERTATION</w:t>
      </w:r>
    </w:p>
    <w:p w14:paraId="47E6CF80" w14:textId="77777777" w:rsidR="00BF0494" w:rsidRPr="0008176F" w:rsidRDefault="00BF0494" w:rsidP="008E2757">
      <w:pPr>
        <w:pStyle w:val="NoSpacing"/>
        <w:jc w:val="center"/>
        <w:rPr>
          <w:caps/>
        </w:rPr>
      </w:pPr>
    </w:p>
    <w:p w14:paraId="7CB34527" w14:textId="77777777" w:rsidR="00BF0494" w:rsidRPr="0008176F" w:rsidRDefault="00BF0494" w:rsidP="008E2757">
      <w:pPr>
        <w:pStyle w:val="NoSpacing"/>
        <w:jc w:val="center"/>
        <w:rPr>
          <w:caps/>
        </w:rPr>
      </w:pPr>
      <w:r w:rsidRPr="0008176F">
        <w:rPr>
          <w:caps/>
        </w:rPr>
        <w:t>submitted to the Graduate Faculty</w:t>
      </w:r>
    </w:p>
    <w:p w14:paraId="0470D957" w14:textId="77777777" w:rsidR="00BF0494" w:rsidRDefault="00BF0494" w:rsidP="008E2757">
      <w:pPr>
        <w:pStyle w:val="NoSpacing"/>
        <w:jc w:val="center"/>
      </w:pPr>
    </w:p>
    <w:p w14:paraId="784E8EEE" w14:textId="77777777" w:rsidR="00BF0494" w:rsidRDefault="00BF0494" w:rsidP="008E2757">
      <w:pPr>
        <w:pStyle w:val="NoSpacing"/>
        <w:jc w:val="center"/>
      </w:pPr>
      <w:proofErr w:type="gramStart"/>
      <w:r>
        <w:t>in</w:t>
      </w:r>
      <w:proofErr w:type="gramEnd"/>
      <w:r>
        <w:t xml:space="preserve"> partial fulfillment of the requirements for the</w:t>
      </w:r>
    </w:p>
    <w:p w14:paraId="78CE46BB" w14:textId="77777777" w:rsidR="00BF0494" w:rsidRDefault="00BF0494" w:rsidP="008E2757">
      <w:pPr>
        <w:pStyle w:val="NoSpacing"/>
        <w:jc w:val="center"/>
      </w:pPr>
    </w:p>
    <w:p w14:paraId="1C7C60F5" w14:textId="77777777" w:rsidR="00BF0494" w:rsidRDefault="00BF0494" w:rsidP="008E2757">
      <w:pPr>
        <w:pStyle w:val="NoSpacing"/>
        <w:jc w:val="center"/>
      </w:pPr>
      <w:r>
        <w:t>Degree of</w:t>
      </w:r>
    </w:p>
    <w:p w14:paraId="6AA05591" w14:textId="77777777" w:rsidR="00BF0494" w:rsidRDefault="00BF0494" w:rsidP="008E2757">
      <w:pPr>
        <w:pStyle w:val="NoSpacing"/>
        <w:jc w:val="center"/>
      </w:pPr>
    </w:p>
    <w:p w14:paraId="23FF8F38" w14:textId="77777777" w:rsidR="00BF0494" w:rsidRDefault="00BF0494" w:rsidP="008E2757">
      <w:pPr>
        <w:pStyle w:val="NoSpacing"/>
        <w:jc w:val="center"/>
      </w:pPr>
      <w:r>
        <w:t>DOCTOR OF PHILOSOPHY</w:t>
      </w:r>
    </w:p>
    <w:p w14:paraId="1E260E45" w14:textId="77777777" w:rsidR="00BF0494" w:rsidRDefault="00BF0494" w:rsidP="008E2757">
      <w:pPr>
        <w:pStyle w:val="NoSpacing"/>
        <w:jc w:val="center"/>
      </w:pPr>
    </w:p>
    <w:p w14:paraId="34FE2603" w14:textId="77777777" w:rsidR="00BF0494" w:rsidRDefault="00BF0494" w:rsidP="008E2757">
      <w:pPr>
        <w:pStyle w:val="NoSpacing"/>
        <w:jc w:val="center"/>
      </w:pPr>
    </w:p>
    <w:p w14:paraId="15051CBB" w14:textId="77777777" w:rsidR="00BF0494" w:rsidRDefault="00BF0494" w:rsidP="008E2757">
      <w:pPr>
        <w:pStyle w:val="NoSpacing"/>
        <w:jc w:val="center"/>
      </w:pPr>
    </w:p>
    <w:p w14:paraId="002BEB08" w14:textId="77777777" w:rsidR="00BF0494" w:rsidRDefault="00BF0494" w:rsidP="008E2757">
      <w:pPr>
        <w:pStyle w:val="NoSpacing"/>
        <w:jc w:val="center"/>
      </w:pPr>
    </w:p>
    <w:p w14:paraId="2FE4551E" w14:textId="77777777" w:rsidR="00BF0494" w:rsidRDefault="00BF0494" w:rsidP="008E2757">
      <w:pPr>
        <w:pStyle w:val="NoSpacing"/>
        <w:jc w:val="center"/>
      </w:pPr>
    </w:p>
    <w:p w14:paraId="65A2371D" w14:textId="77777777" w:rsidR="00BF0494" w:rsidRDefault="00BF0494" w:rsidP="008E2757">
      <w:pPr>
        <w:pStyle w:val="NoSpacing"/>
        <w:jc w:val="center"/>
      </w:pPr>
    </w:p>
    <w:p w14:paraId="1B294C3F" w14:textId="77777777" w:rsidR="00BF0494" w:rsidRDefault="00BF0494" w:rsidP="008E2757">
      <w:pPr>
        <w:pStyle w:val="NoSpacing"/>
        <w:jc w:val="center"/>
      </w:pPr>
    </w:p>
    <w:p w14:paraId="1A5ED844" w14:textId="77777777" w:rsidR="00BF0494" w:rsidRDefault="00BF0494" w:rsidP="008E2757">
      <w:pPr>
        <w:pStyle w:val="NoSpacing"/>
        <w:jc w:val="center"/>
      </w:pPr>
    </w:p>
    <w:p w14:paraId="439B7834" w14:textId="77777777" w:rsidR="00BF0494" w:rsidRDefault="00BF0494" w:rsidP="008E2757">
      <w:pPr>
        <w:pStyle w:val="NoSpacing"/>
        <w:jc w:val="center"/>
      </w:pPr>
      <w:r>
        <w:t>By</w:t>
      </w:r>
    </w:p>
    <w:p w14:paraId="3E5F3204" w14:textId="77777777" w:rsidR="00BF0494" w:rsidRDefault="00BF0494" w:rsidP="008E2757">
      <w:pPr>
        <w:pStyle w:val="NoSpacing"/>
        <w:jc w:val="center"/>
      </w:pPr>
    </w:p>
    <w:sdt>
      <w:sdtPr>
        <w:rPr>
          <w:caps/>
        </w:rPr>
        <w:alias w:val="Click to enter your name (must match University records)"/>
        <w:tag w:val="Click to enter your name (must match University records)"/>
        <w:id w:val="24310776"/>
        <w:placeholder>
          <w:docPart w:val="EDF362D030A9FA4D8E42A853638897DF"/>
        </w:placeholder>
      </w:sdtPr>
      <w:sdtEndPr/>
      <w:sdtContent>
        <w:p w14:paraId="650E9619" w14:textId="77777777" w:rsidR="00BF0494" w:rsidRDefault="00BF0494" w:rsidP="008E2757">
          <w:pPr>
            <w:pStyle w:val="NoSpacing"/>
            <w:jc w:val="center"/>
            <w:rPr>
              <w:caps/>
            </w:rPr>
          </w:pPr>
          <w:r>
            <w:rPr>
              <w:caps/>
            </w:rPr>
            <w:t xml:space="preserve">SIMONE </w:t>
          </w:r>
          <w:proofErr w:type="spellStart"/>
          <w:r>
            <w:rPr>
              <w:caps/>
            </w:rPr>
            <w:t>BACHMAI</w:t>
          </w:r>
          <w:proofErr w:type="spellEnd"/>
          <w:r>
            <w:rPr>
              <w:caps/>
            </w:rPr>
            <w:t xml:space="preserve"> ROWE</w:t>
          </w:r>
        </w:p>
      </w:sdtContent>
    </w:sdt>
    <w:sdt>
      <w:sdtPr>
        <w:id w:val="30091838"/>
        <w:lock w:val="contentLocked"/>
        <w:placeholder>
          <w:docPart w:val="BD54F130A28C9943B96848EFB8B59478"/>
        </w:placeholder>
        <w:group/>
      </w:sdtPr>
      <w:sdtEndPr/>
      <w:sdtContent>
        <w:p w14:paraId="7BA12454" w14:textId="77777777" w:rsidR="00BF0494" w:rsidRDefault="00BF0494" w:rsidP="008E2757">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BD54F130A28C9943B96848EFB8B59478"/>
        </w:placeholder>
      </w:sdtPr>
      <w:sdtEndPr/>
      <w:sdtContent>
        <w:p w14:paraId="6FFBB641" w14:textId="77777777" w:rsidR="00BF0494" w:rsidRDefault="00BF0494" w:rsidP="008E2757">
          <w:pPr>
            <w:pStyle w:val="NoSpacing"/>
            <w:jc w:val="center"/>
          </w:pPr>
          <w:r>
            <w:t>2014</w:t>
          </w:r>
        </w:p>
      </w:sdtContent>
    </w:sdt>
    <w:p w14:paraId="268BD2AD" w14:textId="77777777" w:rsidR="00BF0494" w:rsidRDefault="00BF0494" w:rsidP="008E2757">
      <w:pPr>
        <w:pStyle w:val="NoSpacing"/>
        <w:jc w:val="center"/>
      </w:pPr>
      <w:r>
        <w:br w:type="page"/>
      </w:r>
    </w:p>
    <w:p w14:paraId="5D1E0273" w14:textId="77777777" w:rsidR="00BF0494" w:rsidRDefault="00BF0494" w:rsidP="008E2757">
      <w:pPr>
        <w:pStyle w:val="NoSpacing"/>
        <w:jc w:val="center"/>
      </w:pPr>
    </w:p>
    <w:p w14:paraId="6350DA2E" w14:textId="77777777" w:rsidR="00BF0494" w:rsidRDefault="00BF0494" w:rsidP="008E2757">
      <w:pPr>
        <w:pStyle w:val="NoSpacing"/>
        <w:jc w:val="center"/>
      </w:pPr>
    </w:p>
    <w:p w14:paraId="2FCEFFD6" w14:textId="77777777" w:rsidR="00BF0494" w:rsidRDefault="00BF0494" w:rsidP="008E2757">
      <w:pPr>
        <w:pStyle w:val="NoSpacing"/>
      </w:pPr>
    </w:p>
    <w:p w14:paraId="33398883" w14:textId="77777777" w:rsidR="00BF0494" w:rsidRDefault="00BF0494" w:rsidP="008E2757">
      <w:pPr>
        <w:pStyle w:val="NoSpacing"/>
        <w:jc w:val="center"/>
      </w:pPr>
    </w:p>
    <w:sdt>
      <w:sdtPr>
        <w:rPr>
          <w:caps/>
        </w:rPr>
        <w:alias w:val="Click to enter dissertation title"/>
        <w:tag w:val="Click to enter dissertation title"/>
        <w:id w:val="30091843"/>
        <w:placeholder>
          <w:docPart w:val="BD54F130A28C9943B96848EFB8B59478"/>
        </w:placeholder>
      </w:sdtPr>
      <w:sdtEndPr/>
      <w:sdtContent>
        <w:p w14:paraId="4136E647" w14:textId="77777777" w:rsidR="00BF0494" w:rsidRDefault="00BF0494" w:rsidP="008E2757">
          <w:pPr>
            <w:pStyle w:val="NoSpacing"/>
            <w:spacing w:line="480" w:lineRule="auto"/>
            <w:jc w:val="center"/>
            <w:rPr>
              <w:caps/>
            </w:rPr>
          </w:pPr>
          <w:r>
            <w:rPr>
              <w:caps/>
            </w:rPr>
            <w:t xml:space="preserve"> </w:t>
          </w:r>
        </w:p>
        <w:sdt>
          <w:sdtPr>
            <w:rPr>
              <w:caps/>
            </w:rPr>
            <w:alias w:val="Click to enter dissertation title"/>
            <w:tag w:val="Click to enter dissertation title"/>
            <w:id w:val="-1553380068"/>
            <w:placeholder>
              <w:docPart w:val="13AD4E6345296E46AE49A26053B740BF"/>
            </w:placeholder>
          </w:sdtPr>
          <w:sdtEndPr/>
          <w:sdtContent>
            <w:p w14:paraId="722CFFB7" w14:textId="77777777" w:rsidR="00BF0494" w:rsidRDefault="00BF0494" w:rsidP="008E2757">
              <w:pPr>
                <w:pStyle w:val="NoSpacing"/>
                <w:jc w:val="center"/>
                <w:rPr>
                  <w:caps/>
                </w:rPr>
              </w:pPr>
            </w:p>
            <w:p w14:paraId="16EB8488" w14:textId="4BA86A82" w:rsidR="00BF0494" w:rsidRPr="0008176F" w:rsidRDefault="00CF609A" w:rsidP="005D5DD4">
              <w:pPr>
                <w:pStyle w:val="NoSpacing"/>
                <w:jc w:val="center"/>
                <w:rPr>
                  <w:caps/>
                </w:rPr>
              </w:pPr>
              <w:r>
                <w:rPr>
                  <w:caps/>
                </w:rPr>
                <w:t>Wister area</w:t>
              </w:r>
              <w:r w:rsidR="00BF0494">
                <w:rPr>
                  <w:caps/>
                </w:rPr>
                <w:t xml:space="preserve"> FOURCHE MALINE:</w:t>
              </w:r>
              <w:r w:rsidR="005D5DD4">
                <w:rPr>
                  <w:caps/>
                </w:rPr>
                <w:t xml:space="preserve">  </w:t>
              </w:r>
              <w:r w:rsidR="00BF0494">
                <w:rPr>
                  <w:caps/>
                </w:rPr>
                <w:t>a contested Landscape</w:t>
              </w:r>
            </w:p>
          </w:sdtContent>
        </w:sdt>
        <w:p w14:paraId="64481565" w14:textId="77777777" w:rsidR="00BF0494" w:rsidRPr="00730F0A" w:rsidRDefault="00C7315B" w:rsidP="008E2757">
          <w:pPr>
            <w:pStyle w:val="NoSpacing"/>
            <w:jc w:val="center"/>
            <w:rPr>
              <w:caps/>
            </w:rPr>
          </w:pPr>
        </w:p>
      </w:sdtContent>
    </w:sdt>
    <w:p w14:paraId="3C69A22D" w14:textId="77777777" w:rsidR="00BF0494" w:rsidRPr="00730F0A" w:rsidRDefault="00BF0494" w:rsidP="008E2757">
      <w:pPr>
        <w:pStyle w:val="NoSpacing"/>
        <w:jc w:val="center"/>
        <w:rPr>
          <w:caps/>
        </w:rPr>
      </w:pPr>
    </w:p>
    <w:p w14:paraId="3B7F740F" w14:textId="77777777" w:rsidR="00BF0494" w:rsidRPr="00730F0A" w:rsidRDefault="00BF0494" w:rsidP="008E2757">
      <w:pPr>
        <w:pStyle w:val="NoSpacing"/>
        <w:jc w:val="center"/>
        <w:rPr>
          <w:caps/>
        </w:rPr>
      </w:pPr>
    </w:p>
    <w:p w14:paraId="239449E1" w14:textId="77777777" w:rsidR="00BF0494" w:rsidRDefault="00BF0494" w:rsidP="008E2757">
      <w:pPr>
        <w:spacing w:line="240" w:lineRule="auto"/>
        <w:jc w:val="center"/>
      </w:pPr>
      <w:r>
        <w:t>A DISSERTATION APPROVED FOR THE</w:t>
      </w:r>
    </w:p>
    <w:p w14:paraId="0AE2FBD5" w14:textId="77777777" w:rsidR="00BF0494" w:rsidRDefault="00BF0494" w:rsidP="008E2757">
      <w:pPr>
        <w:spacing w:line="240" w:lineRule="auto"/>
        <w:jc w:val="center"/>
      </w:pPr>
      <w:r>
        <w:t>DEPARTMENT OF ANTHROPOLOGY</w:t>
      </w:r>
    </w:p>
    <w:p w14:paraId="40E3CB9B" w14:textId="77777777" w:rsidR="00BF0494" w:rsidRPr="00730F0A" w:rsidRDefault="00BF0494" w:rsidP="008E2757">
      <w:pPr>
        <w:pStyle w:val="NoSpacing"/>
        <w:jc w:val="center"/>
        <w:rPr>
          <w:caps/>
        </w:rPr>
      </w:pPr>
    </w:p>
    <w:p w14:paraId="7E06E01B" w14:textId="77777777" w:rsidR="00BF0494" w:rsidRPr="00730F0A" w:rsidRDefault="00BF0494" w:rsidP="008E2757">
      <w:pPr>
        <w:pStyle w:val="NoSpacing"/>
        <w:jc w:val="center"/>
        <w:rPr>
          <w:caps/>
        </w:rPr>
      </w:pPr>
    </w:p>
    <w:p w14:paraId="68D0741A" w14:textId="77777777" w:rsidR="00BF0494" w:rsidRPr="00730F0A" w:rsidRDefault="00BF0494" w:rsidP="008E2757">
      <w:pPr>
        <w:pStyle w:val="NoSpacing"/>
        <w:jc w:val="center"/>
        <w:rPr>
          <w:caps/>
        </w:rPr>
      </w:pPr>
    </w:p>
    <w:p w14:paraId="2002F2DF" w14:textId="77777777" w:rsidR="00BF0494" w:rsidRDefault="00BF0494" w:rsidP="008E2757">
      <w:pPr>
        <w:pStyle w:val="NoSpacing"/>
        <w:jc w:val="center"/>
        <w:rPr>
          <w:caps/>
        </w:rPr>
      </w:pPr>
    </w:p>
    <w:p w14:paraId="2C2C1E4B" w14:textId="77777777" w:rsidR="00BF0494" w:rsidRPr="00730F0A" w:rsidRDefault="00BF0494" w:rsidP="008E2757">
      <w:pPr>
        <w:pStyle w:val="NoSpacing"/>
        <w:jc w:val="center"/>
        <w:rPr>
          <w:caps/>
        </w:rPr>
      </w:pPr>
    </w:p>
    <w:p w14:paraId="3392EF73" w14:textId="77777777" w:rsidR="00BF0494" w:rsidRPr="00730F0A" w:rsidRDefault="00BF0494" w:rsidP="008E2757">
      <w:pPr>
        <w:pStyle w:val="NoSpacing"/>
        <w:rPr>
          <w:caps/>
        </w:rPr>
      </w:pPr>
    </w:p>
    <w:sdt>
      <w:sdtPr>
        <w:rPr>
          <w:caps/>
          <w:color w:val="808080"/>
        </w:rPr>
        <w:id w:val="30091876"/>
        <w:lock w:val="contentLocked"/>
        <w:placeholder>
          <w:docPart w:val="BD54F130A28C9943B96848EFB8B59478"/>
        </w:placeholder>
        <w:group/>
      </w:sdtPr>
      <w:sdtEndPr/>
      <w:sdtContent>
        <w:p w14:paraId="26F8DE34" w14:textId="77777777" w:rsidR="00BF0494" w:rsidRPr="00730F0A" w:rsidRDefault="00BF0494" w:rsidP="008E2757">
          <w:pPr>
            <w:pStyle w:val="NoSpacing"/>
            <w:jc w:val="center"/>
            <w:rPr>
              <w:caps/>
            </w:rPr>
          </w:pPr>
          <w:r w:rsidRPr="00730F0A">
            <w:rPr>
              <w:caps/>
            </w:rPr>
            <w:t>By</w:t>
          </w:r>
        </w:p>
      </w:sdtContent>
    </w:sdt>
    <w:p w14:paraId="3471390C" w14:textId="77777777" w:rsidR="00BF0494" w:rsidRDefault="00BF0494" w:rsidP="008E2757">
      <w:pPr>
        <w:pStyle w:val="NoSpacing"/>
        <w:jc w:val="center"/>
      </w:pPr>
    </w:p>
    <w:p w14:paraId="76A65820" w14:textId="77777777" w:rsidR="00BF0494" w:rsidRDefault="00BF0494" w:rsidP="008E2757">
      <w:pPr>
        <w:pStyle w:val="NoSpacing"/>
        <w:jc w:val="center"/>
      </w:pPr>
    </w:p>
    <w:p w14:paraId="668FAA80" w14:textId="77777777" w:rsidR="00BF0494" w:rsidRDefault="00BF0494" w:rsidP="008E2757">
      <w:pPr>
        <w:pStyle w:val="NoSpacing"/>
        <w:jc w:val="center"/>
      </w:pPr>
    </w:p>
    <w:p w14:paraId="308CD97A" w14:textId="77777777" w:rsidR="00BF0494" w:rsidRPr="006B4721" w:rsidRDefault="00BF0494" w:rsidP="008E2757">
      <w:pPr>
        <w:pStyle w:val="NoSpacing"/>
        <w:jc w:val="right"/>
      </w:pPr>
      <w:r>
        <w:tab/>
      </w:r>
      <w:r>
        <w:tab/>
      </w:r>
      <w:r>
        <w:tab/>
      </w:r>
      <w:r>
        <w:tab/>
        <w:t>______________________________</w:t>
      </w:r>
    </w:p>
    <w:p w14:paraId="267FE328" w14:textId="77777777" w:rsidR="00BF0494" w:rsidRDefault="00C7315B" w:rsidP="008E2757">
      <w:pPr>
        <w:pStyle w:val="NoSpacing"/>
        <w:jc w:val="right"/>
      </w:pPr>
      <w:sdt>
        <w:sdtPr>
          <w:id w:val="2462164"/>
          <w:lock w:val="contentLocked"/>
          <w:placeholder>
            <w:docPart w:val="BD54F130A28C9943B96848EFB8B59478"/>
          </w:placeholder>
          <w:group/>
        </w:sdtPr>
        <w:sdtEndPr/>
        <w:sdtContent>
          <w:sdt>
            <w:sdtPr>
              <w:id w:val="11707793"/>
              <w:lock w:val="contentLocked"/>
              <w:placeholder>
                <w:docPart w:val="BD54F130A28C9943B96848EFB8B59478"/>
              </w:placeholder>
              <w:group/>
            </w:sdtPr>
            <w:sdtEndPr/>
            <w:sdtContent>
              <w:r w:rsidR="00BF0494">
                <w:t>Dr.</w:t>
              </w:r>
            </w:sdtContent>
          </w:sdt>
        </w:sdtContent>
      </w:sdt>
      <w:r w:rsidR="00BF0494">
        <w:t xml:space="preserve"> </w:t>
      </w:r>
      <w:sdt>
        <w:sdtPr>
          <w:alias w:val="Click to enter committee chair name"/>
          <w:tag w:val="committee chair"/>
          <w:id w:val="30091849"/>
          <w:placeholder>
            <w:docPart w:val="BD54F130A28C9943B96848EFB8B59478"/>
          </w:placeholder>
        </w:sdtPr>
        <w:sdtEndPr/>
        <w:sdtContent>
          <w:r w:rsidR="00BF0494">
            <w:t>Lesley Rankin-Hill</w:t>
          </w:r>
        </w:sdtContent>
      </w:sdt>
      <w:r w:rsidR="00BF0494">
        <w:t>, Co-Chair</w:t>
      </w:r>
    </w:p>
    <w:p w14:paraId="133A3419" w14:textId="77777777" w:rsidR="00BF0494" w:rsidRDefault="00BF0494" w:rsidP="008E2757">
      <w:pPr>
        <w:pStyle w:val="NoSpacing"/>
        <w:jc w:val="right"/>
      </w:pPr>
    </w:p>
    <w:p w14:paraId="3AED7042" w14:textId="77777777" w:rsidR="00BF0494" w:rsidRDefault="00BF0494" w:rsidP="008E2757">
      <w:pPr>
        <w:pStyle w:val="NoSpacing"/>
        <w:jc w:val="right"/>
      </w:pPr>
    </w:p>
    <w:p w14:paraId="41F87143" w14:textId="77777777" w:rsidR="00BF0494" w:rsidRPr="006B4721" w:rsidRDefault="00BF0494" w:rsidP="008E2757">
      <w:pPr>
        <w:pStyle w:val="NoSpacing"/>
        <w:jc w:val="right"/>
      </w:pPr>
      <w:r>
        <w:t>______________________________</w:t>
      </w:r>
    </w:p>
    <w:p w14:paraId="731DF6A5" w14:textId="77777777" w:rsidR="00BF0494" w:rsidRDefault="00C7315B" w:rsidP="008E2757">
      <w:pPr>
        <w:pStyle w:val="NoSpacing"/>
        <w:jc w:val="right"/>
      </w:pPr>
      <w:sdt>
        <w:sdtPr>
          <w:alias w:val="Click to enter 2nd member name"/>
          <w:tag w:val="2nd member"/>
          <w:id w:val="30091850"/>
          <w:placeholder>
            <w:docPart w:val="FB41D91FDF33124591E67F35F2733E93"/>
          </w:placeholder>
        </w:sdtPr>
        <w:sdtEndPr/>
        <w:sdtContent>
          <w:r w:rsidR="00BF0494">
            <w:t>Dr. Don Wyckoff, Co-Chair</w:t>
          </w:r>
        </w:sdtContent>
      </w:sdt>
    </w:p>
    <w:p w14:paraId="5F8C19F1" w14:textId="77777777" w:rsidR="00BF0494" w:rsidRDefault="00BF0494" w:rsidP="008E2757">
      <w:pPr>
        <w:pStyle w:val="NoSpacing"/>
        <w:jc w:val="right"/>
      </w:pPr>
    </w:p>
    <w:p w14:paraId="1CCC1216" w14:textId="77777777" w:rsidR="00BF0494" w:rsidRDefault="00BF0494" w:rsidP="008E2757">
      <w:pPr>
        <w:pStyle w:val="NoSpacing"/>
        <w:jc w:val="right"/>
      </w:pPr>
    </w:p>
    <w:p w14:paraId="5BDEA02B" w14:textId="77777777" w:rsidR="00BF0494" w:rsidRPr="006B4721" w:rsidRDefault="00BF0494" w:rsidP="008E2757">
      <w:pPr>
        <w:pStyle w:val="NoSpacing"/>
        <w:jc w:val="right"/>
      </w:pPr>
      <w:r>
        <w:t>______________________________</w:t>
      </w:r>
    </w:p>
    <w:p w14:paraId="06B38B15" w14:textId="77777777" w:rsidR="00BF0494" w:rsidRDefault="00BF0494" w:rsidP="008E2757">
      <w:pPr>
        <w:pStyle w:val="NoSpacing"/>
        <w:jc w:val="right"/>
      </w:pPr>
      <w:r>
        <w:t>Dr. Diane Warren</w:t>
      </w:r>
    </w:p>
    <w:p w14:paraId="30EB68F7" w14:textId="77777777" w:rsidR="00BF0494" w:rsidRDefault="00BF0494" w:rsidP="008E2757">
      <w:pPr>
        <w:pStyle w:val="NoSpacing"/>
        <w:jc w:val="right"/>
      </w:pPr>
    </w:p>
    <w:p w14:paraId="52269862" w14:textId="77777777" w:rsidR="00BF0494" w:rsidRPr="006B4721" w:rsidRDefault="00BF0494" w:rsidP="008E2757">
      <w:pPr>
        <w:pStyle w:val="NoSpacing"/>
        <w:jc w:val="right"/>
      </w:pPr>
      <w:r>
        <w:t>______________________________</w:t>
      </w:r>
    </w:p>
    <w:p w14:paraId="2DB0BA79" w14:textId="77777777" w:rsidR="00BF0494" w:rsidRDefault="00BF0494" w:rsidP="008E2757">
      <w:pPr>
        <w:pStyle w:val="NoSpacing"/>
        <w:jc w:val="right"/>
      </w:pPr>
      <w:r>
        <w:t xml:space="preserve">Dr. Patrick </w:t>
      </w:r>
      <w:proofErr w:type="spellStart"/>
      <w:r>
        <w:t>Livingood</w:t>
      </w:r>
      <w:proofErr w:type="spellEnd"/>
    </w:p>
    <w:p w14:paraId="6FEE89BF" w14:textId="77777777" w:rsidR="00BF0494" w:rsidRDefault="00BF0494" w:rsidP="008E2757">
      <w:pPr>
        <w:pStyle w:val="NoSpacing"/>
        <w:jc w:val="right"/>
      </w:pPr>
    </w:p>
    <w:p w14:paraId="2D2763C4" w14:textId="77777777" w:rsidR="00BF0494" w:rsidRPr="006B4721" w:rsidRDefault="00BF0494" w:rsidP="008E2757">
      <w:pPr>
        <w:pStyle w:val="NoSpacing"/>
        <w:jc w:val="right"/>
      </w:pPr>
      <w:r>
        <w:t>______________________________</w:t>
      </w:r>
    </w:p>
    <w:p w14:paraId="5B2B27F3" w14:textId="77777777" w:rsidR="00BF0494" w:rsidRDefault="00BF0494" w:rsidP="008E2757">
      <w:pPr>
        <w:pStyle w:val="NoSpacing"/>
        <w:jc w:val="right"/>
      </w:pPr>
      <w:r>
        <w:t xml:space="preserve">Dr. Barbara </w:t>
      </w:r>
      <w:proofErr w:type="spellStart"/>
      <w:r>
        <w:t>Safiejko-Mroczka</w:t>
      </w:r>
      <w:proofErr w:type="spellEnd"/>
    </w:p>
    <w:p w14:paraId="21A875A3" w14:textId="77777777" w:rsidR="00BF0494" w:rsidRDefault="00BF0494" w:rsidP="008E2757">
      <w:pPr>
        <w:pStyle w:val="NoSpacing"/>
        <w:jc w:val="right"/>
      </w:pPr>
    </w:p>
    <w:p w14:paraId="56B5B851" w14:textId="77777777" w:rsidR="007245E0" w:rsidRDefault="007245E0" w:rsidP="00BF0494">
      <w:pPr>
        <w:pStyle w:val="NoSpacing"/>
        <w:jc w:val="center"/>
      </w:pPr>
    </w:p>
    <w:p w14:paraId="146CEDEB" w14:textId="77777777" w:rsidR="00BF0494" w:rsidRDefault="00BF0494" w:rsidP="00BF0494">
      <w:pPr>
        <w:pStyle w:val="NoSpacing"/>
        <w:jc w:val="center"/>
      </w:pPr>
    </w:p>
    <w:p w14:paraId="31F018D4" w14:textId="77777777" w:rsidR="00BF0494" w:rsidRDefault="00BF0494" w:rsidP="00BF0494">
      <w:pPr>
        <w:pStyle w:val="NoSpacing"/>
        <w:jc w:val="center"/>
      </w:pPr>
    </w:p>
    <w:p w14:paraId="62F5494A" w14:textId="77777777" w:rsidR="00BF0494" w:rsidRDefault="00BF0494" w:rsidP="00BF0494">
      <w:pPr>
        <w:pStyle w:val="NoSpacing"/>
        <w:jc w:val="center"/>
      </w:pPr>
    </w:p>
    <w:p w14:paraId="770998A3" w14:textId="77777777" w:rsidR="00BF0494" w:rsidRDefault="00BF0494" w:rsidP="00BF0494">
      <w:pPr>
        <w:pStyle w:val="NoSpacing"/>
        <w:jc w:val="center"/>
      </w:pPr>
    </w:p>
    <w:p w14:paraId="46318F9D" w14:textId="77777777" w:rsidR="00BF0494" w:rsidRDefault="00BF0494" w:rsidP="008E2757">
      <w:pPr>
        <w:pStyle w:val="NoSpacing"/>
        <w:jc w:val="center"/>
      </w:pPr>
    </w:p>
    <w:p w14:paraId="765F512C" w14:textId="77777777" w:rsidR="00BF0494" w:rsidRDefault="00BF0494" w:rsidP="008E2757">
      <w:pPr>
        <w:pStyle w:val="NoSpacing"/>
        <w:jc w:val="center"/>
      </w:pPr>
    </w:p>
    <w:p w14:paraId="41BA0EB4" w14:textId="77777777" w:rsidR="00BF0494" w:rsidRDefault="00BF0494" w:rsidP="008E2757">
      <w:pPr>
        <w:pStyle w:val="NoSpacing"/>
        <w:jc w:val="center"/>
      </w:pPr>
    </w:p>
    <w:p w14:paraId="19D2E3D6" w14:textId="77777777" w:rsidR="00BF0494" w:rsidRDefault="00BF0494" w:rsidP="008E2757">
      <w:pPr>
        <w:pStyle w:val="NoSpacing"/>
        <w:jc w:val="center"/>
      </w:pPr>
    </w:p>
    <w:p w14:paraId="4A7B576B" w14:textId="77777777" w:rsidR="00BF0494" w:rsidRDefault="00BF0494" w:rsidP="008E2757">
      <w:pPr>
        <w:pStyle w:val="NoSpacing"/>
        <w:jc w:val="center"/>
      </w:pPr>
    </w:p>
    <w:p w14:paraId="78D57311" w14:textId="77777777" w:rsidR="00BF0494" w:rsidRDefault="00BF0494" w:rsidP="008E2757">
      <w:pPr>
        <w:pStyle w:val="NoSpacing"/>
        <w:jc w:val="center"/>
      </w:pPr>
    </w:p>
    <w:p w14:paraId="2FAC5328" w14:textId="77777777" w:rsidR="00BF0494" w:rsidRDefault="00BF0494" w:rsidP="008E2757">
      <w:pPr>
        <w:pStyle w:val="NoSpacing"/>
        <w:jc w:val="center"/>
      </w:pPr>
    </w:p>
    <w:p w14:paraId="00FEE24D" w14:textId="77777777" w:rsidR="00BF0494" w:rsidRDefault="00BF0494" w:rsidP="008E2757">
      <w:pPr>
        <w:pStyle w:val="NoSpacing"/>
        <w:jc w:val="center"/>
      </w:pPr>
    </w:p>
    <w:p w14:paraId="4D3C635D" w14:textId="77777777" w:rsidR="00BF0494" w:rsidRDefault="00BF0494" w:rsidP="008E2757">
      <w:pPr>
        <w:pStyle w:val="NoSpacing"/>
        <w:jc w:val="center"/>
      </w:pPr>
    </w:p>
    <w:p w14:paraId="20BCB3E4" w14:textId="77777777" w:rsidR="00BF0494" w:rsidRDefault="00BF0494" w:rsidP="008E2757">
      <w:pPr>
        <w:pStyle w:val="NoSpacing"/>
        <w:jc w:val="center"/>
      </w:pPr>
    </w:p>
    <w:p w14:paraId="024DED40" w14:textId="77777777" w:rsidR="00BF0494" w:rsidRDefault="00BF0494" w:rsidP="008E2757">
      <w:pPr>
        <w:pStyle w:val="NoSpacing"/>
        <w:jc w:val="center"/>
      </w:pPr>
    </w:p>
    <w:p w14:paraId="0293654E" w14:textId="77777777" w:rsidR="00BF0494" w:rsidRDefault="00BF0494" w:rsidP="008E2757">
      <w:pPr>
        <w:pStyle w:val="NoSpacing"/>
        <w:jc w:val="center"/>
      </w:pPr>
    </w:p>
    <w:p w14:paraId="6BA20587" w14:textId="77777777" w:rsidR="00BF0494" w:rsidRDefault="00BF0494" w:rsidP="008E2757">
      <w:pPr>
        <w:pStyle w:val="NoSpacing"/>
        <w:jc w:val="center"/>
      </w:pPr>
    </w:p>
    <w:p w14:paraId="41BAF29E" w14:textId="77777777" w:rsidR="00BF0494" w:rsidRDefault="00BF0494" w:rsidP="008E2757">
      <w:pPr>
        <w:pStyle w:val="NoSpacing"/>
        <w:jc w:val="center"/>
      </w:pPr>
    </w:p>
    <w:p w14:paraId="3BFA5CDC" w14:textId="77777777" w:rsidR="00BF0494" w:rsidRDefault="00BF0494" w:rsidP="008E2757">
      <w:pPr>
        <w:pStyle w:val="NoSpacing"/>
        <w:jc w:val="center"/>
      </w:pPr>
    </w:p>
    <w:p w14:paraId="0EC92603" w14:textId="77777777" w:rsidR="00BF0494" w:rsidRDefault="00BF0494" w:rsidP="008E2757">
      <w:pPr>
        <w:pStyle w:val="NoSpacing"/>
        <w:jc w:val="center"/>
      </w:pPr>
    </w:p>
    <w:p w14:paraId="55C3FC82" w14:textId="77777777" w:rsidR="00BF0494" w:rsidRDefault="00BF0494" w:rsidP="008E2757">
      <w:pPr>
        <w:pStyle w:val="NoSpacing"/>
        <w:jc w:val="center"/>
      </w:pPr>
    </w:p>
    <w:p w14:paraId="5ABAE2A3" w14:textId="77777777" w:rsidR="00BF0494" w:rsidRDefault="00BF0494" w:rsidP="008E2757">
      <w:pPr>
        <w:pStyle w:val="NoSpacing"/>
        <w:jc w:val="center"/>
      </w:pPr>
    </w:p>
    <w:p w14:paraId="4E957822" w14:textId="77777777" w:rsidR="00BF0494" w:rsidRDefault="00BF0494" w:rsidP="008E2757">
      <w:pPr>
        <w:pStyle w:val="NoSpacing"/>
        <w:jc w:val="center"/>
      </w:pPr>
    </w:p>
    <w:p w14:paraId="572E7FED" w14:textId="77777777" w:rsidR="00BF0494" w:rsidRDefault="00BF0494" w:rsidP="008E2757">
      <w:pPr>
        <w:pStyle w:val="NoSpacing"/>
        <w:jc w:val="center"/>
      </w:pPr>
    </w:p>
    <w:p w14:paraId="2DEE7D31" w14:textId="77777777" w:rsidR="00BF0494" w:rsidRDefault="00BF0494" w:rsidP="008E2757">
      <w:pPr>
        <w:pStyle w:val="NoSpacing"/>
        <w:jc w:val="center"/>
      </w:pPr>
    </w:p>
    <w:p w14:paraId="31458F54" w14:textId="77777777" w:rsidR="00BF0494" w:rsidRDefault="00BF0494" w:rsidP="008E2757">
      <w:pPr>
        <w:pStyle w:val="NoSpacing"/>
        <w:jc w:val="center"/>
      </w:pPr>
    </w:p>
    <w:p w14:paraId="54984AC7" w14:textId="77777777" w:rsidR="00BF0494" w:rsidRDefault="00BF0494" w:rsidP="008E2757">
      <w:pPr>
        <w:pStyle w:val="NoSpacing"/>
        <w:jc w:val="center"/>
      </w:pPr>
    </w:p>
    <w:p w14:paraId="71799626" w14:textId="77777777" w:rsidR="00BF0494" w:rsidRDefault="00BF0494" w:rsidP="008E2757">
      <w:pPr>
        <w:pStyle w:val="NoSpacing"/>
        <w:jc w:val="center"/>
      </w:pPr>
    </w:p>
    <w:p w14:paraId="6082122F" w14:textId="77777777" w:rsidR="00BF0494" w:rsidRDefault="00BF0494" w:rsidP="008E2757">
      <w:pPr>
        <w:pStyle w:val="NoSpacing"/>
        <w:jc w:val="center"/>
      </w:pPr>
    </w:p>
    <w:p w14:paraId="790081F1" w14:textId="77777777" w:rsidR="00BF0494" w:rsidRDefault="00BF0494" w:rsidP="008E2757">
      <w:pPr>
        <w:pStyle w:val="NoSpacing"/>
        <w:jc w:val="center"/>
      </w:pPr>
    </w:p>
    <w:p w14:paraId="2385F7D5" w14:textId="77777777" w:rsidR="00BF0494" w:rsidRDefault="00BF0494" w:rsidP="008E2757">
      <w:pPr>
        <w:pStyle w:val="NoSpacing"/>
        <w:jc w:val="center"/>
      </w:pPr>
    </w:p>
    <w:p w14:paraId="658174D4" w14:textId="77777777" w:rsidR="00BF0494" w:rsidRDefault="00BF0494" w:rsidP="008E2757">
      <w:pPr>
        <w:pStyle w:val="NoSpacing"/>
        <w:jc w:val="center"/>
      </w:pPr>
    </w:p>
    <w:p w14:paraId="326BC9AD" w14:textId="77777777" w:rsidR="00BF0494" w:rsidRDefault="00BF0494" w:rsidP="008E2757">
      <w:pPr>
        <w:pStyle w:val="NoSpacing"/>
        <w:jc w:val="center"/>
      </w:pPr>
    </w:p>
    <w:p w14:paraId="6C24B176" w14:textId="77777777" w:rsidR="00BF0494" w:rsidRDefault="00BF0494" w:rsidP="008E2757">
      <w:pPr>
        <w:pStyle w:val="NoSpacing"/>
        <w:jc w:val="center"/>
      </w:pPr>
    </w:p>
    <w:p w14:paraId="56B8DDDF" w14:textId="77777777" w:rsidR="00BF0494" w:rsidRDefault="00BF0494" w:rsidP="008E2757">
      <w:pPr>
        <w:pStyle w:val="NoSpacing"/>
        <w:jc w:val="center"/>
      </w:pPr>
    </w:p>
    <w:p w14:paraId="0D24A455" w14:textId="77777777" w:rsidR="00BF0494" w:rsidRDefault="00BF0494" w:rsidP="008E2757">
      <w:pPr>
        <w:pStyle w:val="NoSpacing"/>
        <w:jc w:val="center"/>
      </w:pPr>
    </w:p>
    <w:p w14:paraId="51C10F12" w14:textId="77777777" w:rsidR="00BF0494" w:rsidRDefault="00BF0494" w:rsidP="008E2757">
      <w:pPr>
        <w:pStyle w:val="NoSpacing"/>
        <w:jc w:val="center"/>
      </w:pPr>
    </w:p>
    <w:p w14:paraId="766BF63C" w14:textId="77777777" w:rsidR="00BF0494" w:rsidRDefault="00BF0494" w:rsidP="008E2757">
      <w:pPr>
        <w:pStyle w:val="NoSpacing"/>
        <w:jc w:val="center"/>
      </w:pPr>
    </w:p>
    <w:p w14:paraId="26D24DB1" w14:textId="77777777" w:rsidR="00BF0494" w:rsidRDefault="00BF0494" w:rsidP="008E2757">
      <w:pPr>
        <w:pStyle w:val="NoSpacing"/>
        <w:jc w:val="center"/>
      </w:pPr>
    </w:p>
    <w:p w14:paraId="6CFB365F" w14:textId="77777777" w:rsidR="00BF0494" w:rsidRDefault="00BF0494" w:rsidP="008E2757">
      <w:pPr>
        <w:pStyle w:val="NoSpacing"/>
        <w:jc w:val="center"/>
      </w:pPr>
    </w:p>
    <w:p w14:paraId="7C61C7C1" w14:textId="77777777" w:rsidR="00BF0494" w:rsidRDefault="00BF0494" w:rsidP="008E2757">
      <w:pPr>
        <w:pStyle w:val="NoSpacing"/>
        <w:jc w:val="center"/>
      </w:pPr>
    </w:p>
    <w:p w14:paraId="4E393105" w14:textId="77777777" w:rsidR="00BF0494" w:rsidRDefault="00BF0494" w:rsidP="008E2757">
      <w:pPr>
        <w:pStyle w:val="NoSpacing"/>
        <w:jc w:val="center"/>
      </w:pPr>
    </w:p>
    <w:p w14:paraId="031A7B0A" w14:textId="77777777" w:rsidR="00BF0494" w:rsidRDefault="00BF0494" w:rsidP="008E2757">
      <w:pPr>
        <w:pStyle w:val="NoSpacing"/>
        <w:jc w:val="center"/>
      </w:pPr>
    </w:p>
    <w:p w14:paraId="29EEE987" w14:textId="77777777" w:rsidR="00BF0494" w:rsidRDefault="00BF0494" w:rsidP="008E2757">
      <w:pPr>
        <w:pStyle w:val="NoSpacing"/>
        <w:jc w:val="center"/>
      </w:pPr>
    </w:p>
    <w:p w14:paraId="4D81B10B" w14:textId="77777777" w:rsidR="00BF0494" w:rsidRDefault="00BF0494" w:rsidP="008E2757">
      <w:pPr>
        <w:pStyle w:val="NoSpacing"/>
        <w:jc w:val="center"/>
      </w:pPr>
    </w:p>
    <w:p w14:paraId="0371CB0A" w14:textId="77777777" w:rsidR="00BF0494" w:rsidRDefault="00BF0494" w:rsidP="008E2757">
      <w:pPr>
        <w:pStyle w:val="NoSpacing"/>
        <w:jc w:val="center"/>
      </w:pPr>
    </w:p>
    <w:p w14:paraId="3F870285" w14:textId="77777777" w:rsidR="00BF0494" w:rsidRDefault="00C7315B" w:rsidP="008E2757">
      <w:pPr>
        <w:pStyle w:val="NoSpacing"/>
        <w:jc w:val="center"/>
      </w:pPr>
      <w:sdt>
        <w:sdtPr>
          <w:id w:val="30091877"/>
          <w:lock w:val="contentLocked"/>
          <w:placeholder>
            <w:docPart w:val="B52EF50C6319E641A9C24BAF0605C24A"/>
          </w:placeholder>
          <w:group/>
        </w:sdtPr>
        <w:sdtEndPr/>
        <w:sdtContent>
          <w:r w:rsidR="00BF0494">
            <w:t>© Copyright by</w:t>
          </w:r>
        </w:sdtContent>
      </w:sdt>
      <w:r w:rsidR="00BF0494">
        <w:t xml:space="preserve"> </w:t>
      </w:r>
      <w:sdt>
        <w:sdtPr>
          <w:alias w:val="Click here to enter your name (must match University records)"/>
          <w:tag w:val="Click here to enter your name (must match University records)"/>
          <w:id w:val="2590303"/>
          <w:placeholder>
            <w:docPart w:val="B52EF50C6319E641A9C24BAF0605C24A"/>
          </w:placeholder>
        </w:sdtPr>
        <w:sdtEndPr>
          <w:rPr>
            <w:caps/>
          </w:rPr>
        </w:sdtEndPr>
        <w:sdtContent>
          <w:r w:rsidR="00BF0494">
            <w:rPr>
              <w:caps/>
            </w:rPr>
            <w:t xml:space="preserve">SIMONE </w:t>
          </w:r>
          <w:proofErr w:type="spellStart"/>
          <w:r w:rsidR="00BF0494">
            <w:rPr>
              <w:caps/>
            </w:rPr>
            <w:t>BACHMAI</w:t>
          </w:r>
          <w:proofErr w:type="spellEnd"/>
          <w:r w:rsidR="00BF0494">
            <w:rPr>
              <w:caps/>
            </w:rPr>
            <w:t xml:space="preserve"> ROWE</w:t>
          </w:r>
        </w:sdtContent>
      </w:sdt>
      <w:r w:rsidR="00BF0494">
        <w:t xml:space="preserve"> </w:t>
      </w:r>
      <w:sdt>
        <w:sdtPr>
          <w:alias w:val="Click to enter the year you are depositing thesis"/>
          <w:tag w:val="Click to enter the year you are depositing thesis"/>
          <w:id w:val="2590304"/>
          <w:placeholder>
            <w:docPart w:val="B52EF50C6319E641A9C24BAF0605C24A"/>
          </w:placeholder>
        </w:sdtPr>
        <w:sdtEndPr/>
        <w:sdtContent>
          <w:r w:rsidR="00BF0494">
            <w:t xml:space="preserve"> 2014</w:t>
          </w:r>
        </w:sdtContent>
      </w:sdt>
    </w:p>
    <w:p w14:paraId="39787186" w14:textId="77777777" w:rsidR="00BF0494" w:rsidRDefault="00BF0494" w:rsidP="008E2757">
      <w:pPr>
        <w:pStyle w:val="NoSpacing"/>
        <w:jc w:val="center"/>
      </w:pPr>
      <w:r>
        <w:t>All Rights Reserved.</w:t>
      </w:r>
    </w:p>
    <w:p w14:paraId="5CA7E6E9" w14:textId="77777777" w:rsidR="00BF0494" w:rsidRDefault="00BF0494" w:rsidP="008E2757">
      <w:r>
        <w:br w:type="page"/>
      </w:r>
    </w:p>
    <w:p w14:paraId="3052728E" w14:textId="77777777" w:rsidR="00BF0494" w:rsidRDefault="00BF0494" w:rsidP="008E2757"/>
    <w:p w14:paraId="6601795E" w14:textId="240F9EA6" w:rsidR="00BF0494" w:rsidRPr="005D5DD4" w:rsidRDefault="005D5DD4" w:rsidP="008E2757">
      <w:pPr>
        <w:rPr>
          <w:rFonts w:ascii="Times New Roman" w:hAnsi="Times New Roman"/>
        </w:rPr>
        <w:sectPr w:rsidR="00BF0494" w:rsidRPr="005D5DD4" w:rsidSect="00AB702D">
          <w:footerReference w:type="even" r:id="rId9"/>
          <w:pgSz w:w="12240" w:h="15840" w:code="1"/>
          <w:pgMar w:top="1440" w:right="1440" w:bottom="1440" w:left="2304" w:header="720" w:footer="720" w:gutter="0"/>
          <w:cols w:space="720"/>
          <w:docGrid w:linePitch="360"/>
        </w:sectPr>
      </w:pPr>
      <w:r w:rsidRPr="005D5DD4">
        <w:rPr>
          <w:rFonts w:ascii="Times New Roman" w:hAnsi="Times New Roman"/>
        </w:rPr>
        <w:t xml:space="preserve">This work is dedicated to those who came before, including my mother Nguyen </w:t>
      </w:r>
      <w:proofErr w:type="spellStart"/>
      <w:r w:rsidRPr="005D5DD4">
        <w:rPr>
          <w:rFonts w:ascii="Times New Roman" w:hAnsi="Times New Roman"/>
        </w:rPr>
        <w:t>Thi</w:t>
      </w:r>
      <w:proofErr w:type="spellEnd"/>
      <w:r w:rsidRPr="005D5DD4">
        <w:rPr>
          <w:rFonts w:ascii="Times New Roman" w:hAnsi="Times New Roman"/>
        </w:rPr>
        <w:t xml:space="preserve"> Lac, and my Granny (Mildred Rowe Cotter) and Bob (Robert Cotter).</w:t>
      </w:r>
    </w:p>
    <w:p w14:paraId="74FBB634" w14:textId="77777777" w:rsidR="008E2757" w:rsidRDefault="00BF0494" w:rsidP="00FA652B">
      <w:pPr>
        <w:pStyle w:val="Heading1"/>
      </w:pPr>
      <w:bookmarkStart w:id="1" w:name="_Toc310579464"/>
      <w:bookmarkStart w:id="2" w:name="_Toc261025826"/>
      <w:r>
        <w:t>Acknowledgement</w:t>
      </w:r>
      <w:bookmarkEnd w:id="1"/>
      <w:r w:rsidR="008E2757">
        <w:t>s</w:t>
      </w:r>
      <w:bookmarkEnd w:id="2"/>
    </w:p>
    <w:p w14:paraId="0ED588D3" w14:textId="77777777" w:rsidR="005D5DD4" w:rsidRDefault="00C910A1" w:rsidP="005D5DD4">
      <w:pPr>
        <w:ind w:firstLine="720"/>
        <w:rPr>
          <w:rFonts w:ascii="Times New Roman" w:hAnsi="Times New Roman"/>
        </w:rPr>
      </w:pPr>
      <w:r w:rsidRPr="00C910A1">
        <w:rPr>
          <w:rFonts w:ascii="Times New Roman" w:hAnsi="Times New Roman"/>
        </w:rPr>
        <w:t xml:space="preserve">I have loved being a graduate student.  It’s not an exaggeration to say that these have been the happiest years of my life, and I am incredibly grateful to everyone who has been with me on this journey.  </w:t>
      </w:r>
    </w:p>
    <w:p w14:paraId="47C285DA" w14:textId="1855F575" w:rsidR="005D5DD4" w:rsidRDefault="005D5DD4" w:rsidP="005D5DD4">
      <w:pPr>
        <w:ind w:firstLine="720"/>
        <w:rPr>
          <w:rFonts w:ascii="Times New Roman" w:hAnsi="Times New Roman"/>
        </w:rPr>
      </w:pPr>
      <w:r>
        <w:rPr>
          <w:rFonts w:ascii="Times New Roman" w:hAnsi="Times New Roman"/>
        </w:rPr>
        <w:t xml:space="preserve">Most importantly, </w:t>
      </w:r>
      <w:r w:rsidR="00C910A1" w:rsidRPr="00C910A1">
        <w:rPr>
          <w:rFonts w:ascii="Times New Roman" w:hAnsi="Times New Roman"/>
        </w:rPr>
        <w:t>I would like to than</w:t>
      </w:r>
      <w:r>
        <w:rPr>
          <w:rFonts w:ascii="Times New Roman" w:hAnsi="Times New Roman"/>
        </w:rPr>
        <w:t>k</w:t>
      </w:r>
      <w:r w:rsidR="00C910A1" w:rsidRPr="00C910A1">
        <w:rPr>
          <w:rFonts w:ascii="Times New Roman" w:hAnsi="Times New Roman"/>
        </w:rPr>
        <w:t xml:space="preserve"> the Caddo Nation and the Wichita and Affiliated T</w:t>
      </w:r>
      <w:r>
        <w:rPr>
          <w:rFonts w:ascii="Times New Roman" w:hAnsi="Times New Roman"/>
        </w:rPr>
        <w:t>ribes for allowing me to work with</w:t>
      </w:r>
      <w:r w:rsidR="00C910A1" w:rsidRPr="00C910A1">
        <w:rPr>
          <w:rFonts w:ascii="Times New Roman" w:hAnsi="Times New Roman"/>
        </w:rPr>
        <w:t xml:space="preserve"> the burials from the Akers site.  A great big thank you to my committee</w:t>
      </w:r>
      <w:r>
        <w:rPr>
          <w:rFonts w:ascii="Times New Roman" w:hAnsi="Times New Roman"/>
        </w:rPr>
        <w:t xml:space="preserve"> members</w:t>
      </w:r>
      <w:r w:rsidR="00C910A1" w:rsidRPr="00C910A1">
        <w:rPr>
          <w:rFonts w:ascii="Times New Roman" w:hAnsi="Times New Roman"/>
        </w:rPr>
        <w:t>, Drs. Lesley Rankin-Hill, Don Wyckoff, Barbara Safjieko-Mrozcka, Patri</w:t>
      </w:r>
      <w:r>
        <w:rPr>
          <w:rFonts w:ascii="Times New Roman" w:hAnsi="Times New Roman"/>
        </w:rPr>
        <w:t>ck Livingood, and Diane Warren, who have all been incredibly supportive, helpful, and kind.</w:t>
      </w:r>
    </w:p>
    <w:p w14:paraId="1062690A" w14:textId="7D7421C2" w:rsidR="005D5DD4" w:rsidRDefault="00C910A1" w:rsidP="005D5DD4">
      <w:pPr>
        <w:ind w:firstLine="720"/>
        <w:rPr>
          <w:rFonts w:ascii="Times New Roman" w:hAnsi="Times New Roman"/>
        </w:rPr>
      </w:pPr>
      <w:r w:rsidRPr="00C910A1">
        <w:rPr>
          <w:rFonts w:ascii="Times New Roman" w:hAnsi="Times New Roman"/>
        </w:rPr>
        <w:t xml:space="preserve">Thank you also to the Sam Noble Oklahoma Museum of Natural History, </w:t>
      </w:r>
      <w:r w:rsidR="005D5DD4">
        <w:rPr>
          <w:rFonts w:ascii="Times New Roman" w:hAnsi="Times New Roman"/>
        </w:rPr>
        <w:t xml:space="preserve">where most of this work was carried out.  I am grateful to many of the professionals there, including </w:t>
      </w:r>
      <w:r w:rsidRPr="00C910A1">
        <w:rPr>
          <w:rFonts w:ascii="Times New Roman" w:hAnsi="Times New Roman"/>
        </w:rPr>
        <w:t>Curator of Archaeology Dr. Mar</w:t>
      </w:r>
      <w:r w:rsidR="005D5DD4">
        <w:rPr>
          <w:rFonts w:ascii="Times New Roman" w:hAnsi="Times New Roman"/>
        </w:rPr>
        <w:t>c Levine and Collection</w:t>
      </w:r>
      <w:r w:rsidR="009E4CEF">
        <w:rPr>
          <w:rFonts w:ascii="Times New Roman" w:hAnsi="Times New Roman"/>
        </w:rPr>
        <w:t>s</w:t>
      </w:r>
      <w:r w:rsidR="005D5DD4">
        <w:rPr>
          <w:rFonts w:ascii="Times New Roman" w:hAnsi="Times New Roman"/>
        </w:rPr>
        <w:t xml:space="preserve"> Manager</w:t>
      </w:r>
      <w:r w:rsidRPr="00C910A1">
        <w:rPr>
          <w:rFonts w:ascii="Times New Roman" w:hAnsi="Times New Roman"/>
        </w:rPr>
        <w:t xml:space="preserve"> Susie Armstrong-Fishman</w:t>
      </w:r>
      <w:r w:rsidR="005D5DD4">
        <w:rPr>
          <w:rFonts w:ascii="Times New Roman" w:hAnsi="Times New Roman"/>
        </w:rPr>
        <w:t>, as well as Curator Emeritus Don Wyckoff, and former Collection Managers Liz Leith and Dr. Elsbeth Dowd.  Many of the photographs reproduced in this work are from museum archives are used courtesy of SNOMNH.</w:t>
      </w:r>
    </w:p>
    <w:p w14:paraId="47E8AD3D" w14:textId="4DBEB011" w:rsidR="005D5DD4" w:rsidRDefault="005D5DD4" w:rsidP="005D5DD4">
      <w:pPr>
        <w:ind w:firstLine="720"/>
        <w:rPr>
          <w:rFonts w:ascii="Times New Roman" w:hAnsi="Times New Roman"/>
        </w:rPr>
      </w:pPr>
      <w:proofErr w:type="gramStart"/>
      <w:r>
        <w:rPr>
          <w:rFonts w:ascii="Times New Roman" w:hAnsi="Times New Roman"/>
        </w:rPr>
        <w:t>More thank yous</w:t>
      </w:r>
      <w:r w:rsidR="00C910A1" w:rsidRPr="00C910A1">
        <w:rPr>
          <w:rFonts w:ascii="Times New Roman" w:hAnsi="Times New Roman"/>
        </w:rPr>
        <w:t xml:space="preserve"> to the Department of Anthr</w:t>
      </w:r>
      <w:r w:rsidR="009E4CEF">
        <w:rPr>
          <w:rFonts w:ascii="Times New Roman" w:hAnsi="Times New Roman"/>
        </w:rPr>
        <w:t xml:space="preserve">opology, especially Wanda Downs, Keli Mitchell, </w:t>
      </w:r>
      <w:r w:rsidR="00C910A1" w:rsidRPr="00C910A1">
        <w:rPr>
          <w:rFonts w:ascii="Times New Roman" w:hAnsi="Times New Roman"/>
        </w:rPr>
        <w:t>and Drs. Susan Vehik and Asa Randall.</w:t>
      </w:r>
      <w:proofErr w:type="gramEnd"/>
      <w:r w:rsidR="00C910A1" w:rsidRPr="00C910A1">
        <w:rPr>
          <w:rFonts w:ascii="Times New Roman" w:hAnsi="Times New Roman"/>
        </w:rPr>
        <w:t xml:space="preserve">  Thank you</w:t>
      </w:r>
      <w:r>
        <w:rPr>
          <w:rFonts w:ascii="Times New Roman" w:hAnsi="Times New Roman"/>
        </w:rPr>
        <w:t xml:space="preserve"> also</w:t>
      </w:r>
      <w:r w:rsidR="00C910A1" w:rsidRPr="00C910A1">
        <w:rPr>
          <w:rFonts w:ascii="Times New Roman" w:hAnsi="Times New Roman"/>
        </w:rPr>
        <w:t xml:space="preserve"> to Drs.</w:t>
      </w:r>
      <w:r>
        <w:rPr>
          <w:rFonts w:ascii="Times New Roman" w:hAnsi="Times New Roman"/>
        </w:rPr>
        <w:t xml:space="preserve"> Scott Hammerstedt, Amanda Regnie</w:t>
      </w:r>
      <w:r w:rsidR="00C910A1" w:rsidRPr="00C910A1">
        <w:rPr>
          <w:rFonts w:ascii="Times New Roman" w:hAnsi="Times New Roman"/>
        </w:rPr>
        <w:t xml:space="preserve">r, and everyone at the Archaeological Survey.  </w:t>
      </w:r>
    </w:p>
    <w:p w14:paraId="16411656" w14:textId="7051D7ED" w:rsidR="00C910A1" w:rsidRPr="00C910A1" w:rsidRDefault="005D5DD4" w:rsidP="005D5DD4">
      <w:pPr>
        <w:ind w:firstLine="720"/>
        <w:rPr>
          <w:rFonts w:ascii="Times New Roman" w:hAnsi="Times New Roman"/>
        </w:rPr>
      </w:pPr>
      <w:r>
        <w:rPr>
          <w:rFonts w:ascii="Times New Roman" w:hAnsi="Times New Roman"/>
        </w:rPr>
        <w:t>Finally, m</w:t>
      </w:r>
      <w:r w:rsidR="00C910A1" w:rsidRPr="00C910A1">
        <w:rPr>
          <w:rFonts w:ascii="Times New Roman" w:hAnsi="Times New Roman"/>
        </w:rPr>
        <w:t>y friends and peers Lauren Cleeland, Rachel Fauchier Tooman, and Matt Galloway were always there for a laugh, a cry, or a drink.  And most of all, thank you to my husband Eric, who made this possible.</w:t>
      </w:r>
    </w:p>
    <w:p w14:paraId="6803CECE" w14:textId="05AE9970" w:rsidR="00BF0494" w:rsidRPr="001B540D" w:rsidRDefault="00BF0494" w:rsidP="00FA652B">
      <w:pPr>
        <w:pStyle w:val="Heading1"/>
        <w:rPr>
          <w:rStyle w:val="Heading1Char"/>
        </w:rPr>
      </w:pPr>
      <w:r>
        <w:br w:type="page"/>
      </w:r>
      <w:bookmarkStart w:id="3" w:name="_Toc261025827"/>
      <w:r w:rsidRPr="00971105">
        <w:rPr>
          <w:rFonts w:eastAsiaTheme="majorEastAsia"/>
        </w:rPr>
        <w:t>Table of Contents</w:t>
      </w:r>
      <w:bookmarkEnd w:id="3"/>
    </w:p>
    <w:p w14:paraId="75219BDC" w14:textId="77777777" w:rsidR="00BF0494" w:rsidRPr="0078679A" w:rsidRDefault="00BF0494" w:rsidP="008E2757">
      <w:pPr>
        <w:pStyle w:val="NoSpacing"/>
      </w:pPr>
    </w:p>
    <w:p w14:paraId="2B43BA99" w14:textId="77777777" w:rsidR="006A4C10" w:rsidRDefault="00BF0494">
      <w:pPr>
        <w:pStyle w:val="TOC1"/>
        <w:tabs>
          <w:tab w:val="right" w:leader="dot" w:pos="8486"/>
        </w:tabs>
        <w:rPr>
          <w:rFonts w:eastAsiaTheme="minorEastAsia" w:cstheme="minorBidi"/>
          <w:b w:val="0"/>
          <w:noProof/>
          <w:lang w:eastAsia="ja-JP" w:bidi="ar-SA"/>
        </w:rPr>
      </w:pPr>
      <w:r>
        <w:fldChar w:fldCharType="begin"/>
      </w:r>
      <w:r>
        <w:instrText xml:space="preserve"> TOC \o "3-3" \h \z \t "Heading 1,1,Heading 2,2,Chapter,1" </w:instrText>
      </w:r>
      <w:r>
        <w:fldChar w:fldCharType="separate"/>
      </w:r>
      <w:r w:rsidR="006A4C10">
        <w:rPr>
          <w:noProof/>
        </w:rPr>
        <w:t>Acknowledgements</w:t>
      </w:r>
      <w:r w:rsidR="006A4C10">
        <w:rPr>
          <w:noProof/>
        </w:rPr>
        <w:tab/>
      </w:r>
      <w:r w:rsidR="006A4C10">
        <w:rPr>
          <w:noProof/>
        </w:rPr>
        <w:fldChar w:fldCharType="begin"/>
      </w:r>
      <w:r w:rsidR="006A4C10">
        <w:rPr>
          <w:noProof/>
        </w:rPr>
        <w:instrText xml:space="preserve"> PAGEREF _Toc261025826 \h </w:instrText>
      </w:r>
      <w:r w:rsidR="006A4C10">
        <w:rPr>
          <w:noProof/>
        </w:rPr>
      </w:r>
      <w:r w:rsidR="006A4C10">
        <w:rPr>
          <w:noProof/>
        </w:rPr>
        <w:fldChar w:fldCharType="separate"/>
      </w:r>
      <w:r w:rsidR="006A4C10">
        <w:rPr>
          <w:noProof/>
        </w:rPr>
        <w:t>iv</w:t>
      </w:r>
      <w:r w:rsidR="006A4C10">
        <w:rPr>
          <w:noProof/>
        </w:rPr>
        <w:fldChar w:fldCharType="end"/>
      </w:r>
    </w:p>
    <w:p w14:paraId="605A585F" w14:textId="77777777" w:rsidR="006A4C10" w:rsidRDefault="006A4C10">
      <w:pPr>
        <w:pStyle w:val="TOC1"/>
        <w:tabs>
          <w:tab w:val="right" w:leader="dot" w:pos="8486"/>
        </w:tabs>
        <w:rPr>
          <w:rFonts w:eastAsiaTheme="minorEastAsia" w:cstheme="minorBidi"/>
          <w:b w:val="0"/>
          <w:noProof/>
          <w:lang w:eastAsia="ja-JP" w:bidi="ar-SA"/>
        </w:rPr>
      </w:pPr>
      <w:r w:rsidRPr="000400D3">
        <w:rPr>
          <w:rFonts w:eastAsiaTheme="majorEastAsia"/>
          <w:noProof/>
        </w:rPr>
        <w:t>Table of Contents</w:t>
      </w:r>
      <w:r>
        <w:rPr>
          <w:noProof/>
        </w:rPr>
        <w:tab/>
      </w:r>
      <w:r>
        <w:rPr>
          <w:noProof/>
        </w:rPr>
        <w:fldChar w:fldCharType="begin"/>
      </w:r>
      <w:r>
        <w:rPr>
          <w:noProof/>
        </w:rPr>
        <w:instrText xml:space="preserve"> PAGEREF _Toc261025827 \h </w:instrText>
      </w:r>
      <w:r>
        <w:rPr>
          <w:noProof/>
        </w:rPr>
      </w:r>
      <w:r>
        <w:rPr>
          <w:noProof/>
        </w:rPr>
        <w:fldChar w:fldCharType="separate"/>
      </w:r>
      <w:r>
        <w:rPr>
          <w:noProof/>
        </w:rPr>
        <w:t>v</w:t>
      </w:r>
      <w:r>
        <w:rPr>
          <w:noProof/>
        </w:rPr>
        <w:fldChar w:fldCharType="end"/>
      </w:r>
    </w:p>
    <w:p w14:paraId="04FD17B9" w14:textId="77777777" w:rsidR="006A4C10" w:rsidRDefault="006A4C10">
      <w:pPr>
        <w:pStyle w:val="TOC1"/>
        <w:tabs>
          <w:tab w:val="right" w:leader="dot" w:pos="8486"/>
        </w:tabs>
        <w:rPr>
          <w:rFonts w:eastAsiaTheme="minorEastAsia" w:cstheme="minorBidi"/>
          <w:b w:val="0"/>
          <w:noProof/>
          <w:lang w:eastAsia="ja-JP" w:bidi="ar-SA"/>
        </w:rPr>
      </w:pPr>
      <w:r>
        <w:rPr>
          <w:noProof/>
        </w:rPr>
        <w:t>List of Tables</w:t>
      </w:r>
      <w:r>
        <w:rPr>
          <w:noProof/>
        </w:rPr>
        <w:tab/>
      </w:r>
      <w:r>
        <w:rPr>
          <w:noProof/>
        </w:rPr>
        <w:fldChar w:fldCharType="begin"/>
      </w:r>
      <w:r>
        <w:rPr>
          <w:noProof/>
        </w:rPr>
        <w:instrText xml:space="preserve"> PAGEREF _Toc261025828 \h </w:instrText>
      </w:r>
      <w:r>
        <w:rPr>
          <w:noProof/>
        </w:rPr>
      </w:r>
      <w:r>
        <w:rPr>
          <w:noProof/>
        </w:rPr>
        <w:fldChar w:fldCharType="separate"/>
      </w:r>
      <w:r>
        <w:rPr>
          <w:noProof/>
        </w:rPr>
        <w:t>viii</w:t>
      </w:r>
      <w:r>
        <w:rPr>
          <w:noProof/>
        </w:rPr>
        <w:fldChar w:fldCharType="end"/>
      </w:r>
    </w:p>
    <w:p w14:paraId="7C83B433" w14:textId="77777777" w:rsidR="006A4C10" w:rsidRDefault="006A4C10">
      <w:pPr>
        <w:pStyle w:val="TOC1"/>
        <w:tabs>
          <w:tab w:val="right" w:leader="dot" w:pos="8486"/>
        </w:tabs>
        <w:rPr>
          <w:rFonts w:eastAsiaTheme="minorEastAsia" w:cstheme="minorBidi"/>
          <w:b w:val="0"/>
          <w:noProof/>
          <w:lang w:eastAsia="ja-JP" w:bidi="ar-SA"/>
        </w:rPr>
      </w:pPr>
      <w:r>
        <w:rPr>
          <w:noProof/>
        </w:rPr>
        <w:t>List of Figures</w:t>
      </w:r>
      <w:r>
        <w:rPr>
          <w:noProof/>
        </w:rPr>
        <w:tab/>
      </w:r>
      <w:r>
        <w:rPr>
          <w:noProof/>
        </w:rPr>
        <w:fldChar w:fldCharType="begin"/>
      </w:r>
      <w:r>
        <w:rPr>
          <w:noProof/>
        </w:rPr>
        <w:instrText xml:space="preserve"> PAGEREF _Toc261025829 \h </w:instrText>
      </w:r>
      <w:r>
        <w:rPr>
          <w:noProof/>
        </w:rPr>
      </w:r>
      <w:r>
        <w:rPr>
          <w:noProof/>
        </w:rPr>
        <w:fldChar w:fldCharType="separate"/>
      </w:r>
      <w:r>
        <w:rPr>
          <w:noProof/>
        </w:rPr>
        <w:t>x</w:t>
      </w:r>
      <w:r>
        <w:rPr>
          <w:noProof/>
        </w:rPr>
        <w:fldChar w:fldCharType="end"/>
      </w:r>
    </w:p>
    <w:p w14:paraId="63A4F7DE" w14:textId="77777777" w:rsidR="006A4C10" w:rsidRDefault="006A4C10">
      <w:pPr>
        <w:pStyle w:val="TOC1"/>
        <w:tabs>
          <w:tab w:val="right" w:leader="dot" w:pos="8486"/>
        </w:tabs>
        <w:rPr>
          <w:rFonts w:eastAsiaTheme="minorEastAsia" w:cstheme="minorBidi"/>
          <w:b w:val="0"/>
          <w:noProof/>
          <w:lang w:eastAsia="ja-JP" w:bidi="ar-SA"/>
        </w:rPr>
      </w:pPr>
      <w:r>
        <w:rPr>
          <w:noProof/>
        </w:rPr>
        <w:t>Abstract</w:t>
      </w:r>
      <w:r>
        <w:rPr>
          <w:noProof/>
        </w:rPr>
        <w:tab/>
      </w:r>
      <w:r>
        <w:rPr>
          <w:noProof/>
        </w:rPr>
        <w:fldChar w:fldCharType="begin"/>
      </w:r>
      <w:r>
        <w:rPr>
          <w:noProof/>
        </w:rPr>
        <w:instrText xml:space="preserve"> PAGEREF _Toc261025830 \h </w:instrText>
      </w:r>
      <w:r>
        <w:rPr>
          <w:noProof/>
        </w:rPr>
      </w:r>
      <w:r>
        <w:rPr>
          <w:noProof/>
        </w:rPr>
        <w:fldChar w:fldCharType="separate"/>
      </w:r>
      <w:r>
        <w:rPr>
          <w:noProof/>
        </w:rPr>
        <w:t>xii</w:t>
      </w:r>
      <w:r>
        <w:rPr>
          <w:noProof/>
        </w:rPr>
        <w:fldChar w:fldCharType="end"/>
      </w:r>
    </w:p>
    <w:p w14:paraId="4AC5FCDA" w14:textId="77777777" w:rsidR="006A4C10" w:rsidRDefault="006A4C10">
      <w:pPr>
        <w:pStyle w:val="TOC1"/>
        <w:tabs>
          <w:tab w:val="right" w:leader="dot" w:pos="8486"/>
        </w:tabs>
        <w:rPr>
          <w:rFonts w:eastAsiaTheme="minorEastAsia" w:cstheme="minorBidi"/>
          <w:b w:val="0"/>
          <w:noProof/>
          <w:lang w:eastAsia="ja-JP" w:bidi="ar-SA"/>
        </w:rPr>
      </w:pPr>
      <w:r>
        <w:rPr>
          <w:noProof/>
        </w:rPr>
        <w:t>Chapter 1: A Contested Landscape</w:t>
      </w:r>
      <w:r>
        <w:rPr>
          <w:noProof/>
        </w:rPr>
        <w:tab/>
      </w:r>
      <w:r>
        <w:rPr>
          <w:noProof/>
        </w:rPr>
        <w:fldChar w:fldCharType="begin"/>
      </w:r>
      <w:r>
        <w:rPr>
          <w:noProof/>
        </w:rPr>
        <w:instrText xml:space="preserve"> PAGEREF _Toc261025831 \h </w:instrText>
      </w:r>
      <w:r>
        <w:rPr>
          <w:noProof/>
        </w:rPr>
      </w:r>
      <w:r>
        <w:rPr>
          <w:noProof/>
        </w:rPr>
        <w:fldChar w:fldCharType="separate"/>
      </w:r>
      <w:r>
        <w:rPr>
          <w:noProof/>
        </w:rPr>
        <w:t>1</w:t>
      </w:r>
      <w:r>
        <w:rPr>
          <w:noProof/>
        </w:rPr>
        <w:fldChar w:fldCharType="end"/>
      </w:r>
    </w:p>
    <w:p w14:paraId="2882250B"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Oklahoma Archaeology</w:t>
      </w:r>
      <w:r>
        <w:rPr>
          <w:noProof/>
        </w:rPr>
        <w:tab/>
      </w:r>
      <w:r>
        <w:rPr>
          <w:noProof/>
        </w:rPr>
        <w:fldChar w:fldCharType="begin"/>
      </w:r>
      <w:r>
        <w:rPr>
          <w:noProof/>
        </w:rPr>
        <w:instrText xml:space="preserve"> PAGEREF _Toc261025832 \h </w:instrText>
      </w:r>
      <w:r>
        <w:rPr>
          <w:noProof/>
        </w:rPr>
      </w:r>
      <w:r>
        <w:rPr>
          <w:noProof/>
        </w:rPr>
        <w:fldChar w:fldCharType="separate"/>
      </w:r>
      <w:r>
        <w:rPr>
          <w:noProof/>
        </w:rPr>
        <w:t>2</w:t>
      </w:r>
      <w:r>
        <w:rPr>
          <w:noProof/>
        </w:rPr>
        <w:fldChar w:fldCharType="end"/>
      </w:r>
    </w:p>
    <w:p w14:paraId="23D3D56A"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NAGPRA</w:t>
      </w:r>
      <w:r>
        <w:rPr>
          <w:noProof/>
        </w:rPr>
        <w:tab/>
      </w:r>
      <w:r>
        <w:rPr>
          <w:noProof/>
        </w:rPr>
        <w:fldChar w:fldCharType="begin"/>
      </w:r>
      <w:r>
        <w:rPr>
          <w:noProof/>
        </w:rPr>
        <w:instrText xml:space="preserve"> PAGEREF _Toc261025833 \h </w:instrText>
      </w:r>
      <w:r>
        <w:rPr>
          <w:noProof/>
        </w:rPr>
      </w:r>
      <w:r>
        <w:rPr>
          <w:noProof/>
        </w:rPr>
        <w:fldChar w:fldCharType="separate"/>
      </w:r>
      <w:r>
        <w:rPr>
          <w:noProof/>
        </w:rPr>
        <w:t>5</w:t>
      </w:r>
      <w:r>
        <w:rPr>
          <w:noProof/>
        </w:rPr>
        <w:fldChar w:fldCharType="end"/>
      </w:r>
    </w:p>
    <w:p w14:paraId="10AF02C0"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The Current Study</w:t>
      </w:r>
      <w:r>
        <w:rPr>
          <w:noProof/>
        </w:rPr>
        <w:tab/>
      </w:r>
      <w:r>
        <w:rPr>
          <w:noProof/>
        </w:rPr>
        <w:fldChar w:fldCharType="begin"/>
      </w:r>
      <w:r>
        <w:rPr>
          <w:noProof/>
        </w:rPr>
        <w:instrText xml:space="preserve"> PAGEREF _Toc261025834 \h </w:instrText>
      </w:r>
      <w:r>
        <w:rPr>
          <w:noProof/>
        </w:rPr>
      </w:r>
      <w:r>
        <w:rPr>
          <w:noProof/>
        </w:rPr>
        <w:fldChar w:fldCharType="separate"/>
      </w:r>
      <w:r>
        <w:rPr>
          <w:noProof/>
        </w:rPr>
        <w:t>6</w:t>
      </w:r>
      <w:r>
        <w:rPr>
          <w:noProof/>
        </w:rPr>
        <w:fldChar w:fldCharType="end"/>
      </w:r>
    </w:p>
    <w:p w14:paraId="25093EEB" w14:textId="77777777" w:rsidR="006A4C10" w:rsidRDefault="006A4C10">
      <w:pPr>
        <w:pStyle w:val="TOC1"/>
        <w:tabs>
          <w:tab w:val="right" w:leader="dot" w:pos="8486"/>
        </w:tabs>
        <w:rPr>
          <w:rFonts w:eastAsiaTheme="minorEastAsia" w:cstheme="minorBidi"/>
          <w:b w:val="0"/>
          <w:noProof/>
          <w:lang w:eastAsia="ja-JP" w:bidi="ar-SA"/>
        </w:rPr>
      </w:pPr>
      <w:r>
        <w:rPr>
          <w:noProof/>
        </w:rPr>
        <w:t>Chapter 2:  Exploring Conflict and Nutrition in Archaeological Context</w:t>
      </w:r>
      <w:r>
        <w:rPr>
          <w:noProof/>
        </w:rPr>
        <w:tab/>
      </w:r>
      <w:r>
        <w:rPr>
          <w:noProof/>
        </w:rPr>
        <w:fldChar w:fldCharType="begin"/>
      </w:r>
      <w:r>
        <w:rPr>
          <w:noProof/>
        </w:rPr>
        <w:instrText xml:space="preserve"> PAGEREF _Toc261025835 \h </w:instrText>
      </w:r>
      <w:r>
        <w:rPr>
          <w:noProof/>
        </w:rPr>
      </w:r>
      <w:r>
        <w:rPr>
          <w:noProof/>
        </w:rPr>
        <w:fldChar w:fldCharType="separate"/>
      </w:r>
      <w:r>
        <w:rPr>
          <w:noProof/>
        </w:rPr>
        <w:t>9</w:t>
      </w:r>
      <w:r>
        <w:rPr>
          <w:noProof/>
        </w:rPr>
        <w:fldChar w:fldCharType="end"/>
      </w:r>
    </w:p>
    <w:p w14:paraId="6EBF7591"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Conflict in the Archaeological Record</w:t>
      </w:r>
      <w:r>
        <w:rPr>
          <w:noProof/>
        </w:rPr>
        <w:tab/>
      </w:r>
      <w:r>
        <w:rPr>
          <w:noProof/>
        </w:rPr>
        <w:fldChar w:fldCharType="begin"/>
      </w:r>
      <w:r>
        <w:rPr>
          <w:noProof/>
        </w:rPr>
        <w:instrText xml:space="preserve"> PAGEREF _Toc261025836 \h </w:instrText>
      </w:r>
      <w:r>
        <w:rPr>
          <w:noProof/>
        </w:rPr>
      </w:r>
      <w:r>
        <w:rPr>
          <w:noProof/>
        </w:rPr>
        <w:fldChar w:fldCharType="separate"/>
      </w:r>
      <w:r>
        <w:rPr>
          <w:noProof/>
        </w:rPr>
        <w:t>9</w:t>
      </w:r>
      <w:r>
        <w:rPr>
          <w:noProof/>
        </w:rPr>
        <w:fldChar w:fldCharType="end"/>
      </w:r>
    </w:p>
    <w:p w14:paraId="420E1E5B"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Dye – social complexity and conflict</w:t>
      </w:r>
      <w:r>
        <w:rPr>
          <w:noProof/>
        </w:rPr>
        <w:tab/>
      </w:r>
      <w:r>
        <w:rPr>
          <w:noProof/>
        </w:rPr>
        <w:fldChar w:fldCharType="begin"/>
      </w:r>
      <w:r>
        <w:rPr>
          <w:noProof/>
        </w:rPr>
        <w:instrText xml:space="preserve"> PAGEREF _Toc261025837 \h </w:instrText>
      </w:r>
      <w:r>
        <w:rPr>
          <w:noProof/>
        </w:rPr>
      </w:r>
      <w:r>
        <w:rPr>
          <w:noProof/>
        </w:rPr>
        <w:fldChar w:fldCharType="separate"/>
      </w:r>
      <w:r>
        <w:rPr>
          <w:noProof/>
        </w:rPr>
        <w:t>10</w:t>
      </w:r>
      <w:r>
        <w:rPr>
          <w:noProof/>
        </w:rPr>
        <w:fldChar w:fldCharType="end"/>
      </w:r>
    </w:p>
    <w:p w14:paraId="32AF6B71"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Skeletal Trauma</w:t>
      </w:r>
      <w:r>
        <w:rPr>
          <w:noProof/>
        </w:rPr>
        <w:tab/>
      </w:r>
      <w:r>
        <w:rPr>
          <w:noProof/>
        </w:rPr>
        <w:fldChar w:fldCharType="begin"/>
      </w:r>
      <w:r>
        <w:rPr>
          <w:noProof/>
        </w:rPr>
        <w:instrText xml:space="preserve"> PAGEREF _Toc261025838 \h </w:instrText>
      </w:r>
      <w:r>
        <w:rPr>
          <w:noProof/>
        </w:rPr>
      </w:r>
      <w:r>
        <w:rPr>
          <w:noProof/>
        </w:rPr>
        <w:fldChar w:fldCharType="separate"/>
      </w:r>
      <w:r>
        <w:rPr>
          <w:noProof/>
        </w:rPr>
        <w:t>12</w:t>
      </w:r>
      <w:r>
        <w:rPr>
          <w:noProof/>
        </w:rPr>
        <w:fldChar w:fldCharType="end"/>
      </w:r>
    </w:p>
    <w:p w14:paraId="0EB9947D"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Broken and Fractured Bone</w:t>
      </w:r>
      <w:r>
        <w:rPr>
          <w:noProof/>
        </w:rPr>
        <w:tab/>
      </w:r>
      <w:r>
        <w:rPr>
          <w:noProof/>
        </w:rPr>
        <w:fldChar w:fldCharType="begin"/>
      </w:r>
      <w:r>
        <w:rPr>
          <w:noProof/>
        </w:rPr>
        <w:instrText xml:space="preserve"> PAGEREF _Toc261025839 \h </w:instrText>
      </w:r>
      <w:r>
        <w:rPr>
          <w:noProof/>
        </w:rPr>
      </w:r>
      <w:r>
        <w:rPr>
          <w:noProof/>
        </w:rPr>
        <w:fldChar w:fldCharType="separate"/>
      </w:r>
      <w:r>
        <w:rPr>
          <w:noProof/>
        </w:rPr>
        <w:t>14</w:t>
      </w:r>
      <w:r>
        <w:rPr>
          <w:noProof/>
        </w:rPr>
        <w:fldChar w:fldCharType="end"/>
      </w:r>
    </w:p>
    <w:p w14:paraId="00822900"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Embedded Projectile Points and Pincushioning</w:t>
      </w:r>
      <w:r>
        <w:rPr>
          <w:noProof/>
        </w:rPr>
        <w:tab/>
      </w:r>
      <w:r>
        <w:rPr>
          <w:noProof/>
        </w:rPr>
        <w:fldChar w:fldCharType="begin"/>
      </w:r>
      <w:r>
        <w:rPr>
          <w:noProof/>
        </w:rPr>
        <w:instrText xml:space="preserve"> PAGEREF _Toc261025840 \h </w:instrText>
      </w:r>
      <w:r>
        <w:rPr>
          <w:noProof/>
        </w:rPr>
      </w:r>
      <w:r>
        <w:rPr>
          <w:noProof/>
        </w:rPr>
        <w:fldChar w:fldCharType="separate"/>
      </w:r>
      <w:r>
        <w:rPr>
          <w:noProof/>
        </w:rPr>
        <w:t>20</w:t>
      </w:r>
      <w:r>
        <w:rPr>
          <w:noProof/>
        </w:rPr>
        <w:fldChar w:fldCharType="end"/>
      </w:r>
    </w:p>
    <w:p w14:paraId="1C6B9136"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Trophy Taking Behavior</w:t>
      </w:r>
      <w:r>
        <w:rPr>
          <w:noProof/>
        </w:rPr>
        <w:tab/>
      </w:r>
      <w:r>
        <w:rPr>
          <w:noProof/>
        </w:rPr>
        <w:fldChar w:fldCharType="begin"/>
      </w:r>
      <w:r>
        <w:rPr>
          <w:noProof/>
        </w:rPr>
        <w:instrText xml:space="preserve"> PAGEREF _Toc261025841 \h </w:instrText>
      </w:r>
      <w:r>
        <w:rPr>
          <w:noProof/>
        </w:rPr>
      </w:r>
      <w:r>
        <w:rPr>
          <w:noProof/>
        </w:rPr>
        <w:fldChar w:fldCharType="separate"/>
      </w:r>
      <w:r>
        <w:rPr>
          <w:noProof/>
        </w:rPr>
        <w:t>21</w:t>
      </w:r>
      <w:r>
        <w:rPr>
          <w:noProof/>
        </w:rPr>
        <w:fldChar w:fldCharType="end"/>
      </w:r>
    </w:p>
    <w:p w14:paraId="65AE7E89"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Mass or Group Burials</w:t>
      </w:r>
      <w:r>
        <w:rPr>
          <w:noProof/>
        </w:rPr>
        <w:tab/>
      </w:r>
      <w:r>
        <w:rPr>
          <w:noProof/>
        </w:rPr>
        <w:fldChar w:fldCharType="begin"/>
      </w:r>
      <w:r>
        <w:rPr>
          <w:noProof/>
        </w:rPr>
        <w:instrText xml:space="preserve"> PAGEREF _Toc261025842 \h </w:instrText>
      </w:r>
      <w:r>
        <w:rPr>
          <w:noProof/>
        </w:rPr>
      </w:r>
      <w:r>
        <w:rPr>
          <w:noProof/>
        </w:rPr>
        <w:fldChar w:fldCharType="separate"/>
      </w:r>
      <w:r>
        <w:rPr>
          <w:noProof/>
        </w:rPr>
        <w:t>23</w:t>
      </w:r>
      <w:r>
        <w:rPr>
          <w:noProof/>
        </w:rPr>
        <w:fldChar w:fldCharType="end"/>
      </w:r>
    </w:p>
    <w:p w14:paraId="723942C4"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Nutritional Status in the Archaeological Record</w:t>
      </w:r>
      <w:r>
        <w:rPr>
          <w:noProof/>
        </w:rPr>
        <w:tab/>
      </w:r>
      <w:r>
        <w:rPr>
          <w:noProof/>
        </w:rPr>
        <w:fldChar w:fldCharType="begin"/>
      </w:r>
      <w:r>
        <w:rPr>
          <w:noProof/>
        </w:rPr>
        <w:instrText xml:space="preserve"> PAGEREF _Toc261025843 \h </w:instrText>
      </w:r>
      <w:r>
        <w:rPr>
          <w:noProof/>
        </w:rPr>
      </w:r>
      <w:r>
        <w:rPr>
          <w:noProof/>
        </w:rPr>
        <w:fldChar w:fldCharType="separate"/>
      </w:r>
      <w:r>
        <w:rPr>
          <w:noProof/>
        </w:rPr>
        <w:t>24</w:t>
      </w:r>
      <w:r>
        <w:rPr>
          <w:noProof/>
        </w:rPr>
        <w:fldChar w:fldCharType="end"/>
      </w:r>
    </w:p>
    <w:p w14:paraId="19C35E6E"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Prehistoric Health and the Advent of Agriculture</w:t>
      </w:r>
      <w:r>
        <w:rPr>
          <w:noProof/>
        </w:rPr>
        <w:tab/>
      </w:r>
      <w:r>
        <w:rPr>
          <w:noProof/>
        </w:rPr>
        <w:fldChar w:fldCharType="begin"/>
      </w:r>
      <w:r>
        <w:rPr>
          <w:noProof/>
        </w:rPr>
        <w:instrText xml:space="preserve"> PAGEREF _Toc261025844 \h </w:instrText>
      </w:r>
      <w:r>
        <w:rPr>
          <w:noProof/>
        </w:rPr>
      </w:r>
      <w:r>
        <w:rPr>
          <w:noProof/>
        </w:rPr>
        <w:fldChar w:fldCharType="separate"/>
      </w:r>
      <w:r>
        <w:rPr>
          <w:noProof/>
        </w:rPr>
        <w:t>25</w:t>
      </w:r>
      <w:r>
        <w:rPr>
          <w:noProof/>
        </w:rPr>
        <w:fldChar w:fldCharType="end"/>
      </w:r>
    </w:p>
    <w:p w14:paraId="770A53EF" w14:textId="77777777" w:rsidR="006A4C10" w:rsidRDefault="006A4C10">
      <w:pPr>
        <w:pStyle w:val="TOC1"/>
        <w:tabs>
          <w:tab w:val="right" w:leader="dot" w:pos="8486"/>
        </w:tabs>
        <w:rPr>
          <w:rFonts w:eastAsiaTheme="minorEastAsia" w:cstheme="minorBidi"/>
          <w:b w:val="0"/>
          <w:noProof/>
          <w:lang w:eastAsia="ja-JP" w:bidi="ar-SA"/>
        </w:rPr>
      </w:pPr>
      <w:r>
        <w:rPr>
          <w:noProof/>
        </w:rPr>
        <w:t>Chapter 3:  The Wister Area and the Fourche Maline Mounds</w:t>
      </w:r>
      <w:r>
        <w:rPr>
          <w:noProof/>
        </w:rPr>
        <w:tab/>
      </w:r>
      <w:r>
        <w:rPr>
          <w:noProof/>
        </w:rPr>
        <w:fldChar w:fldCharType="begin"/>
      </w:r>
      <w:r>
        <w:rPr>
          <w:noProof/>
        </w:rPr>
        <w:instrText xml:space="preserve"> PAGEREF _Toc261025845 \h </w:instrText>
      </w:r>
      <w:r>
        <w:rPr>
          <w:noProof/>
        </w:rPr>
      </w:r>
      <w:r>
        <w:rPr>
          <w:noProof/>
        </w:rPr>
        <w:fldChar w:fldCharType="separate"/>
      </w:r>
      <w:r>
        <w:rPr>
          <w:noProof/>
        </w:rPr>
        <w:t>40</w:t>
      </w:r>
      <w:r>
        <w:rPr>
          <w:noProof/>
        </w:rPr>
        <w:fldChar w:fldCharType="end"/>
      </w:r>
    </w:p>
    <w:p w14:paraId="6242FDF2"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Fourche Maline – History of a Concept</w:t>
      </w:r>
      <w:r>
        <w:rPr>
          <w:noProof/>
        </w:rPr>
        <w:tab/>
      </w:r>
      <w:r>
        <w:rPr>
          <w:noProof/>
        </w:rPr>
        <w:fldChar w:fldCharType="begin"/>
      </w:r>
      <w:r>
        <w:rPr>
          <w:noProof/>
        </w:rPr>
        <w:instrText xml:space="preserve"> PAGEREF _Toc261025846 \h </w:instrText>
      </w:r>
      <w:r>
        <w:rPr>
          <w:noProof/>
        </w:rPr>
      </w:r>
      <w:r>
        <w:rPr>
          <w:noProof/>
        </w:rPr>
        <w:fldChar w:fldCharType="separate"/>
      </w:r>
      <w:r>
        <w:rPr>
          <w:noProof/>
        </w:rPr>
        <w:t>40</w:t>
      </w:r>
      <w:r>
        <w:rPr>
          <w:noProof/>
        </w:rPr>
        <w:fldChar w:fldCharType="end"/>
      </w:r>
    </w:p>
    <w:p w14:paraId="3F150C26"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1930s and 1940s and the WPA Excavations</w:t>
      </w:r>
      <w:r>
        <w:rPr>
          <w:noProof/>
        </w:rPr>
        <w:tab/>
      </w:r>
      <w:r>
        <w:rPr>
          <w:noProof/>
        </w:rPr>
        <w:fldChar w:fldCharType="begin"/>
      </w:r>
      <w:r>
        <w:rPr>
          <w:noProof/>
        </w:rPr>
        <w:instrText xml:space="preserve"> PAGEREF _Toc261025847 \h </w:instrText>
      </w:r>
      <w:r>
        <w:rPr>
          <w:noProof/>
        </w:rPr>
      </w:r>
      <w:r>
        <w:rPr>
          <w:noProof/>
        </w:rPr>
        <w:fldChar w:fldCharType="separate"/>
      </w:r>
      <w:r>
        <w:rPr>
          <w:noProof/>
        </w:rPr>
        <w:t>40</w:t>
      </w:r>
      <w:r>
        <w:rPr>
          <w:noProof/>
        </w:rPr>
        <w:fldChar w:fldCharType="end"/>
      </w:r>
    </w:p>
    <w:p w14:paraId="257FE27A"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Culture History</w:t>
      </w:r>
      <w:r>
        <w:rPr>
          <w:noProof/>
        </w:rPr>
        <w:tab/>
      </w:r>
      <w:r>
        <w:rPr>
          <w:noProof/>
        </w:rPr>
        <w:fldChar w:fldCharType="begin"/>
      </w:r>
      <w:r>
        <w:rPr>
          <w:noProof/>
        </w:rPr>
        <w:instrText xml:space="preserve"> PAGEREF _Toc261025848 \h </w:instrText>
      </w:r>
      <w:r>
        <w:rPr>
          <w:noProof/>
        </w:rPr>
      </w:r>
      <w:r>
        <w:rPr>
          <w:noProof/>
        </w:rPr>
        <w:fldChar w:fldCharType="separate"/>
      </w:r>
      <w:r>
        <w:rPr>
          <w:noProof/>
        </w:rPr>
        <w:t>44</w:t>
      </w:r>
      <w:r>
        <w:rPr>
          <w:noProof/>
        </w:rPr>
        <w:fldChar w:fldCharType="end"/>
      </w:r>
    </w:p>
    <w:p w14:paraId="36201F8A"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Processualism and Ecological Adaptations</w:t>
      </w:r>
      <w:r>
        <w:rPr>
          <w:noProof/>
        </w:rPr>
        <w:tab/>
      </w:r>
      <w:r>
        <w:rPr>
          <w:noProof/>
        </w:rPr>
        <w:fldChar w:fldCharType="begin"/>
      </w:r>
      <w:r>
        <w:rPr>
          <w:noProof/>
        </w:rPr>
        <w:instrText xml:space="preserve"> PAGEREF _Toc261025849 \h </w:instrText>
      </w:r>
      <w:r>
        <w:rPr>
          <w:noProof/>
        </w:rPr>
      </w:r>
      <w:r>
        <w:rPr>
          <w:noProof/>
        </w:rPr>
        <w:fldChar w:fldCharType="separate"/>
      </w:r>
      <w:r>
        <w:rPr>
          <w:noProof/>
        </w:rPr>
        <w:t>46</w:t>
      </w:r>
      <w:r>
        <w:rPr>
          <w:noProof/>
        </w:rPr>
        <w:fldChar w:fldCharType="end"/>
      </w:r>
    </w:p>
    <w:p w14:paraId="0966B3F9"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Beyond Processualism</w:t>
      </w:r>
      <w:r>
        <w:rPr>
          <w:noProof/>
        </w:rPr>
        <w:tab/>
      </w:r>
      <w:r>
        <w:rPr>
          <w:noProof/>
        </w:rPr>
        <w:fldChar w:fldCharType="begin"/>
      </w:r>
      <w:r>
        <w:rPr>
          <w:noProof/>
        </w:rPr>
        <w:instrText xml:space="preserve"> PAGEREF _Toc261025850 \h </w:instrText>
      </w:r>
      <w:r>
        <w:rPr>
          <w:noProof/>
        </w:rPr>
      </w:r>
      <w:r>
        <w:rPr>
          <w:noProof/>
        </w:rPr>
        <w:fldChar w:fldCharType="separate"/>
      </w:r>
      <w:r>
        <w:rPr>
          <w:noProof/>
        </w:rPr>
        <w:t>48</w:t>
      </w:r>
      <w:r>
        <w:rPr>
          <w:noProof/>
        </w:rPr>
        <w:fldChar w:fldCharType="end"/>
      </w:r>
    </w:p>
    <w:p w14:paraId="44130BD5"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The Study Area</w:t>
      </w:r>
      <w:r>
        <w:rPr>
          <w:noProof/>
        </w:rPr>
        <w:tab/>
      </w:r>
      <w:r>
        <w:rPr>
          <w:noProof/>
        </w:rPr>
        <w:fldChar w:fldCharType="begin"/>
      </w:r>
      <w:r>
        <w:rPr>
          <w:noProof/>
        </w:rPr>
        <w:instrText xml:space="preserve"> PAGEREF _Toc261025851 \h </w:instrText>
      </w:r>
      <w:r>
        <w:rPr>
          <w:noProof/>
        </w:rPr>
      </w:r>
      <w:r>
        <w:rPr>
          <w:noProof/>
        </w:rPr>
        <w:fldChar w:fldCharType="separate"/>
      </w:r>
      <w:r>
        <w:rPr>
          <w:noProof/>
        </w:rPr>
        <w:t>49</w:t>
      </w:r>
      <w:r>
        <w:rPr>
          <w:noProof/>
        </w:rPr>
        <w:fldChar w:fldCharType="end"/>
      </w:r>
    </w:p>
    <w:p w14:paraId="29B9C2F2"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Geologic History</w:t>
      </w:r>
      <w:r>
        <w:rPr>
          <w:noProof/>
        </w:rPr>
        <w:tab/>
      </w:r>
      <w:r>
        <w:rPr>
          <w:noProof/>
        </w:rPr>
        <w:fldChar w:fldCharType="begin"/>
      </w:r>
      <w:r>
        <w:rPr>
          <w:noProof/>
        </w:rPr>
        <w:instrText xml:space="preserve"> PAGEREF _Toc261025852 \h </w:instrText>
      </w:r>
      <w:r>
        <w:rPr>
          <w:noProof/>
        </w:rPr>
      </w:r>
      <w:r>
        <w:rPr>
          <w:noProof/>
        </w:rPr>
        <w:fldChar w:fldCharType="separate"/>
      </w:r>
      <w:r>
        <w:rPr>
          <w:noProof/>
        </w:rPr>
        <w:t>53</w:t>
      </w:r>
      <w:r>
        <w:rPr>
          <w:noProof/>
        </w:rPr>
        <w:fldChar w:fldCharType="end"/>
      </w:r>
    </w:p>
    <w:p w14:paraId="56788C37"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The Ouachita Ecoregion</w:t>
      </w:r>
      <w:r>
        <w:rPr>
          <w:noProof/>
        </w:rPr>
        <w:tab/>
      </w:r>
      <w:r>
        <w:rPr>
          <w:noProof/>
        </w:rPr>
        <w:fldChar w:fldCharType="begin"/>
      </w:r>
      <w:r>
        <w:rPr>
          <w:noProof/>
        </w:rPr>
        <w:instrText xml:space="preserve"> PAGEREF _Toc261025853 \h </w:instrText>
      </w:r>
      <w:r>
        <w:rPr>
          <w:noProof/>
        </w:rPr>
      </w:r>
      <w:r>
        <w:rPr>
          <w:noProof/>
        </w:rPr>
        <w:fldChar w:fldCharType="separate"/>
      </w:r>
      <w:r>
        <w:rPr>
          <w:noProof/>
        </w:rPr>
        <w:t>54</w:t>
      </w:r>
      <w:r>
        <w:rPr>
          <w:noProof/>
        </w:rPr>
        <w:fldChar w:fldCharType="end"/>
      </w:r>
    </w:p>
    <w:p w14:paraId="69A7ECB3"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Soils and Minerals</w:t>
      </w:r>
      <w:r>
        <w:rPr>
          <w:noProof/>
        </w:rPr>
        <w:tab/>
      </w:r>
      <w:r>
        <w:rPr>
          <w:noProof/>
        </w:rPr>
        <w:fldChar w:fldCharType="begin"/>
      </w:r>
      <w:r>
        <w:rPr>
          <w:noProof/>
        </w:rPr>
        <w:instrText xml:space="preserve"> PAGEREF _Toc261025854 \h </w:instrText>
      </w:r>
      <w:r>
        <w:rPr>
          <w:noProof/>
        </w:rPr>
      </w:r>
      <w:r>
        <w:rPr>
          <w:noProof/>
        </w:rPr>
        <w:fldChar w:fldCharType="separate"/>
      </w:r>
      <w:r>
        <w:rPr>
          <w:noProof/>
        </w:rPr>
        <w:t>57</w:t>
      </w:r>
      <w:r>
        <w:rPr>
          <w:noProof/>
        </w:rPr>
        <w:fldChar w:fldCharType="end"/>
      </w:r>
    </w:p>
    <w:p w14:paraId="6A307D3F"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Inhabitation</w:t>
      </w:r>
      <w:r>
        <w:rPr>
          <w:noProof/>
        </w:rPr>
        <w:tab/>
      </w:r>
      <w:r>
        <w:rPr>
          <w:noProof/>
        </w:rPr>
        <w:fldChar w:fldCharType="begin"/>
      </w:r>
      <w:r>
        <w:rPr>
          <w:noProof/>
        </w:rPr>
        <w:instrText xml:space="preserve"> PAGEREF _Toc261025855 \h </w:instrText>
      </w:r>
      <w:r>
        <w:rPr>
          <w:noProof/>
        </w:rPr>
      </w:r>
      <w:r>
        <w:rPr>
          <w:noProof/>
        </w:rPr>
        <w:fldChar w:fldCharType="separate"/>
      </w:r>
      <w:r>
        <w:rPr>
          <w:noProof/>
        </w:rPr>
        <w:t>58</w:t>
      </w:r>
      <w:r>
        <w:rPr>
          <w:noProof/>
        </w:rPr>
        <w:fldChar w:fldCharType="end"/>
      </w:r>
    </w:p>
    <w:p w14:paraId="6141BB24"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Wister phase (1500 BCE – 300 CE)</w:t>
      </w:r>
      <w:r>
        <w:rPr>
          <w:noProof/>
        </w:rPr>
        <w:tab/>
      </w:r>
      <w:r>
        <w:rPr>
          <w:noProof/>
        </w:rPr>
        <w:fldChar w:fldCharType="begin"/>
      </w:r>
      <w:r>
        <w:rPr>
          <w:noProof/>
        </w:rPr>
        <w:instrText xml:space="preserve"> PAGEREF _Toc261025856 \h </w:instrText>
      </w:r>
      <w:r>
        <w:rPr>
          <w:noProof/>
        </w:rPr>
      </w:r>
      <w:r>
        <w:rPr>
          <w:noProof/>
        </w:rPr>
        <w:fldChar w:fldCharType="separate"/>
      </w:r>
      <w:r>
        <w:rPr>
          <w:noProof/>
        </w:rPr>
        <w:t>59</w:t>
      </w:r>
      <w:r>
        <w:rPr>
          <w:noProof/>
        </w:rPr>
        <w:fldChar w:fldCharType="end"/>
      </w:r>
    </w:p>
    <w:p w14:paraId="31B54B71"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Fourche Maline phase (300 – 800/900 CE)</w:t>
      </w:r>
      <w:r>
        <w:rPr>
          <w:noProof/>
        </w:rPr>
        <w:tab/>
      </w:r>
      <w:r>
        <w:rPr>
          <w:noProof/>
        </w:rPr>
        <w:fldChar w:fldCharType="begin"/>
      </w:r>
      <w:r>
        <w:rPr>
          <w:noProof/>
        </w:rPr>
        <w:instrText xml:space="preserve"> PAGEREF _Toc261025857 \h </w:instrText>
      </w:r>
      <w:r>
        <w:rPr>
          <w:noProof/>
        </w:rPr>
      </w:r>
      <w:r>
        <w:rPr>
          <w:noProof/>
        </w:rPr>
        <w:fldChar w:fldCharType="separate"/>
      </w:r>
      <w:r>
        <w:rPr>
          <w:noProof/>
        </w:rPr>
        <w:t>60</w:t>
      </w:r>
      <w:r>
        <w:rPr>
          <w:noProof/>
        </w:rPr>
        <w:fldChar w:fldCharType="end"/>
      </w:r>
    </w:p>
    <w:p w14:paraId="131BEF17"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Harlan phase (900 – 1200 CE)</w:t>
      </w:r>
      <w:r>
        <w:rPr>
          <w:noProof/>
        </w:rPr>
        <w:tab/>
      </w:r>
      <w:r>
        <w:rPr>
          <w:noProof/>
        </w:rPr>
        <w:fldChar w:fldCharType="begin"/>
      </w:r>
      <w:r>
        <w:rPr>
          <w:noProof/>
        </w:rPr>
        <w:instrText xml:space="preserve"> PAGEREF _Toc261025858 \h </w:instrText>
      </w:r>
      <w:r>
        <w:rPr>
          <w:noProof/>
        </w:rPr>
      </w:r>
      <w:r>
        <w:rPr>
          <w:noProof/>
        </w:rPr>
        <w:fldChar w:fldCharType="separate"/>
      </w:r>
      <w:r>
        <w:rPr>
          <w:noProof/>
        </w:rPr>
        <w:t>61</w:t>
      </w:r>
      <w:r>
        <w:rPr>
          <w:noProof/>
        </w:rPr>
        <w:fldChar w:fldCharType="end"/>
      </w:r>
    </w:p>
    <w:p w14:paraId="31B0124F"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Spiro phase (1200 – 1400 CE)</w:t>
      </w:r>
      <w:r>
        <w:rPr>
          <w:noProof/>
        </w:rPr>
        <w:tab/>
      </w:r>
      <w:r>
        <w:rPr>
          <w:noProof/>
        </w:rPr>
        <w:fldChar w:fldCharType="begin"/>
      </w:r>
      <w:r>
        <w:rPr>
          <w:noProof/>
        </w:rPr>
        <w:instrText xml:space="preserve"> PAGEREF _Toc261025859 \h </w:instrText>
      </w:r>
      <w:r>
        <w:rPr>
          <w:noProof/>
        </w:rPr>
      </w:r>
      <w:r>
        <w:rPr>
          <w:noProof/>
        </w:rPr>
        <w:fldChar w:fldCharType="separate"/>
      </w:r>
      <w:r>
        <w:rPr>
          <w:noProof/>
        </w:rPr>
        <w:t>62</w:t>
      </w:r>
      <w:r>
        <w:rPr>
          <w:noProof/>
        </w:rPr>
        <w:fldChar w:fldCharType="end"/>
      </w:r>
    </w:p>
    <w:p w14:paraId="4ABB2914"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Ft. Coffee phase (1400 – 1550)</w:t>
      </w:r>
      <w:r>
        <w:rPr>
          <w:noProof/>
        </w:rPr>
        <w:tab/>
      </w:r>
      <w:r>
        <w:rPr>
          <w:noProof/>
        </w:rPr>
        <w:fldChar w:fldCharType="begin"/>
      </w:r>
      <w:r>
        <w:rPr>
          <w:noProof/>
        </w:rPr>
        <w:instrText xml:space="preserve"> PAGEREF _Toc261025860 \h </w:instrText>
      </w:r>
      <w:r>
        <w:rPr>
          <w:noProof/>
        </w:rPr>
      </w:r>
      <w:r>
        <w:rPr>
          <w:noProof/>
        </w:rPr>
        <w:fldChar w:fldCharType="separate"/>
      </w:r>
      <w:r>
        <w:rPr>
          <w:noProof/>
        </w:rPr>
        <w:t>63</w:t>
      </w:r>
      <w:r>
        <w:rPr>
          <w:noProof/>
        </w:rPr>
        <w:fldChar w:fldCharType="end"/>
      </w:r>
    </w:p>
    <w:p w14:paraId="0923CFF1"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The Fourche Maline Mounds</w:t>
      </w:r>
      <w:r>
        <w:rPr>
          <w:noProof/>
        </w:rPr>
        <w:tab/>
      </w:r>
      <w:r>
        <w:rPr>
          <w:noProof/>
        </w:rPr>
        <w:fldChar w:fldCharType="begin"/>
      </w:r>
      <w:r>
        <w:rPr>
          <w:noProof/>
        </w:rPr>
        <w:instrText xml:space="preserve"> PAGEREF _Toc261025861 \h </w:instrText>
      </w:r>
      <w:r>
        <w:rPr>
          <w:noProof/>
        </w:rPr>
      </w:r>
      <w:r>
        <w:rPr>
          <w:noProof/>
        </w:rPr>
        <w:fldChar w:fldCharType="separate"/>
      </w:r>
      <w:r>
        <w:rPr>
          <w:noProof/>
        </w:rPr>
        <w:t>64</w:t>
      </w:r>
      <w:r>
        <w:rPr>
          <w:noProof/>
        </w:rPr>
        <w:fldChar w:fldCharType="end"/>
      </w:r>
    </w:p>
    <w:p w14:paraId="3DED04B4"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Wister area Fourche Maline Sites not in the study</w:t>
      </w:r>
      <w:r>
        <w:rPr>
          <w:noProof/>
        </w:rPr>
        <w:tab/>
      </w:r>
      <w:r>
        <w:rPr>
          <w:noProof/>
        </w:rPr>
        <w:fldChar w:fldCharType="begin"/>
      </w:r>
      <w:r>
        <w:rPr>
          <w:noProof/>
        </w:rPr>
        <w:instrText xml:space="preserve"> PAGEREF _Toc261025862 \h </w:instrText>
      </w:r>
      <w:r>
        <w:rPr>
          <w:noProof/>
        </w:rPr>
      </w:r>
      <w:r>
        <w:rPr>
          <w:noProof/>
        </w:rPr>
        <w:fldChar w:fldCharType="separate"/>
      </w:r>
      <w:r>
        <w:rPr>
          <w:noProof/>
        </w:rPr>
        <w:t>84</w:t>
      </w:r>
      <w:r>
        <w:rPr>
          <w:noProof/>
        </w:rPr>
        <w:fldChar w:fldCharType="end"/>
      </w:r>
    </w:p>
    <w:p w14:paraId="48DA310D"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Previous bioarchaeology in the Wister area</w:t>
      </w:r>
      <w:r>
        <w:rPr>
          <w:noProof/>
        </w:rPr>
        <w:tab/>
      </w:r>
      <w:r>
        <w:rPr>
          <w:noProof/>
        </w:rPr>
        <w:fldChar w:fldCharType="begin"/>
      </w:r>
      <w:r>
        <w:rPr>
          <w:noProof/>
        </w:rPr>
        <w:instrText xml:space="preserve"> PAGEREF _Toc261025863 \h </w:instrText>
      </w:r>
      <w:r>
        <w:rPr>
          <w:noProof/>
        </w:rPr>
      </w:r>
      <w:r>
        <w:rPr>
          <w:noProof/>
        </w:rPr>
        <w:fldChar w:fldCharType="separate"/>
      </w:r>
      <w:r>
        <w:rPr>
          <w:noProof/>
        </w:rPr>
        <w:t>85</w:t>
      </w:r>
      <w:r>
        <w:rPr>
          <w:noProof/>
        </w:rPr>
        <w:fldChar w:fldCharType="end"/>
      </w:r>
    </w:p>
    <w:p w14:paraId="75989A62" w14:textId="77777777" w:rsidR="006A4C10" w:rsidRDefault="006A4C10">
      <w:pPr>
        <w:pStyle w:val="TOC1"/>
        <w:tabs>
          <w:tab w:val="right" w:leader="dot" w:pos="8486"/>
        </w:tabs>
        <w:rPr>
          <w:rFonts w:eastAsiaTheme="minorEastAsia" w:cstheme="minorBidi"/>
          <w:b w:val="0"/>
          <w:noProof/>
          <w:lang w:eastAsia="ja-JP" w:bidi="ar-SA"/>
        </w:rPr>
      </w:pPr>
      <w:r>
        <w:rPr>
          <w:noProof/>
        </w:rPr>
        <w:t>Chapter 4: Skeletal Trauma and Nutritional Status</w:t>
      </w:r>
      <w:r>
        <w:rPr>
          <w:noProof/>
        </w:rPr>
        <w:tab/>
      </w:r>
      <w:r>
        <w:rPr>
          <w:noProof/>
        </w:rPr>
        <w:fldChar w:fldCharType="begin"/>
      </w:r>
      <w:r>
        <w:rPr>
          <w:noProof/>
        </w:rPr>
        <w:instrText xml:space="preserve"> PAGEREF _Toc261025864 \h </w:instrText>
      </w:r>
      <w:r>
        <w:rPr>
          <w:noProof/>
        </w:rPr>
      </w:r>
      <w:r>
        <w:rPr>
          <w:noProof/>
        </w:rPr>
        <w:fldChar w:fldCharType="separate"/>
      </w:r>
      <w:r>
        <w:rPr>
          <w:noProof/>
        </w:rPr>
        <w:t>88</w:t>
      </w:r>
      <w:r>
        <w:rPr>
          <w:noProof/>
        </w:rPr>
        <w:fldChar w:fldCharType="end"/>
      </w:r>
    </w:p>
    <w:p w14:paraId="7A67998F" w14:textId="77777777" w:rsidR="006A4C10" w:rsidRDefault="006A4C10">
      <w:pPr>
        <w:pStyle w:val="TOC1"/>
        <w:tabs>
          <w:tab w:val="right" w:leader="dot" w:pos="8486"/>
        </w:tabs>
        <w:rPr>
          <w:rFonts w:eastAsiaTheme="minorEastAsia" w:cstheme="minorBidi"/>
          <w:b w:val="0"/>
          <w:noProof/>
          <w:lang w:eastAsia="ja-JP" w:bidi="ar-SA"/>
        </w:rPr>
      </w:pPr>
      <w:r>
        <w:rPr>
          <w:noProof/>
        </w:rPr>
        <w:t>from the Akers Site (34Lf32)</w:t>
      </w:r>
      <w:r>
        <w:rPr>
          <w:noProof/>
        </w:rPr>
        <w:tab/>
      </w:r>
      <w:r>
        <w:rPr>
          <w:noProof/>
        </w:rPr>
        <w:fldChar w:fldCharType="begin"/>
      </w:r>
      <w:r>
        <w:rPr>
          <w:noProof/>
        </w:rPr>
        <w:instrText xml:space="preserve"> PAGEREF _Toc261025865 \h </w:instrText>
      </w:r>
      <w:r>
        <w:rPr>
          <w:noProof/>
        </w:rPr>
      </w:r>
      <w:r>
        <w:rPr>
          <w:noProof/>
        </w:rPr>
        <w:fldChar w:fldCharType="separate"/>
      </w:r>
      <w:r>
        <w:rPr>
          <w:noProof/>
        </w:rPr>
        <w:t>88</w:t>
      </w:r>
      <w:r>
        <w:rPr>
          <w:noProof/>
        </w:rPr>
        <w:fldChar w:fldCharType="end"/>
      </w:r>
    </w:p>
    <w:p w14:paraId="737AFBCE"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Methods and Materials</w:t>
      </w:r>
      <w:r>
        <w:rPr>
          <w:noProof/>
        </w:rPr>
        <w:tab/>
      </w:r>
      <w:r>
        <w:rPr>
          <w:noProof/>
        </w:rPr>
        <w:fldChar w:fldCharType="begin"/>
      </w:r>
      <w:r>
        <w:rPr>
          <w:noProof/>
        </w:rPr>
        <w:instrText xml:space="preserve"> PAGEREF _Toc261025866 \h </w:instrText>
      </w:r>
      <w:r>
        <w:rPr>
          <w:noProof/>
        </w:rPr>
      </w:r>
      <w:r>
        <w:rPr>
          <w:noProof/>
        </w:rPr>
        <w:fldChar w:fldCharType="separate"/>
      </w:r>
      <w:r>
        <w:rPr>
          <w:noProof/>
        </w:rPr>
        <w:t>88</w:t>
      </w:r>
      <w:r>
        <w:rPr>
          <w:noProof/>
        </w:rPr>
        <w:fldChar w:fldCharType="end"/>
      </w:r>
    </w:p>
    <w:p w14:paraId="501B0D97"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Prevalence rates</w:t>
      </w:r>
      <w:r>
        <w:rPr>
          <w:noProof/>
        </w:rPr>
        <w:tab/>
      </w:r>
      <w:r>
        <w:rPr>
          <w:noProof/>
        </w:rPr>
        <w:fldChar w:fldCharType="begin"/>
      </w:r>
      <w:r>
        <w:rPr>
          <w:noProof/>
        </w:rPr>
        <w:instrText xml:space="preserve"> PAGEREF _Toc261025867 \h </w:instrText>
      </w:r>
      <w:r>
        <w:rPr>
          <w:noProof/>
        </w:rPr>
      </w:r>
      <w:r>
        <w:rPr>
          <w:noProof/>
        </w:rPr>
        <w:fldChar w:fldCharType="separate"/>
      </w:r>
      <w:r>
        <w:rPr>
          <w:noProof/>
        </w:rPr>
        <w:t>89</w:t>
      </w:r>
      <w:r>
        <w:rPr>
          <w:noProof/>
        </w:rPr>
        <w:fldChar w:fldCharType="end"/>
      </w:r>
    </w:p>
    <w:p w14:paraId="38E52828"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The Akers burial population</w:t>
      </w:r>
      <w:r>
        <w:rPr>
          <w:noProof/>
        </w:rPr>
        <w:tab/>
      </w:r>
      <w:r>
        <w:rPr>
          <w:noProof/>
        </w:rPr>
        <w:fldChar w:fldCharType="begin"/>
      </w:r>
      <w:r>
        <w:rPr>
          <w:noProof/>
        </w:rPr>
        <w:instrText xml:space="preserve"> PAGEREF _Toc261025868 \h </w:instrText>
      </w:r>
      <w:r>
        <w:rPr>
          <w:noProof/>
        </w:rPr>
      </w:r>
      <w:r>
        <w:rPr>
          <w:noProof/>
        </w:rPr>
        <w:fldChar w:fldCharType="separate"/>
      </w:r>
      <w:r>
        <w:rPr>
          <w:noProof/>
        </w:rPr>
        <w:t>89</w:t>
      </w:r>
      <w:r>
        <w:rPr>
          <w:noProof/>
        </w:rPr>
        <w:fldChar w:fldCharType="end"/>
      </w:r>
    </w:p>
    <w:p w14:paraId="4A425940"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The Current Study Subsample</w:t>
      </w:r>
      <w:r>
        <w:rPr>
          <w:noProof/>
        </w:rPr>
        <w:tab/>
      </w:r>
      <w:r>
        <w:rPr>
          <w:noProof/>
        </w:rPr>
        <w:fldChar w:fldCharType="begin"/>
      </w:r>
      <w:r>
        <w:rPr>
          <w:noProof/>
        </w:rPr>
        <w:instrText xml:space="preserve"> PAGEREF _Toc261025869 \h </w:instrText>
      </w:r>
      <w:r>
        <w:rPr>
          <w:noProof/>
        </w:rPr>
      </w:r>
      <w:r>
        <w:rPr>
          <w:noProof/>
        </w:rPr>
        <w:fldChar w:fldCharType="separate"/>
      </w:r>
      <w:r>
        <w:rPr>
          <w:noProof/>
        </w:rPr>
        <w:t>91</w:t>
      </w:r>
      <w:r>
        <w:rPr>
          <w:noProof/>
        </w:rPr>
        <w:fldChar w:fldCharType="end"/>
      </w:r>
    </w:p>
    <w:p w14:paraId="6E66DA78"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Age and Sex of the Study Population</w:t>
      </w:r>
      <w:r>
        <w:rPr>
          <w:noProof/>
        </w:rPr>
        <w:tab/>
      </w:r>
      <w:r>
        <w:rPr>
          <w:noProof/>
        </w:rPr>
        <w:fldChar w:fldCharType="begin"/>
      </w:r>
      <w:r>
        <w:rPr>
          <w:noProof/>
        </w:rPr>
        <w:instrText xml:space="preserve"> PAGEREF _Toc261025870 \h </w:instrText>
      </w:r>
      <w:r>
        <w:rPr>
          <w:noProof/>
        </w:rPr>
      </w:r>
      <w:r>
        <w:rPr>
          <w:noProof/>
        </w:rPr>
        <w:fldChar w:fldCharType="separate"/>
      </w:r>
      <w:r>
        <w:rPr>
          <w:noProof/>
        </w:rPr>
        <w:t>92</w:t>
      </w:r>
      <w:r>
        <w:rPr>
          <w:noProof/>
        </w:rPr>
        <w:fldChar w:fldCharType="end"/>
      </w:r>
    </w:p>
    <w:p w14:paraId="7AD80ED9"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Skeletal Trauma at the Akers Site</w:t>
      </w:r>
      <w:r>
        <w:rPr>
          <w:noProof/>
        </w:rPr>
        <w:tab/>
      </w:r>
      <w:r>
        <w:rPr>
          <w:noProof/>
        </w:rPr>
        <w:fldChar w:fldCharType="begin"/>
      </w:r>
      <w:r>
        <w:rPr>
          <w:noProof/>
        </w:rPr>
        <w:instrText xml:space="preserve"> PAGEREF _Toc261025871 \h </w:instrText>
      </w:r>
      <w:r>
        <w:rPr>
          <w:noProof/>
        </w:rPr>
      </w:r>
      <w:r>
        <w:rPr>
          <w:noProof/>
        </w:rPr>
        <w:fldChar w:fldCharType="separate"/>
      </w:r>
      <w:r>
        <w:rPr>
          <w:noProof/>
        </w:rPr>
        <w:t>93</w:t>
      </w:r>
      <w:r>
        <w:rPr>
          <w:noProof/>
        </w:rPr>
        <w:fldChar w:fldCharType="end"/>
      </w:r>
    </w:p>
    <w:p w14:paraId="4DBE9258"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Results</w:t>
      </w:r>
      <w:r>
        <w:rPr>
          <w:noProof/>
        </w:rPr>
        <w:tab/>
      </w:r>
      <w:r>
        <w:rPr>
          <w:noProof/>
        </w:rPr>
        <w:fldChar w:fldCharType="begin"/>
      </w:r>
      <w:r>
        <w:rPr>
          <w:noProof/>
        </w:rPr>
        <w:instrText xml:space="preserve"> PAGEREF _Toc261025872 \h </w:instrText>
      </w:r>
      <w:r>
        <w:rPr>
          <w:noProof/>
        </w:rPr>
      </w:r>
      <w:r>
        <w:rPr>
          <w:noProof/>
        </w:rPr>
        <w:fldChar w:fldCharType="separate"/>
      </w:r>
      <w:r>
        <w:rPr>
          <w:noProof/>
        </w:rPr>
        <w:t>94</w:t>
      </w:r>
      <w:r>
        <w:rPr>
          <w:noProof/>
        </w:rPr>
        <w:fldChar w:fldCharType="end"/>
      </w:r>
    </w:p>
    <w:p w14:paraId="23010905"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Summary and Discussion of Skeletal Trauma</w:t>
      </w:r>
      <w:r>
        <w:rPr>
          <w:noProof/>
        </w:rPr>
        <w:tab/>
      </w:r>
      <w:r>
        <w:rPr>
          <w:noProof/>
        </w:rPr>
        <w:fldChar w:fldCharType="begin"/>
      </w:r>
      <w:r>
        <w:rPr>
          <w:noProof/>
        </w:rPr>
        <w:instrText xml:space="preserve"> PAGEREF _Toc261025873 \h </w:instrText>
      </w:r>
      <w:r>
        <w:rPr>
          <w:noProof/>
        </w:rPr>
      </w:r>
      <w:r>
        <w:rPr>
          <w:noProof/>
        </w:rPr>
        <w:fldChar w:fldCharType="separate"/>
      </w:r>
      <w:r>
        <w:rPr>
          <w:noProof/>
        </w:rPr>
        <w:t>110</w:t>
      </w:r>
      <w:r>
        <w:rPr>
          <w:noProof/>
        </w:rPr>
        <w:fldChar w:fldCharType="end"/>
      </w:r>
    </w:p>
    <w:p w14:paraId="79C3D07E"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Nutritional Status at Akers</w:t>
      </w:r>
      <w:r>
        <w:rPr>
          <w:noProof/>
        </w:rPr>
        <w:tab/>
      </w:r>
      <w:r>
        <w:rPr>
          <w:noProof/>
        </w:rPr>
        <w:fldChar w:fldCharType="begin"/>
      </w:r>
      <w:r>
        <w:rPr>
          <w:noProof/>
        </w:rPr>
        <w:instrText xml:space="preserve"> PAGEREF _Toc261025874 \h </w:instrText>
      </w:r>
      <w:r>
        <w:rPr>
          <w:noProof/>
        </w:rPr>
      </w:r>
      <w:r>
        <w:rPr>
          <w:noProof/>
        </w:rPr>
        <w:fldChar w:fldCharType="separate"/>
      </w:r>
      <w:r>
        <w:rPr>
          <w:noProof/>
        </w:rPr>
        <w:t>116</w:t>
      </w:r>
      <w:r>
        <w:rPr>
          <w:noProof/>
        </w:rPr>
        <w:fldChar w:fldCharType="end"/>
      </w:r>
    </w:p>
    <w:p w14:paraId="68225D25"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Results</w:t>
      </w:r>
      <w:r>
        <w:rPr>
          <w:noProof/>
        </w:rPr>
        <w:tab/>
      </w:r>
      <w:r>
        <w:rPr>
          <w:noProof/>
        </w:rPr>
        <w:fldChar w:fldCharType="begin"/>
      </w:r>
      <w:r>
        <w:rPr>
          <w:noProof/>
        </w:rPr>
        <w:instrText xml:space="preserve"> PAGEREF _Toc261025875 \h </w:instrText>
      </w:r>
      <w:r>
        <w:rPr>
          <w:noProof/>
        </w:rPr>
      </w:r>
      <w:r>
        <w:rPr>
          <w:noProof/>
        </w:rPr>
        <w:fldChar w:fldCharType="separate"/>
      </w:r>
      <w:r>
        <w:rPr>
          <w:noProof/>
        </w:rPr>
        <w:t>118</w:t>
      </w:r>
      <w:r>
        <w:rPr>
          <w:noProof/>
        </w:rPr>
        <w:fldChar w:fldCharType="end"/>
      </w:r>
    </w:p>
    <w:p w14:paraId="095C3986"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Summary and Discussion of Nutritional Status at Akers</w:t>
      </w:r>
      <w:r>
        <w:rPr>
          <w:noProof/>
        </w:rPr>
        <w:tab/>
      </w:r>
      <w:r>
        <w:rPr>
          <w:noProof/>
        </w:rPr>
        <w:fldChar w:fldCharType="begin"/>
      </w:r>
      <w:r>
        <w:rPr>
          <w:noProof/>
        </w:rPr>
        <w:instrText xml:space="preserve"> PAGEREF _Toc261025876 \h </w:instrText>
      </w:r>
      <w:r>
        <w:rPr>
          <w:noProof/>
        </w:rPr>
      </w:r>
      <w:r>
        <w:rPr>
          <w:noProof/>
        </w:rPr>
        <w:fldChar w:fldCharType="separate"/>
      </w:r>
      <w:r>
        <w:rPr>
          <w:noProof/>
        </w:rPr>
        <w:t>119</w:t>
      </w:r>
      <w:r>
        <w:rPr>
          <w:noProof/>
        </w:rPr>
        <w:fldChar w:fldCharType="end"/>
      </w:r>
    </w:p>
    <w:p w14:paraId="32177E6E"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Akers Conclusions</w:t>
      </w:r>
      <w:r>
        <w:rPr>
          <w:noProof/>
        </w:rPr>
        <w:tab/>
      </w:r>
      <w:r>
        <w:rPr>
          <w:noProof/>
        </w:rPr>
        <w:fldChar w:fldCharType="begin"/>
      </w:r>
      <w:r>
        <w:rPr>
          <w:noProof/>
        </w:rPr>
        <w:instrText xml:space="preserve"> PAGEREF _Toc261025877 \h </w:instrText>
      </w:r>
      <w:r>
        <w:rPr>
          <w:noProof/>
        </w:rPr>
      </w:r>
      <w:r>
        <w:rPr>
          <w:noProof/>
        </w:rPr>
        <w:fldChar w:fldCharType="separate"/>
      </w:r>
      <w:r>
        <w:rPr>
          <w:noProof/>
        </w:rPr>
        <w:t>121</w:t>
      </w:r>
      <w:r>
        <w:rPr>
          <w:noProof/>
        </w:rPr>
        <w:fldChar w:fldCharType="end"/>
      </w:r>
    </w:p>
    <w:p w14:paraId="4A5A1701" w14:textId="77777777" w:rsidR="006A4C10" w:rsidRDefault="006A4C10">
      <w:pPr>
        <w:pStyle w:val="TOC1"/>
        <w:tabs>
          <w:tab w:val="right" w:leader="dot" w:pos="8486"/>
        </w:tabs>
        <w:rPr>
          <w:rFonts w:eastAsiaTheme="minorEastAsia" w:cstheme="minorBidi"/>
          <w:b w:val="0"/>
          <w:noProof/>
          <w:lang w:eastAsia="ja-JP" w:bidi="ar-SA"/>
        </w:rPr>
      </w:pPr>
      <w:r>
        <w:rPr>
          <w:noProof/>
        </w:rPr>
        <w:t>Chapter 5:  Conflict in the Wister Area</w:t>
      </w:r>
      <w:r>
        <w:rPr>
          <w:noProof/>
        </w:rPr>
        <w:tab/>
      </w:r>
      <w:r>
        <w:rPr>
          <w:noProof/>
        </w:rPr>
        <w:fldChar w:fldCharType="begin"/>
      </w:r>
      <w:r>
        <w:rPr>
          <w:noProof/>
        </w:rPr>
        <w:instrText xml:space="preserve"> PAGEREF _Toc261025878 \h </w:instrText>
      </w:r>
      <w:r>
        <w:rPr>
          <w:noProof/>
        </w:rPr>
      </w:r>
      <w:r>
        <w:rPr>
          <w:noProof/>
        </w:rPr>
        <w:fldChar w:fldCharType="separate"/>
      </w:r>
      <w:r>
        <w:rPr>
          <w:noProof/>
        </w:rPr>
        <w:t>122</w:t>
      </w:r>
      <w:r>
        <w:rPr>
          <w:noProof/>
        </w:rPr>
        <w:fldChar w:fldCharType="end"/>
      </w:r>
    </w:p>
    <w:p w14:paraId="7D31616B"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Methods and Materials</w:t>
      </w:r>
      <w:r>
        <w:rPr>
          <w:noProof/>
        </w:rPr>
        <w:tab/>
      </w:r>
      <w:r>
        <w:rPr>
          <w:noProof/>
        </w:rPr>
        <w:fldChar w:fldCharType="begin"/>
      </w:r>
      <w:r>
        <w:rPr>
          <w:noProof/>
        </w:rPr>
        <w:instrText xml:space="preserve"> PAGEREF _Toc261025879 \h </w:instrText>
      </w:r>
      <w:r>
        <w:rPr>
          <w:noProof/>
        </w:rPr>
      </w:r>
      <w:r>
        <w:rPr>
          <w:noProof/>
        </w:rPr>
        <w:fldChar w:fldCharType="separate"/>
      </w:r>
      <w:r>
        <w:rPr>
          <w:noProof/>
        </w:rPr>
        <w:t>126</w:t>
      </w:r>
      <w:r>
        <w:rPr>
          <w:noProof/>
        </w:rPr>
        <w:fldChar w:fldCharType="end"/>
      </w:r>
    </w:p>
    <w:p w14:paraId="6A7340D3"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Sites</w:t>
      </w:r>
      <w:r>
        <w:rPr>
          <w:noProof/>
        </w:rPr>
        <w:tab/>
      </w:r>
      <w:r>
        <w:rPr>
          <w:noProof/>
        </w:rPr>
        <w:fldChar w:fldCharType="begin"/>
      </w:r>
      <w:r>
        <w:rPr>
          <w:noProof/>
        </w:rPr>
        <w:instrText xml:space="preserve"> PAGEREF _Toc261025880 \h </w:instrText>
      </w:r>
      <w:r>
        <w:rPr>
          <w:noProof/>
        </w:rPr>
      </w:r>
      <w:r>
        <w:rPr>
          <w:noProof/>
        </w:rPr>
        <w:fldChar w:fldCharType="separate"/>
      </w:r>
      <w:r>
        <w:rPr>
          <w:noProof/>
        </w:rPr>
        <w:t>130</w:t>
      </w:r>
      <w:r>
        <w:rPr>
          <w:noProof/>
        </w:rPr>
        <w:fldChar w:fldCharType="end"/>
      </w:r>
    </w:p>
    <w:p w14:paraId="628AE1B3"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Results</w:t>
      </w:r>
      <w:r>
        <w:rPr>
          <w:noProof/>
        </w:rPr>
        <w:tab/>
      </w:r>
      <w:r>
        <w:rPr>
          <w:noProof/>
        </w:rPr>
        <w:fldChar w:fldCharType="begin"/>
      </w:r>
      <w:r>
        <w:rPr>
          <w:noProof/>
        </w:rPr>
        <w:instrText xml:space="preserve"> PAGEREF _Toc261025881 \h </w:instrText>
      </w:r>
      <w:r>
        <w:rPr>
          <w:noProof/>
        </w:rPr>
      </w:r>
      <w:r>
        <w:rPr>
          <w:noProof/>
        </w:rPr>
        <w:fldChar w:fldCharType="separate"/>
      </w:r>
      <w:r>
        <w:rPr>
          <w:noProof/>
        </w:rPr>
        <w:t>132</w:t>
      </w:r>
      <w:r>
        <w:rPr>
          <w:noProof/>
        </w:rPr>
        <w:fldChar w:fldCharType="end"/>
      </w:r>
    </w:p>
    <w:p w14:paraId="05018452"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Multiple Burials</w:t>
      </w:r>
      <w:r>
        <w:rPr>
          <w:noProof/>
        </w:rPr>
        <w:tab/>
      </w:r>
      <w:r>
        <w:rPr>
          <w:noProof/>
        </w:rPr>
        <w:fldChar w:fldCharType="begin"/>
      </w:r>
      <w:r>
        <w:rPr>
          <w:noProof/>
        </w:rPr>
        <w:instrText xml:space="preserve"> PAGEREF _Toc261025882 \h </w:instrText>
      </w:r>
      <w:r>
        <w:rPr>
          <w:noProof/>
        </w:rPr>
      </w:r>
      <w:r>
        <w:rPr>
          <w:noProof/>
        </w:rPr>
        <w:fldChar w:fldCharType="separate"/>
      </w:r>
      <w:r>
        <w:rPr>
          <w:noProof/>
        </w:rPr>
        <w:t>132</w:t>
      </w:r>
      <w:r>
        <w:rPr>
          <w:noProof/>
        </w:rPr>
        <w:fldChar w:fldCharType="end"/>
      </w:r>
    </w:p>
    <w:p w14:paraId="263DEDAC"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Trophy taking behavior</w:t>
      </w:r>
      <w:r>
        <w:rPr>
          <w:noProof/>
        </w:rPr>
        <w:tab/>
      </w:r>
      <w:r>
        <w:rPr>
          <w:noProof/>
        </w:rPr>
        <w:fldChar w:fldCharType="begin"/>
      </w:r>
      <w:r>
        <w:rPr>
          <w:noProof/>
        </w:rPr>
        <w:instrText xml:space="preserve"> PAGEREF _Toc261025883 \h </w:instrText>
      </w:r>
      <w:r>
        <w:rPr>
          <w:noProof/>
        </w:rPr>
      </w:r>
      <w:r>
        <w:rPr>
          <w:noProof/>
        </w:rPr>
        <w:fldChar w:fldCharType="separate"/>
      </w:r>
      <w:r>
        <w:rPr>
          <w:noProof/>
        </w:rPr>
        <w:t>136</w:t>
      </w:r>
      <w:r>
        <w:rPr>
          <w:noProof/>
        </w:rPr>
        <w:fldChar w:fldCharType="end"/>
      </w:r>
    </w:p>
    <w:p w14:paraId="30D39595"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Summary and Discussion</w:t>
      </w:r>
      <w:r>
        <w:rPr>
          <w:noProof/>
        </w:rPr>
        <w:tab/>
      </w:r>
      <w:r>
        <w:rPr>
          <w:noProof/>
        </w:rPr>
        <w:fldChar w:fldCharType="begin"/>
      </w:r>
      <w:r>
        <w:rPr>
          <w:noProof/>
        </w:rPr>
        <w:instrText xml:space="preserve"> PAGEREF _Toc261025884 \h </w:instrText>
      </w:r>
      <w:r>
        <w:rPr>
          <w:noProof/>
        </w:rPr>
      </w:r>
      <w:r>
        <w:rPr>
          <w:noProof/>
        </w:rPr>
        <w:fldChar w:fldCharType="separate"/>
      </w:r>
      <w:r>
        <w:rPr>
          <w:noProof/>
        </w:rPr>
        <w:t>139</w:t>
      </w:r>
      <w:r>
        <w:rPr>
          <w:noProof/>
        </w:rPr>
        <w:fldChar w:fldCharType="end"/>
      </w:r>
    </w:p>
    <w:p w14:paraId="401E5483" w14:textId="77777777" w:rsidR="006A4C10" w:rsidRDefault="006A4C10">
      <w:pPr>
        <w:pStyle w:val="TOC1"/>
        <w:tabs>
          <w:tab w:val="right" w:leader="dot" w:pos="8486"/>
        </w:tabs>
        <w:rPr>
          <w:rFonts w:eastAsiaTheme="minorEastAsia" w:cstheme="minorBidi"/>
          <w:b w:val="0"/>
          <w:noProof/>
          <w:lang w:eastAsia="ja-JP" w:bidi="ar-SA"/>
        </w:rPr>
      </w:pPr>
      <w:r>
        <w:rPr>
          <w:noProof/>
        </w:rPr>
        <w:t>Chapter 6:  Discussion and Conclusions</w:t>
      </w:r>
      <w:r>
        <w:rPr>
          <w:noProof/>
        </w:rPr>
        <w:tab/>
      </w:r>
      <w:r>
        <w:rPr>
          <w:noProof/>
        </w:rPr>
        <w:fldChar w:fldCharType="begin"/>
      </w:r>
      <w:r>
        <w:rPr>
          <w:noProof/>
        </w:rPr>
        <w:instrText xml:space="preserve"> PAGEREF _Toc261025885 \h </w:instrText>
      </w:r>
      <w:r>
        <w:rPr>
          <w:noProof/>
        </w:rPr>
      </w:r>
      <w:r>
        <w:rPr>
          <w:noProof/>
        </w:rPr>
        <w:fldChar w:fldCharType="separate"/>
      </w:r>
      <w:r>
        <w:rPr>
          <w:noProof/>
        </w:rPr>
        <w:t>143</w:t>
      </w:r>
      <w:r>
        <w:rPr>
          <w:noProof/>
        </w:rPr>
        <w:fldChar w:fldCharType="end"/>
      </w:r>
    </w:p>
    <w:p w14:paraId="669D0832"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Wister Area Demography and Time Scale</w:t>
      </w:r>
      <w:r>
        <w:rPr>
          <w:noProof/>
        </w:rPr>
        <w:tab/>
      </w:r>
      <w:r>
        <w:rPr>
          <w:noProof/>
        </w:rPr>
        <w:fldChar w:fldCharType="begin"/>
      </w:r>
      <w:r>
        <w:rPr>
          <w:noProof/>
        </w:rPr>
        <w:instrText xml:space="preserve"> PAGEREF _Toc261025886 \h </w:instrText>
      </w:r>
      <w:r>
        <w:rPr>
          <w:noProof/>
        </w:rPr>
      </w:r>
      <w:r>
        <w:rPr>
          <w:noProof/>
        </w:rPr>
        <w:fldChar w:fldCharType="separate"/>
      </w:r>
      <w:r>
        <w:rPr>
          <w:noProof/>
        </w:rPr>
        <w:t>143</w:t>
      </w:r>
      <w:r>
        <w:rPr>
          <w:noProof/>
        </w:rPr>
        <w:fldChar w:fldCharType="end"/>
      </w:r>
    </w:p>
    <w:p w14:paraId="31504181"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Wister Area Demography</w:t>
      </w:r>
      <w:r>
        <w:rPr>
          <w:noProof/>
        </w:rPr>
        <w:tab/>
      </w:r>
      <w:r>
        <w:rPr>
          <w:noProof/>
        </w:rPr>
        <w:fldChar w:fldCharType="begin"/>
      </w:r>
      <w:r>
        <w:rPr>
          <w:noProof/>
        </w:rPr>
        <w:instrText xml:space="preserve"> PAGEREF _Toc261025887 \h </w:instrText>
      </w:r>
      <w:r>
        <w:rPr>
          <w:noProof/>
        </w:rPr>
      </w:r>
      <w:r>
        <w:rPr>
          <w:noProof/>
        </w:rPr>
        <w:fldChar w:fldCharType="separate"/>
      </w:r>
      <w:r>
        <w:rPr>
          <w:noProof/>
        </w:rPr>
        <w:t>144</w:t>
      </w:r>
      <w:r>
        <w:rPr>
          <w:noProof/>
        </w:rPr>
        <w:fldChar w:fldCharType="end"/>
      </w:r>
    </w:p>
    <w:p w14:paraId="6EEDB572"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Wister Area Fourche Maline Health and Nutritional Status</w:t>
      </w:r>
      <w:r>
        <w:rPr>
          <w:noProof/>
        </w:rPr>
        <w:tab/>
      </w:r>
      <w:r>
        <w:rPr>
          <w:noProof/>
        </w:rPr>
        <w:fldChar w:fldCharType="begin"/>
      </w:r>
      <w:r>
        <w:rPr>
          <w:noProof/>
        </w:rPr>
        <w:instrText xml:space="preserve"> PAGEREF _Toc261025888 \h </w:instrText>
      </w:r>
      <w:r>
        <w:rPr>
          <w:noProof/>
        </w:rPr>
      </w:r>
      <w:r>
        <w:rPr>
          <w:noProof/>
        </w:rPr>
        <w:fldChar w:fldCharType="separate"/>
      </w:r>
      <w:r>
        <w:rPr>
          <w:noProof/>
        </w:rPr>
        <w:t>147</w:t>
      </w:r>
      <w:r>
        <w:rPr>
          <w:noProof/>
        </w:rPr>
        <w:fldChar w:fldCharType="end"/>
      </w:r>
    </w:p>
    <w:p w14:paraId="3056D079"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Skeletal Trauma</w:t>
      </w:r>
      <w:r>
        <w:rPr>
          <w:noProof/>
        </w:rPr>
        <w:tab/>
      </w:r>
      <w:r>
        <w:rPr>
          <w:noProof/>
        </w:rPr>
        <w:fldChar w:fldCharType="begin"/>
      </w:r>
      <w:r>
        <w:rPr>
          <w:noProof/>
        </w:rPr>
        <w:instrText xml:space="preserve"> PAGEREF _Toc261025889 \h </w:instrText>
      </w:r>
      <w:r>
        <w:rPr>
          <w:noProof/>
        </w:rPr>
      </w:r>
      <w:r>
        <w:rPr>
          <w:noProof/>
        </w:rPr>
        <w:fldChar w:fldCharType="separate"/>
      </w:r>
      <w:r>
        <w:rPr>
          <w:noProof/>
        </w:rPr>
        <w:t>148</w:t>
      </w:r>
      <w:r>
        <w:rPr>
          <w:noProof/>
        </w:rPr>
        <w:fldChar w:fldCharType="end"/>
      </w:r>
    </w:p>
    <w:p w14:paraId="0D8887C1" w14:textId="77777777" w:rsidR="006A4C10" w:rsidRDefault="006A4C10">
      <w:pPr>
        <w:pStyle w:val="TOC3"/>
        <w:tabs>
          <w:tab w:val="right" w:leader="dot" w:pos="8486"/>
        </w:tabs>
        <w:rPr>
          <w:rFonts w:eastAsiaTheme="minorEastAsia" w:cstheme="minorBidi"/>
          <w:noProof/>
          <w:sz w:val="24"/>
          <w:szCs w:val="24"/>
          <w:lang w:eastAsia="ja-JP" w:bidi="ar-SA"/>
        </w:rPr>
      </w:pPr>
      <w:r>
        <w:rPr>
          <w:noProof/>
        </w:rPr>
        <w:t>Nutritional status</w:t>
      </w:r>
      <w:r>
        <w:rPr>
          <w:noProof/>
        </w:rPr>
        <w:tab/>
      </w:r>
      <w:r>
        <w:rPr>
          <w:noProof/>
        </w:rPr>
        <w:fldChar w:fldCharType="begin"/>
      </w:r>
      <w:r>
        <w:rPr>
          <w:noProof/>
        </w:rPr>
        <w:instrText xml:space="preserve"> PAGEREF _Toc261025890 \h </w:instrText>
      </w:r>
      <w:r>
        <w:rPr>
          <w:noProof/>
        </w:rPr>
      </w:r>
      <w:r>
        <w:rPr>
          <w:noProof/>
        </w:rPr>
        <w:fldChar w:fldCharType="separate"/>
      </w:r>
      <w:r>
        <w:rPr>
          <w:noProof/>
        </w:rPr>
        <w:t>149</w:t>
      </w:r>
      <w:r>
        <w:rPr>
          <w:noProof/>
        </w:rPr>
        <w:fldChar w:fldCharType="end"/>
      </w:r>
    </w:p>
    <w:p w14:paraId="49CCA9C4"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Wister Area Group Burials and Violent Death</w:t>
      </w:r>
      <w:r>
        <w:rPr>
          <w:noProof/>
        </w:rPr>
        <w:tab/>
      </w:r>
      <w:r>
        <w:rPr>
          <w:noProof/>
        </w:rPr>
        <w:fldChar w:fldCharType="begin"/>
      </w:r>
      <w:r>
        <w:rPr>
          <w:noProof/>
        </w:rPr>
        <w:instrText xml:space="preserve"> PAGEREF _Toc261025891 \h </w:instrText>
      </w:r>
      <w:r>
        <w:rPr>
          <w:noProof/>
        </w:rPr>
      </w:r>
      <w:r>
        <w:rPr>
          <w:noProof/>
        </w:rPr>
        <w:fldChar w:fldCharType="separate"/>
      </w:r>
      <w:r>
        <w:rPr>
          <w:noProof/>
        </w:rPr>
        <w:t>152</w:t>
      </w:r>
      <w:r>
        <w:rPr>
          <w:noProof/>
        </w:rPr>
        <w:fldChar w:fldCharType="end"/>
      </w:r>
    </w:p>
    <w:p w14:paraId="4B9995F3"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Future Work</w:t>
      </w:r>
      <w:r>
        <w:rPr>
          <w:noProof/>
        </w:rPr>
        <w:tab/>
      </w:r>
      <w:r>
        <w:rPr>
          <w:noProof/>
        </w:rPr>
        <w:fldChar w:fldCharType="begin"/>
      </w:r>
      <w:r>
        <w:rPr>
          <w:noProof/>
        </w:rPr>
        <w:instrText xml:space="preserve"> PAGEREF _Toc261025892 \h </w:instrText>
      </w:r>
      <w:r>
        <w:rPr>
          <w:noProof/>
        </w:rPr>
      </w:r>
      <w:r>
        <w:rPr>
          <w:noProof/>
        </w:rPr>
        <w:fldChar w:fldCharType="separate"/>
      </w:r>
      <w:r>
        <w:rPr>
          <w:noProof/>
        </w:rPr>
        <w:t>154</w:t>
      </w:r>
      <w:r>
        <w:rPr>
          <w:noProof/>
        </w:rPr>
        <w:fldChar w:fldCharType="end"/>
      </w:r>
    </w:p>
    <w:p w14:paraId="5E1A6BA2" w14:textId="77777777" w:rsidR="006A4C10" w:rsidRDefault="006A4C10">
      <w:pPr>
        <w:pStyle w:val="TOC2"/>
        <w:tabs>
          <w:tab w:val="right" w:leader="dot" w:pos="8486"/>
        </w:tabs>
        <w:rPr>
          <w:rFonts w:eastAsiaTheme="minorEastAsia" w:cstheme="minorBidi"/>
          <w:b w:val="0"/>
          <w:noProof/>
          <w:sz w:val="24"/>
          <w:szCs w:val="24"/>
          <w:lang w:eastAsia="ja-JP" w:bidi="ar-SA"/>
        </w:rPr>
      </w:pPr>
      <w:r>
        <w:rPr>
          <w:noProof/>
        </w:rPr>
        <w:t>Conclusions</w:t>
      </w:r>
      <w:r>
        <w:rPr>
          <w:noProof/>
        </w:rPr>
        <w:tab/>
      </w:r>
      <w:r>
        <w:rPr>
          <w:noProof/>
        </w:rPr>
        <w:fldChar w:fldCharType="begin"/>
      </w:r>
      <w:r>
        <w:rPr>
          <w:noProof/>
        </w:rPr>
        <w:instrText xml:space="preserve"> PAGEREF _Toc261025893 \h </w:instrText>
      </w:r>
      <w:r>
        <w:rPr>
          <w:noProof/>
        </w:rPr>
      </w:r>
      <w:r>
        <w:rPr>
          <w:noProof/>
        </w:rPr>
        <w:fldChar w:fldCharType="separate"/>
      </w:r>
      <w:r>
        <w:rPr>
          <w:noProof/>
        </w:rPr>
        <w:t>155</w:t>
      </w:r>
      <w:r>
        <w:rPr>
          <w:noProof/>
        </w:rPr>
        <w:fldChar w:fldCharType="end"/>
      </w:r>
    </w:p>
    <w:p w14:paraId="36A01652" w14:textId="77777777" w:rsidR="006A4C10" w:rsidRDefault="006A4C10">
      <w:pPr>
        <w:pStyle w:val="TOC1"/>
        <w:tabs>
          <w:tab w:val="right" w:leader="dot" w:pos="8486"/>
        </w:tabs>
        <w:rPr>
          <w:rFonts w:eastAsiaTheme="minorEastAsia" w:cstheme="minorBidi"/>
          <w:b w:val="0"/>
          <w:noProof/>
          <w:lang w:eastAsia="ja-JP" w:bidi="ar-SA"/>
        </w:rPr>
      </w:pPr>
      <w:r>
        <w:rPr>
          <w:noProof/>
        </w:rPr>
        <w:t>References</w:t>
      </w:r>
      <w:r>
        <w:rPr>
          <w:noProof/>
        </w:rPr>
        <w:tab/>
      </w:r>
      <w:r>
        <w:rPr>
          <w:noProof/>
        </w:rPr>
        <w:fldChar w:fldCharType="begin"/>
      </w:r>
      <w:r>
        <w:rPr>
          <w:noProof/>
        </w:rPr>
        <w:instrText xml:space="preserve"> PAGEREF _Toc261025894 \h </w:instrText>
      </w:r>
      <w:r>
        <w:rPr>
          <w:noProof/>
        </w:rPr>
      </w:r>
      <w:r>
        <w:rPr>
          <w:noProof/>
        </w:rPr>
        <w:fldChar w:fldCharType="separate"/>
      </w:r>
      <w:r>
        <w:rPr>
          <w:noProof/>
        </w:rPr>
        <w:t>157</w:t>
      </w:r>
      <w:r>
        <w:rPr>
          <w:noProof/>
        </w:rPr>
        <w:fldChar w:fldCharType="end"/>
      </w:r>
    </w:p>
    <w:p w14:paraId="6F55F767" w14:textId="368513EB" w:rsidR="00BF0494" w:rsidRDefault="00BF0494" w:rsidP="00AD0E57">
      <w:r>
        <w:fldChar w:fldCharType="end"/>
      </w:r>
    </w:p>
    <w:p w14:paraId="0019FE2F" w14:textId="77777777" w:rsidR="009C5432" w:rsidRDefault="007E3F79" w:rsidP="00FA652B">
      <w:pPr>
        <w:pStyle w:val="Heading1"/>
        <w:rPr>
          <w:noProof/>
        </w:rPr>
      </w:pPr>
      <w:bookmarkStart w:id="4" w:name="_Toc261025828"/>
      <w:r>
        <w:t>List of Tables</w:t>
      </w:r>
      <w:bookmarkEnd w:id="4"/>
      <w:r w:rsidR="002D4160">
        <w:fldChar w:fldCharType="begin"/>
      </w:r>
      <w:r w:rsidR="002D4160">
        <w:instrText xml:space="preserve"> TOC \c "Table" </w:instrText>
      </w:r>
      <w:r w:rsidR="002D4160">
        <w:fldChar w:fldCharType="separate"/>
      </w:r>
    </w:p>
    <w:p w14:paraId="0038F113" w14:textId="77777777" w:rsidR="009C5432" w:rsidRDefault="009C5432">
      <w:pPr>
        <w:pStyle w:val="TableofFigures"/>
        <w:tabs>
          <w:tab w:val="right" w:leader="dot" w:pos="8486"/>
        </w:tabs>
        <w:rPr>
          <w:rFonts w:eastAsiaTheme="minorEastAsia" w:cstheme="minorBidi"/>
          <w:noProof/>
          <w:lang w:eastAsia="ja-JP" w:bidi="ar-SA"/>
        </w:rPr>
      </w:pPr>
      <w:r>
        <w:rPr>
          <w:noProof/>
        </w:rPr>
        <w:t>Table 1  Wister Area Chronology, following Galm (1978, 1984)</w:t>
      </w:r>
      <w:r>
        <w:rPr>
          <w:noProof/>
        </w:rPr>
        <w:tab/>
      </w:r>
      <w:r>
        <w:rPr>
          <w:noProof/>
        </w:rPr>
        <w:fldChar w:fldCharType="begin"/>
      </w:r>
      <w:r>
        <w:rPr>
          <w:noProof/>
        </w:rPr>
        <w:instrText xml:space="preserve"> PAGEREF _Toc261025229 \h </w:instrText>
      </w:r>
      <w:r>
        <w:rPr>
          <w:noProof/>
        </w:rPr>
      </w:r>
      <w:r>
        <w:rPr>
          <w:noProof/>
        </w:rPr>
        <w:fldChar w:fldCharType="separate"/>
      </w:r>
      <w:r>
        <w:rPr>
          <w:noProof/>
        </w:rPr>
        <w:t>5</w:t>
      </w:r>
      <w:r>
        <w:rPr>
          <w:noProof/>
        </w:rPr>
        <w:fldChar w:fldCharType="end"/>
      </w:r>
    </w:p>
    <w:p w14:paraId="23850886" w14:textId="77777777" w:rsidR="009C5432" w:rsidRDefault="009C5432">
      <w:pPr>
        <w:pStyle w:val="TableofFigures"/>
        <w:tabs>
          <w:tab w:val="right" w:leader="dot" w:pos="8486"/>
        </w:tabs>
        <w:rPr>
          <w:rFonts w:eastAsiaTheme="minorEastAsia" w:cstheme="minorBidi"/>
          <w:noProof/>
          <w:lang w:eastAsia="ja-JP" w:bidi="ar-SA"/>
        </w:rPr>
      </w:pPr>
      <w:r>
        <w:rPr>
          <w:noProof/>
        </w:rPr>
        <w:t>Table 2 Wister area Fourche Maline sites included in study</w:t>
      </w:r>
      <w:r>
        <w:rPr>
          <w:noProof/>
        </w:rPr>
        <w:tab/>
      </w:r>
      <w:r>
        <w:rPr>
          <w:noProof/>
        </w:rPr>
        <w:fldChar w:fldCharType="begin"/>
      </w:r>
      <w:r>
        <w:rPr>
          <w:noProof/>
        </w:rPr>
        <w:instrText xml:space="preserve"> PAGEREF _Toc261025230 \h </w:instrText>
      </w:r>
      <w:r>
        <w:rPr>
          <w:noProof/>
        </w:rPr>
      </w:r>
      <w:r>
        <w:rPr>
          <w:noProof/>
        </w:rPr>
        <w:fldChar w:fldCharType="separate"/>
      </w:r>
      <w:r>
        <w:rPr>
          <w:noProof/>
        </w:rPr>
        <w:t>65</w:t>
      </w:r>
      <w:r>
        <w:rPr>
          <w:noProof/>
        </w:rPr>
        <w:fldChar w:fldCharType="end"/>
      </w:r>
    </w:p>
    <w:p w14:paraId="41A4BB62" w14:textId="77777777" w:rsidR="009C5432" w:rsidRDefault="009C5432">
      <w:pPr>
        <w:pStyle w:val="TableofFigures"/>
        <w:tabs>
          <w:tab w:val="right" w:leader="dot" w:pos="8486"/>
        </w:tabs>
        <w:rPr>
          <w:rFonts w:eastAsiaTheme="minorEastAsia" w:cstheme="minorBidi"/>
          <w:noProof/>
          <w:lang w:eastAsia="ja-JP" w:bidi="ar-SA"/>
        </w:rPr>
      </w:pPr>
      <w:r>
        <w:rPr>
          <w:noProof/>
        </w:rPr>
        <w:t>Table 3 Wister area Fourche Maline sites not included in study</w:t>
      </w:r>
      <w:r>
        <w:rPr>
          <w:noProof/>
        </w:rPr>
        <w:tab/>
      </w:r>
      <w:r>
        <w:rPr>
          <w:noProof/>
        </w:rPr>
        <w:fldChar w:fldCharType="begin"/>
      </w:r>
      <w:r>
        <w:rPr>
          <w:noProof/>
        </w:rPr>
        <w:instrText xml:space="preserve"> PAGEREF _Toc261025231 \h </w:instrText>
      </w:r>
      <w:r>
        <w:rPr>
          <w:noProof/>
        </w:rPr>
      </w:r>
      <w:r>
        <w:rPr>
          <w:noProof/>
        </w:rPr>
        <w:fldChar w:fldCharType="separate"/>
      </w:r>
      <w:r>
        <w:rPr>
          <w:noProof/>
        </w:rPr>
        <w:t>84</w:t>
      </w:r>
      <w:r>
        <w:rPr>
          <w:noProof/>
        </w:rPr>
        <w:fldChar w:fldCharType="end"/>
      </w:r>
    </w:p>
    <w:p w14:paraId="67B5740E" w14:textId="77777777" w:rsidR="009C5432" w:rsidRDefault="009C5432">
      <w:pPr>
        <w:pStyle w:val="TableofFigures"/>
        <w:tabs>
          <w:tab w:val="right" w:leader="dot" w:pos="8486"/>
        </w:tabs>
        <w:rPr>
          <w:rFonts w:eastAsiaTheme="minorEastAsia" w:cstheme="minorBidi"/>
          <w:noProof/>
          <w:lang w:eastAsia="ja-JP" w:bidi="ar-SA"/>
        </w:rPr>
      </w:pPr>
      <w:r>
        <w:rPr>
          <w:noProof/>
        </w:rPr>
        <w:t>Table 4 Wister area Fourche Maline sites with skeletal analysis</w:t>
      </w:r>
      <w:r>
        <w:rPr>
          <w:noProof/>
        </w:rPr>
        <w:tab/>
      </w:r>
      <w:r>
        <w:rPr>
          <w:noProof/>
        </w:rPr>
        <w:fldChar w:fldCharType="begin"/>
      </w:r>
      <w:r>
        <w:rPr>
          <w:noProof/>
        </w:rPr>
        <w:instrText xml:space="preserve"> PAGEREF _Toc261025232 \h </w:instrText>
      </w:r>
      <w:r>
        <w:rPr>
          <w:noProof/>
        </w:rPr>
      </w:r>
      <w:r>
        <w:rPr>
          <w:noProof/>
        </w:rPr>
        <w:fldChar w:fldCharType="separate"/>
      </w:r>
      <w:r>
        <w:rPr>
          <w:noProof/>
        </w:rPr>
        <w:t>85</w:t>
      </w:r>
      <w:r>
        <w:rPr>
          <w:noProof/>
        </w:rPr>
        <w:fldChar w:fldCharType="end"/>
      </w:r>
    </w:p>
    <w:p w14:paraId="37323054" w14:textId="77777777" w:rsidR="009C5432" w:rsidRDefault="009C5432">
      <w:pPr>
        <w:pStyle w:val="TableofFigures"/>
        <w:tabs>
          <w:tab w:val="right" w:leader="dot" w:pos="8486"/>
        </w:tabs>
        <w:rPr>
          <w:rFonts w:eastAsiaTheme="minorEastAsia" w:cstheme="minorBidi"/>
          <w:noProof/>
          <w:lang w:eastAsia="ja-JP" w:bidi="ar-SA"/>
        </w:rPr>
      </w:pPr>
      <w:r>
        <w:rPr>
          <w:noProof/>
        </w:rPr>
        <w:t>Table 5  Akers age distribution, adapted from Rowe 2009</w:t>
      </w:r>
      <w:r>
        <w:rPr>
          <w:noProof/>
        </w:rPr>
        <w:tab/>
      </w:r>
      <w:r>
        <w:rPr>
          <w:noProof/>
        </w:rPr>
        <w:fldChar w:fldCharType="begin"/>
      </w:r>
      <w:r>
        <w:rPr>
          <w:noProof/>
        </w:rPr>
        <w:instrText xml:space="preserve"> PAGEREF _Toc261025233 \h </w:instrText>
      </w:r>
      <w:r>
        <w:rPr>
          <w:noProof/>
        </w:rPr>
      </w:r>
      <w:r>
        <w:rPr>
          <w:noProof/>
        </w:rPr>
        <w:fldChar w:fldCharType="separate"/>
      </w:r>
      <w:r>
        <w:rPr>
          <w:noProof/>
        </w:rPr>
        <w:t>90</w:t>
      </w:r>
      <w:r>
        <w:rPr>
          <w:noProof/>
        </w:rPr>
        <w:fldChar w:fldCharType="end"/>
      </w:r>
    </w:p>
    <w:p w14:paraId="1B74C7EE" w14:textId="77777777" w:rsidR="009C5432" w:rsidRDefault="009C5432">
      <w:pPr>
        <w:pStyle w:val="TableofFigures"/>
        <w:tabs>
          <w:tab w:val="right" w:leader="dot" w:pos="8486"/>
        </w:tabs>
        <w:rPr>
          <w:rFonts w:eastAsiaTheme="minorEastAsia" w:cstheme="minorBidi"/>
          <w:noProof/>
          <w:lang w:eastAsia="ja-JP" w:bidi="ar-SA"/>
        </w:rPr>
      </w:pPr>
      <w:r>
        <w:rPr>
          <w:noProof/>
        </w:rPr>
        <w:t>Table 6  Adult male and female counts, adapted from Rowe 2009</w:t>
      </w:r>
      <w:r>
        <w:rPr>
          <w:noProof/>
        </w:rPr>
        <w:tab/>
      </w:r>
      <w:r>
        <w:rPr>
          <w:noProof/>
        </w:rPr>
        <w:fldChar w:fldCharType="begin"/>
      </w:r>
      <w:r>
        <w:rPr>
          <w:noProof/>
        </w:rPr>
        <w:instrText xml:space="preserve"> PAGEREF _Toc261025234 \h </w:instrText>
      </w:r>
      <w:r>
        <w:rPr>
          <w:noProof/>
        </w:rPr>
      </w:r>
      <w:r>
        <w:rPr>
          <w:noProof/>
        </w:rPr>
        <w:fldChar w:fldCharType="separate"/>
      </w:r>
      <w:r>
        <w:rPr>
          <w:noProof/>
        </w:rPr>
        <w:t>91</w:t>
      </w:r>
      <w:r>
        <w:rPr>
          <w:noProof/>
        </w:rPr>
        <w:fldChar w:fldCharType="end"/>
      </w:r>
    </w:p>
    <w:p w14:paraId="6A26BEE3" w14:textId="77777777" w:rsidR="009C5432" w:rsidRDefault="009C5432">
      <w:pPr>
        <w:pStyle w:val="TableofFigures"/>
        <w:tabs>
          <w:tab w:val="right" w:leader="dot" w:pos="8486"/>
        </w:tabs>
        <w:rPr>
          <w:rFonts w:eastAsiaTheme="minorEastAsia" w:cstheme="minorBidi"/>
          <w:noProof/>
          <w:lang w:eastAsia="ja-JP" w:bidi="ar-SA"/>
        </w:rPr>
      </w:pPr>
      <w:r>
        <w:rPr>
          <w:noProof/>
        </w:rPr>
        <w:t>Table 7  Age ranges of the study sample</w:t>
      </w:r>
      <w:r>
        <w:rPr>
          <w:noProof/>
        </w:rPr>
        <w:tab/>
      </w:r>
      <w:r>
        <w:rPr>
          <w:noProof/>
        </w:rPr>
        <w:fldChar w:fldCharType="begin"/>
      </w:r>
      <w:r>
        <w:rPr>
          <w:noProof/>
        </w:rPr>
        <w:instrText xml:space="preserve"> PAGEREF _Toc261025235 \h </w:instrText>
      </w:r>
      <w:r>
        <w:rPr>
          <w:noProof/>
        </w:rPr>
      </w:r>
      <w:r>
        <w:rPr>
          <w:noProof/>
        </w:rPr>
        <w:fldChar w:fldCharType="separate"/>
      </w:r>
      <w:r>
        <w:rPr>
          <w:noProof/>
        </w:rPr>
        <w:t>92</w:t>
      </w:r>
      <w:r>
        <w:rPr>
          <w:noProof/>
        </w:rPr>
        <w:fldChar w:fldCharType="end"/>
      </w:r>
    </w:p>
    <w:p w14:paraId="6B760AF7" w14:textId="77777777" w:rsidR="009C5432" w:rsidRDefault="009C5432">
      <w:pPr>
        <w:pStyle w:val="TableofFigures"/>
        <w:tabs>
          <w:tab w:val="right" w:leader="dot" w:pos="8486"/>
        </w:tabs>
        <w:rPr>
          <w:rFonts w:eastAsiaTheme="minorEastAsia" w:cstheme="minorBidi"/>
          <w:noProof/>
          <w:lang w:eastAsia="ja-JP" w:bidi="ar-SA"/>
        </w:rPr>
      </w:pPr>
      <w:r>
        <w:rPr>
          <w:noProof/>
        </w:rPr>
        <w:t>Table 8  Adult male and female counts of the study sample</w:t>
      </w:r>
      <w:r>
        <w:rPr>
          <w:noProof/>
        </w:rPr>
        <w:tab/>
      </w:r>
      <w:r>
        <w:rPr>
          <w:noProof/>
        </w:rPr>
        <w:fldChar w:fldCharType="begin"/>
      </w:r>
      <w:r>
        <w:rPr>
          <w:noProof/>
        </w:rPr>
        <w:instrText xml:space="preserve"> PAGEREF _Toc261025236 \h </w:instrText>
      </w:r>
      <w:r>
        <w:rPr>
          <w:noProof/>
        </w:rPr>
      </w:r>
      <w:r>
        <w:rPr>
          <w:noProof/>
        </w:rPr>
        <w:fldChar w:fldCharType="separate"/>
      </w:r>
      <w:r>
        <w:rPr>
          <w:noProof/>
        </w:rPr>
        <w:t>93</w:t>
      </w:r>
      <w:r>
        <w:rPr>
          <w:noProof/>
        </w:rPr>
        <w:fldChar w:fldCharType="end"/>
      </w:r>
    </w:p>
    <w:p w14:paraId="2A8F9347" w14:textId="77777777" w:rsidR="009C5432" w:rsidRDefault="009C5432">
      <w:pPr>
        <w:pStyle w:val="TableofFigures"/>
        <w:tabs>
          <w:tab w:val="right" w:leader="dot" w:pos="8486"/>
        </w:tabs>
        <w:rPr>
          <w:rFonts w:eastAsiaTheme="minorEastAsia" w:cstheme="minorBidi"/>
          <w:noProof/>
          <w:lang w:eastAsia="ja-JP" w:bidi="ar-SA"/>
        </w:rPr>
      </w:pPr>
      <w:r>
        <w:rPr>
          <w:noProof/>
        </w:rPr>
        <w:t>Table 9  Cranial trauma by age, sex, bone, trauma type, shape, and stage of healing</w:t>
      </w:r>
      <w:r>
        <w:rPr>
          <w:noProof/>
        </w:rPr>
        <w:tab/>
      </w:r>
      <w:r>
        <w:rPr>
          <w:noProof/>
        </w:rPr>
        <w:fldChar w:fldCharType="begin"/>
      </w:r>
      <w:r>
        <w:rPr>
          <w:noProof/>
        </w:rPr>
        <w:instrText xml:space="preserve"> PAGEREF _Toc261025237 \h </w:instrText>
      </w:r>
      <w:r>
        <w:rPr>
          <w:noProof/>
        </w:rPr>
      </w:r>
      <w:r>
        <w:rPr>
          <w:noProof/>
        </w:rPr>
        <w:fldChar w:fldCharType="separate"/>
      </w:r>
      <w:r>
        <w:rPr>
          <w:noProof/>
        </w:rPr>
        <w:t>95</w:t>
      </w:r>
      <w:r>
        <w:rPr>
          <w:noProof/>
        </w:rPr>
        <w:fldChar w:fldCharType="end"/>
      </w:r>
    </w:p>
    <w:p w14:paraId="6111D3D9" w14:textId="77777777" w:rsidR="009C5432" w:rsidRDefault="009C5432">
      <w:pPr>
        <w:pStyle w:val="TableofFigures"/>
        <w:tabs>
          <w:tab w:val="right" w:leader="dot" w:pos="8486"/>
        </w:tabs>
        <w:rPr>
          <w:rFonts w:eastAsiaTheme="minorEastAsia" w:cstheme="minorBidi"/>
          <w:noProof/>
          <w:lang w:eastAsia="ja-JP" w:bidi="ar-SA"/>
        </w:rPr>
      </w:pPr>
      <w:r>
        <w:rPr>
          <w:noProof/>
        </w:rPr>
        <w:t>Table 10  Cranial Trauma (both blunt and sharp force) by age and sex</w:t>
      </w:r>
      <w:r>
        <w:rPr>
          <w:noProof/>
        </w:rPr>
        <w:tab/>
      </w:r>
      <w:r>
        <w:rPr>
          <w:noProof/>
        </w:rPr>
        <w:fldChar w:fldCharType="begin"/>
      </w:r>
      <w:r>
        <w:rPr>
          <w:noProof/>
        </w:rPr>
        <w:instrText xml:space="preserve"> PAGEREF _Toc261025238 \h </w:instrText>
      </w:r>
      <w:r>
        <w:rPr>
          <w:noProof/>
        </w:rPr>
      </w:r>
      <w:r>
        <w:rPr>
          <w:noProof/>
        </w:rPr>
        <w:fldChar w:fldCharType="separate"/>
      </w:r>
      <w:r>
        <w:rPr>
          <w:noProof/>
        </w:rPr>
        <w:t>98</w:t>
      </w:r>
      <w:r>
        <w:rPr>
          <w:noProof/>
        </w:rPr>
        <w:fldChar w:fldCharType="end"/>
      </w:r>
    </w:p>
    <w:p w14:paraId="03F9097F" w14:textId="77777777" w:rsidR="009C5432" w:rsidRDefault="009C5432">
      <w:pPr>
        <w:pStyle w:val="TableofFigures"/>
        <w:tabs>
          <w:tab w:val="right" w:leader="dot" w:pos="8486"/>
        </w:tabs>
        <w:rPr>
          <w:rFonts w:eastAsiaTheme="minorEastAsia" w:cstheme="minorBidi"/>
          <w:noProof/>
          <w:lang w:eastAsia="ja-JP" w:bidi="ar-SA"/>
        </w:rPr>
      </w:pPr>
      <w:r>
        <w:rPr>
          <w:noProof/>
        </w:rPr>
        <w:t>Table 11  Upper limb fractures by bone, burial, age, and sex</w:t>
      </w:r>
      <w:r>
        <w:rPr>
          <w:noProof/>
        </w:rPr>
        <w:tab/>
      </w:r>
      <w:r>
        <w:rPr>
          <w:noProof/>
        </w:rPr>
        <w:fldChar w:fldCharType="begin"/>
      </w:r>
      <w:r>
        <w:rPr>
          <w:noProof/>
        </w:rPr>
        <w:instrText xml:space="preserve"> PAGEREF _Toc261025239 \h </w:instrText>
      </w:r>
      <w:r>
        <w:rPr>
          <w:noProof/>
        </w:rPr>
      </w:r>
      <w:r>
        <w:rPr>
          <w:noProof/>
        </w:rPr>
        <w:fldChar w:fldCharType="separate"/>
      </w:r>
      <w:r>
        <w:rPr>
          <w:noProof/>
        </w:rPr>
        <w:t>102</w:t>
      </w:r>
      <w:r>
        <w:rPr>
          <w:noProof/>
        </w:rPr>
        <w:fldChar w:fldCharType="end"/>
      </w:r>
    </w:p>
    <w:p w14:paraId="03EE0291" w14:textId="77777777" w:rsidR="009C5432" w:rsidRDefault="009C5432">
      <w:pPr>
        <w:pStyle w:val="TableofFigures"/>
        <w:tabs>
          <w:tab w:val="right" w:leader="dot" w:pos="8486"/>
        </w:tabs>
        <w:rPr>
          <w:rFonts w:eastAsiaTheme="minorEastAsia" w:cstheme="minorBidi"/>
          <w:noProof/>
          <w:lang w:eastAsia="ja-JP" w:bidi="ar-SA"/>
        </w:rPr>
      </w:pPr>
      <w:r>
        <w:rPr>
          <w:noProof/>
        </w:rPr>
        <w:t>Table 12  Upper limb fractures by age and sex</w:t>
      </w:r>
      <w:r>
        <w:rPr>
          <w:noProof/>
        </w:rPr>
        <w:tab/>
      </w:r>
      <w:r>
        <w:rPr>
          <w:noProof/>
        </w:rPr>
        <w:fldChar w:fldCharType="begin"/>
      </w:r>
      <w:r>
        <w:rPr>
          <w:noProof/>
        </w:rPr>
        <w:instrText xml:space="preserve"> PAGEREF _Toc261025240 \h </w:instrText>
      </w:r>
      <w:r>
        <w:rPr>
          <w:noProof/>
        </w:rPr>
      </w:r>
      <w:r>
        <w:rPr>
          <w:noProof/>
        </w:rPr>
        <w:fldChar w:fldCharType="separate"/>
      </w:r>
      <w:r>
        <w:rPr>
          <w:noProof/>
        </w:rPr>
        <w:t>104</w:t>
      </w:r>
      <w:r>
        <w:rPr>
          <w:noProof/>
        </w:rPr>
        <w:fldChar w:fldCharType="end"/>
      </w:r>
    </w:p>
    <w:p w14:paraId="5CE51558" w14:textId="77777777" w:rsidR="009C5432" w:rsidRDefault="009C5432">
      <w:pPr>
        <w:pStyle w:val="TableofFigures"/>
        <w:tabs>
          <w:tab w:val="right" w:leader="dot" w:pos="8486"/>
        </w:tabs>
        <w:rPr>
          <w:rFonts w:eastAsiaTheme="minorEastAsia" w:cstheme="minorBidi"/>
          <w:noProof/>
          <w:lang w:eastAsia="ja-JP" w:bidi="ar-SA"/>
        </w:rPr>
      </w:pPr>
      <w:r>
        <w:rPr>
          <w:noProof/>
        </w:rPr>
        <w:t>Table 13  Lower limb fractures by bone and sex</w:t>
      </w:r>
      <w:r>
        <w:rPr>
          <w:noProof/>
        </w:rPr>
        <w:tab/>
      </w:r>
      <w:r>
        <w:rPr>
          <w:noProof/>
        </w:rPr>
        <w:fldChar w:fldCharType="begin"/>
      </w:r>
      <w:r>
        <w:rPr>
          <w:noProof/>
        </w:rPr>
        <w:instrText xml:space="preserve"> PAGEREF _Toc261025241 \h </w:instrText>
      </w:r>
      <w:r>
        <w:rPr>
          <w:noProof/>
        </w:rPr>
      </w:r>
      <w:r>
        <w:rPr>
          <w:noProof/>
        </w:rPr>
        <w:fldChar w:fldCharType="separate"/>
      </w:r>
      <w:r>
        <w:rPr>
          <w:noProof/>
        </w:rPr>
        <w:t>106</w:t>
      </w:r>
      <w:r>
        <w:rPr>
          <w:noProof/>
        </w:rPr>
        <w:fldChar w:fldCharType="end"/>
      </w:r>
    </w:p>
    <w:p w14:paraId="5B70B24D" w14:textId="77777777" w:rsidR="009C5432" w:rsidRDefault="009C5432">
      <w:pPr>
        <w:pStyle w:val="TableofFigures"/>
        <w:tabs>
          <w:tab w:val="right" w:leader="dot" w:pos="8486"/>
        </w:tabs>
        <w:rPr>
          <w:rFonts w:eastAsiaTheme="minorEastAsia" w:cstheme="minorBidi"/>
          <w:noProof/>
          <w:lang w:eastAsia="ja-JP" w:bidi="ar-SA"/>
        </w:rPr>
      </w:pPr>
      <w:r>
        <w:rPr>
          <w:noProof/>
        </w:rPr>
        <w:t>Table 14  Lower limb fractures by age and sex</w:t>
      </w:r>
      <w:r>
        <w:rPr>
          <w:noProof/>
        </w:rPr>
        <w:tab/>
      </w:r>
      <w:r>
        <w:rPr>
          <w:noProof/>
        </w:rPr>
        <w:fldChar w:fldCharType="begin"/>
      </w:r>
      <w:r>
        <w:rPr>
          <w:noProof/>
        </w:rPr>
        <w:instrText xml:space="preserve"> PAGEREF _Toc261025242 \h </w:instrText>
      </w:r>
      <w:r>
        <w:rPr>
          <w:noProof/>
        </w:rPr>
      </w:r>
      <w:r>
        <w:rPr>
          <w:noProof/>
        </w:rPr>
        <w:fldChar w:fldCharType="separate"/>
      </w:r>
      <w:r>
        <w:rPr>
          <w:noProof/>
        </w:rPr>
        <w:t>107</w:t>
      </w:r>
      <w:r>
        <w:rPr>
          <w:noProof/>
        </w:rPr>
        <w:fldChar w:fldCharType="end"/>
      </w:r>
    </w:p>
    <w:p w14:paraId="0D750BF1" w14:textId="77777777" w:rsidR="009C5432" w:rsidRDefault="009C5432">
      <w:pPr>
        <w:pStyle w:val="TableofFigures"/>
        <w:tabs>
          <w:tab w:val="right" w:leader="dot" w:pos="8486"/>
        </w:tabs>
        <w:rPr>
          <w:rFonts w:eastAsiaTheme="minorEastAsia" w:cstheme="minorBidi"/>
          <w:noProof/>
          <w:lang w:eastAsia="ja-JP" w:bidi="ar-SA"/>
        </w:rPr>
      </w:pPr>
      <w:r>
        <w:rPr>
          <w:noProof/>
        </w:rPr>
        <w:t>Table 15  Sharp force trauma to the limbs by age, sex, and bone</w:t>
      </w:r>
      <w:r>
        <w:rPr>
          <w:noProof/>
        </w:rPr>
        <w:tab/>
      </w:r>
      <w:r>
        <w:rPr>
          <w:noProof/>
        </w:rPr>
        <w:fldChar w:fldCharType="begin"/>
      </w:r>
      <w:r>
        <w:rPr>
          <w:noProof/>
        </w:rPr>
        <w:instrText xml:space="preserve"> PAGEREF _Toc261025243 \h </w:instrText>
      </w:r>
      <w:r>
        <w:rPr>
          <w:noProof/>
        </w:rPr>
      </w:r>
      <w:r>
        <w:rPr>
          <w:noProof/>
        </w:rPr>
        <w:fldChar w:fldCharType="separate"/>
      </w:r>
      <w:r>
        <w:rPr>
          <w:noProof/>
        </w:rPr>
        <w:t>108</w:t>
      </w:r>
      <w:r>
        <w:rPr>
          <w:noProof/>
        </w:rPr>
        <w:fldChar w:fldCharType="end"/>
      </w:r>
    </w:p>
    <w:p w14:paraId="5E57D977" w14:textId="77777777" w:rsidR="009C5432" w:rsidRDefault="009C5432">
      <w:pPr>
        <w:pStyle w:val="TableofFigures"/>
        <w:tabs>
          <w:tab w:val="right" w:leader="dot" w:pos="8486"/>
        </w:tabs>
        <w:rPr>
          <w:rFonts w:eastAsiaTheme="minorEastAsia" w:cstheme="minorBidi"/>
          <w:noProof/>
          <w:lang w:eastAsia="ja-JP" w:bidi="ar-SA"/>
        </w:rPr>
      </w:pPr>
      <w:r>
        <w:rPr>
          <w:noProof/>
        </w:rPr>
        <w:t>Table 16  Multiple fractures by burial, sex, age, and bone</w:t>
      </w:r>
      <w:r>
        <w:rPr>
          <w:noProof/>
        </w:rPr>
        <w:tab/>
      </w:r>
      <w:r>
        <w:rPr>
          <w:noProof/>
        </w:rPr>
        <w:fldChar w:fldCharType="begin"/>
      </w:r>
      <w:r>
        <w:rPr>
          <w:noProof/>
        </w:rPr>
        <w:instrText xml:space="preserve"> PAGEREF _Toc261025244 \h </w:instrText>
      </w:r>
      <w:r>
        <w:rPr>
          <w:noProof/>
        </w:rPr>
      </w:r>
      <w:r>
        <w:rPr>
          <w:noProof/>
        </w:rPr>
        <w:fldChar w:fldCharType="separate"/>
      </w:r>
      <w:r>
        <w:rPr>
          <w:noProof/>
        </w:rPr>
        <w:t>113</w:t>
      </w:r>
      <w:r>
        <w:rPr>
          <w:noProof/>
        </w:rPr>
        <w:fldChar w:fldCharType="end"/>
      </w:r>
    </w:p>
    <w:p w14:paraId="6B3E9DEB" w14:textId="77777777" w:rsidR="009C5432" w:rsidRDefault="009C5432">
      <w:pPr>
        <w:pStyle w:val="TableofFigures"/>
        <w:tabs>
          <w:tab w:val="right" w:leader="dot" w:pos="8486"/>
        </w:tabs>
        <w:rPr>
          <w:rFonts w:eastAsiaTheme="minorEastAsia" w:cstheme="minorBidi"/>
          <w:noProof/>
          <w:lang w:eastAsia="ja-JP" w:bidi="ar-SA"/>
        </w:rPr>
      </w:pPr>
      <w:r>
        <w:rPr>
          <w:noProof/>
        </w:rPr>
        <w:t>Table 17  Porotic hyperostosis prevalence by sex</w:t>
      </w:r>
      <w:r>
        <w:rPr>
          <w:noProof/>
        </w:rPr>
        <w:tab/>
      </w:r>
      <w:r>
        <w:rPr>
          <w:noProof/>
        </w:rPr>
        <w:fldChar w:fldCharType="begin"/>
      </w:r>
      <w:r>
        <w:rPr>
          <w:noProof/>
        </w:rPr>
        <w:instrText xml:space="preserve"> PAGEREF _Toc261025245 \h </w:instrText>
      </w:r>
      <w:r>
        <w:rPr>
          <w:noProof/>
        </w:rPr>
      </w:r>
      <w:r>
        <w:rPr>
          <w:noProof/>
        </w:rPr>
        <w:fldChar w:fldCharType="separate"/>
      </w:r>
      <w:r>
        <w:rPr>
          <w:noProof/>
        </w:rPr>
        <w:t>118</w:t>
      </w:r>
      <w:r>
        <w:rPr>
          <w:noProof/>
        </w:rPr>
        <w:fldChar w:fldCharType="end"/>
      </w:r>
    </w:p>
    <w:p w14:paraId="5C3D2B98" w14:textId="77777777" w:rsidR="009C5432" w:rsidRDefault="009C5432">
      <w:pPr>
        <w:pStyle w:val="TableofFigures"/>
        <w:tabs>
          <w:tab w:val="right" w:leader="dot" w:pos="8486"/>
        </w:tabs>
        <w:rPr>
          <w:rFonts w:eastAsiaTheme="minorEastAsia" w:cstheme="minorBidi"/>
          <w:noProof/>
          <w:lang w:eastAsia="ja-JP" w:bidi="ar-SA"/>
        </w:rPr>
      </w:pPr>
      <w:r>
        <w:rPr>
          <w:noProof/>
        </w:rPr>
        <w:t>Table 18  Cribra orbitalia prevalence by sex</w:t>
      </w:r>
      <w:r>
        <w:rPr>
          <w:noProof/>
        </w:rPr>
        <w:tab/>
      </w:r>
      <w:r>
        <w:rPr>
          <w:noProof/>
        </w:rPr>
        <w:fldChar w:fldCharType="begin"/>
      </w:r>
      <w:r>
        <w:rPr>
          <w:noProof/>
        </w:rPr>
        <w:instrText xml:space="preserve"> PAGEREF _Toc261025246 \h </w:instrText>
      </w:r>
      <w:r>
        <w:rPr>
          <w:noProof/>
        </w:rPr>
      </w:r>
      <w:r>
        <w:rPr>
          <w:noProof/>
        </w:rPr>
        <w:fldChar w:fldCharType="separate"/>
      </w:r>
      <w:r>
        <w:rPr>
          <w:noProof/>
        </w:rPr>
        <w:t>118</w:t>
      </w:r>
      <w:r>
        <w:rPr>
          <w:noProof/>
        </w:rPr>
        <w:fldChar w:fldCharType="end"/>
      </w:r>
    </w:p>
    <w:p w14:paraId="31BE3D5D" w14:textId="77777777" w:rsidR="009C5432" w:rsidRDefault="009C5432">
      <w:pPr>
        <w:pStyle w:val="TableofFigures"/>
        <w:tabs>
          <w:tab w:val="right" w:leader="dot" w:pos="8486"/>
        </w:tabs>
        <w:rPr>
          <w:rFonts w:eastAsiaTheme="minorEastAsia" w:cstheme="minorBidi"/>
          <w:noProof/>
          <w:lang w:eastAsia="ja-JP" w:bidi="ar-SA"/>
        </w:rPr>
      </w:pPr>
      <w:r>
        <w:rPr>
          <w:noProof/>
        </w:rPr>
        <w:t>Table 19  Wister area Fourche Maline sites with mass burials (5 or more individuals)</w:t>
      </w:r>
      <w:r>
        <w:rPr>
          <w:noProof/>
        </w:rPr>
        <w:tab/>
      </w:r>
      <w:r>
        <w:rPr>
          <w:noProof/>
        </w:rPr>
        <w:fldChar w:fldCharType="begin"/>
      </w:r>
      <w:r>
        <w:rPr>
          <w:noProof/>
        </w:rPr>
        <w:instrText xml:space="preserve"> PAGEREF _Toc261025247 \h </w:instrText>
      </w:r>
      <w:r>
        <w:rPr>
          <w:noProof/>
        </w:rPr>
      </w:r>
      <w:r>
        <w:rPr>
          <w:noProof/>
        </w:rPr>
        <w:fldChar w:fldCharType="separate"/>
      </w:r>
      <w:r>
        <w:rPr>
          <w:noProof/>
        </w:rPr>
        <w:t>125</w:t>
      </w:r>
      <w:r>
        <w:rPr>
          <w:noProof/>
        </w:rPr>
        <w:fldChar w:fldCharType="end"/>
      </w:r>
    </w:p>
    <w:p w14:paraId="6A44D5C6" w14:textId="77777777" w:rsidR="009C5432" w:rsidRDefault="009C5432">
      <w:pPr>
        <w:pStyle w:val="TableofFigures"/>
        <w:tabs>
          <w:tab w:val="right" w:leader="dot" w:pos="8486"/>
        </w:tabs>
        <w:rPr>
          <w:rFonts w:eastAsiaTheme="minorEastAsia" w:cstheme="minorBidi"/>
          <w:noProof/>
          <w:lang w:eastAsia="ja-JP" w:bidi="ar-SA"/>
        </w:rPr>
      </w:pPr>
      <w:r>
        <w:rPr>
          <w:noProof/>
        </w:rPr>
        <w:t>Table 20  Multiple burials per site in the Wister Area</w:t>
      </w:r>
      <w:r>
        <w:rPr>
          <w:noProof/>
        </w:rPr>
        <w:tab/>
      </w:r>
      <w:r>
        <w:rPr>
          <w:noProof/>
        </w:rPr>
        <w:fldChar w:fldCharType="begin"/>
      </w:r>
      <w:r>
        <w:rPr>
          <w:noProof/>
        </w:rPr>
        <w:instrText xml:space="preserve"> PAGEREF _Toc261025248 \h </w:instrText>
      </w:r>
      <w:r>
        <w:rPr>
          <w:noProof/>
        </w:rPr>
      </w:r>
      <w:r>
        <w:rPr>
          <w:noProof/>
        </w:rPr>
        <w:fldChar w:fldCharType="separate"/>
      </w:r>
      <w:r>
        <w:rPr>
          <w:noProof/>
        </w:rPr>
        <w:t>133</w:t>
      </w:r>
      <w:r>
        <w:rPr>
          <w:noProof/>
        </w:rPr>
        <w:fldChar w:fldCharType="end"/>
      </w:r>
    </w:p>
    <w:p w14:paraId="6DCA0796" w14:textId="77777777" w:rsidR="009C5432" w:rsidRDefault="009C5432">
      <w:pPr>
        <w:pStyle w:val="TableofFigures"/>
        <w:tabs>
          <w:tab w:val="right" w:leader="dot" w:pos="8486"/>
        </w:tabs>
        <w:rPr>
          <w:rFonts w:eastAsiaTheme="minorEastAsia" w:cstheme="minorBidi"/>
          <w:noProof/>
          <w:lang w:eastAsia="ja-JP" w:bidi="ar-SA"/>
        </w:rPr>
      </w:pPr>
      <w:r>
        <w:rPr>
          <w:noProof/>
        </w:rPr>
        <w:t>Table 21  Trophy skulls by site</w:t>
      </w:r>
      <w:r>
        <w:rPr>
          <w:noProof/>
        </w:rPr>
        <w:tab/>
      </w:r>
      <w:r>
        <w:rPr>
          <w:noProof/>
        </w:rPr>
        <w:fldChar w:fldCharType="begin"/>
      </w:r>
      <w:r>
        <w:rPr>
          <w:noProof/>
        </w:rPr>
        <w:instrText xml:space="preserve"> PAGEREF _Toc261025249 \h </w:instrText>
      </w:r>
      <w:r>
        <w:rPr>
          <w:noProof/>
        </w:rPr>
      </w:r>
      <w:r>
        <w:rPr>
          <w:noProof/>
        </w:rPr>
        <w:fldChar w:fldCharType="separate"/>
      </w:r>
      <w:r>
        <w:rPr>
          <w:noProof/>
        </w:rPr>
        <w:t>137</w:t>
      </w:r>
      <w:r>
        <w:rPr>
          <w:noProof/>
        </w:rPr>
        <w:fldChar w:fldCharType="end"/>
      </w:r>
    </w:p>
    <w:p w14:paraId="7A91EC97" w14:textId="77777777" w:rsidR="009C5432" w:rsidRDefault="009C5432">
      <w:pPr>
        <w:pStyle w:val="TableofFigures"/>
        <w:tabs>
          <w:tab w:val="right" w:leader="dot" w:pos="8486"/>
        </w:tabs>
        <w:rPr>
          <w:rFonts w:eastAsiaTheme="minorEastAsia" w:cstheme="minorBidi"/>
          <w:noProof/>
          <w:lang w:eastAsia="ja-JP" w:bidi="ar-SA"/>
        </w:rPr>
      </w:pPr>
      <w:r>
        <w:rPr>
          <w:noProof/>
        </w:rPr>
        <w:t>Table 22  Male:Female ratio comparisons, adapted from Rowe 2009</w:t>
      </w:r>
      <w:r>
        <w:rPr>
          <w:noProof/>
        </w:rPr>
        <w:tab/>
      </w:r>
      <w:r>
        <w:rPr>
          <w:noProof/>
        </w:rPr>
        <w:fldChar w:fldCharType="begin"/>
      </w:r>
      <w:r>
        <w:rPr>
          <w:noProof/>
        </w:rPr>
        <w:instrText xml:space="preserve"> PAGEREF _Toc261025250 \h </w:instrText>
      </w:r>
      <w:r>
        <w:rPr>
          <w:noProof/>
        </w:rPr>
      </w:r>
      <w:r>
        <w:rPr>
          <w:noProof/>
        </w:rPr>
        <w:fldChar w:fldCharType="separate"/>
      </w:r>
      <w:r>
        <w:rPr>
          <w:noProof/>
        </w:rPr>
        <w:t>145</w:t>
      </w:r>
      <w:r>
        <w:rPr>
          <w:noProof/>
        </w:rPr>
        <w:fldChar w:fldCharType="end"/>
      </w:r>
    </w:p>
    <w:p w14:paraId="304BBFBD" w14:textId="2FE76AFF" w:rsidR="00BF0494" w:rsidRDefault="002D4160" w:rsidP="00FA652B">
      <w:pPr>
        <w:pStyle w:val="Heading1"/>
      </w:pPr>
      <w:r>
        <w:fldChar w:fldCharType="end"/>
      </w:r>
      <w:r w:rsidR="00BF0494">
        <w:t xml:space="preserve"> </w:t>
      </w:r>
    </w:p>
    <w:p w14:paraId="6507744C" w14:textId="77777777" w:rsidR="00BF0494" w:rsidRDefault="00BF0494" w:rsidP="008E2757"/>
    <w:p w14:paraId="6A05821D" w14:textId="77777777" w:rsidR="00BF0494" w:rsidRDefault="00BF0494" w:rsidP="00FA652B">
      <w:pPr>
        <w:pStyle w:val="Heading1"/>
      </w:pPr>
      <w:r>
        <w:br w:type="page"/>
      </w:r>
    </w:p>
    <w:p w14:paraId="705D920F" w14:textId="77777777" w:rsidR="00BF0494" w:rsidRPr="00B27F1C" w:rsidRDefault="00BF0494" w:rsidP="00FA652B">
      <w:pPr>
        <w:pStyle w:val="Heading1"/>
      </w:pPr>
      <w:bookmarkStart w:id="5" w:name="_Toc261025829"/>
      <w:r w:rsidRPr="00B27F1C">
        <w:t>List of Figures</w:t>
      </w:r>
      <w:bookmarkEnd w:id="5"/>
    </w:p>
    <w:p w14:paraId="09A28E39" w14:textId="77777777" w:rsidR="009C5432" w:rsidRDefault="00BF0494">
      <w:pPr>
        <w:pStyle w:val="TableofFigures"/>
        <w:tabs>
          <w:tab w:val="right" w:leader="dot" w:pos="8486"/>
        </w:tabs>
        <w:rPr>
          <w:rFonts w:eastAsiaTheme="minorEastAsia" w:cstheme="minorBidi"/>
          <w:noProof/>
          <w:lang w:eastAsia="ja-JP" w:bidi="ar-SA"/>
        </w:rPr>
      </w:pPr>
      <w:r>
        <w:fldChar w:fldCharType="begin"/>
      </w:r>
      <w:r>
        <w:instrText xml:space="preserve"> TOC \c "Figure" </w:instrText>
      </w:r>
      <w:r>
        <w:fldChar w:fldCharType="separate"/>
      </w:r>
      <w:r w:rsidR="009C5432">
        <w:rPr>
          <w:noProof/>
        </w:rPr>
        <w:t>Figure 1 Caddoan Homeland, adapted from texasbeyondhistory.net</w:t>
      </w:r>
      <w:r w:rsidR="009C5432">
        <w:rPr>
          <w:noProof/>
        </w:rPr>
        <w:tab/>
      </w:r>
      <w:r w:rsidR="009C5432">
        <w:rPr>
          <w:noProof/>
        </w:rPr>
        <w:fldChar w:fldCharType="begin"/>
      </w:r>
      <w:r w:rsidR="009C5432">
        <w:rPr>
          <w:noProof/>
        </w:rPr>
        <w:instrText xml:space="preserve"> PAGEREF _Toc261025203 \h </w:instrText>
      </w:r>
      <w:r w:rsidR="009C5432">
        <w:rPr>
          <w:noProof/>
        </w:rPr>
      </w:r>
      <w:r w:rsidR="009C5432">
        <w:rPr>
          <w:noProof/>
        </w:rPr>
        <w:fldChar w:fldCharType="separate"/>
      </w:r>
      <w:r w:rsidR="009C5432">
        <w:rPr>
          <w:noProof/>
        </w:rPr>
        <w:t>4</w:t>
      </w:r>
      <w:r w:rsidR="009C5432">
        <w:rPr>
          <w:noProof/>
        </w:rPr>
        <w:fldChar w:fldCharType="end"/>
      </w:r>
    </w:p>
    <w:p w14:paraId="3C36E7BD" w14:textId="77777777" w:rsidR="009C5432" w:rsidRDefault="009C5432">
      <w:pPr>
        <w:pStyle w:val="TableofFigures"/>
        <w:tabs>
          <w:tab w:val="right" w:leader="dot" w:pos="8486"/>
        </w:tabs>
        <w:rPr>
          <w:rFonts w:eastAsiaTheme="minorEastAsia" w:cstheme="minorBidi"/>
          <w:noProof/>
          <w:lang w:eastAsia="ja-JP" w:bidi="ar-SA"/>
        </w:rPr>
      </w:pPr>
      <w:r>
        <w:rPr>
          <w:noProof/>
        </w:rPr>
        <w:t>Figure 2 Wister area archaeological sites, adapted from Galm 1978</w:t>
      </w:r>
      <w:r>
        <w:rPr>
          <w:noProof/>
        </w:rPr>
        <w:tab/>
      </w:r>
      <w:r>
        <w:rPr>
          <w:noProof/>
        </w:rPr>
        <w:fldChar w:fldCharType="begin"/>
      </w:r>
      <w:r>
        <w:rPr>
          <w:noProof/>
        </w:rPr>
        <w:instrText xml:space="preserve"> PAGEREF _Toc261025204 \h </w:instrText>
      </w:r>
      <w:r>
        <w:rPr>
          <w:noProof/>
        </w:rPr>
      </w:r>
      <w:r>
        <w:rPr>
          <w:noProof/>
        </w:rPr>
        <w:fldChar w:fldCharType="separate"/>
      </w:r>
      <w:r>
        <w:rPr>
          <w:noProof/>
        </w:rPr>
        <w:t>43</w:t>
      </w:r>
      <w:r>
        <w:rPr>
          <w:noProof/>
        </w:rPr>
        <w:fldChar w:fldCharType="end"/>
      </w:r>
    </w:p>
    <w:p w14:paraId="21651EFF" w14:textId="77777777" w:rsidR="009C5432" w:rsidRDefault="009C5432">
      <w:pPr>
        <w:pStyle w:val="TableofFigures"/>
        <w:tabs>
          <w:tab w:val="right" w:leader="dot" w:pos="8486"/>
        </w:tabs>
        <w:rPr>
          <w:rFonts w:eastAsiaTheme="minorEastAsia" w:cstheme="minorBidi"/>
          <w:noProof/>
          <w:lang w:eastAsia="ja-JP" w:bidi="ar-SA"/>
        </w:rPr>
      </w:pPr>
      <w:r>
        <w:rPr>
          <w:noProof/>
        </w:rPr>
        <w:t>Figure 3 Map of the Trans-Mississippi South, with approximate location of the Wister area indicated by square, adapted from Schambach 1998:xii</w:t>
      </w:r>
      <w:r>
        <w:rPr>
          <w:noProof/>
        </w:rPr>
        <w:tab/>
      </w:r>
      <w:r>
        <w:rPr>
          <w:noProof/>
        </w:rPr>
        <w:fldChar w:fldCharType="begin"/>
      </w:r>
      <w:r>
        <w:rPr>
          <w:noProof/>
        </w:rPr>
        <w:instrText xml:space="preserve"> PAGEREF _Toc261025205 \h </w:instrText>
      </w:r>
      <w:r>
        <w:rPr>
          <w:noProof/>
        </w:rPr>
      </w:r>
      <w:r>
        <w:rPr>
          <w:noProof/>
        </w:rPr>
        <w:fldChar w:fldCharType="separate"/>
      </w:r>
      <w:r>
        <w:rPr>
          <w:noProof/>
        </w:rPr>
        <w:t>51</w:t>
      </w:r>
      <w:r>
        <w:rPr>
          <w:noProof/>
        </w:rPr>
        <w:fldChar w:fldCharType="end"/>
      </w:r>
    </w:p>
    <w:p w14:paraId="3F62CE3D" w14:textId="77777777" w:rsidR="009C5432" w:rsidRDefault="009C5432">
      <w:pPr>
        <w:pStyle w:val="TableofFigures"/>
        <w:tabs>
          <w:tab w:val="right" w:leader="dot" w:pos="8486"/>
        </w:tabs>
        <w:rPr>
          <w:rFonts w:eastAsiaTheme="minorEastAsia" w:cstheme="minorBidi"/>
          <w:noProof/>
          <w:lang w:eastAsia="ja-JP" w:bidi="ar-SA"/>
        </w:rPr>
      </w:pPr>
      <w:r>
        <w:rPr>
          <w:noProof/>
        </w:rPr>
        <w:t>Figure 4 Geomorphological Provinces, adapted from maps.google.com</w:t>
      </w:r>
      <w:r>
        <w:rPr>
          <w:noProof/>
        </w:rPr>
        <w:tab/>
      </w:r>
      <w:r>
        <w:rPr>
          <w:noProof/>
        </w:rPr>
        <w:fldChar w:fldCharType="begin"/>
      </w:r>
      <w:r>
        <w:rPr>
          <w:noProof/>
        </w:rPr>
        <w:instrText xml:space="preserve"> PAGEREF _Toc261025206 \h </w:instrText>
      </w:r>
      <w:r>
        <w:rPr>
          <w:noProof/>
        </w:rPr>
      </w:r>
      <w:r>
        <w:rPr>
          <w:noProof/>
        </w:rPr>
        <w:fldChar w:fldCharType="separate"/>
      </w:r>
      <w:r>
        <w:rPr>
          <w:noProof/>
        </w:rPr>
        <w:t>53</w:t>
      </w:r>
      <w:r>
        <w:rPr>
          <w:noProof/>
        </w:rPr>
        <w:fldChar w:fldCharType="end"/>
      </w:r>
    </w:p>
    <w:p w14:paraId="4C8EDD71" w14:textId="77777777" w:rsidR="009C5432" w:rsidRDefault="009C5432">
      <w:pPr>
        <w:pStyle w:val="TableofFigures"/>
        <w:tabs>
          <w:tab w:val="right" w:leader="dot" w:pos="8486"/>
        </w:tabs>
        <w:rPr>
          <w:rFonts w:eastAsiaTheme="minorEastAsia" w:cstheme="minorBidi"/>
          <w:noProof/>
          <w:lang w:eastAsia="ja-JP" w:bidi="ar-SA"/>
        </w:rPr>
      </w:pPr>
      <w:r>
        <w:rPr>
          <w:noProof/>
        </w:rPr>
        <w:t>Figure 5 Summary pollen diagram from Ferndale Bog in Atoka County, Oklahoma, adapted from Holloway 1994</w:t>
      </w:r>
      <w:r>
        <w:rPr>
          <w:noProof/>
        </w:rPr>
        <w:tab/>
      </w:r>
      <w:r>
        <w:rPr>
          <w:noProof/>
        </w:rPr>
        <w:fldChar w:fldCharType="begin"/>
      </w:r>
      <w:r>
        <w:rPr>
          <w:noProof/>
        </w:rPr>
        <w:instrText xml:space="preserve"> PAGEREF _Toc261025207 \h </w:instrText>
      </w:r>
      <w:r>
        <w:rPr>
          <w:noProof/>
        </w:rPr>
      </w:r>
      <w:r>
        <w:rPr>
          <w:noProof/>
        </w:rPr>
        <w:fldChar w:fldCharType="separate"/>
      </w:r>
      <w:r>
        <w:rPr>
          <w:noProof/>
        </w:rPr>
        <w:t>56</w:t>
      </w:r>
      <w:r>
        <w:rPr>
          <w:noProof/>
        </w:rPr>
        <w:fldChar w:fldCharType="end"/>
      </w:r>
    </w:p>
    <w:p w14:paraId="1FD20561" w14:textId="77777777" w:rsidR="009C5432" w:rsidRDefault="009C5432">
      <w:pPr>
        <w:pStyle w:val="TableofFigures"/>
        <w:tabs>
          <w:tab w:val="right" w:leader="dot" w:pos="8486"/>
        </w:tabs>
        <w:rPr>
          <w:rFonts w:eastAsiaTheme="minorEastAsia" w:cstheme="minorBidi"/>
          <w:noProof/>
          <w:lang w:eastAsia="ja-JP" w:bidi="ar-SA"/>
        </w:rPr>
      </w:pPr>
      <w:r>
        <w:rPr>
          <w:noProof/>
        </w:rPr>
        <w:t>Figure 6 Burial 6 from the McCutchan-McLaughlin site</w:t>
      </w:r>
      <w:r>
        <w:rPr>
          <w:noProof/>
        </w:rPr>
        <w:tab/>
      </w:r>
      <w:r>
        <w:rPr>
          <w:noProof/>
        </w:rPr>
        <w:fldChar w:fldCharType="begin"/>
      </w:r>
      <w:r>
        <w:rPr>
          <w:noProof/>
        </w:rPr>
        <w:instrText xml:space="preserve"> PAGEREF _Toc261025208 \h </w:instrText>
      </w:r>
      <w:r>
        <w:rPr>
          <w:noProof/>
        </w:rPr>
      </w:r>
      <w:r>
        <w:rPr>
          <w:noProof/>
        </w:rPr>
        <w:fldChar w:fldCharType="separate"/>
      </w:r>
      <w:r>
        <w:rPr>
          <w:noProof/>
        </w:rPr>
        <w:t>67</w:t>
      </w:r>
      <w:r>
        <w:rPr>
          <w:noProof/>
        </w:rPr>
        <w:fldChar w:fldCharType="end"/>
      </w:r>
    </w:p>
    <w:p w14:paraId="57251F19" w14:textId="77777777" w:rsidR="009C5432" w:rsidRDefault="009C5432">
      <w:pPr>
        <w:pStyle w:val="TableofFigures"/>
        <w:tabs>
          <w:tab w:val="right" w:leader="dot" w:pos="8486"/>
        </w:tabs>
        <w:rPr>
          <w:rFonts w:eastAsiaTheme="minorEastAsia" w:cstheme="minorBidi"/>
          <w:noProof/>
          <w:lang w:eastAsia="ja-JP" w:bidi="ar-SA"/>
        </w:rPr>
      </w:pPr>
      <w:r>
        <w:rPr>
          <w:noProof/>
        </w:rPr>
        <w:t>Figure 7 Manos and metates from the Hooks site</w:t>
      </w:r>
      <w:r>
        <w:rPr>
          <w:noProof/>
        </w:rPr>
        <w:tab/>
      </w:r>
      <w:r>
        <w:rPr>
          <w:noProof/>
        </w:rPr>
        <w:fldChar w:fldCharType="begin"/>
      </w:r>
      <w:r>
        <w:rPr>
          <w:noProof/>
        </w:rPr>
        <w:instrText xml:space="preserve"> PAGEREF _Toc261025209 \h </w:instrText>
      </w:r>
      <w:r>
        <w:rPr>
          <w:noProof/>
        </w:rPr>
      </w:r>
      <w:r>
        <w:rPr>
          <w:noProof/>
        </w:rPr>
        <w:fldChar w:fldCharType="separate"/>
      </w:r>
      <w:r>
        <w:rPr>
          <w:noProof/>
        </w:rPr>
        <w:t>73</w:t>
      </w:r>
      <w:r>
        <w:rPr>
          <w:noProof/>
        </w:rPr>
        <w:fldChar w:fldCharType="end"/>
      </w:r>
    </w:p>
    <w:p w14:paraId="4626D926" w14:textId="77777777" w:rsidR="009C5432" w:rsidRDefault="009C5432">
      <w:pPr>
        <w:pStyle w:val="TableofFigures"/>
        <w:tabs>
          <w:tab w:val="right" w:leader="dot" w:pos="8486"/>
        </w:tabs>
        <w:rPr>
          <w:rFonts w:eastAsiaTheme="minorEastAsia" w:cstheme="minorBidi"/>
          <w:noProof/>
          <w:lang w:eastAsia="ja-JP" w:bidi="ar-SA"/>
        </w:rPr>
      </w:pPr>
      <w:r>
        <w:rPr>
          <w:noProof/>
        </w:rPr>
        <w:t>Figure 8 Burial Map for Williams I</w:t>
      </w:r>
      <w:r>
        <w:rPr>
          <w:noProof/>
        </w:rPr>
        <w:tab/>
      </w:r>
      <w:r>
        <w:rPr>
          <w:noProof/>
        </w:rPr>
        <w:fldChar w:fldCharType="begin"/>
      </w:r>
      <w:r>
        <w:rPr>
          <w:noProof/>
        </w:rPr>
        <w:instrText xml:space="preserve"> PAGEREF _Toc261025210 \h </w:instrText>
      </w:r>
      <w:r>
        <w:rPr>
          <w:noProof/>
        </w:rPr>
      </w:r>
      <w:r>
        <w:rPr>
          <w:noProof/>
        </w:rPr>
        <w:fldChar w:fldCharType="separate"/>
      </w:r>
      <w:r>
        <w:rPr>
          <w:noProof/>
        </w:rPr>
        <w:t>76</w:t>
      </w:r>
      <w:r>
        <w:rPr>
          <w:noProof/>
        </w:rPr>
        <w:fldChar w:fldCharType="end"/>
      </w:r>
    </w:p>
    <w:p w14:paraId="5B656331" w14:textId="77777777" w:rsidR="009C5432" w:rsidRDefault="009C5432">
      <w:pPr>
        <w:pStyle w:val="TableofFigures"/>
        <w:tabs>
          <w:tab w:val="right" w:leader="dot" w:pos="8486"/>
        </w:tabs>
        <w:rPr>
          <w:rFonts w:eastAsiaTheme="minorEastAsia" w:cstheme="minorBidi"/>
          <w:noProof/>
          <w:lang w:eastAsia="ja-JP" w:bidi="ar-SA"/>
        </w:rPr>
      </w:pPr>
      <w:r>
        <w:rPr>
          <w:noProof/>
        </w:rPr>
        <w:t>Figure 9 Mass Burial from the Adams site</w:t>
      </w:r>
      <w:r>
        <w:rPr>
          <w:noProof/>
        </w:rPr>
        <w:tab/>
      </w:r>
      <w:r>
        <w:rPr>
          <w:noProof/>
        </w:rPr>
        <w:fldChar w:fldCharType="begin"/>
      </w:r>
      <w:r>
        <w:rPr>
          <w:noProof/>
        </w:rPr>
        <w:instrText xml:space="preserve"> PAGEREF _Toc261025211 \h </w:instrText>
      </w:r>
      <w:r>
        <w:rPr>
          <w:noProof/>
        </w:rPr>
      </w:r>
      <w:r>
        <w:rPr>
          <w:noProof/>
        </w:rPr>
        <w:fldChar w:fldCharType="separate"/>
      </w:r>
      <w:r>
        <w:rPr>
          <w:noProof/>
        </w:rPr>
        <w:t>81</w:t>
      </w:r>
      <w:r>
        <w:rPr>
          <w:noProof/>
        </w:rPr>
        <w:fldChar w:fldCharType="end"/>
      </w:r>
    </w:p>
    <w:p w14:paraId="5B9B2737" w14:textId="77777777" w:rsidR="009C5432" w:rsidRDefault="009C5432">
      <w:pPr>
        <w:pStyle w:val="TableofFigures"/>
        <w:tabs>
          <w:tab w:val="right" w:leader="dot" w:pos="8486"/>
        </w:tabs>
        <w:rPr>
          <w:rFonts w:eastAsiaTheme="minorEastAsia" w:cstheme="minorBidi"/>
          <w:noProof/>
          <w:lang w:eastAsia="ja-JP" w:bidi="ar-SA"/>
        </w:rPr>
      </w:pPr>
      <w:r>
        <w:rPr>
          <w:noProof/>
        </w:rPr>
        <w:t>Figure 10  Burial 10 from the Akers site, with large point resting on cranium</w:t>
      </w:r>
      <w:r>
        <w:rPr>
          <w:noProof/>
        </w:rPr>
        <w:tab/>
      </w:r>
      <w:r>
        <w:rPr>
          <w:noProof/>
        </w:rPr>
        <w:fldChar w:fldCharType="begin"/>
      </w:r>
      <w:r>
        <w:rPr>
          <w:noProof/>
        </w:rPr>
        <w:instrText xml:space="preserve"> PAGEREF _Toc261025212 \h </w:instrText>
      </w:r>
      <w:r>
        <w:rPr>
          <w:noProof/>
        </w:rPr>
      </w:r>
      <w:r>
        <w:rPr>
          <w:noProof/>
        </w:rPr>
        <w:fldChar w:fldCharType="separate"/>
      </w:r>
      <w:r>
        <w:rPr>
          <w:noProof/>
        </w:rPr>
        <w:t>96</w:t>
      </w:r>
      <w:r>
        <w:rPr>
          <w:noProof/>
        </w:rPr>
        <w:fldChar w:fldCharType="end"/>
      </w:r>
    </w:p>
    <w:p w14:paraId="6A3C4FB4" w14:textId="77777777" w:rsidR="009C5432" w:rsidRDefault="009C5432">
      <w:pPr>
        <w:pStyle w:val="TableofFigures"/>
        <w:tabs>
          <w:tab w:val="right" w:leader="dot" w:pos="8486"/>
        </w:tabs>
        <w:rPr>
          <w:rFonts w:eastAsiaTheme="minorEastAsia" w:cstheme="minorBidi"/>
          <w:noProof/>
          <w:lang w:eastAsia="ja-JP" w:bidi="ar-SA"/>
        </w:rPr>
      </w:pPr>
      <w:r>
        <w:rPr>
          <w:noProof/>
        </w:rPr>
        <w:t>Figure 11  Burial 157 from the Akers site, occipital view of the calvarium</w:t>
      </w:r>
      <w:r>
        <w:rPr>
          <w:noProof/>
        </w:rPr>
        <w:tab/>
      </w:r>
      <w:r>
        <w:rPr>
          <w:noProof/>
        </w:rPr>
        <w:fldChar w:fldCharType="begin"/>
      </w:r>
      <w:r>
        <w:rPr>
          <w:noProof/>
        </w:rPr>
        <w:instrText xml:space="preserve"> PAGEREF _Toc261025213 \h </w:instrText>
      </w:r>
      <w:r>
        <w:rPr>
          <w:noProof/>
        </w:rPr>
      </w:r>
      <w:r>
        <w:rPr>
          <w:noProof/>
        </w:rPr>
        <w:fldChar w:fldCharType="separate"/>
      </w:r>
      <w:r>
        <w:rPr>
          <w:noProof/>
        </w:rPr>
        <w:t>97</w:t>
      </w:r>
      <w:r>
        <w:rPr>
          <w:noProof/>
        </w:rPr>
        <w:fldChar w:fldCharType="end"/>
      </w:r>
    </w:p>
    <w:p w14:paraId="26CAADB8" w14:textId="77777777" w:rsidR="009C5432" w:rsidRDefault="009C5432">
      <w:pPr>
        <w:pStyle w:val="TableofFigures"/>
        <w:tabs>
          <w:tab w:val="right" w:leader="dot" w:pos="8486"/>
        </w:tabs>
        <w:rPr>
          <w:rFonts w:eastAsiaTheme="minorEastAsia" w:cstheme="minorBidi"/>
          <w:noProof/>
          <w:lang w:eastAsia="ja-JP" w:bidi="ar-SA"/>
        </w:rPr>
      </w:pPr>
      <w:r>
        <w:rPr>
          <w:noProof/>
        </w:rPr>
        <w:t>Figure 12  Male cranial blunt force trauma from the Akers site</w:t>
      </w:r>
      <w:r>
        <w:rPr>
          <w:noProof/>
        </w:rPr>
        <w:tab/>
      </w:r>
      <w:r>
        <w:rPr>
          <w:noProof/>
        </w:rPr>
        <w:fldChar w:fldCharType="begin"/>
      </w:r>
      <w:r>
        <w:rPr>
          <w:noProof/>
        </w:rPr>
        <w:instrText xml:space="preserve"> PAGEREF _Toc261025214 \h </w:instrText>
      </w:r>
      <w:r>
        <w:rPr>
          <w:noProof/>
        </w:rPr>
      </w:r>
      <w:r>
        <w:rPr>
          <w:noProof/>
        </w:rPr>
        <w:fldChar w:fldCharType="separate"/>
      </w:r>
      <w:r>
        <w:rPr>
          <w:noProof/>
        </w:rPr>
        <w:t>99</w:t>
      </w:r>
      <w:r>
        <w:rPr>
          <w:noProof/>
        </w:rPr>
        <w:fldChar w:fldCharType="end"/>
      </w:r>
    </w:p>
    <w:p w14:paraId="487732F3" w14:textId="77777777" w:rsidR="009C5432" w:rsidRDefault="009C5432">
      <w:pPr>
        <w:pStyle w:val="TableofFigures"/>
        <w:tabs>
          <w:tab w:val="right" w:leader="dot" w:pos="8486"/>
        </w:tabs>
        <w:rPr>
          <w:rFonts w:eastAsiaTheme="minorEastAsia" w:cstheme="minorBidi"/>
          <w:noProof/>
          <w:lang w:eastAsia="ja-JP" w:bidi="ar-SA"/>
        </w:rPr>
      </w:pPr>
      <w:r>
        <w:rPr>
          <w:noProof/>
        </w:rPr>
        <w:t>Figure 13  Female cranial blunt force trauma from the Akers site</w:t>
      </w:r>
      <w:r>
        <w:rPr>
          <w:noProof/>
        </w:rPr>
        <w:tab/>
      </w:r>
      <w:r>
        <w:rPr>
          <w:noProof/>
        </w:rPr>
        <w:fldChar w:fldCharType="begin"/>
      </w:r>
      <w:r>
        <w:rPr>
          <w:noProof/>
        </w:rPr>
        <w:instrText xml:space="preserve"> PAGEREF _Toc261025215 \h </w:instrText>
      </w:r>
      <w:r>
        <w:rPr>
          <w:noProof/>
        </w:rPr>
      </w:r>
      <w:r>
        <w:rPr>
          <w:noProof/>
        </w:rPr>
        <w:fldChar w:fldCharType="separate"/>
      </w:r>
      <w:r>
        <w:rPr>
          <w:noProof/>
        </w:rPr>
        <w:t>100</w:t>
      </w:r>
      <w:r>
        <w:rPr>
          <w:noProof/>
        </w:rPr>
        <w:fldChar w:fldCharType="end"/>
      </w:r>
    </w:p>
    <w:p w14:paraId="1FEA7C94" w14:textId="77777777" w:rsidR="009C5432" w:rsidRDefault="009C5432">
      <w:pPr>
        <w:pStyle w:val="TableofFigures"/>
        <w:tabs>
          <w:tab w:val="right" w:leader="dot" w:pos="8486"/>
        </w:tabs>
        <w:rPr>
          <w:rFonts w:eastAsiaTheme="minorEastAsia" w:cstheme="minorBidi"/>
          <w:noProof/>
          <w:lang w:eastAsia="ja-JP" w:bidi="ar-SA"/>
        </w:rPr>
      </w:pPr>
      <w:r>
        <w:rPr>
          <w:noProof/>
        </w:rPr>
        <w:t>Figure 14  Burial 9A from the Akers site, psuedoarthrosis of the right ulna</w:t>
      </w:r>
      <w:r>
        <w:rPr>
          <w:noProof/>
        </w:rPr>
        <w:tab/>
      </w:r>
      <w:r>
        <w:rPr>
          <w:noProof/>
        </w:rPr>
        <w:fldChar w:fldCharType="begin"/>
      </w:r>
      <w:r>
        <w:rPr>
          <w:noProof/>
        </w:rPr>
        <w:instrText xml:space="preserve"> PAGEREF _Toc261025216 \h </w:instrText>
      </w:r>
      <w:r>
        <w:rPr>
          <w:noProof/>
        </w:rPr>
      </w:r>
      <w:r>
        <w:rPr>
          <w:noProof/>
        </w:rPr>
        <w:fldChar w:fldCharType="separate"/>
      </w:r>
      <w:r>
        <w:rPr>
          <w:noProof/>
        </w:rPr>
        <w:t>103</w:t>
      </w:r>
      <w:r>
        <w:rPr>
          <w:noProof/>
        </w:rPr>
        <w:fldChar w:fldCharType="end"/>
      </w:r>
    </w:p>
    <w:p w14:paraId="01BA0D9D" w14:textId="77777777" w:rsidR="009C5432" w:rsidRDefault="009C5432">
      <w:pPr>
        <w:pStyle w:val="TableofFigures"/>
        <w:tabs>
          <w:tab w:val="right" w:leader="dot" w:pos="8486"/>
        </w:tabs>
        <w:rPr>
          <w:rFonts w:eastAsiaTheme="minorEastAsia" w:cstheme="minorBidi"/>
          <w:noProof/>
          <w:lang w:eastAsia="ja-JP" w:bidi="ar-SA"/>
        </w:rPr>
      </w:pPr>
      <w:r>
        <w:rPr>
          <w:noProof/>
        </w:rPr>
        <w:t>Figure 15  Burial 8, a triple burial from the Akers site</w:t>
      </w:r>
      <w:r>
        <w:rPr>
          <w:noProof/>
        </w:rPr>
        <w:tab/>
      </w:r>
      <w:r>
        <w:rPr>
          <w:noProof/>
        </w:rPr>
        <w:fldChar w:fldCharType="begin"/>
      </w:r>
      <w:r>
        <w:rPr>
          <w:noProof/>
        </w:rPr>
        <w:instrText xml:space="preserve"> PAGEREF _Toc261025217 \h </w:instrText>
      </w:r>
      <w:r>
        <w:rPr>
          <w:noProof/>
        </w:rPr>
      </w:r>
      <w:r>
        <w:rPr>
          <w:noProof/>
        </w:rPr>
        <w:fldChar w:fldCharType="separate"/>
      </w:r>
      <w:r>
        <w:rPr>
          <w:noProof/>
        </w:rPr>
        <w:t>108</w:t>
      </w:r>
      <w:r>
        <w:rPr>
          <w:noProof/>
        </w:rPr>
        <w:fldChar w:fldCharType="end"/>
      </w:r>
    </w:p>
    <w:p w14:paraId="59A8FD53" w14:textId="77777777" w:rsidR="009C5432" w:rsidRDefault="009C5432">
      <w:pPr>
        <w:pStyle w:val="TableofFigures"/>
        <w:tabs>
          <w:tab w:val="right" w:leader="dot" w:pos="8486"/>
        </w:tabs>
        <w:rPr>
          <w:rFonts w:eastAsiaTheme="minorEastAsia" w:cstheme="minorBidi"/>
          <w:noProof/>
          <w:lang w:eastAsia="ja-JP" w:bidi="ar-SA"/>
        </w:rPr>
      </w:pPr>
      <w:r>
        <w:rPr>
          <w:noProof/>
        </w:rPr>
        <w:t>Figure 16  Burial 87 from the Akers site, consisting of two adult males with one skull</w:t>
      </w:r>
      <w:r>
        <w:rPr>
          <w:noProof/>
        </w:rPr>
        <w:tab/>
      </w:r>
      <w:r>
        <w:rPr>
          <w:noProof/>
        </w:rPr>
        <w:fldChar w:fldCharType="begin"/>
      </w:r>
      <w:r>
        <w:rPr>
          <w:noProof/>
        </w:rPr>
        <w:instrText xml:space="preserve"> PAGEREF _Toc261025218 \h </w:instrText>
      </w:r>
      <w:r>
        <w:rPr>
          <w:noProof/>
        </w:rPr>
      </w:r>
      <w:r>
        <w:rPr>
          <w:noProof/>
        </w:rPr>
        <w:fldChar w:fldCharType="separate"/>
      </w:r>
      <w:r>
        <w:rPr>
          <w:noProof/>
        </w:rPr>
        <w:t>109</w:t>
      </w:r>
      <w:r>
        <w:rPr>
          <w:noProof/>
        </w:rPr>
        <w:fldChar w:fldCharType="end"/>
      </w:r>
    </w:p>
    <w:p w14:paraId="430B4953" w14:textId="77777777" w:rsidR="009C5432" w:rsidRDefault="009C5432">
      <w:pPr>
        <w:pStyle w:val="TableofFigures"/>
        <w:tabs>
          <w:tab w:val="right" w:leader="dot" w:pos="8486"/>
        </w:tabs>
        <w:rPr>
          <w:rFonts w:eastAsiaTheme="minorEastAsia" w:cstheme="minorBidi"/>
          <w:noProof/>
          <w:lang w:eastAsia="ja-JP" w:bidi="ar-SA"/>
        </w:rPr>
      </w:pPr>
      <w:r>
        <w:rPr>
          <w:noProof/>
        </w:rPr>
        <w:t>Figure 17  Burial 87 from the Akers site, close-up showing multiple projectile points as well as objects inserted into nasal cavity</w:t>
      </w:r>
      <w:r>
        <w:rPr>
          <w:noProof/>
        </w:rPr>
        <w:tab/>
      </w:r>
      <w:r>
        <w:rPr>
          <w:noProof/>
        </w:rPr>
        <w:fldChar w:fldCharType="begin"/>
      </w:r>
      <w:r>
        <w:rPr>
          <w:noProof/>
        </w:rPr>
        <w:instrText xml:space="preserve"> PAGEREF _Toc261025219 \h </w:instrText>
      </w:r>
      <w:r>
        <w:rPr>
          <w:noProof/>
        </w:rPr>
      </w:r>
      <w:r>
        <w:rPr>
          <w:noProof/>
        </w:rPr>
        <w:fldChar w:fldCharType="separate"/>
      </w:r>
      <w:r>
        <w:rPr>
          <w:noProof/>
        </w:rPr>
        <w:t>110</w:t>
      </w:r>
      <w:r>
        <w:rPr>
          <w:noProof/>
        </w:rPr>
        <w:fldChar w:fldCharType="end"/>
      </w:r>
    </w:p>
    <w:p w14:paraId="2308BC69" w14:textId="77777777" w:rsidR="009C5432" w:rsidRDefault="009C5432">
      <w:pPr>
        <w:pStyle w:val="TableofFigures"/>
        <w:tabs>
          <w:tab w:val="right" w:leader="dot" w:pos="8486"/>
        </w:tabs>
        <w:rPr>
          <w:rFonts w:eastAsiaTheme="minorEastAsia" w:cstheme="minorBidi"/>
          <w:noProof/>
          <w:lang w:eastAsia="ja-JP" w:bidi="ar-SA"/>
        </w:rPr>
      </w:pPr>
      <w:r>
        <w:rPr>
          <w:noProof/>
        </w:rPr>
        <w:t>Figure 18  The lambda region from Burial 155 of the Akers site</w:t>
      </w:r>
      <w:r>
        <w:rPr>
          <w:noProof/>
        </w:rPr>
        <w:tab/>
      </w:r>
      <w:r>
        <w:rPr>
          <w:noProof/>
        </w:rPr>
        <w:fldChar w:fldCharType="begin"/>
      </w:r>
      <w:r>
        <w:rPr>
          <w:noProof/>
        </w:rPr>
        <w:instrText xml:space="preserve"> PAGEREF _Toc261025220 \h </w:instrText>
      </w:r>
      <w:r>
        <w:rPr>
          <w:noProof/>
        </w:rPr>
      </w:r>
      <w:r>
        <w:rPr>
          <w:noProof/>
        </w:rPr>
        <w:fldChar w:fldCharType="separate"/>
      </w:r>
      <w:r>
        <w:rPr>
          <w:noProof/>
        </w:rPr>
        <w:t>117</w:t>
      </w:r>
      <w:r>
        <w:rPr>
          <w:noProof/>
        </w:rPr>
        <w:fldChar w:fldCharType="end"/>
      </w:r>
    </w:p>
    <w:p w14:paraId="2130D805" w14:textId="77777777" w:rsidR="009C5432" w:rsidRDefault="009C5432">
      <w:pPr>
        <w:pStyle w:val="TableofFigures"/>
        <w:tabs>
          <w:tab w:val="right" w:leader="dot" w:pos="8486"/>
        </w:tabs>
        <w:rPr>
          <w:rFonts w:eastAsiaTheme="minorEastAsia" w:cstheme="minorBidi"/>
          <w:noProof/>
          <w:lang w:eastAsia="ja-JP" w:bidi="ar-SA"/>
        </w:rPr>
      </w:pPr>
      <w:r>
        <w:rPr>
          <w:noProof/>
        </w:rPr>
        <w:t>Figure 19  Shell gorgets from Spiro Mounds (left) and the Akers site (right)</w:t>
      </w:r>
      <w:r>
        <w:rPr>
          <w:noProof/>
        </w:rPr>
        <w:tab/>
      </w:r>
      <w:r>
        <w:rPr>
          <w:noProof/>
        </w:rPr>
        <w:fldChar w:fldCharType="begin"/>
      </w:r>
      <w:r>
        <w:rPr>
          <w:noProof/>
        </w:rPr>
        <w:instrText xml:space="preserve"> PAGEREF _Toc261025221 \h </w:instrText>
      </w:r>
      <w:r>
        <w:rPr>
          <w:noProof/>
        </w:rPr>
      </w:r>
      <w:r>
        <w:rPr>
          <w:noProof/>
        </w:rPr>
        <w:fldChar w:fldCharType="separate"/>
      </w:r>
      <w:r>
        <w:rPr>
          <w:noProof/>
        </w:rPr>
        <w:t>123</w:t>
      </w:r>
      <w:r>
        <w:rPr>
          <w:noProof/>
        </w:rPr>
        <w:fldChar w:fldCharType="end"/>
      </w:r>
    </w:p>
    <w:p w14:paraId="69DC036B" w14:textId="77777777" w:rsidR="009C5432" w:rsidRDefault="009C5432">
      <w:pPr>
        <w:pStyle w:val="TableofFigures"/>
        <w:tabs>
          <w:tab w:val="right" w:leader="dot" w:pos="8486"/>
        </w:tabs>
        <w:rPr>
          <w:rFonts w:eastAsiaTheme="minorEastAsia" w:cstheme="minorBidi"/>
          <w:noProof/>
          <w:lang w:eastAsia="ja-JP" w:bidi="ar-SA"/>
        </w:rPr>
      </w:pPr>
      <w:r>
        <w:rPr>
          <w:noProof/>
        </w:rPr>
        <w:t>Figure 20  Pottery from Spiro Mounds (left) and the Akers site (right)</w:t>
      </w:r>
      <w:r>
        <w:rPr>
          <w:noProof/>
        </w:rPr>
        <w:tab/>
      </w:r>
      <w:r>
        <w:rPr>
          <w:noProof/>
        </w:rPr>
        <w:fldChar w:fldCharType="begin"/>
      </w:r>
      <w:r>
        <w:rPr>
          <w:noProof/>
        </w:rPr>
        <w:instrText xml:space="preserve"> PAGEREF _Toc261025222 \h </w:instrText>
      </w:r>
      <w:r>
        <w:rPr>
          <w:noProof/>
        </w:rPr>
      </w:r>
      <w:r>
        <w:rPr>
          <w:noProof/>
        </w:rPr>
        <w:fldChar w:fldCharType="separate"/>
      </w:r>
      <w:r>
        <w:rPr>
          <w:noProof/>
        </w:rPr>
        <w:t>123</w:t>
      </w:r>
      <w:r>
        <w:rPr>
          <w:noProof/>
        </w:rPr>
        <w:fldChar w:fldCharType="end"/>
      </w:r>
    </w:p>
    <w:p w14:paraId="387C0447" w14:textId="77777777" w:rsidR="009C5432" w:rsidRDefault="009C5432">
      <w:pPr>
        <w:pStyle w:val="TableofFigures"/>
        <w:tabs>
          <w:tab w:val="right" w:leader="dot" w:pos="8486"/>
        </w:tabs>
        <w:rPr>
          <w:rFonts w:eastAsiaTheme="minorEastAsia" w:cstheme="minorBidi"/>
          <w:noProof/>
          <w:lang w:eastAsia="ja-JP" w:bidi="ar-SA"/>
        </w:rPr>
      </w:pPr>
      <w:r>
        <w:rPr>
          <w:noProof/>
        </w:rPr>
        <w:t>Figure 21  Burial 9 from the Akers site, consisting of three likely non-associated individuals (arrows point to skulls)</w:t>
      </w:r>
      <w:r>
        <w:rPr>
          <w:noProof/>
        </w:rPr>
        <w:tab/>
      </w:r>
      <w:r>
        <w:rPr>
          <w:noProof/>
        </w:rPr>
        <w:fldChar w:fldCharType="begin"/>
      </w:r>
      <w:r>
        <w:rPr>
          <w:noProof/>
        </w:rPr>
        <w:instrText xml:space="preserve"> PAGEREF _Toc261025223 \h </w:instrText>
      </w:r>
      <w:r>
        <w:rPr>
          <w:noProof/>
        </w:rPr>
      </w:r>
      <w:r>
        <w:rPr>
          <w:noProof/>
        </w:rPr>
        <w:fldChar w:fldCharType="separate"/>
      </w:r>
      <w:r>
        <w:rPr>
          <w:noProof/>
        </w:rPr>
        <w:t>128</w:t>
      </w:r>
      <w:r>
        <w:rPr>
          <w:noProof/>
        </w:rPr>
        <w:fldChar w:fldCharType="end"/>
      </w:r>
    </w:p>
    <w:p w14:paraId="08BCDA8F" w14:textId="77777777" w:rsidR="009C5432" w:rsidRDefault="009C5432">
      <w:pPr>
        <w:pStyle w:val="TableofFigures"/>
        <w:tabs>
          <w:tab w:val="right" w:leader="dot" w:pos="8486"/>
        </w:tabs>
        <w:rPr>
          <w:rFonts w:eastAsiaTheme="minorEastAsia" w:cstheme="minorBidi"/>
          <w:noProof/>
          <w:lang w:eastAsia="ja-JP" w:bidi="ar-SA"/>
        </w:rPr>
      </w:pPr>
      <w:r>
        <w:rPr>
          <w:noProof/>
        </w:rPr>
        <w:t>Figure 22  Burial 45 from the Adams site (34Lf33) was an isolated skull surrounded</w:t>
      </w:r>
      <w:r>
        <w:rPr>
          <w:noProof/>
        </w:rPr>
        <w:tab/>
      </w:r>
      <w:r>
        <w:rPr>
          <w:noProof/>
        </w:rPr>
        <w:fldChar w:fldCharType="begin"/>
      </w:r>
      <w:r>
        <w:rPr>
          <w:noProof/>
        </w:rPr>
        <w:instrText xml:space="preserve"> PAGEREF _Toc261025224 \h </w:instrText>
      </w:r>
      <w:r>
        <w:rPr>
          <w:noProof/>
        </w:rPr>
      </w:r>
      <w:r>
        <w:rPr>
          <w:noProof/>
        </w:rPr>
        <w:fldChar w:fldCharType="separate"/>
      </w:r>
      <w:r>
        <w:rPr>
          <w:noProof/>
        </w:rPr>
        <w:t>129</w:t>
      </w:r>
      <w:r>
        <w:rPr>
          <w:noProof/>
        </w:rPr>
        <w:fldChar w:fldCharType="end"/>
      </w:r>
    </w:p>
    <w:p w14:paraId="50194D5B" w14:textId="77777777" w:rsidR="009C5432" w:rsidRDefault="009C5432">
      <w:pPr>
        <w:pStyle w:val="TableofFigures"/>
        <w:tabs>
          <w:tab w:val="right" w:leader="dot" w:pos="8486"/>
        </w:tabs>
        <w:rPr>
          <w:rFonts w:eastAsiaTheme="minorEastAsia" w:cstheme="minorBidi"/>
          <w:noProof/>
          <w:lang w:eastAsia="ja-JP" w:bidi="ar-SA"/>
        </w:rPr>
      </w:pPr>
      <w:r>
        <w:rPr>
          <w:noProof/>
        </w:rPr>
        <w:t>Figure 23  Biplot of the percentage of total number of individuals (x axis) by</w:t>
      </w:r>
      <w:r>
        <w:rPr>
          <w:noProof/>
        </w:rPr>
        <w:tab/>
      </w:r>
      <w:r>
        <w:rPr>
          <w:noProof/>
        </w:rPr>
        <w:fldChar w:fldCharType="begin"/>
      </w:r>
      <w:r>
        <w:rPr>
          <w:noProof/>
        </w:rPr>
        <w:instrText xml:space="preserve"> PAGEREF _Toc261025225 \h </w:instrText>
      </w:r>
      <w:r>
        <w:rPr>
          <w:noProof/>
        </w:rPr>
      </w:r>
      <w:r>
        <w:rPr>
          <w:noProof/>
        </w:rPr>
        <w:fldChar w:fldCharType="separate"/>
      </w:r>
      <w:r>
        <w:rPr>
          <w:noProof/>
        </w:rPr>
        <w:t>134</w:t>
      </w:r>
      <w:r>
        <w:rPr>
          <w:noProof/>
        </w:rPr>
        <w:fldChar w:fldCharType="end"/>
      </w:r>
    </w:p>
    <w:p w14:paraId="75B978BE" w14:textId="77777777" w:rsidR="009C5432" w:rsidRDefault="009C5432">
      <w:pPr>
        <w:pStyle w:val="TableofFigures"/>
        <w:tabs>
          <w:tab w:val="right" w:leader="dot" w:pos="8486"/>
        </w:tabs>
        <w:rPr>
          <w:rFonts w:eastAsiaTheme="minorEastAsia" w:cstheme="minorBidi"/>
          <w:noProof/>
          <w:lang w:eastAsia="ja-JP" w:bidi="ar-SA"/>
        </w:rPr>
      </w:pPr>
      <w:r>
        <w:rPr>
          <w:noProof/>
        </w:rPr>
        <w:t>Figure 24  Biplot of the total number of buried individuals (x axis) by the percentage of multiple burials (y axis) for the large sites Akers, Brewer, Mackey, and Williams I</w:t>
      </w:r>
      <w:r>
        <w:rPr>
          <w:noProof/>
        </w:rPr>
        <w:tab/>
      </w:r>
      <w:r>
        <w:rPr>
          <w:noProof/>
        </w:rPr>
        <w:fldChar w:fldCharType="begin"/>
      </w:r>
      <w:r>
        <w:rPr>
          <w:noProof/>
        </w:rPr>
        <w:instrText xml:space="preserve"> PAGEREF _Toc261025226 \h </w:instrText>
      </w:r>
      <w:r>
        <w:rPr>
          <w:noProof/>
        </w:rPr>
      </w:r>
      <w:r>
        <w:rPr>
          <w:noProof/>
        </w:rPr>
        <w:fldChar w:fldCharType="separate"/>
      </w:r>
      <w:r>
        <w:rPr>
          <w:noProof/>
        </w:rPr>
        <w:t>135</w:t>
      </w:r>
      <w:r>
        <w:rPr>
          <w:noProof/>
        </w:rPr>
        <w:fldChar w:fldCharType="end"/>
      </w:r>
    </w:p>
    <w:p w14:paraId="675A054F" w14:textId="77777777" w:rsidR="009C5432" w:rsidRDefault="009C5432">
      <w:pPr>
        <w:pStyle w:val="TableofFigures"/>
        <w:tabs>
          <w:tab w:val="right" w:leader="dot" w:pos="8486"/>
        </w:tabs>
        <w:rPr>
          <w:rFonts w:eastAsiaTheme="minorEastAsia" w:cstheme="minorBidi"/>
          <w:noProof/>
          <w:lang w:eastAsia="ja-JP" w:bidi="ar-SA"/>
        </w:rPr>
      </w:pPr>
      <w:r>
        <w:rPr>
          <w:noProof/>
        </w:rPr>
        <w:t>Figure 25  Biplot of the percentage of multiple burials (x axis) by percentage of</w:t>
      </w:r>
      <w:r>
        <w:rPr>
          <w:noProof/>
        </w:rPr>
        <w:tab/>
      </w:r>
      <w:r>
        <w:rPr>
          <w:noProof/>
        </w:rPr>
        <w:fldChar w:fldCharType="begin"/>
      </w:r>
      <w:r>
        <w:rPr>
          <w:noProof/>
        </w:rPr>
        <w:instrText xml:space="preserve"> PAGEREF _Toc261025227 \h </w:instrText>
      </w:r>
      <w:r>
        <w:rPr>
          <w:noProof/>
        </w:rPr>
      </w:r>
      <w:r>
        <w:rPr>
          <w:noProof/>
        </w:rPr>
        <w:fldChar w:fldCharType="separate"/>
      </w:r>
      <w:r>
        <w:rPr>
          <w:noProof/>
        </w:rPr>
        <w:t>138</w:t>
      </w:r>
      <w:r>
        <w:rPr>
          <w:noProof/>
        </w:rPr>
        <w:fldChar w:fldCharType="end"/>
      </w:r>
    </w:p>
    <w:p w14:paraId="038AA44F" w14:textId="77777777" w:rsidR="009C5432" w:rsidRDefault="009C5432">
      <w:pPr>
        <w:pStyle w:val="TableofFigures"/>
        <w:tabs>
          <w:tab w:val="right" w:leader="dot" w:pos="8486"/>
        </w:tabs>
        <w:rPr>
          <w:rFonts w:eastAsiaTheme="minorEastAsia" w:cstheme="minorBidi"/>
          <w:noProof/>
          <w:lang w:eastAsia="ja-JP" w:bidi="ar-SA"/>
        </w:rPr>
      </w:pPr>
      <w:r>
        <w:rPr>
          <w:noProof/>
        </w:rPr>
        <w:t>Figure 26  Biplot of the percentage of total individuals per site (x axis) by</w:t>
      </w:r>
      <w:r>
        <w:rPr>
          <w:noProof/>
        </w:rPr>
        <w:tab/>
      </w:r>
      <w:r>
        <w:rPr>
          <w:noProof/>
        </w:rPr>
        <w:fldChar w:fldCharType="begin"/>
      </w:r>
      <w:r>
        <w:rPr>
          <w:noProof/>
        </w:rPr>
        <w:instrText xml:space="preserve"> PAGEREF _Toc261025228 \h </w:instrText>
      </w:r>
      <w:r>
        <w:rPr>
          <w:noProof/>
        </w:rPr>
      </w:r>
      <w:r>
        <w:rPr>
          <w:noProof/>
        </w:rPr>
        <w:fldChar w:fldCharType="separate"/>
      </w:r>
      <w:r>
        <w:rPr>
          <w:noProof/>
        </w:rPr>
        <w:t>139</w:t>
      </w:r>
      <w:r>
        <w:rPr>
          <w:noProof/>
        </w:rPr>
        <w:fldChar w:fldCharType="end"/>
      </w:r>
    </w:p>
    <w:p w14:paraId="3814A619" w14:textId="77777777" w:rsidR="00BF0494" w:rsidRDefault="00BF0494" w:rsidP="00FA652B">
      <w:pPr>
        <w:pStyle w:val="Heading1"/>
      </w:pPr>
      <w:r>
        <w:fldChar w:fldCharType="end"/>
      </w:r>
      <w:r>
        <w:br w:type="page"/>
      </w:r>
      <w:bookmarkStart w:id="6" w:name="_Toc310579467"/>
      <w:bookmarkStart w:id="7" w:name="_Toc261025830"/>
      <w:r>
        <w:t>Abstract</w:t>
      </w:r>
      <w:bookmarkEnd w:id="6"/>
      <w:bookmarkEnd w:id="7"/>
    </w:p>
    <w:p w14:paraId="0B34F04A" w14:textId="6483D378" w:rsidR="00BF0494" w:rsidRDefault="00482C71" w:rsidP="008E2757">
      <w:pPr>
        <w:sectPr w:rsidR="00BF0494" w:rsidSect="00AB702D">
          <w:footerReference w:type="default" r:id="rId10"/>
          <w:pgSz w:w="12240" w:h="15840" w:code="1"/>
          <w:pgMar w:top="1440" w:right="1440" w:bottom="1440" w:left="2304" w:header="720" w:footer="720" w:gutter="0"/>
          <w:pgNumType w:fmt="lowerRoman" w:start="4"/>
          <w:cols w:space="720"/>
          <w:docGrid w:linePitch="360"/>
        </w:sectPr>
      </w:pPr>
      <w:r>
        <w:t>The Wister area</w:t>
      </w:r>
      <w:r w:rsidR="000B664C">
        <w:t xml:space="preserve"> of southeastern Oklahoma was a contested landscape during the Fourche Maline (Late Woodland</w:t>
      </w:r>
      <w:r>
        <w:t xml:space="preserve"> cultural period</w:t>
      </w:r>
      <w:r w:rsidR="000B664C">
        <w:t>).  This claim is supported by paleopathological evidence fo</w:t>
      </w:r>
      <w:r w:rsidR="00857A74">
        <w:t>r high rates of skeletal trauma</w:t>
      </w:r>
      <w:r w:rsidR="000B664C">
        <w:t xml:space="preserve"> and bioarchaeological evidence for high rates of group</w:t>
      </w:r>
      <w:r w:rsidR="00857A74">
        <w:t xml:space="preserve"> and mass</w:t>
      </w:r>
      <w:r w:rsidR="000B664C">
        <w:t xml:space="preserve"> burials.  Feuding appears to have been rampant with high levels of traumatic death (group burials) and trophy-taking behavior.  The contested landscape impacted residents of the valley in multiple ways.  In addition to</w:t>
      </w:r>
      <w:r w:rsidR="0072200A">
        <w:t xml:space="preserve"> loss of li</w:t>
      </w:r>
      <w:r w:rsidR="00857A74">
        <w:t>fe for both adults and children and</w:t>
      </w:r>
      <w:r w:rsidR="000B664C">
        <w:t xml:space="preserve"> the physical trauma from fractured bones and projectile points, the residents o</w:t>
      </w:r>
      <w:r w:rsidR="009E4CEF">
        <w:t>f the valley suffered from</w:t>
      </w:r>
      <w:r w:rsidR="000B664C">
        <w:t xml:space="preserve"> probable significant, though intermittent, intergenerational nutritional stress.  This nutritional stress is hyp</w:t>
      </w:r>
      <w:r w:rsidR="004B2577">
        <w:t>othesized to be the result of a</w:t>
      </w:r>
      <w:r w:rsidR="000B664C">
        <w:t xml:space="preserve"> restricted diet that resulted from </w:t>
      </w:r>
      <w:r w:rsidR="004B2577">
        <w:t>constricted hunting and gathering territories that were the consequence</w:t>
      </w:r>
      <w:r w:rsidR="002908DC">
        <w:t>s</w:t>
      </w:r>
      <w:r w:rsidR="004B2577">
        <w:t xml:space="preserve"> of </w:t>
      </w:r>
      <w:r w:rsidR="009E4CEF">
        <w:t xml:space="preserve">widespread </w:t>
      </w:r>
      <w:r w:rsidR="004B2577">
        <w:t xml:space="preserve">local </w:t>
      </w:r>
      <w:r w:rsidR="0072200A">
        <w:t>feuding</w:t>
      </w:r>
      <w:r w:rsidR="004B2577">
        <w:t>.</w:t>
      </w:r>
    </w:p>
    <w:p w14:paraId="08F30D3F" w14:textId="3A8C5960" w:rsidR="00BF0494" w:rsidRDefault="00BF0494" w:rsidP="00FA652B">
      <w:pPr>
        <w:pStyle w:val="Heading1"/>
      </w:pPr>
      <w:bookmarkStart w:id="8" w:name="_Toc261025831"/>
      <w:r>
        <w:t xml:space="preserve">Chapter 1: </w:t>
      </w:r>
      <w:r w:rsidR="00190B27">
        <w:t>A Contested Landscape</w:t>
      </w:r>
      <w:bookmarkEnd w:id="8"/>
    </w:p>
    <w:p w14:paraId="710156E2" w14:textId="6E65CB90" w:rsidR="00190B27" w:rsidRDefault="00190B27" w:rsidP="00190B27">
      <w:pPr>
        <w:ind w:firstLine="720"/>
        <w:rPr>
          <w:rFonts w:ascii="Times New Roman" w:hAnsi="Times New Roman"/>
        </w:rPr>
      </w:pPr>
      <w:r>
        <w:rPr>
          <w:rFonts w:ascii="Times New Roman" w:hAnsi="Times New Roman"/>
        </w:rPr>
        <w:t>The Wister area of southeastern Oklahoma was a contested landscape during the Fourche Maline (Late Woodland cultural period).  This study demonstrates high rates of skelet</w:t>
      </w:r>
      <w:r w:rsidR="00D02A1B">
        <w:rPr>
          <w:rFonts w:ascii="Times New Roman" w:hAnsi="Times New Roman"/>
        </w:rPr>
        <w:t>al trauma</w:t>
      </w:r>
      <w:r>
        <w:rPr>
          <w:rFonts w:ascii="Times New Roman" w:hAnsi="Times New Roman"/>
        </w:rPr>
        <w:t xml:space="preserve"> and probable significant, though intermittent, intergenerational nutritional stress for the individual</w:t>
      </w:r>
      <w:r w:rsidR="00592F57">
        <w:rPr>
          <w:rFonts w:ascii="Times New Roman" w:hAnsi="Times New Roman"/>
        </w:rPr>
        <w:t>s</w:t>
      </w:r>
      <w:r>
        <w:rPr>
          <w:rFonts w:ascii="Times New Roman" w:hAnsi="Times New Roman"/>
        </w:rPr>
        <w:t xml:space="preserve"> interred at the Akers site (34Lf32), </w:t>
      </w:r>
      <w:r w:rsidRPr="00E00F53">
        <w:rPr>
          <w:rFonts w:ascii="Times New Roman" w:hAnsi="Times New Roman"/>
        </w:rPr>
        <w:t xml:space="preserve">a large mound at the eastern end </w:t>
      </w:r>
      <w:r w:rsidR="00D1586E">
        <w:rPr>
          <w:rFonts w:ascii="Times New Roman" w:hAnsi="Times New Roman"/>
        </w:rPr>
        <w:t xml:space="preserve">of the study area. </w:t>
      </w:r>
      <w:r w:rsidR="00D02A1B">
        <w:rPr>
          <w:rFonts w:ascii="Times New Roman" w:hAnsi="Times New Roman"/>
        </w:rPr>
        <w:t xml:space="preserve"> </w:t>
      </w:r>
      <w:r>
        <w:rPr>
          <w:rFonts w:ascii="Times New Roman" w:hAnsi="Times New Roman"/>
        </w:rPr>
        <w:t>Examination of bioarchaeolo</w:t>
      </w:r>
      <w:r w:rsidR="00D02A1B">
        <w:rPr>
          <w:rFonts w:ascii="Times New Roman" w:hAnsi="Times New Roman"/>
        </w:rPr>
        <w:t>gical evidence for</w:t>
      </w:r>
      <w:r>
        <w:rPr>
          <w:rFonts w:ascii="Times New Roman" w:hAnsi="Times New Roman"/>
        </w:rPr>
        <w:t xml:space="preserve"> 13 small mounds in the study area documents high rates of group and mass burials.</w:t>
      </w:r>
      <w:r w:rsidR="005F5DBF">
        <w:rPr>
          <w:rFonts w:ascii="Times New Roman" w:hAnsi="Times New Roman"/>
        </w:rPr>
        <w:t xml:space="preserve">  The area as a whole is suggested to have been the site of intense feuding, which led to high levels of traumatic death (group and mass burials), trophy taking behavior, physical trauma (high rates of b</w:t>
      </w:r>
      <w:r w:rsidR="00D02A1B">
        <w:rPr>
          <w:rFonts w:ascii="Times New Roman" w:hAnsi="Times New Roman"/>
        </w:rPr>
        <w:t>roken bones and other injuries</w:t>
      </w:r>
      <w:r w:rsidR="005F5DBF">
        <w:rPr>
          <w:rFonts w:ascii="Times New Roman" w:hAnsi="Times New Roman"/>
        </w:rPr>
        <w:t>, and nutritional stress).</w:t>
      </w:r>
    </w:p>
    <w:p w14:paraId="3F76F292" w14:textId="66DED6D2" w:rsidR="00BF0494" w:rsidRPr="00E00F53" w:rsidRDefault="005F5DBF" w:rsidP="005F5DBF">
      <w:pPr>
        <w:ind w:firstLine="720"/>
        <w:rPr>
          <w:rFonts w:ascii="Times New Roman" w:hAnsi="Times New Roman"/>
        </w:rPr>
      </w:pPr>
      <w:r>
        <w:rPr>
          <w:rFonts w:ascii="Times New Roman" w:hAnsi="Times New Roman"/>
        </w:rPr>
        <w:t xml:space="preserve">The major findings of this study (high rates of conflict and nutritional stress throughout the Wister area) were not anticipated.  </w:t>
      </w:r>
      <w:r w:rsidR="00BF0494">
        <w:rPr>
          <w:rFonts w:ascii="Times New Roman" w:hAnsi="Times New Roman"/>
        </w:rPr>
        <w:t>This work was originally conceived as a traditional paleopathological analysis of a single Fourche Maline</w:t>
      </w:r>
      <w:r>
        <w:rPr>
          <w:rFonts w:ascii="Times New Roman" w:hAnsi="Times New Roman"/>
        </w:rPr>
        <w:t xml:space="preserve"> </w:t>
      </w:r>
      <w:r w:rsidR="00BF0494">
        <w:rPr>
          <w:rFonts w:ascii="Times New Roman" w:hAnsi="Times New Roman"/>
        </w:rPr>
        <w:t>site (the Akers site, 34Lf32)</w:t>
      </w:r>
      <w:r w:rsidR="00B159DA">
        <w:rPr>
          <w:rFonts w:ascii="Times New Roman" w:hAnsi="Times New Roman"/>
        </w:rPr>
        <w:t xml:space="preserve"> from the </w:t>
      </w:r>
      <w:r w:rsidR="00CF609A">
        <w:rPr>
          <w:rFonts w:ascii="Times New Roman" w:hAnsi="Times New Roman"/>
        </w:rPr>
        <w:t>Wister area</w:t>
      </w:r>
      <w:r w:rsidR="00B159DA">
        <w:rPr>
          <w:rFonts w:ascii="Times New Roman" w:hAnsi="Times New Roman"/>
        </w:rPr>
        <w:t xml:space="preserve"> of southeastern Oklahoma</w:t>
      </w:r>
      <w:r w:rsidR="00BF0494">
        <w:rPr>
          <w:rFonts w:ascii="Times New Roman" w:hAnsi="Times New Roman"/>
        </w:rPr>
        <w:t xml:space="preserve">.  My previous work from this site (Rowe 2009) had yielded some surprising results.  First, the burials were oddly skewed towards more females than males.  Secondly, the subadults exhibited surprisingly high rates of cribra orbitalia, moderate rates of periostitis, and low rates of porotic hyperostosis, which was interpreted as evidence of nutritional deficiencies (particularly scurvy) in the subadults.  </w:t>
      </w:r>
      <w:r w:rsidR="00835408">
        <w:rPr>
          <w:rFonts w:ascii="Times New Roman" w:hAnsi="Times New Roman"/>
        </w:rPr>
        <w:t>Additionally, there appeared to be</w:t>
      </w:r>
      <w:r w:rsidR="00BF0494">
        <w:rPr>
          <w:rFonts w:ascii="Times New Roman" w:hAnsi="Times New Roman"/>
        </w:rPr>
        <w:t xml:space="preserve"> a surprisingly high number of healed fractures.  There were also several group burials, some in unusual configurations (for instance a quadruple bur</w:t>
      </w:r>
      <w:r w:rsidR="00401236">
        <w:rPr>
          <w:rFonts w:ascii="Times New Roman" w:hAnsi="Times New Roman"/>
        </w:rPr>
        <w:t>ial with two adults placed face</w:t>
      </w:r>
      <w:r w:rsidR="00BF0494">
        <w:rPr>
          <w:rFonts w:ascii="Times New Roman" w:hAnsi="Times New Roman"/>
        </w:rPr>
        <w:t xml:space="preserve"> down and two subadults placed in between them), as well as a mass burial of 11 individuals.  Additionally, I was aware that at least one other site in the valley had a mass burial, and in browsing through the archives, I came across several other photographs of mass burials at other </w:t>
      </w:r>
      <w:r w:rsidR="00CF609A">
        <w:rPr>
          <w:rFonts w:ascii="Times New Roman" w:hAnsi="Times New Roman"/>
        </w:rPr>
        <w:t>Wister area</w:t>
      </w:r>
      <w:r w:rsidR="00BF0494">
        <w:rPr>
          <w:rFonts w:ascii="Times New Roman" w:hAnsi="Times New Roman"/>
        </w:rPr>
        <w:t xml:space="preserve"> Fourche Maline sites.  These disparate findings led to a focus on </w:t>
      </w:r>
      <w:r w:rsidR="00B159DA">
        <w:rPr>
          <w:rFonts w:ascii="Times New Roman" w:hAnsi="Times New Roman"/>
        </w:rPr>
        <w:t>both</w:t>
      </w:r>
      <w:r w:rsidR="00BF0494">
        <w:rPr>
          <w:rFonts w:ascii="Times New Roman" w:hAnsi="Times New Roman"/>
        </w:rPr>
        <w:t xml:space="preserve"> con</w:t>
      </w:r>
      <w:r w:rsidR="00401236">
        <w:rPr>
          <w:rFonts w:ascii="Times New Roman" w:hAnsi="Times New Roman"/>
        </w:rPr>
        <w:t>flict</w:t>
      </w:r>
      <w:r w:rsidR="00B159DA">
        <w:rPr>
          <w:rFonts w:ascii="Times New Roman" w:hAnsi="Times New Roman"/>
        </w:rPr>
        <w:t xml:space="preserve"> and nutritional status</w:t>
      </w:r>
      <w:r w:rsidR="00401236">
        <w:rPr>
          <w:rFonts w:ascii="Times New Roman" w:hAnsi="Times New Roman"/>
        </w:rPr>
        <w:t xml:space="preserve"> – first at the Akers site</w:t>
      </w:r>
      <w:r w:rsidR="00BF0494">
        <w:rPr>
          <w:rFonts w:ascii="Times New Roman" w:hAnsi="Times New Roman"/>
        </w:rPr>
        <w:t xml:space="preserve"> and then throughout the entire </w:t>
      </w:r>
      <w:r w:rsidR="00CF609A">
        <w:rPr>
          <w:rFonts w:ascii="Times New Roman" w:hAnsi="Times New Roman"/>
        </w:rPr>
        <w:t>Wister area</w:t>
      </w:r>
      <w:r w:rsidR="00BF0494">
        <w:rPr>
          <w:rFonts w:ascii="Times New Roman" w:hAnsi="Times New Roman"/>
        </w:rPr>
        <w:t>.</w:t>
      </w:r>
    </w:p>
    <w:p w14:paraId="514498AA" w14:textId="3A275E95" w:rsidR="00BF0494" w:rsidRDefault="00BF0494" w:rsidP="008E2757">
      <w:pPr>
        <w:rPr>
          <w:rFonts w:ascii="Times New Roman" w:hAnsi="Times New Roman"/>
        </w:rPr>
      </w:pPr>
      <w:r>
        <w:rPr>
          <w:rFonts w:ascii="Times New Roman" w:hAnsi="Times New Roman"/>
        </w:rPr>
        <w:tab/>
      </w:r>
      <w:r w:rsidRPr="00E00F53">
        <w:rPr>
          <w:rFonts w:ascii="Times New Roman" w:hAnsi="Times New Roman"/>
        </w:rPr>
        <w:t>The results of this analysis</w:t>
      </w:r>
      <w:r>
        <w:rPr>
          <w:rFonts w:ascii="Times New Roman" w:hAnsi="Times New Roman"/>
        </w:rPr>
        <w:t>, which uses m</w:t>
      </w:r>
      <w:r w:rsidRPr="00E00F53">
        <w:rPr>
          <w:rFonts w:ascii="Times New Roman" w:hAnsi="Times New Roman"/>
        </w:rPr>
        <w:t>ultiple lines of archaeological and biological (osteological) evidence</w:t>
      </w:r>
      <w:r>
        <w:rPr>
          <w:rFonts w:ascii="Times New Roman" w:hAnsi="Times New Roman"/>
        </w:rPr>
        <w:t>,</w:t>
      </w:r>
      <w:r w:rsidRPr="00E00F53">
        <w:rPr>
          <w:rFonts w:ascii="Times New Roman" w:hAnsi="Times New Roman"/>
        </w:rPr>
        <w:t xml:space="preserve"> are at odds with the few previous </w:t>
      </w:r>
      <w:r w:rsidR="00CF609A">
        <w:rPr>
          <w:rFonts w:ascii="Times New Roman" w:hAnsi="Times New Roman"/>
        </w:rPr>
        <w:t>Wister area</w:t>
      </w:r>
      <w:r>
        <w:rPr>
          <w:rFonts w:ascii="Times New Roman" w:hAnsi="Times New Roman"/>
        </w:rPr>
        <w:t xml:space="preserve"> Fourche Maline bioarchaeological studies</w:t>
      </w:r>
      <w:r w:rsidR="001B3FB9">
        <w:rPr>
          <w:rFonts w:ascii="Times New Roman" w:hAnsi="Times New Roman"/>
        </w:rPr>
        <w:t>, which characterize the populations as healthy (e.g. McWilliams 1970, Powell and Rogers 1980)</w:t>
      </w:r>
      <w:r w:rsidRPr="00E00F53">
        <w:rPr>
          <w:rFonts w:ascii="Times New Roman" w:hAnsi="Times New Roman"/>
        </w:rPr>
        <w:t xml:space="preserve">.  </w:t>
      </w:r>
      <w:r>
        <w:rPr>
          <w:rFonts w:ascii="Times New Roman" w:hAnsi="Times New Roman"/>
        </w:rPr>
        <w:t xml:space="preserve">However these previous studies utilized much smaller sample sizes than the current study.  </w:t>
      </w:r>
      <w:r w:rsidR="001B3FB9">
        <w:rPr>
          <w:rFonts w:ascii="Times New Roman" w:hAnsi="Times New Roman"/>
        </w:rPr>
        <w:t>For this</w:t>
      </w:r>
      <w:r>
        <w:rPr>
          <w:rFonts w:ascii="Times New Roman" w:hAnsi="Times New Roman"/>
        </w:rPr>
        <w:t xml:space="preserve"> work </w:t>
      </w:r>
      <w:r w:rsidR="001B3FB9">
        <w:rPr>
          <w:rFonts w:ascii="Times New Roman" w:hAnsi="Times New Roman"/>
        </w:rPr>
        <w:t xml:space="preserve">I </w:t>
      </w:r>
      <w:r>
        <w:rPr>
          <w:rFonts w:ascii="Times New Roman" w:hAnsi="Times New Roman"/>
        </w:rPr>
        <w:t>examined 118 individuals from th</w:t>
      </w:r>
      <w:r w:rsidR="00401236">
        <w:rPr>
          <w:rFonts w:ascii="Times New Roman" w:hAnsi="Times New Roman"/>
        </w:rPr>
        <w:t>e Akers site for paleopathology</w:t>
      </w:r>
      <w:r>
        <w:rPr>
          <w:rFonts w:ascii="Times New Roman" w:hAnsi="Times New Roman"/>
        </w:rPr>
        <w:t xml:space="preserve"> and reviewed documentation for 1220 burials in the </w:t>
      </w:r>
      <w:r w:rsidR="00CF609A">
        <w:rPr>
          <w:rFonts w:ascii="Times New Roman" w:hAnsi="Times New Roman"/>
        </w:rPr>
        <w:t>Wister area</w:t>
      </w:r>
      <w:r>
        <w:rPr>
          <w:rFonts w:ascii="Times New Roman" w:hAnsi="Times New Roman"/>
        </w:rPr>
        <w:t xml:space="preserve">.  I conclude that the </w:t>
      </w:r>
      <w:r w:rsidR="00CF609A">
        <w:rPr>
          <w:rFonts w:ascii="Times New Roman" w:hAnsi="Times New Roman"/>
        </w:rPr>
        <w:t>Wister area</w:t>
      </w:r>
      <w:r>
        <w:rPr>
          <w:rFonts w:ascii="Times New Roman" w:hAnsi="Times New Roman"/>
        </w:rPr>
        <w:t xml:space="preserve"> was </w:t>
      </w:r>
      <w:r w:rsidR="001B3FB9">
        <w:rPr>
          <w:rFonts w:ascii="Times New Roman" w:hAnsi="Times New Roman"/>
        </w:rPr>
        <w:t xml:space="preserve">indeed </w:t>
      </w:r>
      <w:r>
        <w:rPr>
          <w:rFonts w:ascii="Times New Roman" w:hAnsi="Times New Roman"/>
        </w:rPr>
        <w:t>a contested lands</w:t>
      </w:r>
      <w:r w:rsidR="00D02A1B">
        <w:rPr>
          <w:rFonts w:ascii="Times New Roman" w:hAnsi="Times New Roman"/>
        </w:rPr>
        <w:t>cape during Fourche Maline times</w:t>
      </w:r>
    </w:p>
    <w:p w14:paraId="64E94A98" w14:textId="77777777" w:rsidR="00CB6A56" w:rsidRPr="00E00F53" w:rsidRDefault="00CB6A56" w:rsidP="00CB6A56">
      <w:pPr>
        <w:spacing w:line="240" w:lineRule="auto"/>
        <w:rPr>
          <w:rFonts w:ascii="Times New Roman" w:hAnsi="Times New Roman"/>
        </w:rPr>
      </w:pPr>
    </w:p>
    <w:p w14:paraId="4FA1927D" w14:textId="77777777" w:rsidR="00BF0494" w:rsidRDefault="00BF0494" w:rsidP="00CB4ED0">
      <w:pPr>
        <w:pStyle w:val="Heading2"/>
      </w:pPr>
      <w:bookmarkStart w:id="9" w:name="_Toc261025832"/>
      <w:r>
        <w:t>Oklahoma Archaeology</w:t>
      </w:r>
      <w:bookmarkEnd w:id="9"/>
    </w:p>
    <w:p w14:paraId="047DB25C" w14:textId="6458288E" w:rsidR="00BF0494" w:rsidRPr="00E00F53" w:rsidRDefault="00BF0494" w:rsidP="008E2757">
      <w:pPr>
        <w:ind w:firstLine="720"/>
        <w:rPr>
          <w:rFonts w:ascii="Times New Roman" w:hAnsi="Times New Roman"/>
        </w:rPr>
      </w:pPr>
      <w:r w:rsidRPr="00E00F53">
        <w:rPr>
          <w:rFonts w:ascii="Times New Roman" w:hAnsi="Times New Roman"/>
        </w:rPr>
        <w:t>Archaeology is concerned with the histories of earlier peoples and, as such, is never practiced in</w:t>
      </w:r>
      <w:r w:rsidR="003A08AA">
        <w:rPr>
          <w:rFonts w:ascii="Times New Roman" w:hAnsi="Times New Roman"/>
        </w:rPr>
        <w:t xml:space="preserve"> a void.  Oklahoma is home to 39</w:t>
      </w:r>
      <w:r w:rsidRPr="00E00F53">
        <w:rPr>
          <w:rFonts w:ascii="Times New Roman" w:hAnsi="Times New Roman"/>
        </w:rPr>
        <w:t xml:space="preserve"> </w:t>
      </w:r>
      <w:r w:rsidR="00835408">
        <w:rPr>
          <w:rFonts w:ascii="Times New Roman" w:hAnsi="Times New Roman"/>
        </w:rPr>
        <w:t>federally recognized Indian</w:t>
      </w:r>
      <w:r w:rsidRPr="00E00F53">
        <w:rPr>
          <w:rFonts w:ascii="Times New Roman" w:hAnsi="Times New Roman"/>
        </w:rPr>
        <w:t xml:space="preserve"> or Native American tribes or nations.  Most of these tribes were f</w:t>
      </w:r>
      <w:r w:rsidR="00401236">
        <w:rPr>
          <w:rFonts w:ascii="Times New Roman" w:hAnsi="Times New Roman"/>
        </w:rPr>
        <w:t>orcefully relocated to Oklahoma,</w:t>
      </w:r>
      <w:r w:rsidRPr="00E00F53">
        <w:rPr>
          <w:rFonts w:ascii="Times New Roman" w:hAnsi="Times New Roman"/>
        </w:rPr>
        <w:t xml:space="preserve"> and their histories in Oklahoma begin in the nineteenth or twentieth centuries.  However modern day speakers of Caddoan languages are a significant exception.  Oklahoma Caddoan language speakers consist of the Caddo Nation of Oklahoma, the Wichita and Affiliated Tribes (Wichita, Keechi, Waco and Tawakonie), and the Pawnee Nat</w:t>
      </w:r>
      <w:r w:rsidR="00763A10">
        <w:rPr>
          <w:rFonts w:ascii="Times New Roman" w:hAnsi="Times New Roman"/>
        </w:rPr>
        <w:t>ion of Oklahoma.  A fourth</w:t>
      </w:r>
      <w:r>
        <w:rPr>
          <w:rFonts w:ascii="Times New Roman" w:hAnsi="Times New Roman"/>
        </w:rPr>
        <w:t xml:space="preserve"> Caddoan language speaking group</w:t>
      </w:r>
      <w:r w:rsidRPr="00E00F53">
        <w:rPr>
          <w:rFonts w:ascii="Times New Roman" w:hAnsi="Times New Roman"/>
        </w:rPr>
        <w:t>, the Arikara of the Mandan Hidatsa Arikara Nation</w:t>
      </w:r>
      <w:r w:rsidR="00763A10">
        <w:rPr>
          <w:rFonts w:ascii="Times New Roman" w:hAnsi="Times New Roman"/>
        </w:rPr>
        <w:t>,</w:t>
      </w:r>
      <w:r w:rsidRPr="00E00F53">
        <w:rPr>
          <w:rFonts w:ascii="Times New Roman" w:hAnsi="Times New Roman"/>
        </w:rPr>
        <w:t xml:space="preserve"> make their home in North Dakota.</w:t>
      </w:r>
    </w:p>
    <w:p w14:paraId="65302AF1" w14:textId="07A4F378" w:rsidR="00BF0494" w:rsidRPr="00E00F53" w:rsidRDefault="00401236" w:rsidP="008E2757">
      <w:pPr>
        <w:ind w:firstLine="720"/>
        <w:rPr>
          <w:rFonts w:ascii="Times New Roman" w:hAnsi="Times New Roman"/>
        </w:rPr>
      </w:pPr>
      <w:r>
        <w:rPr>
          <w:rFonts w:ascii="Times New Roman" w:hAnsi="Times New Roman"/>
        </w:rPr>
        <w:t>These four groups</w:t>
      </w:r>
      <w:r w:rsidR="00BF0494" w:rsidRPr="00E00F53">
        <w:rPr>
          <w:rFonts w:ascii="Times New Roman" w:hAnsi="Times New Roman"/>
        </w:rPr>
        <w:t xml:space="preserve"> or tribes (Caddo, Wichita, Pawnee, and Arikara) </w:t>
      </w:r>
      <w:r w:rsidR="00BF0494">
        <w:rPr>
          <w:rFonts w:ascii="Times New Roman" w:hAnsi="Times New Roman"/>
        </w:rPr>
        <w:t>speak a related language and have been</w:t>
      </w:r>
      <w:r w:rsidR="00BF0494" w:rsidRPr="00E00F53">
        <w:rPr>
          <w:rFonts w:ascii="Times New Roman" w:hAnsi="Times New Roman"/>
        </w:rPr>
        <w:t xml:space="preserve"> grouped together by linguists</w:t>
      </w:r>
      <w:r w:rsidR="00BF0494">
        <w:rPr>
          <w:rFonts w:ascii="Times New Roman" w:hAnsi="Times New Roman"/>
        </w:rPr>
        <w:t xml:space="preserve"> since at least 1932 (Lesser and Weltfish 1932)</w:t>
      </w:r>
      <w:r w:rsidR="00BF0494" w:rsidRPr="00E00F53">
        <w:rPr>
          <w:rFonts w:ascii="Times New Roman" w:hAnsi="Times New Roman"/>
        </w:rPr>
        <w:t>.  In this sense,  “Caddoa</w:t>
      </w:r>
      <w:r>
        <w:rPr>
          <w:rFonts w:ascii="Times New Roman" w:hAnsi="Times New Roman"/>
        </w:rPr>
        <w:t>n” is</w:t>
      </w:r>
      <w:r w:rsidR="00BF0494" w:rsidRPr="00E00F53">
        <w:rPr>
          <w:rFonts w:ascii="Times New Roman" w:hAnsi="Times New Roman"/>
        </w:rPr>
        <w:t xml:space="preserve"> a </w:t>
      </w:r>
      <w:r w:rsidR="00BF0494" w:rsidRPr="00B159DA">
        <w:rPr>
          <w:rFonts w:ascii="Times New Roman" w:hAnsi="Times New Roman"/>
        </w:rPr>
        <w:t xml:space="preserve">linguistic </w:t>
      </w:r>
      <w:r w:rsidR="00BF0494" w:rsidRPr="00E00F53">
        <w:rPr>
          <w:rFonts w:ascii="Times New Roman" w:hAnsi="Times New Roman"/>
        </w:rPr>
        <w:t xml:space="preserve">construct derived from similarities in the four historic languages.  </w:t>
      </w:r>
      <w:r w:rsidR="005B3620">
        <w:rPr>
          <w:rFonts w:ascii="Times New Roman" w:hAnsi="Times New Roman"/>
        </w:rPr>
        <w:t xml:space="preserve">The </w:t>
      </w:r>
      <w:r w:rsidR="00BF0494" w:rsidRPr="00E00F53">
        <w:rPr>
          <w:rFonts w:ascii="Times New Roman" w:hAnsi="Times New Roman"/>
        </w:rPr>
        <w:t xml:space="preserve">term is in regular use in linguistic and anthropologic scholarly writings, and is used here to denote the modern day descendants of a </w:t>
      </w:r>
      <w:r w:rsidR="00BF0494">
        <w:rPr>
          <w:rFonts w:ascii="Times New Roman" w:hAnsi="Times New Roman"/>
        </w:rPr>
        <w:t xml:space="preserve">formerly </w:t>
      </w:r>
      <w:r w:rsidR="00BF0494" w:rsidRPr="00E00F53">
        <w:rPr>
          <w:rFonts w:ascii="Times New Roman" w:hAnsi="Times New Roman"/>
        </w:rPr>
        <w:t>very large group of lan</w:t>
      </w:r>
      <w:r w:rsidR="00BF0494">
        <w:rPr>
          <w:rFonts w:ascii="Times New Roman" w:hAnsi="Times New Roman"/>
        </w:rPr>
        <w:t>guage speakers.</w:t>
      </w:r>
    </w:p>
    <w:p w14:paraId="03EC503F" w14:textId="6B548BB4" w:rsidR="00BF0494" w:rsidRDefault="00BF0494" w:rsidP="008E2757">
      <w:pPr>
        <w:ind w:firstLine="720"/>
        <w:rPr>
          <w:rFonts w:ascii="Times New Roman" w:hAnsi="Times New Roman"/>
        </w:rPr>
      </w:pPr>
      <w:r w:rsidRPr="00E00F53">
        <w:rPr>
          <w:rFonts w:ascii="Times New Roman" w:hAnsi="Times New Roman"/>
        </w:rPr>
        <w:t>The Caddoan homeland, consisting of parts of southeast Oklahoma, southwest Arkansas, northeast Texas, and northwest Louisiana</w:t>
      </w:r>
      <w:r w:rsidR="00CB6A56">
        <w:rPr>
          <w:rFonts w:ascii="Times New Roman" w:hAnsi="Times New Roman"/>
        </w:rPr>
        <w:t xml:space="preserve"> (pictured in Figure 1),</w:t>
      </w:r>
      <w:r w:rsidRPr="00E00F53">
        <w:rPr>
          <w:rFonts w:ascii="Times New Roman" w:hAnsi="Times New Roman"/>
        </w:rPr>
        <w:t xml:space="preserve"> is a </w:t>
      </w:r>
      <w:r w:rsidRPr="00B159DA">
        <w:rPr>
          <w:rFonts w:ascii="Times New Roman" w:hAnsi="Times New Roman"/>
        </w:rPr>
        <w:t>geographical</w:t>
      </w:r>
      <w:r w:rsidR="00B159DA">
        <w:rPr>
          <w:rFonts w:ascii="Times New Roman" w:hAnsi="Times New Roman"/>
        </w:rPr>
        <w:t xml:space="preserve"> or archaeological</w:t>
      </w:r>
      <w:r w:rsidRPr="00E00F53">
        <w:rPr>
          <w:rFonts w:ascii="Times New Roman" w:hAnsi="Times New Roman"/>
          <w:i/>
        </w:rPr>
        <w:t xml:space="preserve"> </w:t>
      </w:r>
      <w:r w:rsidRPr="00E00F53">
        <w:rPr>
          <w:rFonts w:ascii="Times New Roman" w:hAnsi="Times New Roman"/>
        </w:rPr>
        <w:t>construct, derived from a series of archaeological sites with similar material culture.  When used in this sense, most scholars agree that they are referring to these archaeological sites with material culture (i.e. artifacts) that are most likely ancestral to the modern day Caddo Nation</w:t>
      </w:r>
      <w:r>
        <w:rPr>
          <w:rFonts w:ascii="Times New Roman" w:hAnsi="Times New Roman"/>
        </w:rPr>
        <w:t xml:space="preserve"> </w:t>
      </w:r>
      <w:r w:rsidRPr="00E00F53">
        <w:rPr>
          <w:rFonts w:ascii="Times New Roman" w:hAnsi="Times New Roman"/>
        </w:rPr>
        <w:t>(</w:t>
      </w:r>
      <w:r>
        <w:rPr>
          <w:rFonts w:ascii="Times New Roman" w:hAnsi="Times New Roman"/>
        </w:rPr>
        <w:t>Bell 1980, 1984; Brown 1984; Bruseth 1998; Perttula 2012</w:t>
      </w:r>
      <w:r w:rsidR="005B3620">
        <w:rPr>
          <w:rFonts w:ascii="Times New Roman" w:hAnsi="Times New Roman"/>
        </w:rPr>
        <w:t xml:space="preserve">).  </w:t>
      </w:r>
      <w:r w:rsidRPr="00E00F53">
        <w:rPr>
          <w:rFonts w:ascii="Times New Roman" w:hAnsi="Times New Roman"/>
        </w:rPr>
        <w:t>However some researchers would include the mod</w:t>
      </w:r>
      <w:r>
        <w:rPr>
          <w:rFonts w:ascii="Times New Roman" w:hAnsi="Times New Roman"/>
        </w:rPr>
        <w:t>ern day Wichita and Affiliated T</w:t>
      </w:r>
      <w:r w:rsidRPr="00E00F53">
        <w:rPr>
          <w:rFonts w:ascii="Times New Roman" w:hAnsi="Times New Roman"/>
        </w:rPr>
        <w:t>ribes in this definition</w:t>
      </w:r>
      <w:r>
        <w:rPr>
          <w:rFonts w:ascii="Times New Roman" w:hAnsi="Times New Roman"/>
        </w:rPr>
        <w:t xml:space="preserve"> (</w:t>
      </w:r>
      <w:r w:rsidR="005B3620" w:rsidRPr="005B3620">
        <w:rPr>
          <w:rFonts w:ascii="Times New Roman" w:hAnsi="Times New Roman"/>
        </w:rPr>
        <w:t>e.g. Wyckoff 1980</w:t>
      </w:r>
      <w:r>
        <w:rPr>
          <w:rFonts w:ascii="Times New Roman" w:hAnsi="Times New Roman"/>
        </w:rPr>
        <w:t>)</w:t>
      </w:r>
      <w:r w:rsidRPr="00E00F53">
        <w:rPr>
          <w:rFonts w:ascii="Times New Roman" w:hAnsi="Times New Roman"/>
        </w:rPr>
        <w:t>.  Neither</w:t>
      </w:r>
      <w:r>
        <w:rPr>
          <w:rFonts w:ascii="Times New Roman" w:hAnsi="Times New Roman"/>
        </w:rPr>
        <w:t xml:space="preserve"> the Pawnee Nation nor the Arik</w:t>
      </w:r>
      <w:r w:rsidRPr="00E00F53">
        <w:rPr>
          <w:rFonts w:ascii="Times New Roman" w:hAnsi="Times New Roman"/>
        </w:rPr>
        <w:t>ara are usually included in this context.</w:t>
      </w:r>
    </w:p>
    <w:p w14:paraId="7B6130BD" w14:textId="5B6EA36B" w:rsidR="00095AF2" w:rsidRPr="00095AF2" w:rsidRDefault="00095AF2" w:rsidP="00095AF2">
      <w:pPr>
        <w:ind w:firstLine="720"/>
        <w:rPr>
          <w:rFonts w:ascii="Times New Roman" w:hAnsi="Times New Roman"/>
        </w:rPr>
      </w:pPr>
      <w:r w:rsidRPr="00095AF2">
        <w:rPr>
          <w:rFonts w:ascii="Times New Roman" w:hAnsi="Times New Roman"/>
        </w:rPr>
        <w:t xml:space="preserve">Due to differences in settlement patterns, house styles, and pottery, </w:t>
      </w:r>
      <w:r>
        <w:rPr>
          <w:rFonts w:ascii="Times New Roman" w:hAnsi="Times New Roman"/>
        </w:rPr>
        <w:t xml:space="preserve">Frank </w:t>
      </w:r>
      <w:r w:rsidRPr="00095AF2">
        <w:rPr>
          <w:rFonts w:ascii="Times New Roman" w:hAnsi="Times New Roman"/>
        </w:rPr>
        <w:t>Schambach (1990) has argued that the</w:t>
      </w:r>
      <w:r w:rsidR="00D02A1B">
        <w:rPr>
          <w:rFonts w:ascii="Times New Roman" w:hAnsi="Times New Roman"/>
        </w:rPr>
        <w:t xml:space="preserve"> northern Caddoan area, encompassing the</w:t>
      </w:r>
      <w:r w:rsidRPr="00095AF2">
        <w:rPr>
          <w:rFonts w:ascii="Times New Roman" w:hAnsi="Times New Roman"/>
        </w:rPr>
        <w:t xml:space="preserve"> Arkansas Valley (including Spiro Mounds) and </w:t>
      </w:r>
      <w:r w:rsidR="00D02A1B">
        <w:rPr>
          <w:rFonts w:ascii="Times New Roman" w:hAnsi="Times New Roman"/>
        </w:rPr>
        <w:t xml:space="preserve">the </w:t>
      </w:r>
      <w:r w:rsidRPr="00095AF2">
        <w:rPr>
          <w:rFonts w:ascii="Times New Roman" w:hAnsi="Times New Roman"/>
        </w:rPr>
        <w:t xml:space="preserve">Ozarks were not Caddoan at all, but possibly Muskogeean. </w:t>
      </w:r>
      <w:r w:rsidR="00D02A1B">
        <w:rPr>
          <w:rFonts w:ascii="Times New Roman" w:hAnsi="Times New Roman"/>
        </w:rPr>
        <w:t xml:space="preserve"> He further considered that Spiro Mounds</w:t>
      </w:r>
      <w:r w:rsidRPr="00095AF2">
        <w:rPr>
          <w:rFonts w:ascii="Times New Roman" w:hAnsi="Times New Roman"/>
        </w:rPr>
        <w:t xml:space="preserve">, considered the heart and soul of Caddoan prehistory, was not Caddoan at all, but was built by a Mississippian group, possibly Tunica speakers.  </w:t>
      </w:r>
      <w:r>
        <w:rPr>
          <w:rFonts w:ascii="Times New Roman" w:hAnsi="Times New Roman"/>
        </w:rPr>
        <w:t>This view was forcefully countered by Dan Rogers, a long time scholar of Spiro Mounds (e.g. Rogers 1982, 1991</w:t>
      </w:r>
      <w:r w:rsidR="0085750D">
        <w:rPr>
          <w:rFonts w:ascii="Times New Roman" w:hAnsi="Times New Roman"/>
        </w:rPr>
        <w:t>a</w:t>
      </w:r>
      <w:r>
        <w:rPr>
          <w:rFonts w:ascii="Times New Roman" w:hAnsi="Times New Roman"/>
        </w:rPr>
        <w:t xml:space="preserve">).  Rogers responded that </w:t>
      </w:r>
      <w:r w:rsidRPr="00095AF2">
        <w:rPr>
          <w:rFonts w:ascii="Times New Roman" w:hAnsi="Times New Roman"/>
        </w:rPr>
        <w:t>while there were some regional differences</w:t>
      </w:r>
      <w:r>
        <w:rPr>
          <w:rFonts w:ascii="Times New Roman" w:hAnsi="Times New Roman"/>
        </w:rPr>
        <w:t xml:space="preserve"> between the northern and southern Caddoan area, </w:t>
      </w:r>
      <w:r w:rsidRPr="00095AF2">
        <w:rPr>
          <w:rFonts w:ascii="Times New Roman" w:hAnsi="Times New Roman"/>
        </w:rPr>
        <w:t xml:space="preserve">overall the northern and southern Caddoan areas were indeed one united cultural area, and furthermore, most decidedly demonstrating the evolution of Caddoan culture </w:t>
      </w:r>
      <w:r w:rsidRPr="00095AF2">
        <w:rPr>
          <w:rFonts w:ascii="Times New Roman" w:hAnsi="Times New Roman"/>
          <w:i/>
        </w:rPr>
        <w:t>in situ</w:t>
      </w:r>
      <w:r w:rsidRPr="00095AF2">
        <w:rPr>
          <w:rFonts w:ascii="Times New Roman" w:hAnsi="Times New Roman"/>
        </w:rPr>
        <w:t xml:space="preserve">.  </w:t>
      </w:r>
      <w:r>
        <w:rPr>
          <w:rFonts w:ascii="Times New Roman" w:hAnsi="Times New Roman"/>
        </w:rPr>
        <w:t xml:space="preserve">He further noted that </w:t>
      </w:r>
      <w:r w:rsidRPr="00095AF2">
        <w:rPr>
          <w:rFonts w:ascii="Times New Roman" w:hAnsi="Times New Roman"/>
        </w:rPr>
        <w:t>the current paradigm of a united Caddoan area was far more parsimonious than Schambach’s proposal that incorporated three unexplained major migrations (Rogers 1990</w:t>
      </w:r>
      <w:r w:rsidR="0085750D">
        <w:rPr>
          <w:rFonts w:ascii="Times New Roman" w:hAnsi="Times New Roman"/>
        </w:rPr>
        <w:t>b</w:t>
      </w:r>
      <w:r w:rsidRPr="00095AF2">
        <w:rPr>
          <w:rFonts w:ascii="Times New Roman" w:hAnsi="Times New Roman"/>
        </w:rPr>
        <w:t>).</w:t>
      </w:r>
      <w:r w:rsidR="0085750D">
        <w:rPr>
          <w:rFonts w:ascii="Times New Roman" w:hAnsi="Times New Roman"/>
        </w:rPr>
        <w:t xml:space="preserve">  </w:t>
      </w:r>
    </w:p>
    <w:p w14:paraId="7017963D" w14:textId="4CFF5B5F" w:rsidR="00CB6A56" w:rsidRDefault="00CB6A56" w:rsidP="0085750D">
      <w:pPr>
        <w:spacing w:line="240" w:lineRule="auto"/>
        <w:ind w:firstLine="720"/>
        <w:rPr>
          <w:rFonts w:ascii="Times New Roman" w:hAnsi="Times New Roman"/>
        </w:rPr>
      </w:pPr>
    </w:p>
    <w:p w14:paraId="5A73DF06" w14:textId="159DCE12" w:rsidR="00CB6A56" w:rsidRDefault="00B00378" w:rsidP="00B00378">
      <w:pPr>
        <w:jc w:val="center"/>
        <w:rPr>
          <w:rFonts w:ascii="Times New Roman" w:hAnsi="Times New Roman"/>
        </w:rPr>
      </w:pPr>
      <w:r>
        <w:rPr>
          <w:rFonts w:ascii="Times New Roman" w:hAnsi="Times New Roman"/>
          <w:noProof/>
          <w:lang w:bidi="ar-SA"/>
        </w:rPr>
        <w:drawing>
          <wp:inline distT="0" distB="0" distL="0" distR="0" wp14:anchorId="61F7368B" wp14:editId="1D6DA8E1">
            <wp:extent cx="5166360" cy="418465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gest_picture-lg.jpg"/>
                    <pic:cNvPicPr/>
                  </pic:nvPicPr>
                  <pic:blipFill>
                    <a:blip r:embed="rId11">
                      <a:extLst>
                        <a:ext uri="{28A0092B-C50C-407E-A947-70E740481C1C}">
                          <a14:useLocalDpi xmlns:a14="http://schemas.microsoft.com/office/drawing/2010/main" val="0"/>
                        </a:ext>
                      </a:extLst>
                    </a:blip>
                    <a:stretch>
                      <a:fillRect/>
                    </a:stretch>
                  </pic:blipFill>
                  <pic:spPr>
                    <a:xfrm>
                      <a:off x="0" y="0"/>
                      <a:ext cx="5166360" cy="4184650"/>
                    </a:xfrm>
                    <a:prstGeom prst="rect">
                      <a:avLst/>
                    </a:prstGeom>
                  </pic:spPr>
                </pic:pic>
              </a:graphicData>
            </a:graphic>
          </wp:inline>
        </w:drawing>
      </w:r>
    </w:p>
    <w:p w14:paraId="36E8AAB0" w14:textId="1B447D21" w:rsidR="00835408" w:rsidRDefault="00347EA2" w:rsidP="00133F61">
      <w:pPr>
        <w:pStyle w:val="Caption"/>
      </w:pPr>
      <w:bookmarkStart w:id="10" w:name="_Toc261025203"/>
      <w:r>
        <w:t xml:space="preserve">Figure </w:t>
      </w:r>
      <w:fldSimple w:instr=" SEQ Figure \* ARABIC ">
        <w:r w:rsidR="00396EB3">
          <w:rPr>
            <w:noProof/>
          </w:rPr>
          <w:t>1</w:t>
        </w:r>
      </w:fldSimple>
      <w:r>
        <w:t xml:space="preserve"> Caddoan Homeland, adapted from texasbeyondhistory.net</w:t>
      </w:r>
      <w:bookmarkEnd w:id="10"/>
    </w:p>
    <w:p w14:paraId="2136579F" w14:textId="77777777" w:rsidR="0085750D" w:rsidRDefault="0085750D" w:rsidP="00095AF2">
      <w:pPr>
        <w:ind w:firstLine="720"/>
        <w:rPr>
          <w:rFonts w:ascii="Times New Roman" w:hAnsi="Times New Roman"/>
        </w:rPr>
      </w:pPr>
    </w:p>
    <w:p w14:paraId="52AC2AAF" w14:textId="5B07F3C8" w:rsidR="00835408" w:rsidRPr="00095AF2" w:rsidRDefault="0085750D" w:rsidP="0085750D">
      <w:pPr>
        <w:ind w:firstLine="720"/>
        <w:rPr>
          <w:rFonts w:ascii="Times New Roman" w:hAnsi="Times New Roman"/>
        </w:rPr>
      </w:pPr>
      <w:r>
        <w:rPr>
          <w:rFonts w:ascii="Times New Roman" w:hAnsi="Times New Roman"/>
        </w:rPr>
        <w:t xml:space="preserve">This work follows the view that Spiro Mounds represent Caddoan culture and that the </w:t>
      </w:r>
      <w:r w:rsidR="00CF609A">
        <w:rPr>
          <w:rFonts w:ascii="Times New Roman" w:hAnsi="Times New Roman"/>
        </w:rPr>
        <w:t>Wister area</w:t>
      </w:r>
      <w:r>
        <w:rPr>
          <w:rFonts w:ascii="Times New Roman" w:hAnsi="Times New Roman"/>
        </w:rPr>
        <w:t xml:space="preserve"> Fourche Maline was an antecedent, ancestral manifestation of Caddoan culture</w:t>
      </w:r>
      <w:r w:rsidR="00095AF2" w:rsidRPr="00E00F53">
        <w:rPr>
          <w:rFonts w:ascii="Times New Roman" w:hAnsi="Times New Roman"/>
        </w:rPr>
        <w:t xml:space="preserve"> (</w:t>
      </w:r>
      <w:r>
        <w:rPr>
          <w:rFonts w:ascii="Times New Roman" w:hAnsi="Times New Roman"/>
        </w:rPr>
        <w:t xml:space="preserve">e.g. </w:t>
      </w:r>
      <w:r w:rsidR="00095AF2">
        <w:rPr>
          <w:rFonts w:ascii="Times New Roman" w:hAnsi="Times New Roman"/>
        </w:rPr>
        <w:t>Bell 1980, 1984; Brown 1984; Bruseth 1998;</w:t>
      </w:r>
      <w:r>
        <w:rPr>
          <w:rFonts w:ascii="Times New Roman" w:hAnsi="Times New Roman"/>
        </w:rPr>
        <w:t xml:space="preserve"> Galm 1978, 1984;</w:t>
      </w:r>
      <w:r w:rsidR="00095AF2">
        <w:rPr>
          <w:rFonts w:ascii="Times New Roman" w:hAnsi="Times New Roman"/>
        </w:rPr>
        <w:t xml:space="preserve"> Pertt</w:t>
      </w:r>
      <w:r w:rsidR="00D5057D">
        <w:rPr>
          <w:rFonts w:ascii="Times New Roman" w:hAnsi="Times New Roman"/>
        </w:rPr>
        <w:t>ula 2012; R</w:t>
      </w:r>
      <w:r>
        <w:rPr>
          <w:rFonts w:ascii="Times New Roman" w:hAnsi="Times New Roman"/>
        </w:rPr>
        <w:t>ogers 1991a, 1991b; Wyckoff 1980</w:t>
      </w:r>
      <w:r w:rsidR="003A08AA">
        <w:rPr>
          <w:rFonts w:ascii="Times New Roman" w:hAnsi="Times New Roman"/>
        </w:rPr>
        <w:t>)</w:t>
      </w:r>
      <w:r w:rsidR="00095AF2" w:rsidRPr="00E00F53">
        <w:rPr>
          <w:rFonts w:ascii="Times New Roman" w:hAnsi="Times New Roman"/>
        </w:rPr>
        <w:t>.</w:t>
      </w:r>
      <w:r w:rsidR="00095AF2">
        <w:rPr>
          <w:rFonts w:ascii="Times New Roman" w:hAnsi="Times New Roman"/>
        </w:rPr>
        <w:t xml:space="preserve">  Table 1 situates the </w:t>
      </w:r>
      <w:r w:rsidR="00CF609A">
        <w:rPr>
          <w:rFonts w:ascii="Times New Roman" w:hAnsi="Times New Roman"/>
        </w:rPr>
        <w:t>Wister area</w:t>
      </w:r>
      <w:r w:rsidR="00095AF2">
        <w:rPr>
          <w:rFonts w:ascii="Times New Roman" w:hAnsi="Times New Roman"/>
        </w:rPr>
        <w:t xml:space="preserve"> Fourche Mal</w:t>
      </w:r>
      <w:r w:rsidR="003A08AA">
        <w:rPr>
          <w:rFonts w:ascii="Times New Roman" w:hAnsi="Times New Roman"/>
        </w:rPr>
        <w:t>ine in a larger North American c</w:t>
      </w:r>
      <w:r w:rsidR="00095AF2">
        <w:rPr>
          <w:rFonts w:ascii="Times New Roman" w:hAnsi="Times New Roman"/>
        </w:rPr>
        <w:t xml:space="preserve">ontext.  </w:t>
      </w:r>
    </w:p>
    <w:p w14:paraId="6D207730" w14:textId="77777777" w:rsidR="00F60505" w:rsidRDefault="00F60505" w:rsidP="00133F61">
      <w:pPr>
        <w:pStyle w:val="Caption"/>
      </w:pPr>
    </w:p>
    <w:p w14:paraId="602DC07E" w14:textId="006D4DAF" w:rsidR="00F60505" w:rsidRDefault="00095AF2" w:rsidP="00133F61">
      <w:pPr>
        <w:pStyle w:val="Caption"/>
      </w:pPr>
      <w:bookmarkStart w:id="11" w:name="_Toc261025229"/>
      <w:r>
        <w:t xml:space="preserve">Table </w:t>
      </w:r>
      <w:fldSimple w:instr=" SEQ Table \* ARABIC ">
        <w:r w:rsidR="00396EB3">
          <w:rPr>
            <w:noProof/>
          </w:rPr>
          <w:t>1</w:t>
        </w:r>
      </w:fldSimple>
      <w:r>
        <w:t xml:space="preserve">  </w:t>
      </w:r>
      <w:r w:rsidR="00CF609A">
        <w:t>Wi</w:t>
      </w:r>
      <w:r w:rsidR="00B00378">
        <w:t>ster A</w:t>
      </w:r>
      <w:r w:rsidR="00CF609A">
        <w:t>rea</w:t>
      </w:r>
      <w:r>
        <w:t xml:space="preserve"> Chronol</w:t>
      </w:r>
      <w:r w:rsidR="0085750D">
        <w:t>ogy, following Galm (1978,</w:t>
      </w:r>
      <w:r>
        <w:t xml:space="preserve"> 1984)</w:t>
      </w:r>
      <w:bookmarkEnd w:id="11"/>
    </w:p>
    <w:p w14:paraId="7C49E85F" w14:textId="77777777" w:rsidR="00CB4ED0" w:rsidRPr="00CB4ED0" w:rsidRDefault="00CB4ED0" w:rsidP="00CB4ED0">
      <w:pPr>
        <w:spacing w:line="240" w:lineRule="auto"/>
      </w:pPr>
    </w:p>
    <w:tbl>
      <w:tblPr>
        <w:tblW w:w="0" w:type="auto"/>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2295"/>
        <w:gridCol w:w="1857"/>
      </w:tblGrid>
      <w:tr w:rsidR="00095AF2" w:rsidRPr="00A55697" w14:paraId="34C1F1CD" w14:textId="77777777" w:rsidTr="00095AF2">
        <w:trPr>
          <w:jc w:val="center"/>
        </w:trPr>
        <w:tc>
          <w:tcPr>
            <w:tcW w:w="1870" w:type="dxa"/>
          </w:tcPr>
          <w:p w14:paraId="2062C6B2" w14:textId="77777777" w:rsidR="00095AF2" w:rsidRPr="00A55697" w:rsidRDefault="00095AF2" w:rsidP="00095AF2">
            <w:pPr>
              <w:spacing w:line="240" w:lineRule="auto"/>
              <w:rPr>
                <w:rFonts w:ascii="Times New Roman" w:hAnsi="Times New Roman"/>
                <w:b/>
                <w:sz w:val="20"/>
                <w:szCs w:val="20"/>
              </w:rPr>
            </w:pPr>
            <w:r w:rsidRPr="00A55697">
              <w:rPr>
                <w:rFonts w:ascii="Times New Roman" w:hAnsi="Times New Roman"/>
                <w:b/>
                <w:sz w:val="20"/>
                <w:szCs w:val="20"/>
              </w:rPr>
              <w:t>Time</w:t>
            </w:r>
          </w:p>
        </w:tc>
        <w:tc>
          <w:tcPr>
            <w:tcW w:w="2295" w:type="dxa"/>
          </w:tcPr>
          <w:p w14:paraId="086D5749" w14:textId="77777777" w:rsidR="00095AF2" w:rsidRPr="00A55697" w:rsidRDefault="00095AF2" w:rsidP="00095AF2">
            <w:pPr>
              <w:spacing w:line="240" w:lineRule="auto"/>
              <w:rPr>
                <w:rFonts w:ascii="Times New Roman" w:hAnsi="Times New Roman"/>
                <w:b/>
                <w:sz w:val="20"/>
                <w:szCs w:val="20"/>
              </w:rPr>
            </w:pPr>
            <w:r w:rsidRPr="00A55697">
              <w:rPr>
                <w:rFonts w:ascii="Times New Roman" w:hAnsi="Times New Roman"/>
                <w:b/>
                <w:sz w:val="20"/>
                <w:szCs w:val="20"/>
              </w:rPr>
              <w:t>North American Cultural Periods</w:t>
            </w:r>
          </w:p>
        </w:tc>
        <w:tc>
          <w:tcPr>
            <w:tcW w:w="1857" w:type="dxa"/>
          </w:tcPr>
          <w:p w14:paraId="65BA3CF8" w14:textId="77777777" w:rsidR="00095AF2" w:rsidRPr="00A55697" w:rsidRDefault="00095AF2" w:rsidP="00095AF2">
            <w:pPr>
              <w:spacing w:line="240" w:lineRule="auto"/>
              <w:rPr>
                <w:rFonts w:ascii="Times New Roman" w:hAnsi="Times New Roman"/>
                <w:b/>
                <w:sz w:val="20"/>
                <w:szCs w:val="20"/>
              </w:rPr>
            </w:pPr>
            <w:r w:rsidRPr="00A55697">
              <w:rPr>
                <w:rFonts w:ascii="Times New Roman" w:hAnsi="Times New Roman"/>
                <w:b/>
                <w:sz w:val="20"/>
                <w:szCs w:val="20"/>
              </w:rPr>
              <w:t xml:space="preserve">Local </w:t>
            </w:r>
            <w:r>
              <w:rPr>
                <w:rFonts w:ascii="Times New Roman" w:hAnsi="Times New Roman"/>
                <w:b/>
                <w:sz w:val="20"/>
                <w:szCs w:val="20"/>
              </w:rPr>
              <w:t>Phases</w:t>
            </w:r>
          </w:p>
        </w:tc>
      </w:tr>
      <w:tr w:rsidR="00095AF2" w:rsidRPr="00A55697" w14:paraId="3E947C9B" w14:textId="77777777" w:rsidTr="00095AF2">
        <w:trPr>
          <w:jc w:val="center"/>
        </w:trPr>
        <w:tc>
          <w:tcPr>
            <w:tcW w:w="1870" w:type="dxa"/>
          </w:tcPr>
          <w:p w14:paraId="0F661B0B"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1500 – Present</w:t>
            </w:r>
          </w:p>
        </w:tc>
        <w:tc>
          <w:tcPr>
            <w:tcW w:w="2295" w:type="dxa"/>
          </w:tcPr>
          <w:p w14:paraId="5B28391B"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Historic</w:t>
            </w:r>
          </w:p>
        </w:tc>
        <w:tc>
          <w:tcPr>
            <w:tcW w:w="1857" w:type="dxa"/>
          </w:tcPr>
          <w:p w14:paraId="31239EEB"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Historic</w:t>
            </w:r>
          </w:p>
        </w:tc>
      </w:tr>
      <w:tr w:rsidR="00095AF2" w:rsidRPr="00A55697" w14:paraId="627CEE5A" w14:textId="77777777" w:rsidTr="00095AF2">
        <w:trPr>
          <w:jc w:val="center"/>
        </w:trPr>
        <w:tc>
          <w:tcPr>
            <w:tcW w:w="1870" w:type="dxa"/>
          </w:tcPr>
          <w:p w14:paraId="617D1AFA"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1400 – 1500 </w:t>
            </w:r>
            <w:r>
              <w:rPr>
                <w:rFonts w:ascii="Times New Roman" w:hAnsi="Times New Roman"/>
                <w:sz w:val="20"/>
                <w:szCs w:val="20"/>
              </w:rPr>
              <w:t>CE</w:t>
            </w:r>
          </w:p>
        </w:tc>
        <w:tc>
          <w:tcPr>
            <w:tcW w:w="2295" w:type="dxa"/>
          </w:tcPr>
          <w:p w14:paraId="1780CC67"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Late Mississippian </w:t>
            </w:r>
          </w:p>
        </w:tc>
        <w:tc>
          <w:tcPr>
            <w:tcW w:w="1857" w:type="dxa"/>
          </w:tcPr>
          <w:p w14:paraId="432E4E41"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Ft. Coffee</w:t>
            </w:r>
          </w:p>
        </w:tc>
      </w:tr>
      <w:tr w:rsidR="00095AF2" w:rsidRPr="00A55697" w14:paraId="63E8CEC6" w14:textId="77777777" w:rsidTr="00095AF2">
        <w:trPr>
          <w:jc w:val="center"/>
        </w:trPr>
        <w:tc>
          <w:tcPr>
            <w:tcW w:w="1870" w:type="dxa"/>
          </w:tcPr>
          <w:p w14:paraId="6DD0CB42"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1200 – 1400 </w:t>
            </w:r>
            <w:r>
              <w:rPr>
                <w:rFonts w:ascii="Times New Roman" w:hAnsi="Times New Roman"/>
                <w:sz w:val="20"/>
                <w:szCs w:val="20"/>
              </w:rPr>
              <w:t>CE</w:t>
            </w:r>
          </w:p>
        </w:tc>
        <w:tc>
          <w:tcPr>
            <w:tcW w:w="2295" w:type="dxa"/>
          </w:tcPr>
          <w:p w14:paraId="7E1297A3"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Middle Mississippian</w:t>
            </w:r>
          </w:p>
        </w:tc>
        <w:tc>
          <w:tcPr>
            <w:tcW w:w="1857" w:type="dxa"/>
          </w:tcPr>
          <w:p w14:paraId="2A504160"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Spiro</w:t>
            </w:r>
          </w:p>
        </w:tc>
      </w:tr>
      <w:tr w:rsidR="00095AF2" w:rsidRPr="00A55697" w14:paraId="53AEBA19" w14:textId="77777777" w:rsidTr="00095AF2">
        <w:trPr>
          <w:jc w:val="center"/>
        </w:trPr>
        <w:tc>
          <w:tcPr>
            <w:tcW w:w="1870" w:type="dxa"/>
          </w:tcPr>
          <w:p w14:paraId="75516608"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1000 – 1200 </w:t>
            </w:r>
            <w:r>
              <w:rPr>
                <w:rFonts w:ascii="Times New Roman" w:hAnsi="Times New Roman"/>
                <w:sz w:val="20"/>
                <w:szCs w:val="20"/>
              </w:rPr>
              <w:t>CE</w:t>
            </w:r>
          </w:p>
        </w:tc>
        <w:tc>
          <w:tcPr>
            <w:tcW w:w="2295" w:type="dxa"/>
          </w:tcPr>
          <w:p w14:paraId="4EC43485"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Early Mississippian</w:t>
            </w:r>
          </w:p>
        </w:tc>
        <w:tc>
          <w:tcPr>
            <w:tcW w:w="1857" w:type="dxa"/>
          </w:tcPr>
          <w:p w14:paraId="581FB6A5"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Harlan</w:t>
            </w:r>
          </w:p>
        </w:tc>
      </w:tr>
      <w:tr w:rsidR="00095AF2" w:rsidRPr="00A55697" w14:paraId="78384CEF" w14:textId="77777777" w:rsidTr="00095AF2">
        <w:trPr>
          <w:jc w:val="center"/>
        </w:trPr>
        <w:tc>
          <w:tcPr>
            <w:tcW w:w="1870" w:type="dxa"/>
          </w:tcPr>
          <w:p w14:paraId="712628F8"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500 - 1000 </w:t>
            </w:r>
            <w:r>
              <w:rPr>
                <w:rFonts w:ascii="Times New Roman" w:hAnsi="Times New Roman"/>
                <w:sz w:val="20"/>
                <w:szCs w:val="20"/>
              </w:rPr>
              <w:t>CE</w:t>
            </w:r>
          </w:p>
        </w:tc>
        <w:tc>
          <w:tcPr>
            <w:tcW w:w="2295" w:type="dxa"/>
          </w:tcPr>
          <w:p w14:paraId="5FFEB4C4"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Late Woodland</w:t>
            </w:r>
          </w:p>
        </w:tc>
        <w:tc>
          <w:tcPr>
            <w:tcW w:w="1857" w:type="dxa"/>
          </w:tcPr>
          <w:p w14:paraId="4969BB03" w14:textId="77777777" w:rsidR="00095AF2" w:rsidRPr="00B00378" w:rsidRDefault="00095AF2" w:rsidP="00095AF2">
            <w:pPr>
              <w:spacing w:line="240" w:lineRule="auto"/>
              <w:rPr>
                <w:rFonts w:ascii="Times New Roman" w:hAnsi="Times New Roman"/>
                <w:b/>
                <w:sz w:val="20"/>
                <w:szCs w:val="20"/>
              </w:rPr>
            </w:pPr>
            <w:r w:rsidRPr="00B00378">
              <w:rPr>
                <w:rFonts w:ascii="Times New Roman" w:hAnsi="Times New Roman"/>
                <w:b/>
                <w:sz w:val="20"/>
                <w:szCs w:val="20"/>
              </w:rPr>
              <w:t>Fourche Maline</w:t>
            </w:r>
          </w:p>
        </w:tc>
      </w:tr>
      <w:tr w:rsidR="00095AF2" w:rsidRPr="00A55697" w14:paraId="79FF60A7" w14:textId="77777777" w:rsidTr="00095AF2">
        <w:trPr>
          <w:jc w:val="center"/>
        </w:trPr>
        <w:tc>
          <w:tcPr>
            <w:tcW w:w="1870" w:type="dxa"/>
          </w:tcPr>
          <w:p w14:paraId="22EC6DC7"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0 – 500 </w:t>
            </w:r>
            <w:r>
              <w:rPr>
                <w:rFonts w:ascii="Times New Roman" w:hAnsi="Times New Roman"/>
                <w:sz w:val="20"/>
                <w:szCs w:val="20"/>
              </w:rPr>
              <w:t>CE</w:t>
            </w:r>
          </w:p>
        </w:tc>
        <w:tc>
          <w:tcPr>
            <w:tcW w:w="2295" w:type="dxa"/>
          </w:tcPr>
          <w:p w14:paraId="633C35FF"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Middle Woodland</w:t>
            </w:r>
          </w:p>
        </w:tc>
        <w:tc>
          <w:tcPr>
            <w:tcW w:w="1857" w:type="dxa"/>
          </w:tcPr>
          <w:p w14:paraId="17F05526"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Wister</w:t>
            </w:r>
          </w:p>
        </w:tc>
      </w:tr>
      <w:tr w:rsidR="00095AF2" w:rsidRPr="00A55697" w14:paraId="15B89D26" w14:textId="77777777" w:rsidTr="00095AF2">
        <w:trPr>
          <w:jc w:val="center"/>
        </w:trPr>
        <w:tc>
          <w:tcPr>
            <w:tcW w:w="1870" w:type="dxa"/>
          </w:tcPr>
          <w:p w14:paraId="552BDC4E"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1000 </w:t>
            </w:r>
            <w:r>
              <w:rPr>
                <w:rFonts w:ascii="Times New Roman" w:hAnsi="Times New Roman"/>
                <w:sz w:val="20"/>
                <w:szCs w:val="20"/>
              </w:rPr>
              <w:t>BCE</w:t>
            </w:r>
            <w:r w:rsidRPr="00A55697">
              <w:rPr>
                <w:rFonts w:ascii="Times New Roman" w:hAnsi="Times New Roman"/>
                <w:sz w:val="20"/>
                <w:szCs w:val="20"/>
              </w:rPr>
              <w:t xml:space="preserve"> – 0</w:t>
            </w:r>
          </w:p>
        </w:tc>
        <w:tc>
          <w:tcPr>
            <w:tcW w:w="2295" w:type="dxa"/>
          </w:tcPr>
          <w:p w14:paraId="0EAF7D12"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Early Woodland</w:t>
            </w:r>
          </w:p>
        </w:tc>
        <w:tc>
          <w:tcPr>
            <w:tcW w:w="1857" w:type="dxa"/>
          </w:tcPr>
          <w:p w14:paraId="7D5DE21E" w14:textId="77777777" w:rsidR="00095AF2" w:rsidRPr="00A55697" w:rsidRDefault="00095AF2" w:rsidP="00095AF2">
            <w:pPr>
              <w:spacing w:line="240" w:lineRule="auto"/>
              <w:rPr>
                <w:rFonts w:ascii="Times New Roman" w:hAnsi="Times New Roman"/>
                <w:sz w:val="20"/>
                <w:szCs w:val="20"/>
              </w:rPr>
            </w:pPr>
            <w:r>
              <w:rPr>
                <w:rFonts w:ascii="Times New Roman" w:hAnsi="Times New Roman"/>
                <w:sz w:val="20"/>
                <w:szCs w:val="20"/>
              </w:rPr>
              <w:t>Wister</w:t>
            </w:r>
          </w:p>
        </w:tc>
      </w:tr>
      <w:tr w:rsidR="00095AF2" w:rsidRPr="00A55697" w14:paraId="2B1C810E" w14:textId="77777777" w:rsidTr="00095AF2">
        <w:trPr>
          <w:jc w:val="center"/>
        </w:trPr>
        <w:tc>
          <w:tcPr>
            <w:tcW w:w="1870" w:type="dxa"/>
          </w:tcPr>
          <w:p w14:paraId="66718535"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6000-4000 </w:t>
            </w:r>
            <w:r>
              <w:rPr>
                <w:rFonts w:ascii="Times New Roman" w:hAnsi="Times New Roman"/>
                <w:sz w:val="20"/>
                <w:szCs w:val="20"/>
              </w:rPr>
              <w:t>BCE</w:t>
            </w:r>
          </w:p>
        </w:tc>
        <w:tc>
          <w:tcPr>
            <w:tcW w:w="2295" w:type="dxa"/>
          </w:tcPr>
          <w:p w14:paraId="2C102A42"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Late Archaic</w:t>
            </w:r>
          </w:p>
        </w:tc>
        <w:tc>
          <w:tcPr>
            <w:tcW w:w="1857" w:type="dxa"/>
          </w:tcPr>
          <w:p w14:paraId="0331DDF4" w14:textId="77777777" w:rsidR="00095AF2" w:rsidRPr="00A55697" w:rsidRDefault="00095AF2" w:rsidP="00095AF2">
            <w:pPr>
              <w:spacing w:line="240" w:lineRule="auto"/>
              <w:rPr>
                <w:rFonts w:ascii="Times New Roman" w:hAnsi="Times New Roman"/>
                <w:sz w:val="20"/>
                <w:szCs w:val="20"/>
              </w:rPr>
            </w:pPr>
            <w:r>
              <w:rPr>
                <w:rFonts w:ascii="Times New Roman" w:hAnsi="Times New Roman"/>
                <w:sz w:val="20"/>
                <w:szCs w:val="20"/>
              </w:rPr>
              <w:t>Late Archaic</w:t>
            </w:r>
          </w:p>
        </w:tc>
      </w:tr>
      <w:tr w:rsidR="00095AF2" w:rsidRPr="00A55697" w14:paraId="65770016" w14:textId="77777777" w:rsidTr="00095AF2">
        <w:trPr>
          <w:jc w:val="center"/>
        </w:trPr>
        <w:tc>
          <w:tcPr>
            <w:tcW w:w="1870" w:type="dxa"/>
          </w:tcPr>
          <w:p w14:paraId="7F8FBE64"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8000-6000 </w:t>
            </w:r>
            <w:r>
              <w:rPr>
                <w:rFonts w:ascii="Times New Roman" w:hAnsi="Times New Roman"/>
                <w:sz w:val="20"/>
                <w:szCs w:val="20"/>
              </w:rPr>
              <w:t>BCE</w:t>
            </w:r>
          </w:p>
        </w:tc>
        <w:tc>
          <w:tcPr>
            <w:tcW w:w="2295" w:type="dxa"/>
          </w:tcPr>
          <w:p w14:paraId="4887FE09"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Early Archaic</w:t>
            </w:r>
          </w:p>
        </w:tc>
        <w:tc>
          <w:tcPr>
            <w:tcW w:w="1857" w:type="dxa"/>
          </w:tcPr>
          <w:p w14:paraId="242974EA"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Early Archaic</w:t>
            </w:r>
          </w:p>
        </w:tc>
      </w:tr>
      <w:tr w:rsidR="00095AF2" w:rsidRPr="00A55697" w14:paraId="635B012A" w14:textId="77777777" w:rsidTr="00095AF2">
        <w:trPr>
          <w:jc w:val="center"/>
        </w:trPr>
        <w:tc>
          <w:tcPr>
            <w:tcW w:w="1870" w:type="dxa"/>
          </w:tcPr>
          <w:p w14:paraId="214B25FC"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 xml:space="preserve">13000 – 8000 </w:t>
            </w:r>
            <w:r>
              <w:rPr>
                <w:rFonts w:ascii="Times New Roman" w:hAnsi="Times New Roman"/>
                <w:sz w:val="20"/>
                <w:szCs w:val="20"/>
              </w:rPr>
              <w:t>BCE</w:t>
            </w:r>
          </w:p>
        </w:tc>
        <w:tc>
          <w:tcPr>
            <w:tcW w:w="2295" w:type="dxa"/>
          </w:tcPr>
          <w:p w14:paraId="5AFCEDCA"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Paleoindian</w:t>
            </w:r>
          </w:p>
        </w:tc>
        <w:tc>
          <w:tcPr>
            <w:tcW w:w="1857" w:type="dxa"/>
          </w:tcPr>
          <w:p w14:paraId="343B55E5" w14:textId="77777777" w:rsidR="00095AF2" w:rsidRPr="00A55697" w:rsidRDefault="00095AF2" w:rsidP="00095AF2">
            <w:pPr>
              <w:spacing w:line="240" w:lineRule="auto"/>
              <w:rPr>
                <w:rFonts w:ascii="Times New Roman" w:hAnsi="Times New Roman"/>
                <w:sz w:val="20"/>
                <w:szCs w:val="20"/>
              </w:rPr>
            </w:pPr>
            <w:r w:rsidRPr="00A55697">
              <w:rPr>
                <w:rFonts w:ascii="Times New Roman" w:hAnsi="Times New Roman"/>
                <w:sz w:val="20"/>
                <w:szCs w:val="20"/>
              </w:rPr>
              <w:t>Paleoindian</w:t>
            </w:r>
          </w:p>
        </w:tc>
      </w:tr>
    </w:tbl>
    <w:p w14:paraId="26625FCC" w14:textId="77777777" w:rsidR="00B159DA" w:rsidRDefault="00B159DA" w:rsidP="00CB4ED0">
      <w:pPr>
        <w:pStyle w:val="Heading2"/>
      </w:pPr>
    </w:p>
    <w:p w14:paraId="258062DE" w14:textId="495D9678" w:rsidR="00B159DA" w:rsidRPr="00B159DA" w:rsidRDefault="00BF0494" w:rsidP="00CB4ED0">
      <w:pPr>
        <w:pStyle w:val="Heading2"/>
      </w:pPr>
      <w:bookmarkStart w:id="12" w:name="_Toc261025833"/>
      <w:r>
        <w:t>NAGPRA</w:t>
      </w:r>
      <w:bookmarkEnd w:id="12"/>
    </w:p>
    <w:p w14:paraId="61F80865" w14:textId="0CBD1894" w:rsidR="00BF0494" w:rsidRPr="00E00F53" w:rsidRDefault="00BF0494" w:rsidP="008E2757">
      <w:pPr>
        <w:ind w:firstLine="720"/>
        <w:rPr>
          <w:rFonts w:ascii="Times New Roman" w:hAnsi="Times New Roman"/>
        </w:rPr>
      </w:pPr>
      <w:r w:rsidRPr="00E00F53">
        <w:rPr>
          <w:rFonts w:ascii="Times New Roman" w:hAnsi="Times New Roman"/>
        </w:rPr>
        <w:t>Oklahoma’s Spiro Mounds were the largest concentration of luxury and mortuary goods assembled in North America.  The site and its accompanying material artifacts and skeletal remains are currently claimed by both the Caddo Nation and the Wichita and Affiliated Tribes.  Given that the Fourche Maline mounds that are the focus of this study are considered ancestral to Sp</w:t>
      </w:r>
      <w:r w:rsidR="00401236">
        <w:rPr>
          <w:rFonts w:ascii="Times New Roman" w:hAnsi="Times New Roman"/>
        </w:rPr>
        <w:t>iro, permission was requested from</w:t>
      </w:r>
      <w:r w:rsidRPr="00E00F53">
        <w:rPr>
          <w:rFonts w:ascii="Times New Roman" w:hAnsi="Times New Roman"/>
        </w:rPr>
        <w:t xml:space="preserve"> both tribes before this s</w:t>
      </w:r>
      <w:r w:rsidR="00592F57">
        <w:rPr>
          <w:rFonts w:ascii="Times New Roman" w:hAnsi="Times New Roman"/>
        </w:rPr>
        <w:t>tudy commenced, as required by t</w:t>
      </w:r>
      <w:r w:rsidRPr="00E00F53">
        <w:rPr>
          <w:rFonts w:ascii="Times New Roman" w:hAnsi="Times New Roman"/>
        </w:rPr>
        <w:t>he Native American Graves Protection and Repatriation Act</w:t>
      </w:r>
      <w:r>
        <w:rPr>
          <w:rFonts w:ascii="Times New Roman" w:hAnsi="Times New Roman"/>
        </w:rPr>
        <w:t xml:space="preserve"> (NAGPRA)</w:t>
      </w:r>
      <w:r w:rsidRPr="00E00F53">
        <w:rPr>
          <w:rFonts w:ascii="Times New Roman" w:hAnsi="Times New Roman"/>
        </w:rPr>
        <w:t xml:space="preserve"> of 1990.  Both tribes graciously granted permission to study the burial mate</w:t>
      </w:r>
      <w:r>
        <w:rPr>
          <w:rFonts w:ascii="Times New Roman" w:hAnsi="Times New Roman"/>
        </w:rPr>
        <w:t>rial (both the skeletal remains</w:t>
      </w:r>
      <w:r w:rsidRPr="00E00F53">
        <w:rPr>
          <w:rFonts w:ascii="Times New Roman" w:hAnsi="Times New Roman"/>
        </w:rPr>
        <w:t xml:space="preserve"> and the associated artifacts) from the Akers mound (34Lf32).  Per agreement with the tribes, this study was non-destructive and non-invasive.  </w:t>
      </w:r>
    </w:p>
    <w:p w14:paraId="0366FCF6" w14:textId="6AC90C5E" w:rsidR="00BF0494" w:rsidRDefault="00BF0494" w:rsidP="008E2757">
      <w:pPr>
        <w:ind w:firstLine="720"/>
        <w:rPr>
          <w:rFonts w:ascii="Times New Roman" w:hAnsi="Times New Roman"/>
        </w:rPr>
      </w:pPr>
      <w:r w:rsidRPr="00E00F53">
        <w:rPr>
          <w:rFonts w:ascii="Times New Roman" w:hAnsi="Times New Roman"/>
        </w:rPr>
        <w:t>Human remains are housed in a secure and secluded location at the</w:t>
      </w:r>
      <w:r>
        <w:rPr>
          <w:rFonts w:ascii="Times New Roman" w:hAnsi="Times New Roman"/>
        </w:rPr>
        <w:t xml:space="preserve"> University of Oklahoma’s (OU)</w:t>
      </w:r>
      <w:r w:rsidRPr="00E00F53">
        <w:rPr>
          <w:rFonts w:ascii="Times New Roman" w:hAnsi="Times New Roman"/>
        </w:rPr>
        <w:t xml:space="preserve"> Sam Noble Oklahoma Museum of Natural History (SNOMNH) in Norman, Oklahoma.</w:t>
      </w:r>
      <w:r w:rsidR="0085750D">
        <w:rPr>
          <w:rFonts w:ascii="Times New Roman" w:hAnsi="Times New Roman"/>
        </w:rPr>
        <w:t xml:space="preserve">  This area has been seen and approved by representatives of both The Caddo Nation and The Wichita and Affiliated Tribes</w:t>
      </w:r>
      <w:r w:rsidR="00154C53">
        <w:rPr>
          <w:rFonts w:ascii="Times New Roman" w:hAnsi="Times New Roman"/>
        </w:rPr>
        <w:t>.</w:t>
      </w:r>
      <w:r w:rsidR="0085750D">
        <w:rPr>
          <w:rFonts w:ascii="Times New Roman" w:hAnsi="Times New Roman"/>
        </w:rPr>
        <w:t xml:space="preserve"> The burials were examined in this</w:t>
      </w:r>
      <w:r w:rsidRPr="00E00F53">
        <w:rPr>
          <w:rFonts w:ascii="Times New Roman" w:hAnsi="Times New Roman"/>
        </w:rPr>
        <w:t xml:space="preserve"> </w:t>
      </w:r>
      <w:r w:rsidR="0085750D">
        <w:rPr>
          <w:rFonts w:ascii="Times New Roman" w:hAnsi="Times New Roman"/>
        </w:rPr>
        <w:t>secluded, designated area</w:t>
      </w:r>
      <w:r w:rsidR="00154C53">
        <w:rPr>
          <w:rFonts w:ascii="Times New Roman" w:hAnsi="Times New Roman"/>
        </w:rPr>
        <w:t>, which is</w:t>
      </w:r>
      <w:r w:rsidR="00154C53" w:rsidRPr="00E00F53">
        <w:rPr>
          <w:rFonts w:ascii="Times New Roman" w:hAnsi="Times New Roman"/>
        </w:rPr>
        <w:t xml:space="preserve"> not accessible to anyone without express</w:t>
      </w:r>
      <w:r w:rsidR="00154C53">
        <w:rPr>
          <w:rFonts w:ascii="Times New Roman" w:hAnsi="Times New Roman"/>
        </w:rPr>
        <w:t>ed permission</w:t>
      </w:r>
      <w:r w:rsidRPr="00E00F53">
        <w:rPr>
          <w:rFonts w:ascii="Times New Roman" w:hAnsi="Times New Roman"/>
        </w:rPr>
        <w:t>.</w:t>
      </w:r>
      <w:r w:rsidR="00154C53">
        <w:rPr>
          <w:rFonts w:ascii="Times New Roman" w:hAnsi="Times New Roman"/>
        </w:rPr>
        <w:t xml:space="preserve"> </w:t>
      </w:r>
      <w:r>
        <w:rPr>
          <w:rFonts w:ascii="Times New Roman" w:hAnsi="Times New Roman"/>
        </w:rPr>
        <w:t xml:space="preserve"> </w:t>
      </w:r>
      <w:r w:rsidR="0085750D" w:rsidRPr="00E00F53">
        <w:rPr>
          <w:rFonts w:ascii="Times New Roman" w:hAnsi="Times New Roman"/>
        </w:rPr>
        <w:t xml:space="preserve">In agreement with The Caddo Nation and The Wichita and Affiliated Tribes, a light is left </w:t>
      </w:r>
      <w:r w:rsidR="0085750D">
        <w:rPr>
          <w:rFonts w:ascii="Times New Roman" w:hAnsi="Times New Roman"/>
        </w:rPr>
        <w:t>on in this area at all times.</w:t>
      </w:r>
      <w:r w:rsidRPr="00E00F53">
        <w:rPr>
          <w:rFonts w:ascii="Times New Roman" w:hAnsi="Times New Roman"/>
        </w:rPr>
        <w:t xml:space="preserve">  When not being directly worked with, the skeletal remains were always covered.  All methods of examination were non-destructive</w:t>
      </w:r>
      <w:r>
        <w:rPr>
          <w:rFonts w:ascii="Times New Roman" w:hAnsi="Times New Roman"/>
        </w:rPr>
        <w:t xml:space="preserve"> per our agreement</w:t>
      </w:r>
      <w:r w:rsidRPr="00E00F53">
        <w:rPr>
          <w:rFonts w:ascii="Times New Roman" w:hAnsi="Times New Roman"/>
        </w:rPr>
        <w:t>.  The burials and associated materials were treated with great care and respect.</w:t>
      </w:r>
    </w:p>
    <w:p w14:paraId="1023A463" w14:textId="77777777" w:rsidR="0085750D" w:rsidRPr="00E00F53" w:rsidRDefault="0085750D" w:rsidP="0085750D">
      <w:pPr>
        <w:spacing w:line="240" w:lineRule="auto"/>
        <w:ind w:firstLine="720"/>
        <w:rPr>
          <w:rFonts w:ascii="Times New Roman" w:hAnsi="Times New Roman"/>
        </w:rPr>
      </w:pPr>
    </w:p>
    <w:p w14:paraId="21031CEC" w14:textId="77777777" w:rsidR="00BF0494" w:rsidRDefault="00BF0494" w:rsidP="00CB4ED0">
      <w:pPr>
        <w:pStyle w:val="Heading2"/>
      </w:pPr>
      <w:bookmarkStart w:id="13" w:name="_Toc261025834"/>
      <w:r>
        <w:t>The Current Study</w:t>
      </w:r>
      <w:bookmarkEnd w:id="13"/>
    </w:p>
    <w:p w14:paraId="0F793C04" w14:textId="0DB1A5A1" w:rsidR="00BF0494" w:rsidRDefault="00BF0494" w:rsidP="008E2757">
      <w:pPr>
        <w:ind w:firstLine="720"/>
        <w:rPr>
          <w:rFonts w:ascii="Times New Roman" w:hAnsi="Times New Roman"/>
        </w:rPr>
      </w:pPr>
      <w:r w:rsidRPr="0085750D">
        <w:rPr>
          <w:rFonts w:ascii="Times New Roman" w:hAnsi="Times New Roman"/>
        </w:rPr>
        <w:t xml:space="preserve">The Akers site (34Lf32) is the eastern-most of the </w:t>
      </w:r>
      <w:r w:rsidR="00CF609A">
        <w:rPr>
          <w:rFonts w:ascii="Times New Roman" w:hAnsi="Times New Roman"/>
        </w:rPr>
        <w:t>Wister area</w:t>
      </w:r>
      <w:r w:rsidRPr="0085750D">
        <w:rPr>
          <w:rFonts w:ascii="Times New Roman" w:hAnsi="Times New Roman"/>
        </w:rPr>
        <w:t xml:space="preserve"> sites under consideration and lies only 30 kilometers or so from Spiro Mounds, the </w:t>
      </w:r>
      <w:r w:rsidRPr="0085750D">
        <w:rPr>
          <w:rFonts w:ascii="Times New Roman" w:hAnsi="Times New Roman"/>
          <w:lang w:bidi="ar-SA"/>
        </w:rPr>
        <w:t>westernmost site of what has been called the Southeastern Ceremonial Complex</w:t>
      </w:r>
      <w:r w:rsidRPr="0085750D">
        <w:rPr>
          <w:rFonts w:ascii="Times New Roman" w:hAnsi="Times New Roman"/>
        </w:rPr>
        <w:t xml:space="preserve">.  Like Spiro, these </w:t>
      </w:r>
      <w:r w:rsidR="00CF609A">
        <w:rPr>
          <w:rFonts w:ascii="Times New Roman" w:hAnsi="Times New Roman"/>
        </w:rPr>
        <w:t>Wister area</w:t>
      </w:r>
      <w:r w:rsidRPr="0085750D">
        <w:rPr>
          <w:rFonts w:ascii="Times New Roman" w:hAnsi="Times New Roman"/>
        </w:rPr>
        <w:t xml:space="preserve"> sites were inhabited for thousands of years; indeed the two sites were probably inhabited by the same groups of people</w:t>
      </w:r>
      <w:r w:rsidR="00401BCB" w:rsidRPr="0085750D">
        <w:rPr>
          <w:rFonts w:ascii="Times New Roman" w:hAnsi="Times New Roman"/>
        </w:rPr>
        <w:t>s</w:t>
      </w:r>
      <w:r w:rsidRPr="0085750D">
        <w:rPr>
          <w:rFonts w:ascii="Times New Roman" w:hAnsi="Times New Roman"/>
        </w:rPr>
        <w:t>.  Despite the physical and cultural closeness of Spiro and Fourche Maline periods, th</w:t>
      </w:r>
      <w:r w:rsidR="003A08AA">
        <w:rPr>
          <w:rFonts w:ascii="Times New Roman" w:hAnsi="Times New Roman"/>
        </w:rPr>
        <w:t>e earlier</w:t>
      </w:r>
      <w:r w:rsidRPr="0085750D">
        <w:rPr>
          <w:rFonts w:ascii="Times New Roman" w:hAnsi="Times New Roman"/>
        </w:rPr>
        <w:t xml:space="preserve"> Fourche Maline period is much less well understood.  Although several fine researchers have devoted their attention to Fourche Maline sites, the area as a whole remains under-theorized and poorly understood.  </w:t>
      </w:r>
    </w:p>
    <w:p w14:paraId="30938291" w14:textId="634B0D8D" w:rsidR="00B00378" w:rsidRPr="00E00F53" w:rsidRDefault="00B00378" w:rsidP="00B00378">
      <w:pPr>
        <w:ind w:firstLine="720"/>
        <w:rPr>
          <w:rFonts w:ascii="Times New Roman" w:hAnsi="Times New Roman"/>
        </w:rPr>
      </w:pPr>
      <w:r w:rsidRPr="00E00F53">
        <w:rPr>
          <w:rFonts w:ascii="Times New Roman" w:hAnsi="Times New Roman"/>
        </w:rPr>
        <w:t>Many, perhaps all, fields of academic study are fraught with disagreements, feuds, and conflicting paradigms</w:t>
      </w:r>
      <w:r>
        <w:rPr>
          <w:rFonts w:ascii="Times New Roman" w:hAnsi="Times New Roman"/>
        </w:rPr>
        <w:t xml:space="preserve"> and interpretations</w:t>
      </w:r>
      <w:r w:rsidRPr="00E00F53">
        <w:rPr>
          <w:rFonts w:ascii="Times New Roman" w:hAnsi="Times New Roman"/>
        </w:rPr>
        <w:t xml:space="preserve">.  In examining conflict and nutritional stress during </w:t>
      </w:r>
      <w:r>
        <w:rPr>
          <w:rFonts w:ascii="Times New Roman" w:hAnsi="Times New Roman"/>
        </w:rPr>
        <w:t>the Woodland Period (local</w:t>
      </w:r>
      <w:r w:rsidRPr="00E00F53">
        <w:rPr>
          <w:rFonts w:ascii="Times New Roman" w:hAnsi="Times New Roman"/>
        </w:rPr>
        <w:t xml:space="preserve"> Fourche Maline</w:t>
      </w:r>
      <w:r w:rsidR="008A23FA">
        <w:rPr>
          <w:rFonts w:ascii="Times New Roman" w:hAnsi="Times New Roman"/>
        </w:rPr>
        <w:t xml:space="preserve"> phase</w:t>
      </w:r>
      <w:r>
        <w:rPr>
          <w:rFonts w:ascii="Times New Roman" w:hAnsi="Times New Roman"/>
        </w:rPr>
        <w:t>) of the Wister area</w:t>
      </w:r>
      <w:r w:rsidRPr="00E00F53">
        <w:rPr>
          <w:rFonts w:ascii="Times New Roman" w:hAnsi="Times New Roman"/>
        </w:rPr>
        <w:t xml:space="preserve">, </w:t>
      </w:r>
      <w:r w:rsidR="00096D5A">
        <w:rPr>
          <w:rFonts w:ascii="Times New Roman" w:hAnsi="Times New Roman"/>
        </w:rPr>
        <w:t>two issues with</w:t>
      </w:r>
      <w:r w:rsidRPr="00E00F53">
        <w:rPr>
          <w:rFonts w:ascii="Times New Roman" w:hAnsi="Times New Roman"/>
        </w:rPr>
        <w:t xml:space="preserve"> contradictory sets of </w:t>
      </w:r>
      <w:r>
        <w:rPr>
          <w:rFonts w:ascii="Times New Roman" w:hAnsi="Times New Roman"/>
        </w:rPr>
        <w:t>interpretations</w:t>
      </w:r>
      <w:r w:rsidRPr="00E00F53">
        <w:rPr>
          <w:rFonts w:ascii="Times New Roman" w:hAnsi="Times New Roman"/>
        </w:rPr>
        <w:t xml:space="preserve"> must be addressed.</w:t>
      </w:r>
    </w:p>
    <w:p w14:paraId="6197B225" w14:textId="693B4687" w:rsidR="00096D5A" w:rsidRDefault="00B00378" w:rsidP="00B00378">
      <w:pPr>
        <w:rPr>
          <w:rFonts w:ascii="Times New Roman" w:hAnsi="Times New Roman"/>
        </w:rPr>
      </w:pPr>
      <w:r w:rsidRPr="00E00F53">
        <w:rPr>
          <w:rFonts w:ascii="Times New Roman" w:hAnsi="Times New Roman"/>
        </w:rPr>
        <w:tab/>
        <w:t xml:space="preserve">The first is the </w:t>
      </w:r>
      <w:r>
        <w:rPr>
          <w:rFonts w:ascii="Times New Roman" w:hAnsi="Times New Roman"/>
        </w:rPr>
        <w:t>issue of identifying conflict in an archaeological context, particularly amongst pre-state or non-chiefdom level societies, and the problem of differentiating accidental trauma from deliberate, conflict based trauma in skeletal remains</w:t>
      </w:r>
      <w:r w:rsidRPr="00E00F53">
        <w:rPr>
          <w:rFonts w:ascii="Times New Roman" w:hAnsi="Times New Roman"/>
        </w:rPr>
        <w:t xml:space="preserve">.  The second set of </w:t>
      </w:r>
      <w:r w:rsidR="00437819">
        <w:rPr>
          <w:rFonts w:ascii="Times New Roman" w:hAnsi="Times New Roman"/>
        </w:rPr>
        <w:t>topics</w:t>
      </w:r>
      <w:r w:rsidRPr="00E00F53">
        <w:rPr>
          <w:rFonts w:ascii="Times New Roman" w:hAnsi="Times New Roman"/>
        </w:rPr>
        <w:t xml:space="preserve"> is that of the nutritional status of hunter-gatherers and whether or not nutritional competence can be determined from prehisto</w:t>
      </w:r>
      <w:r>
        <w:rPr>
          <w:rFonts w:ascii="Times New Roman" w:hAnsi="Times New Roman"/>
        </w:rPr>
        <w:t>ric skeletal remains.</w:t>
      </w:r>
      <w:r w:rsidR="00096D5A">
        <w:rPr>
          <w:rFonts w:ascii="Times New Roman" w:hAnsi="Times New Roman"/>
        </w:rPr>
        <w:t xml:space="preserve">  Although hunger, </w:t>
      </w:r>
      <w:r w:rsidR="00096D5A" w:rsidRPr="00E00F53">
        <w:rPr>
          <w:rFonts w:ascii="Times New Roman" w:hAnsi="Times New Roman"/>
        </w:rPr>
        <w:t>famine</w:t>
      </w:r>
      <w:r w:rsidR="00096D5A">
        <w:rPr>
          <w:rFonts w:ascii="Times New Roman" w:hAnsi="Times New Roman"/>
        </w:rPr>
        <w:t>, and nutritional stress</w:t>
      </w:r>
      <w:r w:rsidR="00096D5A" w:rsidRPr="00E00F53">
        <w:rPr>
          <w:rFonts w:ascii="Times New Roman" w:hAnsi="Times New Roman"/>
        </w:rPr>
        <w:t xml:space="preserve"> are often studied in modern conflicts, they are less well-studied in archaeological populations.</w:t>
      </w:r>
      <w:r w:rsidRPr="00E00F53">
        <w:rPr>
          <w:rFonts w:ascii="Times New Roman" w:hAnsi="Times New Roman"/>
        </w:rPr>
        <w:t xml:space="preserve">  These issues (conflict and nutritional status in archaeological contexts) are explored in Cha</w:t>
      </w:r>
      <w:r w:rsidR="00096D5A">
        <w:rPr>
          <w:rFonts w:ascii="Times New Roman" w:hAnsi="Times New Roman"/>
        </w:rPr>
        <w:t xml:space="preserve">pter 2.  </w:t>
      </w:r>
    </w:p>
    <w:p w14:paraId="4F07FD33" w14:textId="14187103" w:rsidR="00096D5A" w:rsidRDefault="00096D5A" w:rsidP="00096D5A">
      <w:pPr>
        <w:ind w:firstLine="720"/>
        <w:rPr>
          <w:rFonts w:ascii="Times New Roman" w:hAnsi="Times New Roman"/>
        </w:rPr>
      </w:pPr>
      <w:r w:rsidRPr="00E00F53">
        <w:rPr>
          <w:rFonts w:ascii="Times New Roman" w:hAnsi="Times New Roman"/>
        </w:rPr>
        <w:t xml:space="preserve">Chapter 3 discusses </w:t>
      </w:r>
      <w:r>
        <w:rPr>
          <w:rFonts w:ascii="Times New Roman" w:hAnsi="Times New Roman"/>
        </w:rPr>
        <w:t>the history of the concept Fourche Maline</w:t>
      </w:r>
      <w:r w:rsidR="008A23FA">
        <w:rPr>
          <w:rFonts w:ascii="Times New Roman" w:hAnsi="Times New Roman"/>
        </w:rPr>
        <w:t xml:space="preserve"> and </w:t>
      </w:r>
      <w:r w:rsidRPr="00E00F53">
        <w:rPr>
          <w:rFonts w:ascii="Times New Roman" w:hAnsi="Times New Roman"/>
        </w:rPr>
        <w:t xml:space="preserve">reviews previous </w:t>
      </w:r>
      <w:r>
        <w:rPr>
          <w:rFonts w:ascii="Times New Roman" w:hAnsi="Times New Roman"/>
        </w:rPr>
        <w:t>Wister area</w:t>
      </w:r>
      <w:r w:rsidRPr="00E00F53">
        <w:rPr>
          <w:rFonts w:ascii="Times New Roman" w:hAnsi="Times New Roman"/>
        </w:rPr>
        <w:t xml:space="preserve"> Fourche Maline studies</w:t>
      </w:r>
      <w:r>
        <w:rPr>
          <w:rFonts w:ascii="Times New Roman" w:hAnsi="Times New Roman"/>
        </w:rPr>
        <w:t>.  The study area and the 14</w:t>
      </w:r>
      <w:r w:rsidRPr="00E00F53">
        <w:rPr>
          <w:rFonts w:ascii="Times New Roman" w:hAnsi="Times New Roman"/>
        </w:rPr>
        <w:t xml:space="preserve"> main Fou</w:t>
      </w:r>
      <w:r>
        <w:rPr>
          <w:rFonts w:ascii="Times New Roman" w:hAnsi="Times New Roman"/>
        </w:rPr>
        <w:t>r</w:t>
      </w:r>
      <w:r w:rsidRPr="00E00F53">
        <w:rPr>
          <w:rFonts w:ascii="Times New Roman" w:hAnsi="Times New Roman"/>
        </w:rPr>
        <w:t>che Maline mounds</w:t>
      </w:r>
      <w:r>
        <w:rPr>
          <w:rFonts w:ascii="Times New Roman" w:hAnsi="Times New Roman"/>
        </w:rPr>
        <w:t xml:space="preserve"> are discussed</w:t>
      </w:r>
      <w:r w:rsidRPr="00E00F53">
        <w:rPr>
          <w:rFonts w:ascii="Times New Roman" w:hAnsi="Times New Roman"/>
        </w:rPr>
        <w:t>, collecting together archival information, grey literature, and graduate research, most of which has not been pr</w:t>
      </w:r>
      <w:r>
        <w:rPr>
          <w:rFonts w:ascii="Times New Roman" w:hAnsi="Times New Roman"/>
        </w:rPr>
        <w:t>eviously collected and reviewed</w:t>
      </w:r>
      <w:r w:rsidRPr="00E00F53">
        <w:rPr>
          <w:rFonts w:ascii="Times New Roman" w:hAnsi="Times New Roman"/>
        </w:rPr>
        <w:t xml:space="preserve">.  </w:t>
      </w:r>
    </w:p>
    <w:p w14:paraId="2D358162" w14:textId="50533649" w:rsidR="00096D5A" w:rsidRDefault="00096D5A" w:rsidP="00096D5A">
      <w:pPr>
        <w:ind w:firstLine="720"/>
        <w:rPr>
          <w:rFonts w:ascii="Times New Roman" w:hAnsi="Times New Roman"/>
        </w:rPr>
      </w:pPr>
      <w:r w:rsidRPr="00E00F53">
        <w:rPr>
          <w:rFonts w:ascii="Times New Roman" w:hAnsi="Times New Roman"/>
        </w:rPr>
        <w:t xml:space="preserve">Chapter 4 details </w:t>
      </w:r>
      <w:r w:rsidR="008A23FA">
        <w:rPr>
          <w:rFonts w:ascii="Times New Roman" w:hAnsi="Times New Roman"/>
        </w:rPr>
        <w:t>evidence for</w:t>
      </w:r>
      <w:r w:rsidRPr="00E00F53">
        <w:rPr>
          <w:rFonts w:ascii="Times New Roman" w:hAnsi="Times New Roman"/>
        </w:rPr>
        <w:t xml:space="preserve"> </w:t>
      </w:r>
      <w:r>
        <w:rPr>
          <w:rFonts w:ascii="Times New Roman" w:hAnsi="Times New Roman"/>
        </w:rPr>
        <w:t>skele</w:t>
      </w:r>
      <w:r w:rsidR="008A23FA">
        <w:rPr>
          <w:rFonts w:ascii="Times New Roman" w:hAnsi="Times New Roman"/>
        </w:rPr>
        <w:t>tal trauma and nutritional stress</w:t>
      </w:r>
      <w:r w:rsidRPr="00E00F53">
        <w:rPr>
          <w:rFonts w:ascii="Times New Roman" w:hAnsi="Times New Roman"/>
        </w:rPr>
        <w:t xml:space="preserve"> at </w:t>
      </w:r>
      <w:r>
        <w:rPr>
          <w:rFonts w:ascii="Times New Roman" w:hAnsi="Times New Roman"/>
        </w:rPr>
        <w:t xml:space="preserve">the Akers site </w:t>
      </w:r>
      <w:r w:rsidR="00BF0494">
        <w:rPr>
          <w:rFonts w:ascii="Times New Roman" w:hAnsi="Times New Roman"/>
        </w:rPr>
        <w:t>(34Lf</w:t>
      </w:r>
      <w:r>
        <w:rPr>
          <w:rFonts w:ascii="Times New Roman" w:hAnsi="Times New Roman"/>
        </w:rPr>
        <w:t>32), a Fourche Maline burial mound</w:t>
      </w:r>
      <w:r w:rsidR="00BF0494">
        <w:rPr>
          <w:rFonts w:ascii="Times New Roman" w:hAnsi="Times New Roman"/>
        </w:rPr>
        <w:t xml:space="preserve"> site from the </w:t>
      </w:r>
      <w:r w:rsidR="00CF609A">
        <w:rPr>
          <w:rFonts w:ascii="Times New Roman" w:hAnsi="Times New Roman"/>
        </w:rPr>
        <w:t>Wister area</w:t>
      </w:r>
      <w:r w:rsidR="00BF0494">
        <w:rPr>
          <w:rFonts w:ascii="Times New Roman" w:hAnsi="Times New Roman"/>
        </w:rPr>
        <w:t xml:space="preserve"> of southeastern Oklahoma’s Ouachita Mountains.</w:t>
      </w:r>
      <w:r>
        <w:rPr>
          <w:rFonts w:ascii="Times New Roman" w:hAnsi="Times New Roman"/>
        </w:rPr>
        <w:t xml:space="preserve"> </w:t>
      </w:r>
      <w:r w:rsidR="00BF0494">
        <w:rPr>
          <w:rFonts w:ascii="Times New Roman" w:hAnsi="Times New Roman"/>
        </w:rPr>
        <w:t xml:space="preserve"> Results indicate that the inhabits of the Akers mound experienced widespread skeletal trauma and conflict</w:t>
      </w:r>
      <w:r w:rsidR="00401236">
        <w:rPr>
          <w:rFonts w:ascii="Times New Roman" w:hAnsi="Times New Roman"/>
        </w:rPr>
        <w:t>,</w:t>
      </w:r>
      <w:r w:rsidR="00BF0494">
        <w:rPr>
          <w:rFonts w:ascii="Times New Roman" w:hAnsi="Times New Roman"/>
        </w:rPr>
        <w:t xml:space="preserve"> as well as persistent (though intermittent) </w:t>
      </w:r>
      <w:r w:rsidR="00BF0494" w:rsidRPr="00E00F53">
        <w:rPr>
          <w:rFonts w:ascii="Times New Roman" w:hAnsi="Times New Roman"/>
        </w:rPr>
        <w:t>inter</w:t>
      </w:r>
      <w:r w:rsidR="00BF0494">
        <w:rPr>
          <w:rFonts w:ascii="Times New Roman" w:hAnsi="Times New Roman"/>
        </w:rPr>
        <w:t>generational nutritional stress.</w:t>
      </w:r>
      <w:r w:rsidR="00401BCB">
        <w:rPr>
          <w:rFonts w:ascii="Times New Roman" w:hAnsi="Times New Roman"/>
        </w:rPr>
        <w:t xml:space="preserve"> </w:t>
      </w:r>
      <w:r w:rsidR="00BF0494">
        <w:rPr>
          <w:rFonts w:ascii="Times New Roman" w:hAnsi="Times New Roman"/>
        </w:rPr>
        <w:t xml:space="preserve"> </w:t>
      </w:r>
    </w:p>
    <w:p w14:paraId="31716EA3" w14:textId="2AF7D964" w:rsidR="00096D5A" w:rsidRPr="00EF71B8" w:rsidRDefault="00096D5A" w:rsidP="00EF71B8">
      <w:pPr>
        <w:ind w:firstLine="720"/>
      </w:pPr>
      <w:r w:rsidRPr="00E00F53">
        <w:rPr>
          <w:rFonts w:ascii="Times New Roman" w:hAnsi="Times New Roman"/>
        </w:rPr>
        <w:t xml:space="preserve">Chapter 5 examines the evidence for conflict in the </w:t>
      </w:r>
      <w:r>
        <w:rPr>
          <w:rFonts w:ascii="Times New Roman" w:hAnsi="Times New Roman"/>
        </w:rPr>
        <w:t>Wister area</w:t>
      </w:r>
      <w:r w:rsidRPr="00E00F53">
        <w:rPr>
          <w:rFonts w:ascii="Times New Roman" w:hAnsi="Times New Roman"/>
        </w:rPr>
        <w:t xml:space="preserve"> as a whole, presenting the results of an archival research project. </w:t>
      </w:r>
      <w:r>
        <w:t xml:space="preserve"> </w:t>
      </w:r>
      <w:r>
        <w:rPr>
          <w:rFonts w:ascii="Times New Roman" w:hAnsi="Times New Roman"/>
        </w:rPr>
        <w:t>G</w:t>
      </w:r>
      <w:r w:rsidR="00BF0494">
        <w:rPr>
          <w:rFonts w:ascii="Times New Roman" w:hAnsi="Times New Roman"/>
        </w:rPr>
        <w:t xml:space="preserve">roup burials from 14 </w:t>
      </w:r>
      <w:r w:rsidR="00CF609A">
        <w:rPr>
          <w:rFonts w:ascii="Times New Roman" w:hAnsi="Times New Roman"/>
        </w:rPr>
        <w:t>Wister area</w:t>
      </w:r>
      <w:r w:rsidR="00401236">
        <w:rPr>
          <w:rFonts w:ascii="Times New Roman" w:hAnsi="Times New Roman"/>
        </w:rPr>
        <w:t xml:space="preserve"> Fourche Maline mounds</w:t>
      </w:r>
      <w:r w:rsidR="00BF0494">
        <w:rPr>
          <w:rFonts w:ascii="Times New Roman" w:hAnsi="Times New Roman"/>
        </w:rPr>
        <w:t xml:space="preserve"> </w:t>
      </w:r>
      <w:r w:rsidR="00401236">
        <w:rPr>
          <w:rFonts w:ascii="Times New Roman" w:hAnsi="Times New Roman"/>
        </w:rPr>
        <w:t>were examined</w:t>
      </w:r>
      <w:r w:rsidR="00BF0494">
        <w:rPr>
          <w:rFonts w:ascii="Times New Roman" w:hAnsi="Times New Roman"/>
        </w:rPr>
        <w:t xml:space="preserve"> in an attempt to infer rates of violent death and to explore patterns of conflict.  B</w:t>
      </w:r>
      <w:r w:rsidR="00BF0494" w:rsidRPr="00E00F53">
        <w:rPr>
          <w:rFonts w:ascii="Times New Roman" w:hAnsi="Times New Roman"/>
        </w:rPr>
        <w:t xml:space="preserve">ioarchaeological evidence for pervasive and sustained conflict throughout the entire </w:t>
      </w:r>
      <w:r w:rsidR="00CF609A">
        <w:rPr>
          <w:rFonts w:ascii="Times New Roman" w:hAnsi="Times New Roman"/>
        </w:rPr>
        <w:t>Wister area</w:t>
      </w:r>
      <w:r w:rsidR="00BF0494">
        <w:rPr>
          <w:rFonts w:ascii="Times New Roman" w:hAnsi="Times New Roman"/>
        </w:rPr>
        <w:t xml:space="preserve"> is presented, with group burials and trophy taking behavior explored in some detail. </w:t>
      </w:r>
    </w:p>
    <w:p w14:paraId="7300C425" w14:textId="77777777" w:rsidR="00BC58F6" w:rsidRDefault="00401236" w:rsidP="00762A50">
      <w:pPr>
        <w:ind w:firstLine="720"/>
        <w:rPr>
          <w:rFonts w:ascii="Times New Roman" w:hAnsi="Times New Roman"/>
        </w:rPr>
      </w:pPr>
      <w:r>
        <w:rPr>
          <w:rFonts w:ascii="Times New Roman" w:hAnsi="Times New Roman"/>
        </w:rPr>
        <w:t xml:space="preserve">This work </w:t>
      </w:r>
      <w:r w:rsidR="00BF0494" w:rsidRPr="00E00F53">
        <w:rPr>
          <w:rFonts w:ascii="Times New Roman" w:hAnsi="Times New Roman"/>
        </w:rPr>
        <w:t>conclude</w:t>
      </w:r>
      <w:r>
        <w:rPr>
          <w:rFonts w:ascii="Times New Roman" w:hAnsi="Times New Roman"/>
        </w:rPr>
        <w:t>s</w:t>
      </w:r>
      <w:r w:rsidR="00EF71B8">
        <w:rPr>
          <w:rFonts w:ascii="Times New Roman" w:hAnsi="Times New Roman"/>
        </w:rPr>
        <w:t xml:space="preserve"> with a discussion of Wister area paleopathology and conflict in geographical and historical context.  I conclude </w:t>
      </w:r>
      <w:r w:rsidR="00BF0494" w:rsidRPr="00E00F53">
        <w:rPr>
          <w:rFonts w:ascii="Times New Roman" w:hAnsi="Times New Roman"/>
        </w:rPr>
        <w:t xml:space="preserve">with an agenda for further research to further elucidate the </w:t>
      </w:r>
      <w:r w:rsidR="00CF609A">
        <w:rPr>
          <w:rFonts w:ascii="Times New Roman" w:hAnsi="Times New Roman"/>
        </w:rPr>
        <w:t>Wister area</w:t>
      </w:r>
      <w:r w:rsidR="00BF0494" w:rsidRPr="00E00F53">
        <w:rPr>
          <w:rFonts w:ascii="Times New Roman" w:hAnsi="Times New Roman"/>
        </w:rPr>
        <w:t xml:space="preserve"> Fourche Maline. </w:t>
      </w:r>
    </w:p>
    <w:p w14:paraId="66A3F78D" w14:textId="77777777" w:rsidR="00BC58F6" w:rsidRDefault="00BC58F6">
      <w:pPr>
        <w:spacing w:line="240" w:lineRule="auto"/>
        <w:rPr>
          <w:rFonts w:ascii="Times New Roman" w:hAnsi="Times New Roman"/>
        </w:rPr>
      </w:pPr>
      <w:r>
        <w:rPr>
          <w:rFonts w:ascii="Times New Roman" w:hAnsi="Times New Roman"/>
        </w:rPr>
        <w:br w:type="page"/>
      </w:r>
    </w:p>
    <w:p w14:paraId="221A9A6A" w14:textId="748DBC78" w:rsidR="00BF0494" w:rsidRPr="00592F57" w:rsidRDefault="00BF0494" w:rsidP="00FA652B">
      <w:pPr>
        <w:pStyle w:val="Heading1"/>
      </w:pPr>
      <w:bookmarkStart w:id="14" w:name="_Toc261025835"/>
      <w:r w:rsidRPr="00592F57">
        <w:t xml:space="preserve">Chapter 2:  </w:t>
      </w:r>
      <w:r w:rsidR="00BC58F6" w:rsidRPr="00592F57">
        <w:t>Exploring Conflict and Nutrition</w:t>
      </w:r>
      <w:r w:rsidR="008D43E9">
        <w:t xml:space="preserve"> in</w:t>
      </w:r>
      <w:r w:rsidRPr="00592F57">
        <w:t xml:space="preserve"> Archaeological </w:t>
      </w:r>
      <w:r w:rsidR="00BC58F6" w:rsidRPr="00592F57">
        <w:t>Context</w:t>
      </w:r>
      <w:bookmarkEnd w:id="14"/>
    </w:p>
    <w:p w14:paraId="71A28BE1" w14:textId="7245E806" w:rsidR="00BF0494" w:rsidRDefault="00BF0494" w:rsidP="008E2757">
      <w:pPr>
        <w:rPr>
          <w:rFonts w:ascii="Times New Roman" w:hAnsi="Times New Roman"/>
          <w:color w:val="000000" w:themeColor="text1"/>
        </w:rPr>
      </w:pPr>
      <w:r>
        <w:tab/>
      </w:r>
      <w:r w:rsidRPr="00A00300">
        <w:rPr>
          <w:rFonts w:ascii="Times New Roman" w:hAnsi="Times New Roman"/>
        </w:rPr>
        <w:t xml:space="preserve">This chapter explores two sets of </w:t>
      </w:r>
      <w:r w:rsidR="00996D23">
        <w:rPr>
          <w:rFonts w:ascii="Times New Roman" w:hAnsi="Times New Roman"/>
        </w:rPr>
        <w:t>issues</w:t>
      </w:r>
      <w:r>
        <w:rPr>
          <w:rFonts w:ascii="Times New Roman" w:hAnsi="Times New Roman"/>
        </w:rPr>
        <w:t xml:space="preserve"> introduced in Chapter 1.  First</w:t>
      </w:r>
      <w:r w:rsidR="00EA16F4">
        <w:rPr>
          <w:rFonts w:ascii="Times New Roman" w:hAnsi="Times New Roman"/>
        </w:rPr>
        <w:t>,</w:t>
      </w:r>
      <w:r>
        <w:rPr>
          <w:rFonts w:ascii="Times New Roman" w:hAnsi="Times New Roman"/>
        </w:rPr>
        <w:t xml:space="preserve"> the archaeological and osteological correlates of </w:t>
      </w:r>
      <w:r w:rsidRPr="00A00300">
        <w:rPr>
          <w:rFonts w:ascii="Times New Roman" w:hAnsi="Times New Roman"/>
        </w:rPr>
        <w:t>conflict in the archaeological record</w:t>
      </w:r>
      <w:r w:rsidR="009720C7">
        <w:rPr>
          <w:rFonts w:ascii="Times New Roman" w:hAnsi="Times New Roman"/>
        </w:rPr>
        <w:t xml:space="preserve"> are considered.  Next, </w:t>
      </w:r>
      <w:r>
        <w:rPr>
          <w:rFonts w:ascii="Times New Roman" w:hAnsi="Times New Roman"/>
        </w:rPr>
        <w:t>the</w:t>
      </w:r>
      <w:r w:rsidRPr="00A00300">
        <w:rPr>
          <w:rFonts w:ascii="Times New Roman" w:hAnsi="Times New Roman"/>
        </w:rPr>
        <w:t xml:space="preserve"> history of nutritional studies in </w:t>
      </w:r>
      <w:r>
        <w:rPr>
          <w:rFonts w:ascii="Times New Roman" w:hAnsi="Times New Roman"/>
        </w:rPr>
        <w:t>paleopathology</w:t>
      </w:r>
      <w:r w:rsidR="009720C7">
        <w:rPr>
          <w:rFonts w:ascii="Times New Roman" w:hAnsi="Times New Roman"/>
        </w:rPr>
        <w:t xml:space="preserve"> are reviewed</w:t>
      </w:r>
      <w:r>
        <w:rPr>
          <w:rFonts w:ascii="Times New Roman" w:hAnsi="Times New Roman"/>
        </w:rPr>
        <w:t xml:space="preserve"> before discussing the </w:t>
      </w:r>
      <w:r w:rsidR="001E523F">
        <w:rPr>
          <w:rFonts w:ascii="Times New Roman" w:hAnsi="Times New Roman"/>
        </w:rPr>
        <w:t>osteologica</w:t>
      </w:r>
      <w:r>
        <w:rPr>
          <w:rFonts w:ascii="Times New Roman" w:hAnsi="Times New Roman"/>
        </w:rPr>
        <w:t>l correlates of nutritional status</w:t>
      </w:r>
      <w:r w:rsidRPr="00A00300">
        <w:rPr>
          <w:rFonts w:ascii="Times New Roman" w:hAnsi="Times New Roman"/>
        </w:rPr>
        <w:t xml:space="preserve">.  While it might seem odd to discuss conflict or violence together with nutritional status, </w:t>
      </w:r>
      <w:r w:rsidRPr="00A00300">
        <w:rPr>
          <w:rFonts w:ascii="Times New Roman" w:hAnsi="Times New Roman"/>
          <w:color w:val="000000" w:themeColor="text1"/>
        </w:rPr>
        <w:t xml:space="preserve">historically famine and </w:t>
      </w:r>
      <w:r w:rsidR="00EA16F4">
        <w:rPr>
          <w:rFonts w:ascii="Times New Roman" w:hAnsi="Times New Roman"/>
          <w:color w:val="000000" w:themeColor="text1"/>
        </w:rPr>
        <w:t>violent conflict often</w:t>
      </w:r>
      <w:r>
        <w:rPr>
          <w:rFonts w:ascii="Times New Roman" w:hAnsi="Times New Roman"/>
          <w:color w:val="000000" w:themeColor="text1"/>
        </w:rPr>
        <w:t xml:space="preserve"> go hand-in-</w:t>
      </w:r>
      <w:r w:rsidRPr="00A00300">
        <w:rPr>
          <w:rFonts w:ascii="Times New Roman" w:hAnsi="Times New Roman"/>
          <w:color w:val="000000" w:themeColor="text1"/>
        </w:rPr>
        <w:t>hand.  In 2005, the Human Security Report noted</w:t>
      </w:r>
      <w:r>
        <w:rPr>
          <w:rFonts w:ascii="Times New Roman" w:hAnsi="Times New Roman"/>
        </w:rPr>
        <w:t xml:space="preserve"> that</w:t>
      </w:r>
      <w:r w:rsidR="00EA7016">
        <w:rPr>
          <w:rFonts w:ascii="Times New Roman" w:hAnsi="Times New Roman"/>
        </w:rPr>
        <w:t xml:space="preserve"> in modern conflicts</w:t>
      </w:r>
      <w:r>
        <w:rPr>
          <w:rFonts w:ascii="Times New Roman" w:hAnsi="Times New Roman"/>
        </w:rPr>
        <w:t xml:space="preserve"> “(d)</w:t>
      </w:r>
      <w:r w:rsidRPr="00A00300">
        <w:rPr>
          <w:rFonts w:ascii="Times New Roman" w:hAnsi="Times New Roman"/>
        </w:rPr>
        <w:t>isease and hunger result in more deaths tha</w:t>
      </w:r>
      <w:r w:rsidR="00592F57">
        <w:rPr>
          <w:rFonts w:ascii="Times New Roman" w:hAnsi="Times New Roman"/>
        </w:rPr>
        <w:t>n trauma from actual war wounds”</w:t>
      </w:r>
      <w:r w:rsidRPr="00A00300">
        <w:rPr>
          <w:rFonts w:ascii="Times New Roman" w:hAnsi="Times New Roman"/>
        </w:rPr>
        <w:t xml:space="preserve"> </w:t>
      </w:r>
      <w:r>
        <w:rPr>
          <w:rFonts w:ascii="Times New Roman" w:hAnsi="Times New Roman"/>
        </w:rPr>
        <w:t xml:space="preserve">(Human Security Center 2005).  </w:t>
      </w:r>
      <w:r w:rsidRPr="00A00300">
        <w:rPr>
          <w:rFonts w:ascii="Times New Roman" w:hAnsi="Times New Roman"/>
          <w:color w:val="000000" w:themeColor="text1"/>
        </w:rPr>
        <w:t xml:space="preserve">Although the correlation between conflict and nutritional stress is clear historically, this concept is underexplored in archaeological and bioarchaeological studies.  </w:t>
      </w:r>
      <w:r>
        <w:rPr>
          <w:rFonts w:ascii="Times New Roman" w:hAnsi="Times New Roman"/>
          <w:color w:val="000000" w:themeColor="text1"/>
        </w:rPr>
        <w:t xml:space="preserve">In this chapter the mortuary and skeletal evidence that can be </w:t>
      </w:r>
      <w:r w:rsidR="00592F57">
        <w:rPr>
          <w:rFonts w:ascii="Times New Roman" w:hAnsi="Times New Roman"/>
          <w:color w:val="000000" w:themeColor="text1"/>
        </w:rPr>
        <w:t>assessed in order</w:t>
      </w:r>
      <w:r>
        <w:rPr>
          <w:rFonts w:ascii="Times New Roman" w:hAnsi="Times New Roman"/>
          <w:color w:val="000000" w:themeColor="text1"/>
        </w:rPr>
        <w:t xml:space="preserve"> to </w:t>
      </w:r>
      <w:r w:rsidR="004459A3">
        <w:rPr>
          <w:rFonts w:ascii="Times New Roman" w:hAnsi="Times New Roman"/>
          <w:color w:val="000000" w:themeColor="text1"/>
        </w:rPr>
        <w:t>examine</w:t>
      </w:r>
      <w:r>
        <w:rPr>
          <w:rFonts w:ascii="Times New Roman" w:hAnsi="Times New Roman"/>
          <w:color w:val="000000" w:themeColor="text1"/>
        </w:rPr>
        <w:t xml:space="preserve"> conflict and nutritional stre</w:t>
      </w:r>
      <w:r w:rsidR="009720C7">
        <w:rPr>
          <w:rFonts w:ascii="Times New Roman" w:hAnsi="Times New Roman"/>
          <w:color w:val="000000" w:themeColor="text1"/>
        </w:rPr>
        <w:t>ss in the archaeological record are reviewed</w:t>
      </w:r>
      <w:r w:rsidR="00592F57">
        <w:rPr>
          <w:rFonts w:ascii="Times New Roman" w:hAnsi="Times New Roman"/>
          <w:color w:val="000000" w:themeColor="text1"/>
        </w:rPr>
        <w:t>.</w:t>
      </w:r>
    </w:p>
    <w:p w14:paraId="03DD197F" w14:textId="77777777" w:rsidR="00BF0494" w:rsidRPr="00A00300" w:rsidRDefault="00BF0494" w:rsidP="001E523F">
      <w:pPr>
        <w:spacing w:line="240" w:lineRule="auto"/>
        <w:rPr>
          <w:rFonts w:ascii="Times New Roman" w:hAnsi="Times New Roman"/>
        </w:rPr>
      </w:pPr>
      <w:r>
        <w:rPr>
          <w:rFonts w:ascii="Times New Roman" w:hAnsi="Times New Roman"/>
          <w:color w:val="000000" w:themeColor="text1"/>
        </w:rPr>
        <w:tab/>
      </w:r>
    </w:p>
    <w:p w14:paraId="5427E032" w14:textId="77777777" w:rsidR="00BF0494" w:rsidRPr="00495EA8" w:rsidRDefault="00BF0494" w:rsidP="00CB4ED0">
      <w:pPr>
        <w:pStyle w:val="Heading2"/>
      </w:pPr>
      <w:bookmarkStart w:id="15" w:name="_Toc261025836"/>
      <w:r>
        <w:t>Conflict in the Archaeological Record</w:t>
      </w:r>
      <w:bookmarkEnd w:id="15"/>
    </w:p>
    <w:p w14:paraId="18D0CDCF" w14:textId="3719897D" w:rsidR="00BF0494" w:rsidRPr="0085396B" w:rsidRDefault="00BF0494" w:rsidP="008E2757">
      <w:pPr>
        <w:ind w:firstLine="360"/>
        <w:rPr>
          <w:rFonts w:ascii="Times New Roman" w:hAnsi="Times New Roman"/>
        </w:rPr>
      </w:pPr>
      <w:r w:rsidRPr="00A00300">
        <w:rPr>
          <w:rFonts w:ascii="Times New Roman" w:hAnsi="Times New Roman"/>
        </w:rPr>
        <w:t xml:space="preserve">It is tempting to think that today’s pervasive violence and conflict are recent phenomena and that past times were somehow simpler or less violent.  However a comparative study of ethnographic literature found that foraging </w:t>
      </w:r>
      <w:r w:rsidR="009720C7">
        <w:rPr>
          <w:rFonts w:ascii="Times New Roman" w:hAnsi="Times New Roman"/>
        </w:rPr>
        <w:t xml:space="preserve">societies </w:t>
      </w:r>
      <w:r w:rsidR="00486C20">
        <w:rPr>
          <w:rFonts w:ascii="Times New Roman" w:hAnsi="Times New Roman"/>
        </w:rPr>
        <w:t>engaged in inter-group violence</w:t>
      </w:r>
      <w:r w:rsidR="009720C7">
        <w:rPr>
          <w:rFonts w:ascii="Times New Roman" w:hAnsi="Times New Roman"/>
        </w:rPr>
        <w:t xml:space="preserve"> on average</w:t>
      </w:r>
      <w:r w:rsidRPr="00A00300">
        <w:rPr>
          <w:rFonts w:ascii="Times New Roman" w:hAnsi="Times New Roman"/>
        </w:rPr>
        <w:t xml:space="preserve"> once every 2 years (Ember and Ember 1997:5).  While this is lower than other types of subsistence strategies, it is still not particularly peaceful, and war every other year would accumulate injuries and casualties very quickly.  Indeed, it has been estimated that about 25% of adult males in non-state level societies died from </w:t>
      </w:r>
      <w:r w:rsidR="00486C20">
        <w:rPr>
          <w:rFonts w:ascii="Times New Roman" w:hAnsi="Times New Roman"/>
        </w:rPr>
        <w:t>co</w:t>
      </w:r>
      <w:r w:rsidR="00592F57">
        <w:rPr>
          <w:rFonts w:ascii="Times New Roman" w:hAnsi="Times New Roman"/>
        </w:rPr>
        <w:t>n</w:t>
      </w:r>
      <w:r w:rsidR="00486C20">
        <w:rPr>
          <w:rFonts w:ascii="Times New Roman" w:hAnsi="Times New Roman"/>
        </w:rPr>
        <w:t>flict</w:t>
      </w:r>
      <w:r w:rsidRPr="00A00300">
        <w:rPr>
          <w:rFonts w:ascii="Times New Roman" w:hAnsi="Times New Roman"/>
        </w:rPr>
        <w:t xml:space="preserve"> well into the 20</w:t>
      </w:r>
      <w:r w:rsidRPr="00A00300">
        <w:rPr>
          <w:rFonts w:ascii="Times New Roman" w:hAnsi="Times New Roman"/>
          <w:vertAlign w:val="superscript"/>
        </w:rPr>
        <w:t>th</w:t>
      </w:r>
      <w:r w:rsidRPr="00A00300">
        <w:rPr>
          <w:rFonts w:ascii="Times New Roman" w:hAnsi="Times New Roman"/>
        </w:rPr>
        <w:t xml:space="preserve"> century (Keeley 1996).  Contrast this with World War II, which left an estimated 60 million dead (Lawler 2012:829).  While that </w:t>
      </w:r>
      <w:r w:rsidRPr="0085396B">
        <w:rPr>
          <w:rFonts w:ascii="Times New Roman" w:hAnsi="Times New Roman"/>
        </w:rPr>
        <w:t xml:space="preserve">number is staggering, it was a mere 2.5% of the world’s population (at that time).  </w:t>
      </w:r>
    </w:p>
    <w:p w14:paraId="115720D8" w14:textId="5EEE35B3" w:rsidR="00BF0494" w:rsidRPr="00A00300" w:rsidRDefault="00BF0494" w:rsidP="008E2757">
      <w:pPr>
        <w:rPr>
          <w:rFonts w:ascii="Times New Roman" w:hAnsi="Times New Roman"/>
        </w:rPr>
      </w:pPr>
      <w:r w:rsidRPr="0085396B">
        <w:rPr>
          <w:rFonts w:ascii="Times New Roman" w:hAnsi="Times New Roman"/>
        </w:rPr>
        <w:tab/>
        <w:t xml:space="preserve">The archaeological record is replete with examples of </w:t>
      </w:r>
      <w:r w:rsidR="003652DB">
        <w:rPr>
          <w:rFonts w:ascii="Times New Roman" w:hAnsi="Times New Roman"/>
        </w:rPr>
        <w:t>prehistoric conflict</w:t>
      </w:r>
      <w:r w:rsidRPr="0085396B">
        <w:rPr>
          <w:rFonts w:ascii="Times New Roman" w:hAnsi="Times New Roman"/>
        </w:rPr>
        <w:t xml:space="preserve">.  Traditionally, archaeological signs of increased conflict include settlement patterns, palisades, and warlike iconography (Milner </w:t>
      </w:r>
      <w:r w:rsidR="00894BCE">
        <w:rPr>
          <w:rFonts w:ascii="Times New Roman" w:hAnsi="Times New Roman"/>
        </w:rPr>
        <w:t xml:space="preserve">et al. </w:t>
      </w:r>
      <w:r w:rsidRPr="0085396B">
        <w:rPr>
          <w:rFonts w:ascii="Times New Roman" w:hAnsi="Times New Roman"/>
        </w:rPr>
        <w:t xml:space="preserve">1991).  However settlement patterns are not known in some cases, and iconography in general is fairly scant </w:t>
      </w:r>
      <w:r w:rsidRPr="00A00300">
        <w:rPr>
          <w:rFonts w:ascii="Times New Roman" w:hAnsi="Times New Roman"/>
        </w:rPr>
        <w:t>before the Mississ</w:t>
      </w:r>
      <w:r w:rsidR="00AA30E3">
        <w:rPr>
          <w:rFonts w:ascii="Times New Roman" w:hAnsi="Times New Roman"/>
        </w:rPr>
        <w:t>ippian period, at least in the Eastern W</w:t>
      </w:r>
      <w:r w:rsidRPr="00A00300">
        <w:rPr>
          <w:rFonts w:ascii="Times New Roman" w:hAnsi="Times New Roman"/>
        </w:rPr>
        <w:t xml:space="preserve">oodland.  Focusing on conflict in pre-state or pre-chiefdom societies requires a different approach.  </w:t>
      </w:r>
      <w:r>
        <w:rPr>
          <w:rFonts w:ascii="Times New Roman" w:hAnsi="Times New Roman"/>
        </w:rPr>
        <w:t>Although theories concerning reasons and motivations for conflict abound, most of these focus on state-level conflict.  An exce</w:t>
      </w:r>
      <w:r w:rsidR="00143B6C">
        <w:rPr>
          <w:rFonts w:ascii="Times New Roman" w:hAnsi="Times New Roman"/>
        </w:rPr>
        <w:t>ption is David Dye’s scheme that correlates patterns</w:t>
      </w:r>
      <w:r>
        <w:rPr>
          <w:rFonts w:ascii="Times New Roman" w:hAnsi="Times New Roman"/>
        </w:rPr>
        <w:t xml:space="preserve"> of violence</w:t>
      </w:r>
      <w:r w:rsidR="009720C7">
        <w:rPr>
          <w:rFonts w:ascii="Times New Roman" w:hAnsi="Times New Roman"/>
        </w:rPr>
        <w:t xml:space="preserve"> and sociopolitical structure (Dye 1997).</w:t>
      </w:r>
    </w:p>
    <w:p w14:paraId="5693C6A0" w14:textId="77777777" w:rsidR="00BF0494" w:rsidRPr="00D350DB" w:rsidRDefault="00BF0494" w:rsidP="009C5432">
      <w:pPr>
        <w:pStyle w:val="Heading3"/>
      </w:pPr>
      <w:bookmarkStart w:id="16" w:name="_Toc261025837"/>
      <w:r w:rsidRPr="00990DA3">
        <w:t>Dye – social complexity and conflict</w:t>
      </w:r>
      <w:bookmarkEnd w:id="16"/>
    </w:p>
    <w:p w14:paraId="7E37BEE3" w14:textId="77777777" w:rsidR="00BF0494" w:rsidRPr="00A00300" w:rsidRDefault="00BF0494" w:rsidP="008E2757">
      <w:pPr>
        <w:ind w:firstLine="720"/>
        <w:rPr>
          <w:rFonts w:ascii="Times New Roman" w:hAnsi="Times New Roman"/>
        </w:rPr>
      </w:pPr>
      <w:r>
        <w:rPr>
          <w:rFonts w:ascii="Times New Roman" w:hAnsi="Times New Roman"/>
        </w:rPr>
        <w:t xml:space="preserve">David </w:t>
      </w:r>
      <w:r w:rsidRPr="00A00300">
        <w:rPr>
          <w:rFonts w:ascii="Times New Roman" w:hAnsi="Times New Roman"/>
        </w:rPr>
        <w:t>Dye</w:t>
      </w:r>
      <w:r>
        <w:rPr>
          <w:rFonts w:ascii="Times New Roman" w:hAnsi="Times New Roman"/>
        </w:rPr>
        <w:t>’s</w:t>
      </w:r>
      <w:r w:rsidRPr="00A00300">
        <w:rPr>
          <w:rFonts w:ascii="Times New Roman" w:hAnsi="Times New Roman"/>
        </w:rPr>
        <w:t xml:space="preserve"> (1997)</w:t>
      </w:r>
      <w:r>
        <w:rPr>
          <w:rFonts w:ascii="Times New Roman" w:hAnsi="Times New Roman"/>
        </w:rPr>
        <w:t xml:space="preserve"> monogram on violence in the Eastern Woodland</w:t>
      </w:r>
      <w:r w:rsidRPr="00A00300">
        <w:rPr>
          <w:rFonts w:ascii="Times New Roman" w:hAnsi="Times New Roman"/>
        </w:rPr>
        <w:t xml:space="preserve"> </w:t>
      </w:r>
      <w:r>
        <w:rPr>
          <w:rFonts w:ascii="Times New Roman" w:hAnsi="Times New Roman"/>
        </w:rPr>
        <w:t xml:space="preserve">correlated </w:t>
      </w:r>
      <w:r w:rsidRPr="00A00300">
        <w:rPr>
          <w:rFonts w:ascii="Times New Roman" w:hAnsi="Times New Roman"/>
        </w:rPr>
        <w:t>patterns of violence with sociopolitical structure</w:t>
      </w:r>
      <w:r>
        <w:rPr>
          <w:rFonts w:ascii="Times New Roman" w:hAnsi="Times New Roman"/>
        </w:rPr>
        <w:t xml:space="preserve"> in the Eastern Woodland of North America.  He delineated</w:t>
      </w:r>
      <w:r w:rsidRPr="00A00300">
        <w:rPr>
          <w:rFonts w:ascii="Times New Roman" w:hAnsi="Times New Roman"/>
        </w:rPr>
        <w:t xml:space="preserve"> three broad sociopolitical categorie</w:t>
      </w:r>
      <w:r>
        <w:rPr>
          <w:rFonts w:ascii="Times New Roman" w:hAnsi="Times New Roman"/>
        </w:rPr>
        <w:t>s and the types of violence that</w:t>
      </w:r>
      <w:r w:rsidRPr="00A00300">
        <w:rPr>
          <w:rFonts w:ascii="Times New Roman" w:hAnsi="Times New Roman"/>
        </w:rPr>
        <w:t xml:space="preserve"> can be expected:  simple hunter-gatherers and self-redress homicides, complex hunter-gatherers and feuding, and regional polities (chiefdom</w:t>
      </w:r>
      <w:r>
        <w:rPr>
          <w:rFonts w:ascii="Times New Roman" w:hAnsi="Times New Roman"/>
        </w:rPr>
        <w:t>s) and warfare (Dye 1997</w:t>
      </w:r>
      <w:r w:rsidRPr="00A00300">
        <w:rPr>
          <w:rFonts w:ascii="Times New Roman" w:hAnsi="Times New Roman"/>
        </w:rPr>
        <w:t xml:space="preserve">). </w:t>
      </w:r>
    </w:p>
    <w:p w14:paraId="3BA317B5" w14:textId="100F9A44" w:rsidR="00BF0494" w:rsidRPr="00A00300" w:rsidRDefault="00BF0494" w:rsidP="008E2757">
      <w:pPr>
        <w:ind w:firstLine="720"/>
        <w:rPr>
          <w:rFonts w:ascii="Times New Roman" w:hAnsi="Times New Roman"/>
        </w:rPr>
      </w:pPr>
      <w:r w:rsidRPr="00A00300">
        <w:rPr>
          <w:rFonts w:ascii="Times New Roman" w:hAnsi="Times New Roman"/>
        </w:rPr>
        <w:t xml:space="preserve">  In tribe and band level societies without strong lineage lines, the predomin</w:t>
      </w:r>
      <w:r>
        <w:rPr>
          <w:rFonts w:ascii="Times New Roman" w:hAnsi="Times New Roman"/>
        </w:rPr>
        <w:t>ate form of lethal violence should</w:t>
      </w:r>
      <w:r w:rsidRPr="00A00300">
        <w:rPr>
          <w:rFonts w:ascii="Times New Roman" w:hAnsi="Times New Roman"/>
        </w:rPr>
        <w:t xml:space="preserve"> be self-redress homicides, in which individuals settle disputes and avenge perceived wrong doings.  Killing should be limited to one or two individuals at a time (Dye 1997:167).  These societies presumably lack</w:t>
      </w:r>
      <w:r>
        <w:rPr>
          <w:rFonts w:ascii="Times New Roman" w:hAnsi="Times New Roman"/>
        </w:rPr>
        <w:t>ed</w:t>
      </w:r>
      <w:r w:rsidRPr="00A00300">
        <w:rPr>
          <w:rFonts w:ascii="Times New Roman" w:hAnsi="Times New Roman"/>
        </w:rPr>
        <w:t xml:space="preserve"> the social organization to sustain conflict beyond the personal level.  In </w:t>
      </w:r>
      <w:r w:rsidR="00560CF1">
        <w:rPr>
          <w:rFonts w:ascii="Times New Roman" w:hAnsi="Times New Roman"/>
        </w:rPr>
        <w:t xml:space="preserve">a </w:t>
      </w:r>
      <w:r w:rsidRPr="00A00300">
        <w:rPr>
          <w:rFonts w:ascii="Times New Roman" w:hAnsi="Times New Roman"/>
        </w:rPr>
        <w:t xml:space="preserve">skeletal series, </w:t>
      </w:r>
      <w:r w:rsidR="00560CF1">
        <w:rPr>
          <w:rFonts w:ascii="Times New Roman" w:hAnsi="Times New Roman"/>
        </w:rPr>
        <w:t>one</w:t>
      </w:r>
      <w:r w:rsidRPr="00A00300">
        <w:rPr>
          <w:rFonts w:ascii="Times New Roman" w:hAnsi="Times New Roman"/>
        </w:rPr>
        <w:t xml:space="preserve"> would not expect to see </w:t>
      </w:r>
      <w:r>
        <w:rPr>
          <w:rFonts w:ascii="Times New Roman" w:hAnsi="Times New Roman"/>
        </w:rPr>
        <w:t xml:space="preserve">many </w:t>
      </w:r>
      <w:r w:rsidRPr="00A00300">
        <w:rPr>
          <w:rFonts w:ascii="Times New Roman" w:hAnsi="Times New Roman"/>
        </w:rPr>
        <w:t>healed fractures, mass graves, mutilation</w:t>
      </w:r>
      <w:r w:rsidR="00560CF1">
        <w:rPr>
          <w:rFonts w:ascii="Times New Roman" w:hAnsi="Times New Roman"/>
        </w:rPr>
        <w:t>,</w:t>
      </w:r>
      <w:r w:rsidRPr="00A00300">
        <w:rPr>
          <w:rFonts w:ascii="Times New Roman" w:hAnsi="Times New Roman"/>
        </w:rPr>
        <w:t xml:space="preserve"> or t</w:t>
      </w:r>
      <w:r w:rsidR="00EA7016">
        <w:rPr>
          <w:rFonts w:ascii="Times New Roman" w:hAnsi="Times New Roman"/>
        </w:rPr>
        <w:t>rophy taking.  Additionally, w</w:t>
      </w:r>
      <w:r w:rsidR="00560CF1">
        <w:rPr>
          <w:rFonts w:ascii="Times New Roman" w:hAnsi="Times New Roman"/>
        </w:rPr>
        <w:t>e</w:t>
      </w:r>
      <w:r w:rsidRPr="00A00300">
        <w:rPr>
          <w:rFonts w:ascii="Times New Roman" w:hAnsi="Times New Roman"/>
        </w:rPr>
        <w:t xml:space="preserve"> would not expect to see much evidence for rodent and carnivore gnawing because burials would have happened shortly after death.  Furthermore, most of the victims should be male (Dye 1997:171). </w:t>
      </w:r>
    </w:p>
    <w:p w14:paraId="7AD13D5D" w14:textId="73CDB18B" w:rsidR="00BF0494" w:rsidRPr="00A00300" w:rsidRDefault="00BF0494" w:rsidP="008E2757">
      <w:pPr>
        <w:ind w:firstLine="720"/>
        <w:rPr>
          <w:rFonts w:ascii="Times New Roman" w:hAnsi="Times New Roman"/>
        </w:rPr>
      </w:pPr>
      <w:r>
        <w:rPr>
          <w:rFonts w:ascii="Times New Roman" w:hAnsi="Times New Roman"/>
        </w:rPr>
        <w:t>According to Dye, c</w:t>
      </w:r>
      <w:r w:rsidRPr="00A00300">
        <w:rPr>
          <w:rFonts w:ascii="Times New Roman" w:hAnsi="Times New Roman"/>
        </w:rPr>
        <w:t>omplex hunter-gatherers with strong lineage ties allowed a feuding type of conflict resolution to develop.  Archaeological correlates may include territorial ma</w:t>
      </w:r>
      <w:r>
        <w:rPr>
          <w:rFonts w:ascii="Times New Roman" w:hAnsi="Times New Roman"/>
        </w:rPr>
        <w:t xml:space="preserve">rking by mounds and cemeteries </w:t>
      </w:r>
      <w:r w:rsidRPr="00A00300">
        <w:rPr>
          <w:rFonts w:ascii="Times New Roman" w:hAnsi="Times New Roman"/>
        </w:rPr>
        <w:t>and the manufacture and exchange of symbolic weaponry, specifically exotic bifaces (Dye 2013:137</w:t>
      </w:r>
      <w:r>
        <w:rPr>
          <w:rFonts w:ascii="Times New Roman" w:hAnsi="Times New Roman"/>
        </w:rPr>
        <w:t>-139).</w:t>
      </w:r>
      <w:r w:rsidRPr="00A00300">
        <w:rPr>
          <w:rFonts w:ascii="Times New Roman" w:hAnsi="Times New Roman"/>
        </w:rPr>
        <w:t xml:space="preserve">  Burials should include small groups of violent deaths, skeletal trauma in the form of peri-mortem mutilation associated with trophy-taking, and burials of individuals with embedded projectile points and broken and fractured bones (Dye 1997:173).  Feuding </w:t>
      </w:r>
      <w:r>
        <w:rPr>
          <w:rFonts w:ascii="Times New Roman" w:hAnsi="Times New Roman"/>
        </w:rPr>
        <w:t>might have</w:t>
      </w:r>
      <w:r w:rsidRPr="00A00300">
        <w:rPr>
          <w:rFonts w:ascii="Times New Roman" w:hAnsi="Times New Roman"/>
        </w:rPr>
        <w:t xml:space="preserve"> follow</w:t>
      </w:r>
      <w:r>
        <w:rPr>
          <w:rFonts w:ascii="Times New Roman" w:hAnsi="Times New Roman"/>
        </w:rPr>
        <w:t>ed</w:t>
      </w:r>
      <w:r w:rsidR="00372B11">
        <w:rPr>
          <w:rFonts w:ascii="Times New Roman" w:hAnsi="Times New Roman"/>
        </w:rPr>
        <w:t xml:space="preserve"> a homicide</w:t>
      </w:r>
      <w:r w:rsidRPr="00A00300">
        <w:rPr>
          <w:rFonts w:ascii="Times New Roman" w:hAnsi="Times New Roman"/>
        </w:rPr>
        <w:t>.  Both the original perpetrator of v</w:t>
      </w:r>
      <w:r>
        <w:rPr>
          <w:rFonts w:ascii="Times New Roman" w:hAnsi="Times New Roman"/>
        </w:rPr>
        <w:t>iolence as well as relatives were</w:t>
      </w:r>
      <w:r w:rsidRPr="00A00300">
        <w:rPr>
          <w:rFonts w:ascii="Times New Roman" w:hAnsi="Times New Roman"/>
        </w:rPr>
        <w:t xml:space="preserve"> considered fair targets, including women and children; indeed work parties of women and children may have often been targeted.  </w:t>
      </w:r>
    </w:p>
    <w:p w14:paraId="482C04FB" w14:textId="559CE135" w:rsidR="00BF0494" w:rsidRPr="00A00300" w:rsidRDefault="001E523F" w:rsidP="008E2757">
      <w:pPr>
        <w:ind w:firstLine="720"/>
        <w:rPr>
          <w:rFonts w:ascii="Times New Roman" w:hAnsi="Times New Roman"/>
        </w:rPr>
      </w:pPr>
      <w:r>
        <w:rPr>
          <w:rFonts w:ascii="Times New Roman" w:hAnsi="Times New Roman"/>
        </w:rPr>
        <w:t>Interestingly, Dye views</w:t>
      </w:r>
      <w:r w:rsidR="00BF0494" w:rsidRPr="00A00300">
        <w:rPr>
          <w:rFonts w:ascii="Times New Roman" w:hAnsi="Times New Roman"/>
        </w:rPr>
        <w:t xml:space="preserve"> in</w:t>
      </w:r>
      <w:r w:rsidR="00BF0494">
        <w:rPr>
          <w:rFonts w:ascii="Times New Roman" w:hAnsi="Times New Roman"/>
        </w:rPr>
        <w:t>creased violence, in the form of</w:t>
      </w:r>
      <w:r w:rsidR="00BF0494" w:rsidRPr="00A00300">
        <w:rPr>
          <w:rFonts w:ascii="Times New Roman" w:hAnsi="Times New Roman"/>
        </w:rPr>
        <w:t xml:space="preserve"> feuding, as a possible motivator in the increased ceremonialism of the Middle and Late Woodland.  Elaborate mortuary ceremonialism “may have resulted from innovative ways of forming alliances and institutions of cooperation,” (Dye 1997:174). </w:t>
      </w:r>
    </w:p>
    <w:p w14:paraId="5BC7F61C" w14:textId="5B78EC31" w:rsidR="00BF0494" w:rsidRDefault="00BF0494" w:rsidP="008E2757">
      <w:pPr>
        <w:ind w:firstLine="720"/>
        <w:rPr>
          <w:rFonts w:ascii="Times New Roman" w:hAnsi="Times New Roman"/>
        </w:rPr>
      </w:pPr>
      <w:r w:rsidRPr="00A00300">
        <w:rPr>
          <w:rFonts w:ascii="Times New Roman" w:hAnsi="Times New Roman"/>
        </w:rPr>
        <w:t xml:space="preserve">Regional polities (which include chiefdoms and tribes bound together by linguistic, political, or social affiliations) were able to pursue policies </w:t>
      </w:r>
      <w:r w:rsidR="00560CF1">
        <w:rPr>
          <w:rFonts w:ascii="Times New Roman" w:hAnsi="Times New Roman"/>
        </w:rPr>
        <w:t>of organized lethal aggression</w:t>
      </w:r>
      <w:r w:rsidRPr="00A00300">
        <w:rPr>
          <w:rFonts w:ascii="Times New Roman" w:hAnsi="Times New Roman"/>
        </w:rPr>
        <w:t xml:space="preserve"> or warfare (Dye 1997:175).  As defined here, warfare specifically excludes self-redress homicides and feud</w:t>
      </w:r>
      <w:r w:rsidR="001E523F">
        <w:rPr>
          <w:rFonts w:ascii="Times New Roman" w:hAnsi="Times New Roman"/>
        </w:rPr>
        <w:t>ing; rather warfare is seen as</w:t>
      </w:r>
      <w:r w:rsidRPr="00A00300">
        <w:rPr>
          <w:rFonts w:ascii="Times New Roman" w:hAnsi="Times New Roman"/>
        </w:rPr>
        <w:t xml:space="preserve"> organized, impersonal, and political.</w:t>
      </w:r>
      <w:r>
        <w:rPr>
          <w:rFonts w:ascii="Times New Roman" w:hAnsi="Times New Roman"/>
        </w:rPr>
        <w:t xml:space="preserve"> </w:t>
      </w:r>
      <w:r w:rsidRPr="00A00300">
        <w:rPr>
          <w:rFonts w:ascii="Times New Roman" w:hAnsi="Times New Roman"/>
        </w:rPr>
        <w:t xml:space="preserve"> Cere</w:t>
      </w:r>
      <w:r w:rsidR="00560CF1">
        <w:rPr>
          <w:rFonts w:ascii="Times New Roman" w:hAnsi="Times New Roman"/>
        </w:rPr>
        <w:t>monial regalia, including pipes</w:t>
      </w:r>
      <w:r w:rsidRPr="00A00300">
        <w:rPr>
          <w:rFonts w:ascii="Times New Roman" w:hAnsi="Times New Roman"/>
        </w:rPr>
        <w:t xml:space="preserve"> and symbolic weaponry</w:t>
      </w:r>
      <w:r w:rsidR="00560CF1">
        <w:rPr>
          <w:rFonts w:ascii="Times New Roman" w:hAnsi="Times New Roman"/>
        </w:rPr>
        <w:t>,</w:t>
      </w:r>
      <w:r w:rsidRPr="00A00300">
        <w:rPr>
          <w:rFonts w:ascii="Times New Roman" w:hAnsi="Times New Roman"/>
        </w:rPr>
        <w:t xml:space="preserve"> are interpreted as efforts at establishing p</w:t>
      </w:r>
      <w:r>
        <w:rPr>
          <w:rFonts w:ascii="Times New Roman" w:hAnsi="Times New Roman"/>
        </w:rPr>
        <w:t xml:space="preserve">eace (Dye:1997:176).  The </w:t>
      </w:r>
      <w:r w:rsidRPr="00A00300">
        <w:rPr>
          <w:rFonts w:ascii="Times New Roman" w:hAnsi="Times New Roman"/>
        </w:rPr>
        <w:t>substantial cost of organized warfare is seen as funded by the storable surplus brought about by agriculture.</w:t>
      </w:r>
    </w:p>
    <w:p w14:paraId="213983B7" w14:textId="2FCAFA06" w:rsidR="00BF0494" w:rsidRDefault="00EA7016" w:rsidP="008E2757">
      <w:pPr>
        <w:ind w:firstLine="720"/>
        <w:rPr>
          <w:rFonts w:ascii="Times New Roman" w:hAnsi="Times New Roman"/>
        </w:rPr>
      </w:pPr>
      <w:r>
        <w:rPr>
          <w:rFonts w:ascii="Times New Roman" w:hAnsi="Times New Roman"/>
        </w:rPr>
        <w:t>Under this model</w:t>
      </w:r>
      <w:r w:rsidR="00BF0494" w:rsidRPr="00A00300">
        <w:rPr>
          <w:rFonts w:ascii="Times New Roman" w:hAnsi="Times New Roman"/>
        </w:rPr>
        <w:t xml:space="preserve"> of conflict constrained by sociopolitical development, Fourche Maline complex hunter-gatherers of the </w:t>
      </w:r>
      <w:r w:rsidR="00CF609A">
        <w:rPr>
          <w:rFonts w:ascii="Times New Roman" w:hAnsi="Times New Roman"/>
        </w:rPr>
        <w:t>Wister area</w:t>
      </w:r>
      <w:r w:rsidR="00BF0494" w:rsidRPr="00A00300">
        <w:rPr>
          <w:rFonts w:ascii="Times New Roman" w:hAnsi="Times New Roman"/>
        </w:rPr>
        <w:t xml:space="preserve"> </w:t>
      </w:r>
      <w:r>
        <w:rPr>
          <w:rFonts w:ascii="Times New Roman" w:hAnsi="Times New Roman"/>
        </w:rPr>
        <w:t>most likely engaged in violence best characterized by</w:t>
      </w:r>
      <w:r w:rsidR="00BF0494" w:rsidRPr="00A00300">
        <w:rPr>
          <w:rFonts w:ascii="Times New Roman" w:hAnsi="Times New Roman"/>
        </w:rPr>
        <w:t xml:space="preserve"> feuding.  </w:t>
      </w:r>
      <w:r>
        <w:rPr>
          <w:rFonts w:ascii="Times New Roman" w:hAnsi="Times New Roman"/>
        </w:rPr>
        <w:t>Evidence for this hypothesis should be apparent</w:t>
      </w:r>
      <w:r w:rsidR="00BF0494" w:rsidRPr="00A00300">
        <w:rPr>
          <w:rFonts w:ascii="Times New Roman" w:hAnsi="Times New Roman"/>
        </w:rPr>
        <w:t xml:space="preserve"> in the burials.  Specifically we sh</w:t>
      </w:r>
      <w:r w:rsidR="00BF0494">
        <w:rPr>
          <w:rFonts w:ascii="Times New Roman" w:hAnsi="Times New Roman"/>
        </w:rPr>
        <w:t xml:space="preserve">ould expect to see burials with </w:t>
      </w:r>
      <w:r w:rsidR="00BF0494" w:rsidRPr="00A00300">
        <w:rPr>
          <w:rFonts w:ascii="Times New Roman" w:hAnsi="Times New Roman"/>
        </w:rPr>
        <w:t>skeletal trauma in the form of broken and fractured bones, embedded projectile points (i</w:t>
      </w:r>
      <w:r w:rsidR="00560CF1">
        <w:rPr>
          <w:rFonts w:ascii="Times New Roman" w:hAnsi="Times New Roman"/>
        </w:rPr>
        <w:t>ncluding pin-cushioning burials</w:t>
      </w:r>
      <w:r w:rsidR="00BF0494" w:rsidRPr="00A00300">
        <w:rPr>
          <w:rFonts w:ascii="Times New Roman" w:hAnsi="Times New Roman"/>
        </w:rPr>
        <w:t xml:space="preserve"> in which an individual i</w:t>
      </w:r>
      <w:r w:rsidR="00BF0494">
        <w:rPr>
          <w:rFonts w:ascii="Times New Roman" w:hAnsi="Times New Roman"/>
        </w:rPr>
        <w:t>s shot full of arrows or darts) and trophy taking behavior (Dye 2013:139-141).  M</w:t>
      </w:r>
      <w:r w:rsidR="00BF0494" w:rsidRPr="00A00300">
        <w:rPr>
          <w:rFonts w:ascii="Times New Roman" w:hAnsi="Times New Roman"/>
        </w:rPr>
        <w:t>ass or group burials</w:t>
      </w:r>
      <w:r w:rsidR="00BF0494">
        <w:rPr>
          <w:rFonts w:ascii="Times New Roman" w:hAnsi="Times New Roman"/>
        </w:rPr>
        <w:t xml:space="preserve"> (i.e. a burial in which more than one individual was interred at the same time) should also be evident.</w:t>
      </w:r>
      <w:r w:rsidR="00BF0494" w:rsidRPr="00A00300">
        <w:rPr>
          <w:rFonts w:ascii="Times New Roman" w:hAnsi="Times New Roman"/>
        </w:rPr>
        <w:t xml:space="preserve"> </w:t>
      </w:r>
      <w:r w:rsidR="00BF0494">
        <w:rPr>
          <w:rFonts w:ascii="Times New Roman" w:hAnsi="Times New Roman"/>
        </w:rPr>
        <w:t xml:space="preserve"> </w:t>
      </w:r>
      <w:r w:rsidR="00BF0494" w:rsidRPr="00A00300">
        <w:rPr>
          <w:rFonts w:ascii="Times New Roman" w:hAnsi="Times New Roman"/>
        </w:rPr>
        <w:t>Many of the mass or group burials may be the result of raiding parties (where a group of warriors targets a small group or work party) and thus small group burials of women and children should be expected (Dye 1997).  While these correlates sound straightforward, discerning skeletal trauma</w:t>
      </w:r>
      <w:r w:rsidR="00BF0494">
        <w:rPr>
          <w:rFonts w:ascii="Times New Roman" w:hAnsi="Times New Roman"/>
        </w:rPr>
        <w:t xml:space="preserve"> and group burials</w:t>
      </w:r>
      <w:r w:rsidR="00BF0494" w:rsidRPr="00A00300">
        <w:rPr>
          <w:rFonts w:ascii="Times New Roman" w:hAnsi="Times New Roman"/>
        </w:rPr>
        <w:t xml:space="preserve"> is actually quite complex and requires further knowledge, theory</w:t>
      </w:r>
      <w:r w:rsidR="00BF0494">
        <w:rPr>
          <w:rFonts w:ascii="Times New Roman" w:hAnsi="Times New Roman"/>
        </w:rPr>
        <w:t>, and methodology to differentiate</w:t>
      </w:r>
      <w:r w:rsidR="00BF0494" w:rsidRPr="00A00300">
        <w:rPr>
          <w:rFonts w:ascii="Times New Roman" w:hAnsi="Times New Roman"/>
        </w:rPr>
        <w:t xml:space="preserve"> conflict based trauma from mere accidents.</w:t>
      </w:r>
    </w:p>
    <w:p w14:paraId="050183C2" w14:textId="77777777" w:rsidR="001E523F" w:rsidRPr="00A00300" w:rsidRDefault="001E523F" w:rsidP="001E523F">
      <w:pPr>
        <w:spacing w:line="240" w:lineRule="auto"/>
        <w:ind w:firstLine="720"/>
        <w:rPr>
          <w:rFonts w:ascii="Times New Roman" w:hAnsi="Times New Roman"/>
        </w:rPr>
      </w:pPr>
    </w:p>
    <w:p w14:paraId="367EBA67" w14:textId="77777777" w:rsidR="00BF0494" w:rsidRDefault="00BF0494" w:rsidP="00CB4ED0">
      <w:pPr>
        <w:pStyle w:val="Heading2"/>
      </w:pPr>
      <w:bookmarkStart w:id="17" w:name="_Toc261025838"/>
      <w:r>
        <w:t>Skeletal Trauma</w:t>
      </w:r>
      <w:bookmarkEnd w:id="17"/>
    </w:p>
    <w:p w14:paraId="36C1E0BA" w14:textId="04A2BE5E" w:rsidR="00BF0494" w:rsidRPr="00A00300" w:rsidRDefault="00BF0494" w:rsidP="008E2757">
      <w:pPr>
        <w:ind w:firstLine="720"/>
        <w:rPr>
          <w:rFonts w:ascii="Times New Roman" w:hAnsi="Times New Roman"/>
        </w:rPr>
      </w:pPr>
      <w:r w:rsidRPr="00A00300">
        <w:rPr>
          <w:rFonts w:ascii="Times New Roman" w:hAnsi="Times New Roman"/>
        </w:rPr>
        <w:t>Interpreting trauma in the skeletal remains is of course a complex endeavor.  Some researchers (e.g. Jurmain</w:t>
      </w:r>
      <w:r w:rsidR="008C719B">
        <w:rPr>
          <w:rFonts w:ascii="Times New Roman" w:hAnsi="Times New Roman"/>
        </w:rPr>
        <w:t xml:space="preserve"> et al. 2009</w:t>
      </w:r>
      <w:r w:rsidR="00560CF1">
        <w:rPr>
          <w:rFonts w:ascii="Times New Roman" w:hAnsi="Times New Roman"/>
        </w:rPr>
        <w:t>) emphasize that one</w:t>
      </w:r>
      <w:r w:rsidRPr="00A00300">
        <w:rPr>
          <w:rFonts w:ascii="Times New Roman" w:hAnsi="Times New Roman"/>
        </w:rPr>
        <w:t xml:space="preserve"> may never be able to determine if an injury was accidental or purposeful.  Other researchers are more optimistic, if cautiously so.  Before any interpretation can be attempted, accurate and detailed description and recording (including, when possible, photographs, drawings, x rays, and microsc</w:t>
      </w:r>
      <w:r>
        <w:rPr>
          <w:rFonts w:ascii="Times New Roman" w:hAnsi="Times New Roman"/>
        </w:rPr>
        <w:t>opy) must be performed (Lovell 1</w:t>
      </w:r>
      <w:r w:rsidRPr="00A00300">
        <w:rPr>
          <w:rFonts w:ascii="Times New Roman" w:hAnsi="Times New Roman"/>
        </w:rPr>
        <w:t>997, 2008).  Once that has been accomplished, it is necessary to determine if the trauma was caused before death (ante-mortem), right around the time of death (peri-mortem), or after death (post-mortem).</w:t>
      </w:r>
    </w:p>
    <w:p w14:paraId="46D71B35" w14:textId="361ABBBF" w:rsidR="00BF0494" w:rsidRPr="00A00300" w:rsidRDefault="00BF0494" w:rsidP="008E2757">
      <w:pPr>
        <w:ind w:firstLine="720"/>
        <w:rPr>
          <w:rFonts w:ascii="Times New Roman" w:hAnsi="Times New Roman"/>
        </w:rPr>
      </w:pPr>
      <w:r w:rsidRPr="00A00300">
        <w:rPr>
          <w:rFonts w:ascii="Times New Roman" w:hAnsi="Times New Roman"/>
        </w:rPr>
        <w:t xml:space="preserve">Trauma to bone after death is referred to as </w:t>
      </w:r>
      <w:r w:rsidR="004459A3">
        <w:rPr>
          <w:rFonts w:ascii="Times New Roman" w:hAnsi="Times New Roman"/>
        </w:rPr>
        <w:t>pseudo</w:t>
      </w:r>
      <w:r w:rsidRPr="00A00300">
        <w:rPr>
          <w:rFonts w:ascii="Times New Roman" w:hAnsi="Times New Roman"/>
        </w:rPr>
        <w:t>pathology.  Numerous chemical processes (e.g. decomposition), biological processes (e.g. fungus, roots), and physical processes (e.g. fire, pressure, water, dispersion by elements or animals) can alter or da</w:t>
      </w:r>
      <w:r w:rsidR="004459A3">
        <w:rPr>
          <w:rFonts w:ascii="Times New Roman" w:hAnsi="Times New Roman"/>
        </w:rPr>
        <w:t>mage skeletal material (Aufderh</w:t>
      </w:r>
      <w:r w:rsidRPr="00A00300">
        <w:rPr>
          <w:rFonts w:ascii="Times New Roman" w:hAnsi="Times New Roman"/>
        </w:rPr>
        <w:t>e</w:t>
      </w:r>
      <w:r w:rsidR="004459A3">
        <w:rPr>
          <w:rFonts w:ascii="Times New Roman" w:hAnsi="Times New Roman"/>
        </w:rPr>
        <w:t>i</w:t>
      </w:r>
      <w:r w:rsidRPr="00A00300">
        <w:rPr>
          <w:rFonts w:ascii="Times New Roman" w:hAnsi="Times New Roman"/>
        </w:rPr>
        <w:t>de and Rodrigues-Martin 1998, Ortner 2003, White and Folkens 2003).  Differentiating ps</w:t>
      </w:r>
      <w:r w:rsidR="004459A3">
        <w:rPr>
          <w:rFonts w:ascii="Times New Roman" w:hAnsi="Times New Roman"/>
        </w:rPr>
        <w:t>e</w:t>
      </w:r>
      <w:r w:rsidRPr="00A00300">
        <w:rPr>
          <w:rFonts w:ascii="Times New Roman" w:hAnsi="Times New Roman"/>
        </w:rPr>
        <w:t>udopathology from peri-mortem fractures is often challenging; however there are some guidelines.  Dry bone (post-mortem) tends to fracture along sharp or acute angles, and may resemble chalk dust or splinters, while live bone (peri-mortem) fractures are more rounded with fewer acute angles, and look like breaks in plastic, since living bone i</w:t>
      </w:r>
      <w:r w:rsidR="007A756C">
        <w:rPr>
          <w:rFonts w:ascii="Times New Roman" w:hAnsi="Times New Roman"/>
        </w:rPr>
        <w:t>s highly resilient.  A</w:t>
      </w:r>
      <w:r w:rsidRPr="00A00300">
        <w:rPr>
          <w:rFonts w:ascii="Times New Roman" w:hAnsi="Times New Roman"/>
        </w:rPr>
        <w:t xml:space="preserve">ny sign of </w:t>
      </w:r>
      <w:r>
        <w:rPr>
          <w:rFonts w:ascii="Times New Roman" w:hAnsi="Times New Roman"/>
        </w:rPr>
        <w:t>bone growth</w:t>
      </w:r>
      <w:r w:rsidRPr="00A00300">
        <w:rPr>
          <w:rFonts w:ascii="Times New Roman" w:hAnsi="Times New Roman"/>
        </w:rPr>
        <w:t xml:space="preserve"> automatically marks the le</w:t>
      </w:r>
      <w:r w:rsidR="007A756C">
        <w:rPr>
          <w:rFonts w:ascii="Times New Roman" w:hAnsi="Times New Roman"/>
        </w:rPr>
        <w:t>sion as ante-mortem.  A</w:t>
      </w:r>
      <w:r w:rsidRPr="00A00300">
        <w:rPr>
          <w:rFonts w:ascii="Times New Roman" w:hAnsi="Times New Roman"/>
        </w:rPr>
        <w:t xml:space="preserve">lthough </w:t>
      </w:r>
      <w:r>
        <w:rPr>
          <w:rFonts w:ascii="Times New Roman" w:hAnsi="Times New Roman"/>
        </w:rPr>
        <w:t>bone repair</w:t>
      </w:r>
      <w:r w:rsidRPr="00A00300">
        <w:rPr>
          <w:rFonts w:ascii="Times New Roman" w:hAnsi="Times New Roman"/>
        </w:rPr>
        <w:t xml:space="preserve"> begins almost immediately after an injury occurs, it may take two or three weeks to be visible, so some ante-mortem injuries may be indistinguishable from peri-mortem injuries.  Further complicating interpretation, some clearly ante-mortem injuries may have contributed to death, especially if the injuries were extensive a</w:t>
      </w:r>
      <w:r>
        <w:rPr>
          <w:rFonts w:ascii="Times New Roman" w:hAnsi="Times New Roman"/>
        </w:rPr>
        <w:t>nd/or severe and if infection had</w:t>
      </w:r>
      <w:r w:rsidRPr="00A00300">
        <w:rPr>
          <w:rFonts w:ascii="Times New Roman" w:hAnsi="Times New Roman"/>
        </w:rPr>
        <w:t xml:space="preserve"> set in (the infection may or may not leave visible lesions).  </w:t>
      </w:r>
    </w:p>
    <w:p w14:paraId="453B9FB6" w14:textId="6660D2F5" w:rsidR="00BF0494" w:rsidRDefault="00BF0494" w:rsidP="008E2757">
      <w:pPr>
        <w:ind w:firstLine="720"/>
        <w:rPr>
          <w:rFonts w:ascii="Times New Roman" w:hAnsi="Times New Roman"/>
        </w:rPr>
      </w:pPr>
      <w:r w:rsidRPr="00A00300">
        <w:rPr>
          <w:rFonts w:ascii="Times New Roman" w:hAnsi="Times New Roman"/>
        </w:rPr>
        <w:t>Post-mortem animal gnawi</w:t>
      </w:r>
      <w:r w:rsidR="00AA30E3">
        <w:rPr>
          <w:rFonts w:ascii="Times New Roman" w:hAnsi="Times New Roman"/>
        </w:rPr>
        <w:t>ng can be particularly vexing</w:t>
      </w:r>
      <w:r w:rsidRPr="00A00300">
        <w:rPr>
          <w:rFonts w:ascii="Times New Roman" w:hAnsi="Times New Roman"/>
        </w:rPr>
        <w:t xml:space="preserve"> when trying to interpret bone lesions.  Both rodents and carnivores gnaw on bones.  Indeed, it sometimes seems as if rodents are particula</w:t>
      </w:r>
      <w:r w:rsidR="007A756C">
        <w:rPr>
          <w:rFonts w:ascii="Times New Roman" w:hAnsi="Times New Roman"/>
        </w:rPr>
        <w:t>rly drawn to periosteal lesions</w:t>
      </w:r>
      <w:r w:rsidRPr="00A00300">
        <w:rPr>
          <w:rFonts w:ascii="Times New Roman" w:hAnsi="Times New Roman"/>
        </w:rPr>
        <w:t xml:space="preserve"> and their gnawing may obscure </w:t>
      </w:r>
      <w:r w:rsidR="00287639">
        <w:rPr>
          <w:rFonts w:ascii="Times New Roman" w:hAnsi="Times New Roman"/>
        </w:rPr>
        <w:t xml:space="preserve">the </w:t>
      </w:r>
      <w:r w:rsidRPr="00A00300">
        <w:rPr>
          <w:rFonts w:ascii="Times New Roman" w:hAnsi="Times New Roman"/>
        </w:rPr>
        <w:t>signs of</w:t>
      </w:r>
      <w:r w:rsidR="00287639">
        <w:rPr>
          <w:rFonts w:ascii="Times New Roman" w:hAnsi="Times New Roman"/>
        </w:rPr>
        <w:t xml:space="preserve"> healing</w:t>
      </w:r>
      <w:r w:rsidRPr="00A00300">
        <w:rPr>
          <w:rFonts w:ascii="Times New Roman" w:hAnsi="Times New Roman"/>
        </w:rPr>
        <w:t xml:space="preserve"> </w:t>
      </w:r>
      <w:r w:rsidR="00287639">
        <w:rPr>
          <w:rFonts w:ascii="Times New Roman" w:hAnsi="Times New Roman"/>
        </w:rPr>
        <w:t>(bone</w:t>
      </w:r>
      <w:r w:rsidRPr="00A00300">
        <w:rPr>
          <w:rFonts w:ascii="Times New Roman" w:hAnsi="Times New Roman"/>
        </w:rPr>
        <w:t xml:space="preserve"> growth</w:t>
      </w:r>
      <w:r w:rsidR="00287639">
        <w:rPr>
          <w:rFonts w:ascii="Times New Roman" w:hAnsi="Times New Roman"/>
        </w:rPr>
        <w:t>) at the</w:t>
      </w:r>
      <w:r w:rsidRPr="00A00300">
        <w:rPr>
          <w:rFonts w:ascii="Times New Roman" w:hAnsi="Times New Roman"/>
        </w:rPr>
        <w:t xml:space="preserve"> fracture</w:t>
      </w:r>
      <w:r w:rsidR="00287639">
        <w:rPr>
          <w:rFonts w:ascii="Times New Roman" w:hAnsi="Times New Roman"/>
        </w:rPr>
        <w:t xml:space="preserve"> site</w:t>
      </w:r>
      <w:r w:rsidRPr="00A00300">
        <w:rPr>
          <w:rFonts w:ascii="Times New Roman" w:hAnsi="Times New Roman"/>
        </w:rPr>
        <w:t xml:space="preserve">.  Carnivores tend to target the ends of long bones as well as the face and buttocks (Milner and Smith 1989).  </w:t>
      </w:r>
    </w:p>
    <w:p w14:paraId="1B6AF2B2" w14:textId="632FFB8B" w:rsidR="00BF0494" w:rsidRPr="00A00300" w:rsidRDefault="00BF0494" w:rsidP="008E2757">
      <w:pPr>
        <w:ind w:firstLine="720"/>
        <w:rPr>
          <w:rFonts w:ascii="Times New Roman" w:hAnsi="Times New Roman"/>
        </w:rPr>
      </w:pPr>
      <w:r>
        <w:rPr>
          <w:rFonts w:ascii="Times New Roman" w:hAnsi="Times New Roman"/>
        </w:rPr>
        <w:t>Bundle burials refer to remains that have been tightly “bundled,” usually in cloth.  However b</w:t>
      </w:r>
      <w:r w:rsidRPr="00A00300">
        <w:rPr>
          <w:rFonts w:ascii="Times New Roman" w:hAnsi="Times New Roman"/>
        </w:rPr>
        <w:t>urials that included only a few long bones in a pile are often</w:t>
      </w:r>
      <w:r>
        <w:rPr>
          <w:rFonts w:ascii="Times New Roman" w:hAnsi="Times New Roman"/>
        </w:rPr>
        <w:t xml:space="preserve"> referred to as “bundle burials,</w:t>
      </w:r>
      <w:r w:rsidRPr="00A00300">
        <w:rPr>
          <w:rFonts w:ascii="Times New Roman" w:hAnsi="Times New Roman"/>
        </w:rPr>
        <w:t>”</w:t>
      </w:r>
      <w:r>
        <w:rPr>
          <w:rFonts w:ascii="Times New Roman" w:hAnsi="Times New Roman"/>
        </w:rPr>
        <w:t xml:space="preserve"> especially in older literature.  </w:t>
      </w:r>
      <w:r w:rsidRPr="00A00300">
        <w:rPr>
          <w:rFonts w:ascii="Times New Roman" w:hAnsi="Times New Roman"/>
        </w:rPr>
        <w:t>These remains should be examined for evid</w:t>
      </w:r>
      <w:r w:rsidR="00AA30E3">
        <w:rPr>
          <w:rFonts w:ascii="Times New Roman" w:hAnsi="Times New Roman"/>
        </w:rPr>
        <w:t>ence of carnivore gnawing, because</w:t>
      </w:r>
      <w:r w:rsidRPr="00A00300">
        <w:rPr>
          <w:rFonts w:ascii="Times New Roman" w:hAnsi="Times New Roman"/>
        </w:rPr>
        <w:t xml:space="preserve"> these burials may </w:t>
      </w:r>
      <w:r w:rsidR="007A756C">
        <w:rPr>
          <w:rFonts w:ascii="Times New Roman" w:hAnsi="Times New Roman"/>
        </w:rPr>
        <w:t>be the remains of an individual</w:t>
      </w:r>
      <w:r w:rsidRPr="00A00300">
        <w:rPr>
          <w:rFonts w:ascii="Times New Roman" w:hAnsi="Times New Roman"/>
        </w:rPr>
        <w:t xml:space="preserve"> who died away from the group (probably the re</w:t>
      </w:r>
      <w:r>
        <w:rPr>
          <w:rFonts w:ascii="Times New Roman" w:hAnsi="Times New Roman"/>
        </w:rPr>
        <w:t xml:space="preserve">sult of a raiding party) </w:t>
      </w:r>
      <w:r w:rsidR="007A756C">
        <w:rPr>
          <w:rFonts w:ascii="Times New Roman" w:hAnsi="Times New Roman"/>
        </w:rPr>
        <w:t xml:space="preserve">and </w:t>
      </w:r>
      <w:r>
        <w:rPr>
          <w:rFonts w:ascii="Times New Roman" w:hAnsi="Times New Roman"/>
        </w:rPr>
        <w:t>who were</w:t>
      </w:r>
      <w:r w:rsidRPr="00A00300">
        <w:rPr>
          <w:rFonts w:ascii="Times New Roman" w:hAnsi="Times New Roman"/>
        </w:rPr>
        <w:t xml:space="preserve"> later found and brought back for burial (Milner and Smith 1989).  </w:t>
      </w:r>
      <w:r>
        <w:rPr>
          <w:rFonts w:ascii="Times New Roman" w:hAnsi="Times New Roman"/>
        </w:rPr>
        <w:t>Some cultures routinely expose</w:t>
      </w:r>
      <w:r w:rsidR="00287639">
        <w:rPr>
          <w:rFonts w:ascii="Times New Roman" w:hAnsi="Times New Roman"/>
        </w:rPr>
        <w:t>d</w:t>
      </w:r>
      <w:r>
        <w:rPr>
          <w:rFonts w:ascii="Times New Roman" w:hAnsi="Times New Roman"/>
        </w:rPr>
        <w:t xml:space="preserve"> the dead </w:t>
      </w:r>
      <w:r w:rsidR="00287639">
        <w:rPr>
          <w:rFonts w:ascii="Times New Roman" w:hAnsi="Times New Roman"/>
        </w:rPr>
        <w:t>for a period of time</w:t>
      </w:r>
      <w:r w:rsidRPr="00A00300">
        <w:rPr>
          <w:rFonts w:ascii="Times New Roman" w:hAnsi="Times New Roman"/>
        </w:rPr>
        <w:t xml:space="preserve">, </w:t>
      </w:r>
      <w:r>
        <w:rPr>
          <w:rFonts w:ascii="Times New Roman" w:hAnsi="Times New Roman"/>
        </w:rPr>
        <w:t>in which case interpretation must be adjusted.</w:t>
      </w:r>
    </w:p>
    <w:p w14:paraId="70ED4784" w14:textId="1B9ED052" w:rsidR="00BF0494" w:rsidRDefault="00BF0494" w:rsidP="008E2757">
      <w:pPr>
        <w:ind w:firstLine="720"/>
        <w:rPr>
          <w:rFonts w:ascii="Times New Roman" w:hAnsi="Times New Roman"/>
        </w:rPr>
      </w:pPr>
      <w:r w:rsidRPr="00A00300">
        <w:rPr>
          <w:rFonts w:ascii="Times New Roman" w:hAnsi="Times New Roman"/>
        </w:rPr>
        <w:t>Once bone lesions have been thoroughly described and documented</w:t>
      </w:r>
      <w:r w:rsidR="007A756C">
        <w:rPr>
          <w:rFonts w:ascii="Times New Roman" w:hAnsi="Times New Roman"/>
        </w:rPr>
        <w:t>,</w:t>
      </w:r>
      <w:r w:rsidRPr="00A00300">
        <w:rPr>
          <w:rFonts w:ascii="Times New Roman" w:hAnsi="Times New Roman"/>
        </w:rPr>
        <w:t xml:space="preserve"> and psuedopathologies ruled out, </w:t>
      </w:r>
      <w:r>
        <w:rPr>
          <w:rFonts w:ascii="Times New Roman" w:hAnsi="Times New Roman"/>
        </w:rPr>
        <w:t>assessment and</w:t>
      </w:r>
      <w:r w:rsidRPr="00A00300">
        <w:rPr>
          <w:rFonts w:ascii="Times New Roman" w:hAnsi="Times New Roman"/>
        </w:rPr>
        <w:t xml:space="preserve"> interpretation of skeletal injuries can begin.  Patterns of injuries must be examined, both at</w:t>
      </w:r>
      <w:r>
        <w:rPr>
          <w:rFonts w:ascii="Times New Roman" w:hAnsi="Times New Roman"/>
        </w:rPr>
        <w:t xml:space="preserve"> the individual level </w:t>
      </w:r>
      <w:r w:rsidRPr="00A00300">
        <w:rPr>
          <w:rFonts w:ascii="Times New Roman" w:hAnsi="Times New Roman"/>
        </w:rPr>
        <w:t xml:space="preserve">and at the population level. </w:t>
      </w:r>
    </w:p>
    <w:p w14:paraId="59DD7D46" w14:textId="77777777" w:rsidR="00BF0494" w:rsidRDefault="00BF0494" w:rsidP="009C5432">
      <w:pPr>
        <w:pStyle w:val="Heading3"/>
      </w:pPr>
      <w:bookmarkStart w:id="18" w:name="_Toc261025839"/>
      <w:r>
        <w:t>Broken and Fractured Bone</w:t>
      </w:r>
      <w:bookmarkEnd w:id="18"/>
    </w:p>
    <w:p w14:paraId="211BDD0B" w14:textId="4D5E8693" w:rsidR="00BF0494" w:rsidRDefault="004272A3" w:rsidP="008E2757">
      <w:pPr>
        <w:ind w:firstLine="720"/>
        <w:rPr>
          <w:rFonts w:ascii="Times New Roman" w:hAnsi="Times New Roman"/>
        </w:rPr>
      </w:pPr>
      <w:r>
        <w:rPr>
          <w:rFonts w:ascii="Times New Roman" w:hAnsi="Times New Roman"/>
        </w:rPr>
        <w:t>A bone fracture</w:t>
      </w:r>
      <w:r w:rsidR="00BF0494" w:rsidRPr="00266741">
        <w:rPr>
          <w:rFonts w:ascii="Times New Roman" w:hAnsi="Times New Roman"/>
        </w:rPr>
        <w:t xml:space="preserve"> can be defined as “any traumatic event that results in a partial or complete discontinuity </w:t>
      </w:r>
      <w:r w:rsidR="007A756C">
        <w:rPr>
          <w:rFonts w:ascii="Times New Roman" w:hAnsi="Times New Roman"/>
        </w:rPr>
        <w:t>of the bone,” (Ortner 2003:120)</w:t>
      </w:r>
      <w:r w:rsidR="00BF0494" w:rsidRPr="00266741">
        <w:rPr>
          <w:rFonts w:ascii="Times New Roman" w:hAnsi="Times New Roman"/>
        </w:rPr>
        <w:t xml:space="preserve"> and broadly includes projectile wounds and surgical procedures.  </w:t>
      </w:r>
      <w:r w:rsidR="00BF0494">
        <w:rPr>
          <w:rFonts w:ascii="Times New Roman" w:hAnsi="Times New Roman"/>
        </w:rPr>
        <w:t>Fractures can be caused by acute trauma, repeated stress, or by an underlying disease condition that weakens the bone (Roberts and Mancheter 2005:90).  F</w:t>
      </w:r>
      <w:r w:rsidR="00BF0494" w:rsidRPr="00A00300">
        <w:rPr>
          <w:rFonts w:ascii="Times New Roman" w:hAnsi="Times New Roman"/>
        </w:rPr>
        <w:t xml:space="preserve">ractures due to osteoporosis may be more common than previously realized.  One modern clinical study estimated that about 30% of fractures in men and 66% of fractures in women are potentially osteoporotic (Court-Brown and Caesar 2006).  </w:t>
      </w:r>
    </w:p>
    <w:p w14:paraId="44FBB714" w14:textId="52D54453" w:rsidR="00BF0494" w:rsidRDefault="00BF0494" w:rsidP="008E2757">
      <w:pPr>
        <w:ind w:firstLine="720"/>
        <w:rPr>
          <w:rFonts w:ascii="Times New Roman" w:hAnsi="Times New Roman"/>
        </w:rPr>
      </w:pPr>
      <w:r>
        <w:rPr>
          <w:rFonts w:ascii="Times New Roman" w:hAnsi="Times New Roman"/>
        </w:rPr>
        <w:t xml:space="preserve">The various types of fractures are well described in standard paleopathological textbooks (e.g. </w:t>
      </w:r>
      <w:r w:rsidRPr="00EC657F">
        <w:rPr>
          <w:rFonts w:ascii="Times New Roman" w:hAnsi="Times New Roman"/>
        </w:rPr>
        <w:t>Aufderheide and Rodriguez-Martin 1998, Ortner</w:t>
      </w:r>
      <w:r w:rsidR="007A756C">
        <w:rPr>
          <w:rFonts w:ascii="Times New Roman" w:hAnsi="Times New Roman"/>
        </w:rPr>
        <w:t xml:space="preserve"> 2003</w:t>
      </w:r>
      <w:r>
        <w:rPr>
          <w:rFonts w:ascii="Times New Roman" w:hAnsi="Times New Roman"/>
        </w:rPr>
        <w:t xml:space="preserve">) and will not </w:t>
      </w:r>
      <w:r w:rsidR="00287639">
        <w:rPr>
          <w:rFonts w:ascii="Times New Roman" w:hAnsi="Times New Roman"/>
        </w:rPr>
        <w:t xml:space="preserve">be </w:t>
      </w:r>
      <w:r>
        <w:rPr>
          <w:rFonts w:ascii="Times New Roman" w:hAnsi="Times New Roman"/>
        </w:rPr>
        <w:t>reviewed here.  Although many factors can affect the rate of healing, the process itself is well understood (see Ortner 2003 or Lovell 1997 for a review).  In modern clinical studies, t</w:t>
      </w:r>
      <w:r w:rsidRPr="00A00300">
        <w:rPr>
          <w:rFonts w:ascii="Times New Roman" w:hAnsi="Times New Roman"/>
        </w:rPr>
        <w:t>he frequency of skeletal fr</w:t>
      </w:r>
      <w:r>
        <w:rPr>
          <w:rFonts w:ascii="Times New Roman" w:hAnsi="Times New Roman"/>
        </w:rPr>
        <w:t>actures in different populations is</w:t>
      </w:r>
      <w:r w:rsidRPr="00A00300">
        <w:rPr>
          <w:rFonts w:ascii="Times New Roman" w:hAnsi="Times New Roman"/>
        </w:rPr>
        <w:t xml:space="preserve"> highly variable.  </w:t>
      </w:r>
      <w:r>
        <w:rPr>
          <w:rFonts w:ascii="Times New Roman" w:hAnsi="Times New Roman"/>
        </w:rPr>
        <w:t>A recent comprehensive</w:t>
      </w:r>
      <w:r w:rsidRPr="00A00300">
        <w:rPr>
          <w:rFonts w:ascii="Times New Roman" w:hAnsi="Times New Roman"/>
        </w:rPr>
        <w:t xml:space="preserve"> clinical </w:t>
      </w:r>
      <w:r>
        <w:rPr>
          <w:rFonts w:ascii="Times New Roman" w:hAnsi="Times New Roman"/>
        </w:rPr>
        <w:t>review</w:t>
      </w:r>
      <w:r w:rsidRPr="00A00300">
        <w:rPr>
          <w:rFonts w:ascii="Times New Roman" w:hAnsi="Times New Roman"/>
        </w:rPr>
        <w:t xml:space="preserve"> estimated that fracture</w:t>
      </w:r>
      <w:r w:rsidR="007A756C">
        <w:rPr>
          <w:rFonts w:ascii="Times New Roman" w:hAnsi="Times New Roman"/>
        </w:rPr>
        <w:t xml:space="preserve"> incidence is anywhere from 9 to </w:t>
      </w:r>
      <w:r w:rsidRPr="00A00300">
        <w:rPr>
          <w:rFonts w:ascii="Times New Roman" w:hAnsi="Times New Roman"/>
        </w:rPr>
        <w:t xml:space="preserve">22.8 per thousand individuals per year (Court-Brown and Caesar 2006). </w:t>
      </w:r>
    </w:p>
    <w:p w14:paraId="07AB4A11" w14:textId="5900BA97" w:rsidR="00BF0494" w:rsidRDefault="00BF0494" w:rsidP="008E2757">
      <w:pPr>
        <w:ind w:firstLine="720"/>
        <w:rPr>
          <w:rFonts w:ascii="Times New Roman" w:hAnsi="Times New Roman"/>
        </w:rPr>
      </w:pPr>
      <w:r w:rsidRPr="00A00300">
        <w:rPr>
          <w:rFonts w:ascii="Times New Roman" w:hAnsi="Times New Roman"/>
        </w:rPr>
        <w:t xml:space="preserve">Some researchers suggest that most </w:t>
      </w:r>
      <w:r>
        <w:rPr>
          <w:rFonts w:ascii="Times New Roman" w:hAnsi="Times New Roman"/>
        </w:rPr>
        <w:t xml:space="preserve">long bone </w:t>
      </w:r>
      <w:r w:rsidRPr="00A00300">
        <w:rPr>
          <w:rFonts w:ascii="Times New Roman" w:hAnsi="Times New Roman"/>
        </w:rPr>
        <w:t>fracture</w:t>
      </w:r>
      <w:r>
        <w:rPr>
          <w:rFonts w:ascii="Times New Roman" w:hAnsi="Times New Roman"/>
        </w:rPr>
        <w:t>s</w:t>
      </w:r>
      <w:r w:rsidRPr="00A00300">
        <w:rPr>
          <w:rFonts w:ascii="Times New Roman" w:hAnsi="Times New Roman"/>
        </w:rPr>
        <w:t xml:space="preserve"> (with the exception of parry fractures) are the result of accidental causes (Ortner 2003:143)</w:t>
      </w:r>
      <w:r>
        <w:rPr>
          <w:rFonts w:ascii="Times New Roman" w:hAnsi="Times New Roman"/>
        </w:rPr>
        <w:t>.</w:t>
      </w:r>
      <w:r w:rsidRPr="00A00300">
        <w:rPr>
          <w:rFonts w:ascii="Times New Roman" w:hAnsi="Times New Roman"/>
        </w:rPr>
        <w:t xml:space="preserve">  Indeed, modern clinical literature “overwhelmingly indicates that most traumatic fractures are a result of dail</w:t>
      </w:r>
      <w:r w:rsidR="004459A3">
        <w:rPr>
          <w:rFonts w:ascii="Times New Roman" w:hAnsi="Times New Roman"/>
        </w:rPr>
        <w:t>y activity rather than violence</w:t>
      </w:r>
      <w:r w:rsidRPr="00A00300">
        <w:rPr>
          <w:rFonts w:ascii="Times New Roman" w:hAnsi="Times New Roman"/>
        </w:rPr>
        <w:t xml:space="preserve">” </w:t>
      </w:r>
      <w:r w:rsidR="007A756C">
        <w:rPr>
          <w:rFonts w:ascii="Times New Roman" w:hAnsi="Times New Roman"/>
        </w:rPr>
        <w:t>(</w:t>
      </w:r>
      <w:r w:rsidRPr="00A00300">
        <w:rPr>
          <w:rFonts w:ascii="Times New Roman" w:hAnsi="Times New Roman"/>
        </w:rPr>
        <w:t>Lovell 1997:166).</w:t>
      </w:r>
      <w:r>
        <w:rPr>
          <w:rFonts w:ascii="Times New Roman" w:hAnsi="Times New Roman"/>
        </w:rPr>
        <w:t xml:space="preserve">  This should be kept in mind when working with skeletal series.  Fractures based on anatomical regions are briefly reviewed below.</w:t>
      </w:r>
    </w:p>
    <w:p w14:paraId="514532CF" w14:textId="77777777" w:rsidR="00BF0494" w:rsidRPr="00EC657F" w:rsidRDefault="00BF0494" w:rsidP="007F6BCD">
      <w:pPr>
        <w:pStyle w:val="Heading4"/>
      </w:pPr>
      <w:r>
        <w:t>Up</w:t>
      </w:r>
      <w:r w:rsidRPr="00EC657F">
        <w:t>per body fractures</w:t>
      </w:r>
    </w:p>
    <w:p w14:paraId="66BB17B9" w14:textId="16D22807" w:rsidR="00BF0494" w:rsidRDefault="00BF0494" w:rsidP="008E2757">
      <w:pPr>
        <w:ind w:firstLine="720"/>
        <w:rPr>
          <w:rFonts w:ascii="Times New Roman" w:hAnsi="Times New Roman"/>
        </w:rPr>
      </w:pPr>
      <w:r w:rsidRPr="00A00300">
        <w:rPr>
          <w:rFonts w:ascii="Times New Roman" w:hAnsi="Times New Roman"/>
        </w:rPr>
        <w:t xml:space="preserve">In modern populations, arm and hand injuries (usually caused by falls) are by far the most common fractures and cranial injuries are relatively rare </w:t>
      </w:r>
      <w:r>
        <w:rPr>
          <w:rFonts w:ascii="Times New Roman" w:hAnsi="Times New Roman"/>
        </w:rPr>
        <w:t>(</w:t>
      </w:r>
      <w:r w:rsidRPr="00A00300">
        <w:rPr>
          <w:rFonts w:ascii="Times New Roman" w:hAnsi="Times New Roman"/>
        </w:rPr>
        <w:t>Court-</w:t>
      </w:r>
      <w:r w:rsidRPr="00287639">
        <w:rPr>
          <w:rFonts w:ascii="Times New Roman" w:hAnsi="Times New Roman"/>
        </w:rPr>
        <w:t xml:space="preserve">Brown and Caesar 2006, Judd 2004, 2008).  A distal radius fracture, or Colles fracture, is the most common fracture in adults, accounting for 17.5% of all fractures, and is nearly always caused by a fall (Court-Brown and Caesar 2006).  The ulna is </w:t>
      </w:r>
      <w:r w:rsidR="002E24D1">
        <w:rPr>
          <w:rFonts w:ascii="Times New Roman" w:hAnsi="Times New Roman"/>
        </w:rPr>
        <w:t>another</w:t>
      </w:r>
      <w:r w:rsidRPr="00287639">
        <w:rPr>
          <w:rFonts w:ascii="Times New Roman" w:hAnsi="Times New Roman"/>
        </w:rPr>
        <w:t xml:space="preserve"> commonly fract</w:t>
      </w:r>
      <w:r w:rsidR="002E24D1">
        <w:rPr>
          <w:rFonts w:ascii="Times New Roman" w:hAnsi="Times New Roman"/>
        </w:rPr>
        <w:t>ured bone in modern populations</w:t>
      </w:r>
      <w:r w:rsidRPr="00287639">
        <w:rPr>
          <w:rFonts w:ascii="Times New Roman" w:hAnsi="Times New Roman"/>
        </w:rPr>
        <w:t xml:space="preserve"> and</w:t>
      </w:r>
      <w:r w:rsidR="002E24D1">
        <w:rPr>
          <w:rFonts w:ascii="Times New Roman" w:hAnsi="Times New Roman"/>
        </w:rPr>
        <w:t>,</w:t>
      </w:r>
      <w:r w:rsidRPr="00287639">
        <w:rPr>
          <w:rFonts w:ascii="Times New Roman" w:hAnsi="Times New Roman"/>
        </w:rPr>
        <w:t xml:space="preserve"> </w:t>
      </w:r>
      <w:r w:rsidR="00287639">
        <w:rPr>
          <w:rFonts w:ascii="Times New Roman" w:hAnsi="Times New Roman"/>
        </w:rPr>
        <w:t xml:space="preserve">similarly, </w:t>
      </w:r>
      <w:r w:rsidRPr="00287639">
        <w:rPr>
          <w:rFonts w:ascii="Times New Roman" w:hAnsi="Times New Roman"/>
        </w:rPr>
        <w:t>almost</w:t>
      </w:r>
      <w:r w:rsidRPr="00A00300">
        <w:rPr>
          <w:rFonts w:ascii="Times New Roman" w:hAnsi="Times New Roman"/>
        </w:rPr>
        <w:t xml:space="preserve"> always is the result of a fall onto an outstretched hand (Judd 2008).  Chronic sports injuries also cause many ulnar fractures (Judd 2008).  </w:t>
      </w:r>
    </w:p>
    <w:p w14:paraId="3289FCF5" w14:textId="28388949" w:rsidR="00BF0494" w:rsidRPr="00287639" w:rsidRDefault="00BF0494" w:rsidP="008E2757">
      <w:pPr>
        <w:ind w:firstLine="720"/>
        <w:rPr>
          <w:rFonts w:ascii="Times New Roman" w:hAnsi="Times New Roman"/>
        </w:rPr>
      </w:pPr>
      <w:r>
        <w:rPr>
          <w:rFonts w:ascii="Times New Roman" w:hAnsi="Times New Roman"/>
        </w:rPr>
        <w:t xml:space="preserve">In </w:t>
      </w:r>
      <w:r w:rsidR="00287639">
        <w:rPr>
          <w:rFonts w:ascii="Times New Roman" w:hAnsi="Times New Roman"/>
        </w:rPr>
        <w:t>bioarchaeological</w:t>
      </w:r>
      <w:r>
        <w:rPr>
          <w:rFonts w:ascii="Times New Roman" w:hAnsi="Times New Roman"/>
        </w:rPr>
        <w:t xml:space="preserve"> literature, rates for “parry fractures” are often reported.  The term is used to </w:t>
      </w:r>
      <w:r w:rsidRPr="00A00300">
        <w:rPr>
          <w:rFonts w:ascii="Times New Roman" w:hAnsi="Times New Roman"/>
        </w:rPr>
        <w:t>describe a defensive wound where the ulna suffers a complete transverse fracture (Kimmerle and Baraybar 2008:173).</w:t>
      </w:r>
      <w:r>
        <w:rPr>
          <w:rFonts w:ascii="Times New Roman" w:hAnsi="Times New Roman"/>
        </w:rPr>
        <w:t xml:space="preserve">  </w:t>
      </w:r>
      <w:r w:rsidRPr="00A00300">
        <w:rPr>
          <w:rFonts w:ascii="Times New Roman" w:hAnsi="Times New Roman"/>
        </w:rPr>
        <w:t xml:space="preserve">The break occurs on the medial aspect of the diaphysis when an individual raises their arm to shield an incoming blow.  </w:t>
      </w:r>
      <w:r>
        <w:rPr>
          <w:rFonts w:ascii="Times New Roman" w:hAnsi="Times New Roman"/>
        </w:rPr>
        <w:t xml:space="preserve">However </w:t>
      </w:r>
      <w:r w:rsidRPr="00A00300">
        <w:rPr>
          <w:rFonts w:ascii="Times New Roman" w:hAnsi="Times New Roman"/>
        </w:rPr>
        <w:t>Lovell (1997) notes that modern clinical literature does n</w:t>
      </w:r>
      <w:r>
        <w:rPr>
          <w:rFonts w:ascii="Times New Roman" w:hAnsi="Times New Roman"/>
        </w:rPr>
        <w:t xml:space="preserve">ot use the term “parry fracture,” and, given the ubiquity of ulna fractures, questions if this type of fracture really indicates a defensive wound.  </w:t>
      </w:r>
      <w:r w:rsidRPr="00A00300">
        <w:rPr>
          <w:rFonts w:ascii="Times New Roman" w:hAnsi="Times New Roman"/>
        </w:rPr>
        <w:t xml:space="preserve">Lovell (1997, 2008) suggests that only mid-shaft ulna fractures that display a transverse (as opposed to </w:t>
      </w:r>
      <w:r w:rsidRPr="00287639">
        <w:rPr>
          <w:rFonts w:ascii="Times New Roman" w:hAnsi="Times New Roman"/>
        </w:rPr>
        <w:t>oblique) fracture pattern should be considered parry fractures.  However Walker (2001) stresses that even transverse fractures of the midshaft can happen with a fall (or other accident).</w:t>
      </w:r>
      <w:r w:rsidR="002E24D1">
        <w:rPr>
          <w:rFonts w:ascii="Times New Roman" w:hAnsi="Times New Roman"/>
        </w:rPr>
        <w:t xml:space="preserve">  Thus u</w:t>
      </w:r>
      <w:r w:rsidRPr="00287639">
        <w:rPr>
          <w:rFonts w:ascii="Times New Roman" w:hAnsi="Times New Roman"/>
        </w:rPr>
        <w:t xml:space="preserve">pper body injuries must be analyzed in context before assuming conflict.  </w:t>
      </w:r>
    </w:p>
    <w:p w14:paraId="72BA1A4B" w14:textId="77777777" w:rsidR="00BF0494" w:rsidRDefault="00BF0494" w:rsidP="007F6BCD">
      <w:pPr>
        <w:pStyle w:val="Heading4"/>
        <w:rPr>
          <w:rFonts w:ascii="Times New Roman" w:hAnsi="Times New Roman"/>
        </w:rPr>
      </w:pPr>
      <w:r>
        <w:t>Lower body fractures</w:t>
      </w:r>
    </w:p>
    <w:p w14:paraId="688FA089" w14:textId="418235D1" w:rsidR="00BF0494" w:rsidRPr="00B91DF1" w:rsidRDefault="00BF0494" w:rsidP="008E2757">
      <w:pPr>
        <w:ind w:firstLine="720"/>
        <w:rPr>
          <w:rFonts w:ascii="Times New Roman" w:hAnsi="Times New Roman"/>
        </w:rPr>
      </w:pPr>
      <w:r w:rsidRPr="00B91DF1">
        <w:rPr>
          <w:rFonts w:ascii="Times New Roman" w:hAnsi="Times New Roman"/>
        </w:rPr>
        <w:t>Modern day lower limb fractures are frequently caused by motor vehicle accidents, sports accidents, or osteoporosis (Court-Brown and Caesar 2006).  The femur and tibia are large bones that require a significant amount of force to fracture.  According to modern clinical literature, the most common femoral fracture involves the femora</w:t>
      </w:r>
      <w:r w:rsidR="005701AD">
        <w:rPr>
          <w:rFonts w:ascii="Times New Roman" w:hAnsi="Times New Roman"/>
        </w:rPr>
        <w:t>l neck</w:t>
      </w:r>
      <w:r w:rsidRPr="00B91DF1">
        <w:rPr>
          <w:rFonts w:ascii="Times New Roman" w:hAnsi="Times New Roman"/>
        </w:rPr>
        <w:t>.  Modern distal femur fractures have a bimodal distribution with younger men (about 20 years old, high energy traffic or sport accidents) and older women (about 70 years old, fall or osteoporosis related) (Court-Brown and Caesar 2006).  Distal femur fractures are not common, about ten times less frequent than proximal femur fractures (Martinet et al. 2000).</w:t>
      </w:r>
    </w:p>
    <w:p w14:paraId="690E9A2F" w14:textId="77777777" w:rsidR="00BF0494" w:rsidRDefault="00BF0494" w:rsidP="007F6BCD">
      <w:pPr>
        <w:pStyle w:val="Heading4"/>
      </w:pPr>
      <w:r>
        <w:t>Cranial fractures</w:t>
      </w:r>
    </w:p>
    <w:p w14:paraId="703DE4EC" w14:textId="4450F851" w:rsidR="00BF0494" w:rsidRDefault="00BF0494" w:rsidP="008E2757">
      <w:pPr>
        <w:ind w:firstLine="720"/>
        <w:rPr>
          <w:rFonts w:ascii="Times New Roman" w:hAnsi="Times New Roman"/>
        </w:rPr>
      </w:pPr>
      <w:r w:rsidRPr="00A00300">
        <w:rPr>
          <w:rFonts w:ascii="Times New Roman" w:hAnsi="Times New Roman"/>
        </w:rPr>
        <w:t>Cranial injuries, particularly injuries of the face and nose are</w:t>
      </w:r>
      <w:r w:rsidR="001E6BA7">
        <w:rPr>
          <w:rFonts w:ascii="Times New Roman" w:hAnsi="Times New Roman"/>
        </w:rPr>
        <w:t xml:space="preserve"> fairly rare, and when they do occur, are</w:t>
      </w:r>
      <w:r w:rsidRPr="00A00300">
        <w:rPr>
          <w:rFonts w:ascii="Times New Roman" w:hAnsi="Times New Roman"/>
        </w:rPr>
        <w:t xml:space="preserve"> thought to be indicative of interpersonal conflict</w:t>
      </w:r>
      <w:r>
        <w:rPr>
          <w:rFonts w:ascii="Times New Roman" w:hAnsi="Times New Roman"/>
        </w:rPr>
        <w:t xml:space="preserve"> or assault</w:t>
      </w:r>
      <w:r w:rsidRPr="00A00300">
        <w:rPr>
          <w:rFonts w:ascii="Times New Roman" w:hAnsi="Times New Roman"/>
        </w:rPr>
        <w:t xml:space="preserve"> (Walker 1997</w:t>
      </w:r>
      <w:r>
        <w:rPr>
          <w:rFonts w:ascii="Times New Roman" w:hAnsi="Times New Roman"/>
        </w:rPr>
        <w:t>, Lovell 2008</w:t>
      </w:r>
      <w:r w:rsidRPr="00A00300">
        <w:rPr>
          <w:rFonts w:ascii="Times New Roman" w:hAnsi="Times New Roman"/>
        </w:rPr>
        <w:t>).</w:t>
      </w:r>
      <w:r>
        <w:rPr>
          <w:rFonts w:ascii="Times New Roman" w:hAnsi="Times New Roman"/>
        </w:rPr>
        <w:t xml:space="preserve">  </w:t>
      </w:r>
      <w:r w:rsidRPr="00A00300">
        <w:rPr>
          <w:rFonts w:ascii="Times New Roman" w:hAnsi="Times New Roman"/>
        </w:rPr>
        <w:t>Depressed skull fractures may be caused by a fall, but are also commonly caused by assault with a blunt weapon such as a club (Lovell 2008:351).</w:t>
      </w:r>
      <w:r>
        <w:rPr>
          <w:rFonts w:ascii="Times New Roman" w:hAnsi="Times New Roman"/>
        </w:rPr>
        <w:t xml:space="preserve">  Indeed, f</w:t>
      </w:r>
      <w:r w:rsidRPr="00A00300">
        <w:rPr>
          <w:rFonts w:ascii="Times New Roman" w:hAnsi="Times New Roman"/>
        </w:rPr>
        <w:t>ractures of the cranium, ribs, or hands are con</w:t>
      </w:r>
      <w:r w:rsidR="00800F6E">
        <w:rPr>
          <w:rFonts w:ascii="Times New Roman" w:hAnsi="Times New Roman"/>
        </w:rPr>
        <w:t>sidered more likely to indicate</w:t>
      </w:r>
      <w:r w:rsidRPr="00A00300">
        <w:rPr>
          <w:rFonts w:ascii="Times New Roman" w:hAnsi="Times New Roman"/>
        </w:rPr>
        <w:t xml:space="preserve"> trauma from interpersonal violence than other fractures, including so called parry fractures (Lovell 2008:376). </w:t>
      </w:r>
      <w:r>
        <w:rPr>
          <w:rFonts w:ascii="Times New Roman" w:hAnsi="Times New Roman"/>
        </w:rPr>
        <w:t xml:space="preserve"> However m</w:t>
      </w:r>
      <w:r w:rsidRPr="00A00300">
        <w:rPr>
          <w:rFonts w:ascii="Times New Roman" w:hAnsi="Times New Roman"/>
        </w:rPr>
        <w:t xml:space="preserve">ost modern cases of interpersonal violence (assault) involve primarily soft tissue damage </w:t>
      </w:r>
      <w:r>
        <w:rPr>
          <w:rFonts w:ascii="Times New Roman" w:hAnsi="Times New Roman"/>
        </w:rPr>
        <w:t>(Walker 1997), which</w:t>
      </w:r>
      <w:r w:rsidR="00726EE9">
        <w:rPr>
          <w:rFonts w:ascii="Times New Roman" w:hAnsi="Times New Roman"/>
        </w:rPr>
        <w:t xml:space="preserve"> will not be evident</w:t>
      </w:r>
      <w:r w:rsidR="00800F6E">
        <w:rPr>
          <w:rFonts w:ascii="Times New Roman" w:hAnsi="Times New Roman"/>
        </w:rPr>
        <w:t xml:space="preserve"> archaeologically</w:t>
      </w:r>
      <w:r>
        <w:rPr>
          <w:rFonts w:ascii="Times New Roman" w:hAnsi="Times New Roman"/>
        </w:rPr>
        <w:t xml:space="preserve"> except in very rare cases.  </w:t>
      </w:r>
    </w:p>
    <w:p w14:paraId="11842880" w14:textId="0C0328DF" w:rsidR="00BF0494" w:rsidRPr="00A00300" w:rsidRDefault="00BF0494" w:rsidP="00800F6E">
      <w:pPr>
        <w:ind w:firstLine="720"/>
        <w:rPr>
          <w:rFonts w:ascii="Times New Roman" w:hAnsi="Times New Roman"/>
        </w:rPr>
      </w:pPr>
      <w:r>
        <w:rPr>
          <w:rFonts w:ascii="Times New Roman" w:hAnsi="Times New Roman"/>
        </w:rPr>
        <w:t xml:space="preserve">In the archaeological record, cranial trauma in general is </w:t>
      </w:r>
      <w:r w:rsidR="00800F6E">
        <w:rPr>
          <w:rFonts w:ascii="Times New Roman" w:hAnsi="Times New Roman"/>
        </w:rPr>
        <w:t xml:space="preserve">thus </w:t>
      </w:r>
      <w:r>
        <w:rPr>
          <w:rFonts w:ascii="Times New Roman" w:hAnsi="Times New Roman"/>
        </w:rPr>
        <w:t xml:space="preserve">often interpreted as evidence of interpersonal violence.  For instance Judd’s 2004 </w:t>
      </w:r>
      <w:r w:rsidRPr="00A00300">
        <w:rPr>
          <w:rFonts w:ascii="Times New Roman" w:hAnsi="Times New Roman"/>
        </w:rPr>
        <w:t>study of skeletal remains from ancient Kerma</w:t>
      </w:r>
      <w:r>
        <w:rPr>
          <w:rFonts w:ascii="Times New Roman" w:hAnsi="Times New Roman"/>
        </w:rPr>
        <w:t xml:space="preserve"> (in current day Nubia)</w:t>
      </w:r>
      <w:r w:rsidRPr="00A00300">
        <w:rPr>
          <w:rFonts w:ascii="Times New Roman" w:hAnsi="Times New Roman"/>
        </w:rPr>
        <w:t xml:space="preserve"> found that cranial injuries were the most common injuries</w:t>
      </w:r>
      <w:r w:rsidR="00800F6E">
        <w:rPr>
          <w:rFonts w:ascii="Times New Roman" w:hAnsi="Times New Roman"/>
        </w:rPr>
        <w:t xml:space="preserve">, which </w:t>
      </w:r>
      <w:r w:rsidR="00800F6E" w:rsidRPr="00A00300">
        <w:rPr>
          <w:rFonts w:ascii="Times New Roman" w:hAnsi="Times New Roman"/>
        </w:rPr>
        <w:t xml:space="preserve">were </w:t>
      </w:r>
      <w:r w:rsidR="00800F6E">
        <w:rPr>
          <w:rFonts w:ascii="Times New Roman" w:hAnsi="Times New Roman"/>
        </w:rPr>
        <w:t xml:space="preserve">considered </w:t>
      </w:r>
      <w:r w:rsidR="00800F6E" w:rsidRPr="00A00300">
        <w:rPr>
          <w:rFonts w:ascii="Times New Roman" w:hAnsi="Times New Roman"/>
        </w:rPr>
        <w:t xml:space="preserve">indicative of blunt force trauma, </w:t>
      </w:r>
      <w:r w:rsidR="00800F6E">
        <w:rPr>
          <w:rFonts w:ascii="Times New Roman" w:hAnsi="Times New Roman"/>
        </w:rPr>
        <w:t>and interpreted</w:t>
      </w:r>
      <w:r w:rsidR="00800F6E" w:rsidRPr="00A00300">
        <w:rPr>
          <w:rFonts w:ascii="Times New Roman" w:hAnsi="Times New Roman"/>
        </w:rPr>
        <w:t xml:space="preserve"> as evidence of pervasive interpersonal trauma</w:t>
      </w:r>
      <w:r w:rsidR="00800F6E">
        <w:rPr>
          <w:rFonts w:ascii="Times New Roman" w:hAnsi="Times New Roman"/>
        </w:rPr>
        <w:t xml:space="preserve"> (Judd</w:t>
      </w:r>
      <w:r w:rsidR="00800F6E" w:rsidRPr="00A00300">
        <w:rPr>
          <w:rFonts w:ascii="Times New Roman" w:hAnsi="Times New Roman"/>
        </w:rPr>
        <w:t xml:space="preserve"> 2004</w:t>
      </w:r>
      <w:r w:rsidR="00800F6E">
        <w:rPr>
          <w:rFonts w:ascii="Times New Roman" w:hAnsi="Times New Roman"/>
        </w:rPr>
        <w:t>)</w:t>
      </w:r>
      <w:r w:rsidR="00800F6E" w:rsidRPr="00A00300">
        <w:rPr>
          <w:rFonts w:ascii="Times New Roman" w:hAnsi="Times New Roman"/>
        </w:rPr>
        <w:t>.</w:t>
      </w:r>
      <w:r w:rsidR="00800F6E">
        <w:rPr>
          <w:rFonts w:ascii="Times New Roman" w:hAnsi="Times New Roman"/>
        </w:rPr>
        <w:t xml:space="preserve">  This was compared to modern samples where the most common injury was the ulna, and cranial injuries were rare.  </w:t>
      </w:r>
      <w:r w:rsidRPr="00A00300">
        <w:rPr>
          <w:rFonts w:ascii="Times New Roman" w:hAnsi="Times New Roman"/>
        </w:rPr>
        <w:t>In both ancient and modern samples, injuries were most commonl</w:t>
      </w:r>
      <w:r w:rsidR="00726EE9">
        <w:rPr>
          <w:rFonts w:ascii="Times New Roman" w:hAnsi="Times New Roman"/>
        </w:rPr>
        <w:t>y found in adults aged 25-40</w:t>
      </w:r>
      <w:r w:rsidRPr="00A00300">
        <w:rPr>
          <w:rFonts w:ascii="Times New Roman" w:hAnsi="Times New Roman"/>
        </w:rPr>
        <w:t xml:space="preserve"> </w:t>
      </w:r>
      <w:r w:rsidR="004459A3">
        <w:rPr>
          <w:rFonts w:ascii="Times New Roman" w:hAnsi="Times New Roman"/>
        </w:rPr>
        <w:t xml:space="preserve">years </w:t>
      </w:r>
      <w:r w:rsidR="00800F6E">
        <w:rPr>
          <w:rFonts w:ascii="Times New Roman" w:hAnsi="Times New Roman"/>
        </w:rPr>
        <w:t>(Judd 2004).</w:t>
      </w:r>
    </w:p>
    <w:p w14:paraId="1612663B" w14:textId="0D5CFE48" w:rsidR="00BF0494" w:rsidRDefault="00BF0494" w:rsidP="004F27F9">
      <w:pPr>
        <w:ind w:firstLine="720"/>
        <w:rPr>
          <w:rFonts w:ascii="Times New Roman" w:hAnsi="Times New Roman"/>
        </w:rPr>
      </w:pPr>
      <w:r w:rsidRPr="00A00300">
        <w:rPr>
          <w:rFonts w:ascii="Times New Roman" w:hAnsi="Times New Roman"/>
        </w:rPr>
        <w:t>In contrast, a high incidence of neck and cranial injuries were found in a sample of Neandert</w:t>
      </w:r>
      <w:r w:rsidR="00726EE9">
        <w:rPr>
          <w:rFonts w:ascii="Times New Roman" w:hAnsi="Times New Roman"/>
        </w:rPr>
        <w:t>h</w:t>
      </w:r>
      <w:r w:rsidRPr="00A00300">
        <w:rPr>
          <w:rFonts w:ascii="Times New Roman" w:hAnsi="Times New Roman"/>
        </w:rPr>
        <w:t>als (Berger and Trinkhaus 1995).  The only modern group where head and neck injuries appro</w:t>
      </w:r>
      <w:r w:rsidR="004F27F9">
        <w:rPr>
          <w:rFonts w:ascii="Times New Roman" w:hAnsi="Times New Roman"/>
        </w:rPr>
        <w:t>ached the level of the Neandert</w:t>
      </w:r>
      <w:r w:rsidRPr="00A00300">
        <w:rPr>
          <w:rFonts w:ascii="Times New Roman" w:hAnsi="Times New Roman"/>
        </w:rPr>
        <w:t>als was mod</w:t>
      </w:r>
      <w:r>
        <w:rPr>
          <w:rFonts w:ascii="Times New Roman" w:hAnsi="Times New Roman"/>
        </w:rPr>
        <w:t>ern human rodeo riders</w:t>
      </w:r>
      <w:r w:rsidR="004F27F9">
        <w:rPr>
          <w:rFonts w:ascii="Times New Roman" w:hAnsi="Times New Roman"/>
        </w:rPr>
        <w:t>, suggesting to the authors that Neandertals engaged in close-quarter ambush hunting</w:t>
      </w:r>
      <w:r>
        <w:rPr>
          <w:rFonts w:ascii="Times New Roman" w:hAnsi="Times New Roman"/>
        </w:rPr>
        <w:t xml:space="preserve">.  </w:t>
      </w:r>
      <w:r w:rsidR="004F27F9">
        <w:rPr>
          <w:rFonts w:ascii="Times New Roman" w:hAnsi="Times New Roman"/>
        </w:rPr>
        <w:t>However more recent work suggest</w:t>
      </w:r>
      <w:r w:rsidR="00E04659">
        <w:rPr>
          <w:rFonts w:ascii="Times New Roman" w:hAnsi="Times New Roman"/>
        </w:rPr>
        <w:t>s</w:t>
      </w:r>
      <w:r w:rsidR="004F27F9">
        <w:rPr>
          <w:rFonts w:ascii="Times New Roman" w:hAnsi="Times New Roman"/>
        </w:rPr>
        <w:t xml:space="preserve"> that multiple factors may have been at play, including, perhaps, spear throwing (Trinkhaus 2012).  </w:t>
      </w:r>
      <w:r>
        <w:rPr>
          <w:rFonts w:ascii="Times New Roman" w:hAnsi="Times New Roman"/>
        </w:rPr>
        <w:t>A diac</w:t>
      </w:r>
      <w:r w:rsidRPr="00A00300">
        <w:rPr>
          <w:rFonts w:ascii="Times New Roman" w:hAnsi="Times New Roman"/>
        </w:rPr>
        <w:t>h</w:t>
      </w:r>
      <w:r>
        <w:rPr>
          <w:rFonts w:ascii="Times New Roman" w:hAnsi="Times New Roman"/>
        </w:rPr>
        <w:t>r</w:t>
      </w:r>
      <w:r w:rsidRPr="00A00300">
        <w:rPr>
          <w:rFonts w:ascii="Times New Roman" w:hAnsi="Times New Roman"/>
        </w:rPr>
        <w:t xml:space="preserve">onic study of fracture patterns of adults in ancient Thailand found that from the Neolithic through the Bronze Age, the hands, feet, forearm, and clavicle were the most commonly fractured </w:t>
      </w:r>
      <w:r w:rsidR="00800F6E">
        <w:rPr>
          <w:rFonts w:ascii="Times New Roman" w:hAnsi="Times New Roman"/>
        </w:rPr>
        <w:t xml:space="preserve">bones </w:t>
      </w:r>
      <w:r w:rsidRPr="00A00300">
        <w:rPr>
          <w:rFonts w:ascii="Times New Roman" w:hAnsi="Times New Roman"/>
        </w:rPr>
        <w:t xml:space="preserve">(Domett and Tayles 2006). </w:t>
      </w:r>
    </w:p>
    <w:p w14:paraId="5AE8B3F5" w14:textId="77777777" w:rsidR="00BF0494" w:rsidRDefault="00BF0494" w:rsidP="007F6BCD">
      <w:pPr>
        <w:pStyle w:val="Heading4"/>
      </w:pPr>
      <w:r>
        <w:t>Interpreting multiple fractures</w:t>
      </w:r>
    </w:p>
    <w:p w14:paraId="2C4CA5A2" w14:textId="7FAD5D8C" w:rsidR="00BF0494" w:rsidRDefault="00BF0494" w:rsidP="008E2757">
      <w:pPr>
        <w:ind w:firstLine="720"/>
        <w:rPr>
          <w:rFonts w:ascii="Times New Roman" w:hAnsi="Times New Roman"/>
        </w:rPr>
      </w:pPr>
      <w:r w:rsidRPr="00A00300">
        <w:rPr>
          <w:rFonts w:ascii="Times New Roman" w:hAnsi="Times New Roman"/>
        </w:rPr>
        <w:t>Multiple but simultaneous fractures often indicate accidental trauma (Lovell 1997:166)</w:t>
      </w:r>
      <w:r>
        <w:rPr>
          <w:rFonts w:ascii="Times New Roman" w:hAnsi="Times New Roman"/>
        </w:rPr>
        <w:t>.  However multiple injuries in</w:t>
      </w:r>
      <w:r w:rsidR="00084A43">
        <w:rPr>
          <w:rFonts w:ascii="Times New Roman" w:hAnsi="Times New Roman"/>
        </w:rPr>
        <w:t xml:space="preserve"> different stages of healing are</w:t>
      </w:r>
      <w:r w:rsidRPr="00A00300">
        <w:rPr>
          <w:rFonts w:ascii="Times New Roman" w:hAnsi="Times New Roman"/>
        </w:rPr>
        <w:t xml:space="preserve"> considered a good indication of abuse in both adults and chil</w:t>
      </w:r>
      <w:r w:rsidR="003439AF">
        <w:rPr>
          <w:rFonts w:ascii="Times New Roman" w:hAnsi="Times New Roman"/>
        </w:rPr>
        <w:t>dren (Walker</w:t>
      </w:r>
      <w:r w:rsidRPr="00A00300">
        <w:rPr>
          <w:rFonts w:ascii="Times New Roman" w:hAnsi="Times New Roman"/>
        </w:rPr>
        <w:t xml:space="preserve"> 1</w:t>
      </w:r>
      <w:r w:rsidR="00FF4B77">
        <w:rPr>
          <w:rFonts w:ascii="Times New Roman" w:hAnsi="Times New Roman"/>
        </w:rPr>
        <w:t>997, Wilkinson and Van Wagen</w:t>
      </w:r>
      <w:r w:rsidRPr="00A00300">
        <w:rPr>
          <w:rFonts w:ascii="Times New Roman" w:hAnsi="Times New Roman"/>
        </w:rPr>
        <w:t>en 1993).</w:t>
      </w:r>
      <w:r>
        <w:rPr>
          <w:rFonts w:ascii="Times New Roman" w:hAnsi="Times New Roman"/>
        </w:rPr>
        <w:t xml:space="preserve">  M</w:t>
      </w:r>
      <w:r w:rsidRPr="00A00300">
        <w:rPr>
          <w:rFonts w:ascii="Times New Roman" w:hAnsi="Times New Roman"/>
        </w:rPr>
        <w:t xml:space="preserve">ultiple wounds </w:t>
      </w:r>
      <w:r>
        <w:rPr>
          <w:rFonts w:ascii="Times New Roman" w:hAnsi="Times New Roman"/>
        </w:rPr>
        <w:t xml:space="preserve">(fractures) </w:t>
      </w:r>
      <w:r w:rsidRPr="00A00300">
        <w:rPr>
          <w:rFonts w:ascii="Times New Roman" w:hAnsi="Times New Roman"/>
        </w:rPr>
        <w:t>in various stages of healing</w:t>
      </w:r>
      <w:r w:rsidR="00084A43">
        <w:rPr>
          <w:rFonts w:ascii="Times New Roman" w:hAnsi="Times New Roman"/>
        </w:rPr>
        <w:t>,</w:t>
      </w:r>
      <w:r w:rsidRPr="00A00300">
        <w:rPr>
          <w:rFonts w:ascii="Times New Roman" w:hAnsi="Times New Roman"/>
        </w:rPr>
        <w:t xml:space="preserve"> as well as signs that healing has been disrupted</w:t>
      </w:r>
      <w:r w:rsidR="00084A43">
        <w:rPr>
          <w:rFonts w:ascii="Times New Roman" w:hAnsi="Times New Roman"/>
        </w:rPr>
        <w:t>, indicate</w:t>
      </w:r>
      <w:r>
        <w:rPr>
          <w:rFonts w:ascii="Times New Roman" w:hAnsi="Times New Roman"/>
        </w:rPr>
        <w:t xml:space="preserve"> that the int</w:t>
      </w:r>
      <w:r w:rsidR="00084A43">
        <w:rPr>
          <w:rFonts w:ascii="Times New Roman" w:hAnsi="Times New Roman"/>
        </w:rPr>
        <w:t>erpersonal violence was chronic</w:t>
      </w:r>
      <w:r>
        <w:rPr>
          <w:rFonts w:ascii="Times New Roman" w:hAnsi="Times New Roman"/>
        </w:rPr>
        <w:t xml:space="preserve"> or abusive</w:t>
      </w:r>
      <w:r w:rsidRPr="00A00300">
        <w:rPr>
          <w:rFonts w:ascii="Times New Roman" w:hAnsi="Times New Roman"/>
        </w:rPr>
        <w:t xml:space="preserve"> (Lovell 2008</w:t>
      </w:r>
      <w:r>
        <w:rPr>
          <w:rFonts w:ascii="Times New Roman" w:hAnsi="Times New Roman"/>
        </w:rPr>
        <w:t xml:space="preserve">, </w:t>
      </w:r>
      <w:r w:rsidRPr="00A00300">
        <w:rPr>
          <w:rFonts w:ascii="Times New Roman" w:hAnsi="Times New Roman"/>
        </w:rPr>
        <w:t>Walker 1997</w:t>
      </w:r>
      <w:r>
        <w:rPr>
          <w:rFonts w:ascii="Times New Roman" w:hAnsi="Times New Roman"/>
        </w:rPr>
        <w:t>, 1989</w:t>
      </w:r>
      <w:r w:rsidRPr="00A00300">
        <w:rPr>
          <w:rFonts w:ascii="Times New Roman" w:hAnsi="Times New Roman"/>
        </w:rPr>
        <w:t xml:space="preserve">,).   </w:t>
      </w:r>
    </w:p>
    <w:p w14:paraId="137AF359" w14:textId="4CD42238" w:rsidR="00BF0494" w:rsidRDefault="00BF0494" w:rsidP="008E2757">
      <w:pPr>
        <w:ind w:firstLine="720"/>
      </w:pPr>
      <w:r w:rsidRPr="00A00300">
        <w:rPr>
          <w:rFonts w:ascii="Times New Roman" w:hAnsi="Times New Roman"/>
        </w:rPr>
        <w:t>Skeletal manifestations of battered child syndrome can include nutritional defici</w:t>
      </w:r>
      <w:r w:rsidR="00B91DF1">
        <w:rPr>
          <w:rFonts w:ascii="Times New Roman" w:hAnsi="Times New Roman"/>
        </w:rPr>
        <w:t>encies and infectious</w:t>
      </w:r>
      <w:r w:rsidRPr="00A00300">
        <w:rPr>
          <w:rFonts w:ascii="Times New Roman" w:hAnsi="Times New Roman"/>
        </w:rPr>
        <w:t xml:space="preserve"> diseases (Kimmerle and Baraybar 2008:39).</w:t>
      </w:r>
      <w:r>
        <w:rPr>
          <w:rFonts w:ascii="Times New Roman" w:hAnsi="Times New Roman"/>
        </w:rPr>
        <w:t xml:space="preserve">  </w:t>
      </w:r>
      <w:r w:rsidRPr="00A00300">
        <w:rPr>
          <w:rFonts w:ascii="Times New Roman" w:hAnsi="Times New Roman"/>
        </w:rPr>
        <w:t>Perhaps surprisingly, there have (so far) been no documented cases of child abuse from the arch</w:t>
      </w:r>
      <w:r>
        <w:rPr>
          <w:rFonts w:ascii="Times New Roman" w:hAnsi="Times New Roman"/>
        </w:rPr>
        <w:t>aeological record.  Walker (1983) noted that although he had</w:t>
      </w:r>
      <w:r w:rsidRPr="00A00300">
        <w:rPr>
          <w:rFonts w:ascii="Times New Roman" w:hAnsi="Times New Roman"/>
        </w:rPr>
        <w:t xml:space="preserve"> personally examined hundreds (if not</w:t>
      </w:r>
      <w:r>
        <w:rPr>
          <w:rFonts w:ascii="Times New Roman" w:hAnsi="Times New Roman"/>
        </w:rPr>
        <w:t xml:space="preserve"> thousands) of skeletons</w:t>
      </w:r>
      <w:r w:rsidR="00B91DF1">
        <w:rPr>
          <w:rFonts w:ascii="Times New Roman" w:hAnsi="Times New Roman"/>
        </w:rPr>
        <w:t xml:space="preserve"> from archaeological contexts</w:t>
      </w:r>
      <w:r>
        <w:rPr>
          <w:rFonts w:ascii="Times New Roman" w:hAnsi="Times New Roman"/>
        </w:rPr>
        <w:t>, he had</w:t>
      </w:r>
      <w:r w:rsidRPr="00A00300">
        <w:rPr>
          <w:rFonts w:ascii="Times New Roman" w:hAnsi="Times New Roman"/>
        </w:rPr>
        <w:t xml:space="preserve"> never seen a juvenil</w:t>
      </w:r>
      <w:r>
        <w:rPr>
          <w:rFonts w:ascii="Times New Roman" w:hAnsi="Times New Roman"/>
        </w:rPr>
        <w:t>e skeleton that exhibited</w:t>
      </w:r>
      <w:r w:rsidRPr="00A00300">
        <w:rPr>
          <w:rFonts w:ascii="Times New Roman" w:hAnsi="Times New Roman"/>
        </w:rPr>
        <w:t xml:space="preserve"> c</w:t>
      </w:r>
      <w:r>
        <w:rPr>
          <w:rFonts w:ascii="Times New Roman" w:hAnsi="Times New Roman"/>
        </w:rPr>
        <w:t>hild abuse syndrome.  He suggested</w:t>
      </w:r>
      <w:r w:rsidRPr="00A00300">
        <w:rPr>
          <w:rFonts w:ascii="Times New Roman" w:hAnsi="Times New Roman"/>
        </w:rPr>
        <w:t xml:space="preserve"> that in small communities, pervasive abuse of a child could not be hidden and simply would not be tolerated.  An alternative, if more cynical</w:t>
      </w:r>
      <w:r w:rsidR="00084A43">
        <w:rPr>
          <w:rFonts w:ascii="Times New Roman" w:hAnsi="Times New Roman"/>
        </w:rPr>
        <w:t>,</w:t>
      </w:r>
      <w:r w:rsidRPr="00A00300">
        <w:rPr>
          <w:rFonts w:ascii="Times New Roman" w:hAnsi="Times New Roman"/>
        </w:rPr>
        <w:t xml:space="preserve"> interpretation</w:t>
      </w:r>
      <w:r>
        <w:rPr>
          <w:rFonts w:ascii="Times New Roman" w:hAnsi="Times New Roman"/>
        </w:rPr>
        <w:t xml:space="preserve"> is that abused children</w:t>
      </w:r>
      <w:r w:rsidRPr="00A00300">
        <w:rPr>
          <w:rFonts w:ascii="Times New Roman" w:hAnsi="Times New Roman"/>
        </w:rPr>
        <w:t xml:space="preserve"> </w:t>
      </w:r>
      <w:r>
        <w:rPr>
          <w:rFonts w:ascii="Times New Roman" w:hAnsi="Times New Roman"/>
        </w:rPr>
        <w:t xml:space="preserve">were </w:t>
      </w:r>
      <w:r w:rsidRPr="00A00300">
        <w:rPr>
          <w:rFonts w:ascii="Times New Roman" w:hAnsi="Times New Roman"/>
        </w:rPr>
        <w:t xml:space="preserve">not buried in the usual places, and the bodies were more likely to </w:t>
      </w:r>
      <w:r>
        <w:rPr>
          <w:rFonts w:ascii="Times New Roman" w:hAnsi="Times New Roman"/>
        </w:rPr>
        <w:t xml:space="preserve">have </w:t>
      </w:r>
      <w:r w:rsidRPr="00A00300">
        <w:rPr>
          <w:rFonts w:ascii="Times New Roman" w:hAnsi="Times New Roman"/>
        </w:rPr>
        <w:t>be</w:t>
      </w:r>
      <w:r>
        <w:rPr>
          <w:rFonts w:ascii="Times New Roman" w:hAnsi="Times New Roman"/>
        </w:rPr>
        <w:t>en</w:t>
      </w:r>
      <w:r w:rsidRPr="00A00300">
        <w:rPr>
          <w:rFonts w:ascii="Times New Roman" w:hAnsi="Times New Roman"/>
        </w:rPr>
        <w:t xml:space="preserve"> abandoned or hidden</w:t>
      </w:r>
      <w:r>
        <w:t>.</w:t>
      </w:r>
    </w:p>
    <w:p w14:paraId="6ED65959" w14:textId="77777777" w:rsidR="00BF0494" w:rsidRPr="00204E8C" w:rsidRDefault="00BF0494" w:rsidP="007F6BCD">
      <w:pPr>
        <w:pStyle w:val="Heading4"/>
      </w:pPr>
      <w:r>
        <w:t>Sex d</w:t>
      </w:r>
      <w:r w:rsidRPr="00204E8C">
        <w:t>ifferences</w:t>
      </w:r>
      <w:r>
        <w:t xml:space="preserve"> in fracture patterns</w:t>
      </w:r>
    </w:p>
    <w:p w14:paraId="302E9821" w14:textId="133EE98A" w:rsidR="00BF0494" w:rsidRPr="00A00300" w:rsidRDefault="00BF0494" w:rsidP="008E2757">
      <w:pPr>
        <w:ind w:firstLine="720"/>
        <w:rPr>
          <w:rFonts w:ascii="Times New Roman" w:hAnsi="Times New Roman"/>
        </w:rPr>
      </w:pPr>
      <w:r w:rsidRPr="00A00300">
        <w:rPr>
          <w:rFonts w:ascii="Times New Roman" w:hAnsi="Times New Roman"/>
        </w:rPr>
        <w:t>Modern clinical studies show that males and females have very different patterns</w:t>
      </w:r>
      <w:r>
        <w:rPr>
          <w:rFonts w:ascii="Times New Roman" w:hAnsi="Times New Roman"/>
        </w:rPr>
        <w:t xml:space="preserve"> of fracture</w:t>
      </w:r>
      <w:r w:rsidRPr="00A00300">
        <w:rPr>
          <w:rFonts w:ascii="Times New Roman" w:hAnsi="Times New Roman"/>
        </w:rPr>
        <w:t xml:space="preserve"> distributions (Court-Brown and Caesar 2006).  Young males tend to have high rates of fractures, peaking at around age 2</w:t>
      </w:r>
      <w:r w:rsidR="00A74617">
        <w:rPr>
          <w:rFonts w:ascii="Times New Roman" w:hAnsi="Times New Roman"/>
        </w:rPr>
        <w:t>0</w:t>
      </w:r>
      <w:r w:rsidRPr="00A00300">
        <w:rPr>
          <w:rFonts w:ascii="Times New Roman" w:hAnsi="Times New Roman"/>
        </w:rPr>
        <w:t xml:space="preserve"> and then declin</w:t>
      </w:r>
      <w:r w:rsidR="00A74617">
        <w:rPr>
          <w:rFonts w:ascii="Times New Roman" w:hAnsi="Times New Roman"/>
        </w:rPr>
        <w:t>ing until around age 60 when rates increase</w:t>
      </w:r>
      <w:r w:rsidRPr="00A00300">
        <w:rPr>
          <w:rFonts w:ascii="Times New Roman" w:hAnsi="Times New Roman"/>
        </w:rPr>
        <w:t xml:space="preserve"> again.  Women on the other hand tend to have very low rates of fractures </w:t>
      </w:r>
      <w:r w:rsidR="00A74617">
        <w:rPr>
          <w:rFonts w:ascii="Times New Roman" w:hAnsi="Times New Roman"/>
        </w:rPr>
        <w:t xml:space="preserve">during </w:t>
      </w:r>
      <w:r w:rsidRPr="00A00300">
        <w:rPr>
          <w:rFonts w:ascii="Times New Roman" w:hAnsi="Times New Roman"/>
        </w:rPr>
        <w:t>their adult lives until a sharp increase at and after menopause.  In archaeological samples, we should similarly expect to see different male and female fracture patterns, reflecting both different lifestyles and biology.</w:t>
      </w:r>
    </w:p>
    <w:p w14:paraId="068EF9F1" w14:textId="11D102A6" w:rsidR="00BF0494" w:rsidRPr="00346557" w:rsidRDefault="00BF0494" w:rsidP="008E2757">
      <w:pPr>
        <w:ind w:firstLine="720"/>
        <w:rPr>
          <w:rFonts w:ascii="Times New Roman" w:hAnsi="Times New Roman"/>
        </w:rPr>
      </w:pPr>
      <w:r>
        <w:rPr>
          <w:rFonts w:ascii="Times New Roman" w:hAnsi="Times New Roman"/>
        </w:rPr>
        <w:t>Another</w:t>
      </w:r>
      <w:r w:rsidRPr="00A00300">
        <w:rPr>
          <w:rFonts w:ascii="Times New Roman" w:hAnsi="Times New Roman"/>
        </w:rPr>
        <w:t xml:space="preserve"> difference in male and female </w:t>
      </w:r>
      <w:r w:rsidR="00A74617">
        <w:rPr>
          <w:rFonts w:ascii="Times New Roman" w:hAnsi="Times New Roman"/>
        </w:rPr>
        <w:t>fracture</w:t>
      </w:r>
      <w:r w:rsidRPr="00A00300">
        <w:rPr>
          <w:rFonts w:ascii="Times New Roman" w:hAnsi="Times New Roman"/>
        </w:rPr>
        <w:t xml:space="preserve"> patterns may be seen in patterns of domestic violence.  In both industrialized nations and developing countries, the most common form of domestic violence is </w:t>
      </w:r>
      <w:r w:rsidR="00A74617">
        <w:rPr>
          <w:rFonts w:ascii="Times New Roman" w:hAnsi="Times New Roman"/>
        </w:rPr>
        <w:t xml:space="preserve">that </w:t>
      </w:r>
      <w:r w:rsidRPr="00A00300">
        <w:rPr>
          <w:rFonts w:ascii="Times New Roman" w:hAnsi="Times New Roman"/>
        </w:rPr>
        <w:t>directed towards women by men (Lovell 2008:376).</w:t>
      </w:r>
      <w:r>
        <w:rPr>
          <w:rFonts w:ascii="Times New Roman" w:hAnsi="Times New Roman"/>
        </w:rPr>
        <w:t xml:space="preserve"> </w:t>
      </w:r>
      <w:r w:rsidRPr="00A00300">
        <w:rPr>
          <w:rFonts w:ascii="Times New Roman" w:hAnsi="Times New Roman"/>
        </w:rPr>
        <w:t xml:space="preserve"> </w:t>
      </w:r>
      <w:r>
        <w:rPr>
          <w:rFonts w:ascii="Times New Roman" w:hAnsi="Times New Roman"/>
        </w:rPr>
        <w:t xml:space="preserve">The World </w:t>
      </w:r>
      <w:r w:rsidRPr="00346557">
        <w:rPr>
          <w:rFonts w:ascii="Times New Roman" w:hAnsi="Times New Roman"/>
        </w:rPr>
        <w:t>Health Organization estimates that 30% of women worldwide have experienced “either intimate partner violence or non-partner se</w:t>
      </w:r>
      <w:r>
        <w:rPr>
          <w:rFonts w:ascii="Times New Roman" w:hAnsi="Times New Roman"/>
        </w:rPr>
        <w:t>xual violence in thei</w:t>
      </w:r>
      <w:r w:rsidR="00A74617">
        <w:rPr>
          <w:rFonts w:ascii="Times New Roman" w:hAnsi="Times New Roman"/>
        </w:rPr>
        <w:t>r lifetime</w:t>
      </w:r>
      <w:r w:rsidRPr="00346557">
        <w:rPr>
          <w:rFonts w:ascii="Times New Roman" w:hAnsi="Times New Roman"/>
        </w:rPr>
        <w:t>”</w:t>
      </w:r>
      <w:r>
        <w:rPr>
          <w:rFonts w:ascii="Times New Roman" w:hAnsi="Times New Roman"/>
        </w:rPr>
        <w:t xml:space="preserve"> (WHO 2013).  Violence</w:t>
      </w:r>
      <w:r w:rsidRPr="00A00300">
        <w:rPr>
          <w:rFonts w:ascii="Times New Roman" w:hAnsi="Times New Roman"/>
        </w:rPr>
        <w:t xml:space="preserve"> directed against women is pervasive in all modern societies and should be considered</w:t>
      </w:r>
      <w:r>
        <w:rPr>
          <w:rFonts w:ascii="Times New Roman" w:hAnsi="Times New Roman"/>
        </w:rPr>
        <w:t xml:space="preserve"> possible</w:t>
      </w:r>
      <w:r w:rsidRPr="00A00300">
        <w:rPr>
          <w:rFonts w:ascii="Times New Roman" w:hAnsi="Times New Roman"/>
        </w:rPr>
        <w:t xml:space="preserve"> in past </w:t>
      </w:r>
      <w:r>
        <w:rPr>
          <w:rFonts w:ascii="Times New Roman" w:hAnsi="Times New Roman"/>
        </w:rPr>
        <w:t>populations</w:t>
      </w:r>
      <w:r w:rsidRPr="00A00300">
        <w:rPr>
          <w:rFonts w:ascii="Times New Roman" w:hAnsi="Times New Roman"/>
        </w:rPr>
        <w:t xml:space="preserve"> as well.</w:t>
      </w:r>
      <w:r>
        <w:rPr>
          <w:rFonts w:ascii="Times New Roman" w:hAnsi="Times New Roman"/>
        </w:rPr>
        <w:t xml:space="preserve">  </w:t>
      </w:r>
    </w:p>
    <w:p w14:paraId="36173EC2" w14:textId="456C6858" w:rsidR="00BF0494" w:rsidRPr="00522065" w:rsidRDefault="00BF0494" w:rsidP="00522065">
      <w:pPr>
        <w:ind w:firstLine="720"/>
        <w:rPr>
          <w:rFonts w:ascii="Times New Roman" w:eastAsiaTheme="minorEastAsia" w:hAnsi="Times New Roman"/>
          <w:lang w:bidi="ar-SA"/>
        </w:rPr>
      </w:pPr>
      <w:r w:rsidRPr="00A00300">
        <w:rPr>
          <w:rFonts w:ascii="Times New Roman" w:hAnsi="Times New Roman"/>
        </w:rPr>
        <w:t xml:space="preserve">Several </w:t>
      </w:r>
      <w:r>
        <w:rPr>
          <w:rFonts w:ascii="Times New Roman" w:hAnsi="Times New Roman"/>
        </w:rPr>
        <w:t>skeletal biological</w:t>
      </w:r>
      <w:r w:rsidRPr="00A00300">
        <w:rPr>
          <w:rFonts w:ascii="Times New Roman" w:hAnsi="Times New Roman"/>
        </w:rPr>
        <w:t xml:space="preserve"> studies have looked for evidence of female abuse.  </w:t>
      </w:r>
      <w:r w:rsidR="007D047E" w:rsidRPr="007D047E">
        <w:rPr>
          <w:rFonts w:ascii="Times New Roman" w:hAnsi="Times New Roman"/>
        </w:rPr>
        <w:t xml:space="preserve">For example, </w:t>
      </w:r>
      <w:r w:rsidR="007D047E" w:rsidRPr="007D047E">
        <w:rPr>
          <w:rFonts w:ascii="Times New Roman" w:eastAsiaTheme="minorEastAsia" w:hAnsi="Times New Roman"/>
          <w:lang w:bidi="ar-SA"/>
        </w:rPr>
        <w:t>in the La Plata River Valley of the American Southwest</w:t>
      </w:r>
      <w:r w:rsidR="00AE6769">
        <w:rPr>
          <w:rFonts w:ascii="Times New Roman" w:eastAsiaTheme="minorEastAsia" w:hAnsi="Times New Roman"/>
          <w:lang w:bidi="ar-SA"/>
        </w:rPr>
        <w:t xml:space="preserve"> from</w:t>
      </w:r>
      <w:r w:rsidR="007D047E" w:rsidRPr="007D047E">
        <w:rPr>
          <w:rFonts w:ascii="Times New Roman" w:eastAsiaTheme="minorEastAsia" w:hAnsi="Times New Roman"/>
          <w:lang w:bidi="ar-SA"/>
        </w:rPr>
        <w:t xml:space="preserve"> 1000-1300</w:t>
      </w:r>
      <w:r w:rsidR="00522065">
        <w:rPr>
          <w:rFonts w:ascii="Times New Roman" w:eastAsiaTheme="minorEastAsia" w:hAnsi="Times New Roman"/>
          <w:lang w:bidi="ar-SA"/>
        </w:rPr>
        <w:t xml:space="preserve"> </w:t>
      </w:r>
      <w:r w:rsidR="00AE6769">
        <w:rPr>
          <w:rFonts w:ascii="Times New Roman" w:eastAsiaTheme="minorEastAsia" w:hAnsi="Times New Roman"/>
          <w:lang w:bidi="ar-SA"/>
        </w:rPr>
        <w:t xml:space="preserve">(CE) </w:t>
      </w:r>
      <w:r w:rsidRPr="007D047E">
        <w:rPr>
          <w:rFonts w:ascii="Times New Roman" w:hAnsi="Times New Roman"/>
        </w:rPr>
        <w:t>a three-fold increase in cranial injuries amongst adult females</w:t>
      </w:r>
      <w:r w:rsidR="00522065">
        <w:rPr>
          <w:rFonts w:ascii="Times New Roman" w:hAnsi="Times New Roman"/>
        </w:rPr>
        <w:t xml:space="preserve"> was found (Martin 1997).  Most </w:t>
      </w:r>
      <w:r w:rsidRPr="007D047E">
        <w:rPr>
          <w:rFonts w:ascii="Times New Roman" w:hAnsi="Times New Roman"/>
        </w:rPr>
        <w:t>of these</w:t>
      </w:r>
      <w:r w:rsidRPr="00A00300">
        <w:rPr>
          <w:rFonts w:ascii="Times New Roman" w:hAnsi="Times New Roman"/>
        </w:rPr>
        <w:t xml:space="preserve"> female had more than one injury</w:t>
      </w:r>
      <w:r w:rsidR="00522065">
        <w:rPr>
          <w:rFonts w:ascii="Times New Roman" w:hAnsi="Times New Roman"/>
        </w:rPr>
        <w:t xml:space="preserve">.  </w:t>
      </w:r>
      <w:r w:rsidRPr="00A00300">
        <w:rPr>
          <w:rFonts w:ascii="Times New Roman" w:hAnsi="Times New Roman"/>
        </w:rPr>
        <w:t xml:space="preserve">Furthermore, in every case </w:t>
      </w:r>
      <w:r w:rsidR="00522065">
        <w:rPr>
          <w:rFonts w:ascii="Times New Roman" w:hAnsi="Times New Roman"/>
        </w:rPr>
        <w:t>of female cranial fracture, the individual was</w:t>
      </w:r>
      <w:r w:rsidRPr="00A00300">
        <w:rPr>
          <w:rFonts w:ascii="Times New Roman" w:hAnsi="Times New Roman"/>
        </w:rPr>
        <w:t xml:space="preserve"> buried differently.  </w:t>
      </w:r>
      <w:r w:rsidR="00522065">
        <w:rPr>
          <w:rFonts w:ascii="Times New Roman" w:hAnsi="Times New Roman"/>
        </w:rPr>
        <w:t>While m</w:t>
      </w:r>
      <w:r w:rsidRPr="00A00300">
        <w:rPr>
          <w:rFonts w:ascii="Times New Roman" w:hAnsi="Times New Roman"/>
        </w:rPr>
        <w:t>ost burials were flexed or semi-flexed, the injured females were either buried in a careless sprawled position or only very loosely flexed.  Because many (most) female</w:t>
      </w:r>
      <w:r w:rsidR="00522065">
        <w:rPr>
          <w:rFonts w:ascii="Times New Roman" w:hAnsi="Times New Roman"/>
        </w:rPr>
        <w:t>s did not show cranial injuries</w:t>
      </w:r>
      <w:r w:rsidRPr="00A00300">
        <w:rPr>
          <w:rFonts w:ascii="Times New Roman" w:hAnsi="Times New Roman"/>
        </w:rPr>
        <w:t xml:space="preserve"> and were buried in a normal pattern, Martin suggests the women were targeted based on class differ</w:t>
      </w:r>
      <w:r w:rsidR="006C07A6">
        <w:rPr>
          <w:rFonts w:ascii="Times New Roman" w:hAnsi="Times New Roman"/>
        </w:rPr>
        <w:t>ences, and that may have been laborers or servants.</w:t>
      </w:r>
    </w:p>
    <w:p w14:paraId="34CF78C3" w14:textId="77777777" w:rsidR="00BF0494" w:rsidRPr="00084C61" w:rsidRDefault="00BF0494" w:rsidP="008E2757">
      <w:pPr>
        <w:ind w:firstLine="720"/>
        <w:rPr>
          <w:rFonts w:ascii="Times New Roman" w:hAnsi="Times New Roman"/>
        </w:rPr>
      </w:pPr>
      <w:r w:rsidRPr="00A00300">
        <w:rPr>
          <w:rFonts w:ascii="Times New Roman" w:hAnsi="Times New Roman"/>
        </w:rPr>
        <w:t xml:space="preserve">Facial injuries, when </w:t>
      </w:r>
      <w:r>
        <w:rPr>
          <w:rFonts w:ascii="Times New Roman" w:hAnsi="Times New Roman"/>
        </w:rPr>
        <w:t>assessed</w:t>
      </w:r>
      <w:r w:rsidRPr="00A00300">
        <w:rPr>
          <w:rFonts w:ascii="Times New Roman" w:hAnsi="Times New Roman"/>
        </w:rPr>
        <w:t xml:space="preserve"> by sex, may be particularly revealing.  Walker (1989, 1997) considered </w:t>
      </w:r>
      <w:r>
        <w:rPr>
          <w:rFonts w:ascii="Times New Roman" w:hAnsi="Times New Roman"/>
        </w:rPr>
        <w:t xml:space="preserve">broken noses and other </w:t>
      </w:r>
      <w:r w:rsidRPr="00A00300">
        <w:rPr>
          <w:rFonts w:ascii="Times New Roman" w:hAnsi="Times New Roman"/>
        </w:rPr>
        <w:t xml:space="preserve">facial injuries by sex. </w:t>
      </w:r>
      <w:r>
        <w:rPr>
          <w:rFonts w:ascii="Times New Roman" w:hAnsi="Times New Roman"/>
        </w:rPr>
        <w:t xml:space="preserve"> </w:t>
      </w:r>
      <w:r w:rsidRPr="00A00300">
        <w:rPr>
          <w:rFonts w:ascii="Times New Roman" w:hAnsi="Times New Roman"/>
        </w:rPr>
        <w:t>When these occur</w:t>
      </w:r>
      <w:r>
        <w:rPr>
          <w:rFonts w:ascii="Times New Roman" w:hAnsi="Times New Roman"/>
        </w:rPr>
        <w:t>red</w:t>
      </w:r>
      <w:r w:rsidRPr="00A00300">
        <w:rPr>
          <w:rFonts w:ascii="Times New Roman" w:hAnsi="Times New Roman"/>
        </w:rPr>
        <w:t xml:space="preserve"> in women, he suggested gendered violence (although he considered that women may be the cause of some of the injuries to other women).  When they occur</w:t>
      </w:r>
      <w:r>
        <w:rPr>
          <w:rFonts w:ascii="Times New Roman" w:hAnsi="Times New Roman"/>
        </w:rPr>
        <w:t>red</w:t>
      </w:r>
      <w:r w:rsidRPr="00A00300">
        <w:rPr>
          <w:rFonts w:ascii="Times New Roman" w:hAnsi="Times New Roman"/>
        </w:rPr>
        <w:t xml:space="preserve"> in men, he suggested a ritualized form of violence such as boxing.</w:t>
      </w:r>
    </w:p>
    <w:p w14:paraId="165893FA" w14:textId="77777777" w:rsidR="00BF0494" w:rsidRDefault="00BF0494" w:rsidP="009C5432">
      <w:pPr>
        <w:pStyle w:val="Heading3"/>
      </w:pPr>
      <w:bookmarkStart w:id="19" w:name="_Toc261025840"/>
      <w:r>
        <w:t>Embedded Projectile Points and Pincushioning</w:t>
      </w:r>
      <w:bookmarkEnd w:id="19"/>
    </w:p>
    <w:p w14:paraId="5F31AE11" w14:textId="749DCAAB" w:rsidR="00BF0494" w:rsidRDefault="00BF0494" w:rsidP="008E2757">
      <w:pPr>
        <w:ind w:firstLine="720"/>
        <w:rPr>
          <w:rFonts w:ascii="Times New Roman" w:hAnsi="Times New Roman"/>
        </w:rPr>
      </w:pPr>
      <w:r w:rsidRPr="00A00300">
        <w:rPr>
          <w:rFonts w:ascii="Times New Roman" w:hAnsi="Times New Roman"/>
        </w:rPr>
        <w:t>While broken and fractured bones may or may not indicate conflict, embedded projectile points are difficult to attribute to anything other than purposeful violence.  Violence in prehistoric North America may have been much more widespread than is currently recognized from skeletal studies.  A study of records of 19</w:t>
      </w:r>
      <w:r w:rsidRPr="00A00300">
        <w:rPr>
          <w:rFonts w:ascii="Times New Roman" w:hAnsi="Times New Roman"/>
          <w:vertAlign w:val="superscript"/>
        </w:rPr>
        <w:t>th</w:t>
      </w:r>
      <w:r w:rsidRPr="00A00300">
        <w:rPr>
          <w:rFonts w:ascii="Times New Roman" w:hAnsi="Times New Roman"/>
        </w:rPr>
        <w:t xml:space="preserve"> century arrow wounds from the United States western Indian Wars indica</w:t>
      </w:r>
      <w:r w:rsidR="00DD6A37">
        <w:rPr>
          <w:rFonts w:ascii="Times New Roman" w:hAnsi="Times New Roman"/>
        </w:rPr>
        <w:t>ted that only one in three</w:t>
      </w:r>
      <w:r w:rsidRPr="00A00300">
        <w:rPr>
          <w:rFonts w:ascii="Times New Roman" w:hAnsi="Times New Roman"/>
        </w:rPr>
        <w:t xml:space="preserve"> arrow wounds actually left an osteological mark and that up to half of the individu</w:t>
      </w:r>
      <w:r w:rsidR="00DD6A37">
        <w:rPr>
          <w:rFonts w:ascii="Times New Roman" w:hAnsi="Times New Roman"/>
        </w:rPr>
        <w:t>als with wounds lived for weeks</w:t>
      </w:r>
      <w:r w:rsidRPr="00A00300">
        <w:rPr>
          <w:rFonts w:ascii="Times New Roman" w:hAnsi="Times New Roman"/>
        </w:rPr>
        <w:t xml:space="preserve"> or even months before succumbing to their injuries (Mi</w:t>
      </w:r>
      <w:r w:rsidR="00DD6A37">
        <w:rPr>
          <w:rFonts w:ascii="Times New Roman" w:hAnsi="Times New Roman"/>
        </w:rPr>
        <w:t>lner 2005).  This study suggested</w:t>
      </w:r>
      <w:r w:rsidRPr="00A00300">
        <w:rPr>
          <w:rFonts w:ascii="Times New Roman" w:hAnsi="Times New Roman"/>
        </w:rPr>
        <w:t xml:space="preserve"> that even a single </w:t>
      </w:r>
      <w:r w:rsidRPr="00A00300">
        <w:rPr>
          <w:rFonts w:ascii="Times New Roman" w:hAnsi="Times New Roman"/>
          <w:i/>
        </w:rPr>
        <w:t>in situ</w:t>
      </w:r>
      <w:r w:rsidRPr="00A00300">
        <w:rPr>
          <w:rFonts w:ascii="Times New Roman" w:hAnsi="Times New Roman"/>
        </w:rPr>
        <w:t xml:space="preserve"> projectile point may indicate fairly widespread violence.  </w:t>
      </w:r>
    </w:p>
    <w:p w14:paraId="0FEFB0A0" w14:textId="67361359" w:rsidR="00BF0494" w:rsidRDefault="00BF0494" w:rsidP="008E2757">
      <w:pPr>
        <w:ind w:firstLine="720"/>
        <w:rPr>
          <w:rFonts w:ascii="Times New Roman" w:hAnsi="Times New Roman"/>
        </w:rPr>
      </w:pPr>
      <w:r>
        <w:rPr>
          <w:rFonts w:ascii="Times New Roman" w:hAnsi="Times New Roman"/>
        </w:rPr>
        <w:t>Pincushioning occurs when an individual is</w:t>
      </w:r>
      <w:r w:rsidR="00DD6A37">
        <w:rPr>
          <w:rFonts w:ascii="Times New Roman" w:hAnsi="Times New Roman"/>
        </w:rPr>
        <w:t xml:space="preserve"> shot full of projectile points</w:t>
      </w:r>
      <w:r>
        <w:rPr>
          <w:rFonts w:ascii="Times New Roman" w:hAnsi="Times New Roman"/>
        </w:rPr>
        <w:t xml:space="preserve"> and indicates a vengeance killing (Dye 1997).  Multiple projectile points </w:t>
      </w:r>
      <w:r w:rsidR="00DD6A37">
        <w:rPr>
          <w:rFonts w:ascii="Times New Roman" w:hAnsi="Times New Roman"/>
        </w:rPr>
        <w:t>are</w:t>
      </w:r>
      <w:r>
        <w:rPr>
          <w:rFonts w:ascii="Times New Roman" w:hAnsi="Times New Roman"/>
        </w:rPr>
        <w:t xml:space="preserve"> found either embedded in bone or in a position suggesting that they had lodged in body cavities.   An example of pincushioning from the </w:t>
      </w:r>
      <w:r w:rsidR="00CF609A">
        <w:rPr>
          <w:rFonts w:ascii="Times New Roman" w:hAnsi="Times New Roman"/>
        </w:rPr>
        <w:t>Wister area</w:t>
      </w:r>
      <w:r>
        <w:rPr>
          <w:rFonts w:ascii="Times New Roman" w:hAnsi="Times New Roman"/>
        </w:rPr>
        <w:t xml:space="preserve"> Fourche Maline is discussed in Chapter 4.</w:t>
      </w:r>
    </w:p>
    <w:p w14:paraId="7957938F" w14:textId="77777777" w:rsidR="00BF0494" w:rsidRDefault="00BF0494" w:rsidP="009C5432">
      <w:pPr>
        <w:pStyle w:val="Heading3"/>
      </w:pPr>
      <w:bookmarkStart w:id="20" w:name="_Toc261025841"/>
      <w:r>
        <w:t>Trophy Taking Behavior</w:t>
      </w:r>
      <w:bookmarkEnd w:id="20"/>
    </w:p>
    <w:p w14:paraId="2FC4BFF3" w14:textId="77777777" w:rsidR="00BF0494" w:rsidRPr="00A00300" w:rsidRDefault="00BF0494" w:rsidP="008E2757">
      <w:pPr>
        <w:ind w:firstLine="720"/>
        <w:rPr>
          <w:rFonts w:ascii="Times New Roman" w:hAnsi="Times New Roman"/>
        </w:rPr>
      </w:pPr>
      <w:r w:rsidRPr="00A00300">
        <w:rPr>
          <w:rFonts w:ascii="Times New Roman" w:hAnsi="Times New Roman"/>
        </w:rPr>
        <w:t xml:space="preserve">In North America, trophy taking involving human body parts can be traced back to the Archaic (Chacon and Mendoza 2007).  The taking of human body parts as trophies has been considered a largely male wartime activity and has been compared to the taking of animal body parts as trophies when hunting (Mensforth 2001).  However other researchers note that females also took part in mutilation and trophy-taking (Owsley et al. 2008).  In Archaic settings, more missing trophies than recovered trophies have been found, which suggests that trophies were valued only for a short time and then discarded without reburial (Mensforth 2001).  </w:t>
      </w:r>
    </w:p>
    <w:p w14:paraId="2A048F71" w14:textId="77777777" w:rsidR="00BF0494" w:rsidRPr="00A00300" w:rsidRDefault="00BF0494" w:rsidP="008E2757">
      <w:pPr>
        <w:ind w:firstLine="720"/>
        <w:rPr>
          <w:rFonts w:ascii="Times New Roman" w:hAnsi="Times New Roman"/>
        </w:rPr>
      </w:pPr>
      <w:r w:rsidRPr="00A00300">
        <w:rPr>
          <w:rFonts w:ascii="Times New Roman" w:hAnsi="Times New Roman"/>
        </w:rPr>
        <w:t>The head is often regarded as “the seat of personhood, ancestorhood, or the soul” (Boganofsky 2011:3).  As such it can be a powerful token of triumph. While scalping is perhaps the best-known trophy-taking behavior, trophies may also include human mandibles, cheekbones, individual teeth, entire heads, hands, feet, entire limbs, or individual fingers, as well as soft tissue parts such as ears and genitalia (Chacon and Dye 2008).  I</w:t>
      </w:r>
      <w:r>
        <w:rPr>
          <w:rFonts w:ascii="Times New Roman" w:hAnsi="Times New Roman"/>
        </w:rPr>
        <w:t>n the Plains and Great Basin,</w:t>
      </w:r>
      <w:r w:rsidRPr="00A00300">
        <w:rPr>
          <w:rFonts w:ascii="Times New Roman" w:hAnsi="Times New Roman"/>
        </w:rPr>
        <w:t xml:space="preserve"> several trophy necklaces made up of human finger and hand bone</w:t>
      </w:r>
      <w:r>
        <w:rPr>
          <w:rFonts w:ascii="Times New Roman" w:hAnsi="Times New Roman"/>
        </w:rPr>
        <w:t>s</w:t>
      </w:r>
      <w:r w:rsidRPr="00A00300">
        <w:rPr>
          <w:rFonts w:ascii="Times New Roman" w:hAnsi="Times New Roman"/>
        </w:rPr>
        <w:t xml:space="preserve"> have been documented (Owsley et al. 2008).</w:t>
      </w:r>
    </w:p>
    <w:p w14:paraId="0BFFA471" w14:textId="71F9DD27" w:rsidR="00BF0494" w:rsidRPr="005F7457" w:rsidRDefault="00BF0494" w:rsidP="008E2757">
      <w:pPr>
        <w:ind w:firstLine="720"/>
      </w:pPr>
      <w:r w:rsidRPr="00A00300">
        <w:rPr>
          <w:rFonts w:ascii="Times New Roman" w:hAnsi="Times New Roman"/>
        </w:rPr>
        <w:t>Identification of trophy taking behavior ranges from relatively straightforward to complex.  The Crenshaw</w:t>
      </w:r>
      <w:r>
        <w:rPr>
          <w:rFonts w:ascii="Times New Roman" w:hAnsi="Times New Roman"/>
        </w:rPr>
        <w:t xml:space="preserve"> </w:t>
      </w:r>
      <w:r w:rsidRPr="00A00300">
        <w:rPr>
          <w:rFonts w:ascii="Times New Roman" w:hAnsi="Times New Roman"/>
        </w:rPr>
        <w:t>site</w:t>
      </w:r>
      <w:r>
        <w:rPr>
          <w:rFonts w:ascii="Times New Roman" w:hAnsi="Times New Roman"/>
        </w:rPr>
        <w:t xml:space="preserve"> (3Mi6)</w:t>
      </w:r>
      <w:r w:rsidRPr="00A00300">
        <w:rPr>
          <w:rFonts w:ascii="Times New Roman" w:hAnsi="Times New Roman"/>
        </w:rPr>
        <w:t xml:space="preserve"> </w:t>
      </w:r>
      <w:r>
        <w:rPr>
          <w:rFonts w:ascii="Times New Roman" w:hAnsi="Times New Roman"/>
        </w:rPr>
        <w:t xml:space="preserve">in southwest Arkansas </w:t>
      </w:r>
      <w:r w:rsidR="00BF793A">
        <w:rPr>
          <w:rFonts w:ascii="Times New Roman" w:hAnsi="Times New Roman"/>
        </w:rPr>
        <w:t>is</w:t>
      </w:r>
      <w:r w:rsidRPr="00A00300">
        <w:rPr>
          <w:rFonts w:ascii="Times New Roman" w:hAnsi="Times New Roman"/>
        </w:rPr>
        <w:t xml:space="preserve"> an example of the more clear cut </w:t>
      </w:r>
      <w:r>
        <w:rPr>
          <w:rFonts w:ascii="Times New Roman" w:hAnsi="Times New Roman"/>
        </w:rPr>
        <w:t xml:space="preserve">case </w:t>
      </w:r>
      <w:r w:rsidRPr="00A00300">
        <w:rPr>
          <w:rFonts w:ascii="Times New Roman" w:hAnsi="Times New Roman"/>
        </w:rPr>
        <w:t xml:space="preserve">where </w:t>
      </w:r>
      <w:r>
        <w:rPr>
          <w:rFonts w:ascii="Times New Roman" w:hAnsi="Times New Roman"/>
        </w:rPr>
        <w:t>369</w:t>
      </w:r>
      <w:r w:rsidR="00303BA8">
        <w:rPr>
          <w:rFonts w:ascii="Times New Roman" w:hAnsi="Times New Roman"/>
        </w:rPr>
        <w:t xml:space="preserve"> individuals were represented</w:t>
      </w:r>
      <w:r>
        <w:rPr>
          <w:rFonts w:ascii="Times New Roman" w:hAnsi="Times New Roman"/>
        </w:rPr>
        <w:t xml:space="preserve"> “</w:t>
      </w:r>
      <w:r>
        <w:rPr>
          <w:rFonts w:ascii="Times" w:hAnsi="Times" w:cs="Times"/>
          <w:color w:val="1A1718"/>
        </w:rPr>
        <w:t>only by their heads (skulls with lower jaws attached), their agnathous heads (skulls without lower jaws), their mandibles (lower jaws), or just their teeth” (Schambach et al. 2011:39).</w:t>
      </w:r>
      <w:r>
        <w:t xml:space="preserve">  </w:t>
      </w:r>
      <w:r w:rsidRPr="00A00300">
        <w:rPr>
          <w:rFonts w:ascii="Times New Roman" w:hAnsi="Times New Roman"/>
        </w:rPr>
        <w:t>These are interpreted as unambiguous examples of trophy taking</w:t>
      </w:r>
      <w:r>
        <w:rPr>
          <w:rFonts w:ascii="Times New Roman" w:hAnsi="Times New Roman"/>
        </w:rPr>
        <w:t xml:space="preserve"> (Schambach et al. 2011)</w:t>
      </w:r>
      <w:r w:rsidRPr="00A00300">
        <w:rPr>
          <w:rFonts w:ascii="Times New Roman" w:hAnsi="Times New Roman"/>
        </w:rPr>
        <w:t>.  However finding a burial with missing body pieces does not necessarily indicate trophy taking, especially if cut marks cannot be found at the missing extremities (e.g. on cervical vertebrae if the head is missing, or on wrist or ankle bones if the hands or feet are missing).  In older excavations, especially, hands and feet were often missed by untrained excavators.  Additionally, hands and feet are fairly easily dragged away by scave</w:t>
      </w:r>
      <w:r>
        <w:rPr>
          <w:rFonts w:ascii="Times New Roman" w:hAnsi="Times New Roman"/>
        </w:rPr>
        <w:t xml:space="preserve">ngers (Duday 2009).  </w:t>
      </w:r>
      <w:r w:rsidR="00303BA8">
        <w:rPr>
          <w:rFonts w:ascii="Times New Roman" w:hAnsi="Times New Roman"/>
        </w:rPr>
        <w:t>At the</w:t>
      </w:r>
      <w:r w:rsidRPr="00A00300">
        <w:rPr>
          <w:rFonts w:ascii="Times New Roman" w:hAnsi="Times New Roman"/>
        </w:rPr>
        <w:t xml:space="preserve"> Akers</w:t>
      </w:r>
      <w:r w:rsidR="00BF793A">
        <w:rPr>
          <w:rFonts w:ascii="Times New Roman" w:hAnsi="Times New Roman"/>
        </w:rPr>
        <w:t xml:space="preserve"> site (34Lf32)</w:t>
      </w:r>
      <w:r w:rsidR="00303BA8">
        <w:rPr>
          <w:rFonts w:ascii="Times New Roman" w:hAnsi="Times New Roman"/>
        </w:rPr>
        <w:t>,</w:t>
      </w:r>
      <w:r w:rsidRPr="00A00300">
        <w:rPr>
          <w:rFonts w:ascii="Times New Roman" w:hAnsi="Times New Roman"/>
        </w:rPr>
        <w:t xml:space="preserve"> hands were rarely included in the excavated burials.</w:t>
      </w:r>
      <w:r w:rsidR="00303BA8">
        <w:rPr>
          <w:rFonts w:ascii="Times New Roman" w:hAnsi="Times New Roman"/>
        </w:rPr>
        <w:t xml:space="preserve">  This is most parsimoniously explained by taphonomic processes such as </w:t>
      </w:r>
      <w:r w:rsidR="00CA60C0">
        <w:rPr>
          <w:rFonts w:ascii="Times New Roman" w:hAnsi="Times New Roman"/>
        </w:rPr>
        <w:t xml:space="preserve">those </w:t>
      </w:r>
      <w:r w:rsidR="00303BA8">
        <w:rPr>
          <w:rFonts w:ascii="Times New Roman" w:hAnsi="Times New Roman"/>
        </w:rPr>
        <w:t>just described.</w:t>
      </w:r>
    </w:p>
    <w:p w14:paraId="695433FA" w14:textId="7E34CAF9" w:rsidR="00BF0494" w:rsidRPr="00A00300" w:rsidRDefault="00BF0494" w:rsidP="008E2757">
      <w:pPr>
        <w:ind w:firstLine="720"/>
        <w:rPr>
          <w:rFonts w:ascii="Times New Roman" w:hAnsi="Times New Roman"/>
        </w:rPr>
      </w:pPr>
      <w:r w:rsidRPr="00A00300">
        <w:rPr>
          <w:rFonts w:ascii="Times New Roman" w:hAnsi="Times New Roman"/>
        </w:rPr>
        <w:t>In the case of isolated extra crania that have been buried</w:t>
      </w:r>
      <w:r w:rsidR="00BF793A">
        <w:rPr>
          <w:rFonts w:ascii="Times New Roman" w:hAnsi="Times New Roman"/>
        </w:rPr>
        <w:t>,</w:t>
      </w:r>
      <w:r w:rsidRPr="00A00300">
        <w:rPr>
          <w:rFonts w:ascii="Times New Roman" w:hAnsi="Times New Roman"/>
        </w:rPr>
        <w:t xml:space="preserve"> another possibility is ancestor worship.  However I have not been able to find a discussion on differentiating ancestor worship from trophy taking whe</w:t>
      </w:r>
      <w:r>
        <w:rPr>
          <w:rFonts w:ascii="Times New Roman" w:hAnsi="Times New Roman"/>
        </w:rPr>
        <w:t xml:space="preserve">n an isolated skull is found.  </w:t>
      </w:r>
      <w:r w:rsidRPr="00A00300">
        <w:rPr>
          <w:rFonts w:ascii="Times New Roman" w:hAnsi="Times New Roman"/>
        </w:rPr>
        <w:t xml:space="preserve">Cut marks would indicate only that the skull was intentionally removed, </w:t>
      </w:r>
      <w:r>
        <w:rPr>
          <w:rFonts w:ascii="Times New Roman" w:hAnsi="Times New Roman"/>
        </w:rPr>
        <w:t>not the purpose of the removal.</w:t>
      </w:r>
      <w:r w:rsidRPr="00A00300">
        <w:rPr>
          <w:rFonts w:ascii="Times New Roman" w:hAnsi="Times New Roman"/>
        </w:rPr>
        <w:t xml:space="preserve">  Although historic Caddoan language speakers strongly revered their forbearers, there is no ethnographic or historic suggestion of ancestor worship in</w:t>
      </w:r>
      <w:r w:rsidR="00BF793A">
        <w:rPr>
          <w:rFonts w:ascii="Times New Roman" w:hAnsi="Times New Roman"/>
        </w:rPr>
        <w:t xml:space="preserve"> the form of isolated crania</w:t>
      </w:r>
      <w:r w:rsidRPr="00A00300">
        <w:rPr>
          <w:rFonts w:ascii="Times New Roman" w:hAnsi="Times New Roman"/>
        </w:rPr>
        <w:t xml:space="preserve"> as talismans.  Ancestor worship is not considered a viable explanation in the case of missing or extra crania from the </w:t>
      </w:r>
      <w:r w:rsidR="00CF609A">
        <w:rPr>
          <w:rFonts w:ascii="Times New Roman" w:hAnsi="Times New Roman"/>
        </w:rPr>
        <w:t>Wister area</w:t>
      </w:r>
      <w:r w:rsidRPr="00A00300">
        <w:rPr>
          <w:rFonts w:ascii="Times New Roman" w:hAnsi="Times New Roman"/>
        </w:rPr>
        <w:t xml:space="preserve"> Fourche Maline</w:t>
      </w:r>
      <w:r>
        <w:rPr>
          <w:rFonts w:ascii="Times New Roman" w:hAnsi="Times New Roman"/>
        </w:rPr>
        <w:t xml:space="preserve"> burials</w:t>
      </w:r>
      <w:r w:rsidRPr="00A00300">
        <w:rPr>
          <w:rFonts w:ascii="Times New Roman" w:hAnsi="Times New Roman"/>
        </w:rPr>
        <w:t>.</w:t>
      </w:r>
    </w:p>
    <w:p w14:paraId="6193F796" w14:textId="3F62BB5B" w:rsidR="00BF0494" w:rsidRPr="00321D4B" w:rsidRDefault="00BF0494" w:rsidP="008E2757">
      <w:pPr>
        <w:ind w:firstLine="720"/>
        <w:rPr>
          <w:rFonts w:ascii="Times New Roman" w:hAnsi="Times New Roman"/>
        </w:rPr>
      </w:pPr>
      <w:r w:rsidRPr="00A00300">
        <w:rPr>
          <w:rFonts w:ascii="Times New Roman" w:hAnsi="Times New Roman"/>
        </w:rPr>
        <w:t>Another common trophy was</w:t>
      </w:r>
      <w:r>
        <w:rPr>
          <w:rFonts w:ascii="Times New Roman" w:hAnsi="Times New Roman"/>
        </w:rPr>
        <w:t xml:space="preserve"> the</w:t>
      </w:r>
      <w:r w:rsidRPr="00A00300">
        <w:rPr>
          <w:rFonts w:ascii="Times New Roman" w:hAnsi="Times New Roman"/>
        </w:rPr>
        <w:t xml:space="preserve"> taking of part</w:t>
      </w:r>
      <w:r>
        <w:rPr>
          <w:rFonts w:ascii="Times New Roman" w:hAnsi="Times New Roman"/>
        </w:rPr>
        <w:t>ial or complete</w:t>
      </w:r>
      <w:r w:rsidRPr="00A00300">
        <w:rPr>
          <w:rFonts w:ascii="Times New Roman" w:hAnsi="Times New Roman"/>
        </w:rPr>
        <w:t xml:space="preserve"> scalp</w:t>
      </w:r>
      <w:r>
        <w:rPr>
          <w:rFonts w:ascii="Times New Roman" w:hAnsi="Times New Roman"/>
        </w:rPr>
        <w:t>s</w:t>
      </w:r>
      <w:r w:rsidRPr="00A00300">
        <w:rPr>
          <w:rFonts w:ascii="Times New Roman" w:hAnsi="Times New Roman"/>
        </w:rPr>
        <w:t xml:space="preserve">.  Evidence for scalping include characteristic cut marks on the frontal and parietal bones.  This pattern of cranial lesions has been fairly well documented and photographs of scalping wounds can be found in </w:t>
      </w:r>
      <w:r>
        <w:rPr>
          <w:rFonts w:ascii="Times New Roman" w:hAnsi="Times New Roman"/>
        </w:rPr>
        <w:t>several textbooks (e.g. Aufderh</w:t>
      </w:r>
      <w:r w:rsidRPr="00A00300">
        <w:rPr>
          <w:rFonts w:ascii="Times New Roman" w:hAnsi="Times New Roman"/>
        </w:rPr>
        <w:t>e</w:t>
      </w:r>
      <w:r>
        <w:rPr>
          <w:rFonts w:ascii="Times New Roman" w:hAnsi="Times New Roman"/>
        </w:rPr>
        <w:t>i</w:t>
      </w:r>
      <w:r w:rsidRPr="00A00300">
        <w:rPr>
          <w:rFonts w:ascii="Times New Roman" w:hAnsi="Times New Roman"/>
        </w:rPr>
        <w:t>de and Rodrigues-Martin 1998, Ortner 2003, White and Folkens 2000).</w:t>
      </w:r>
      <w:r>
        <w:rPr>
          <w:rFonts w:ascii="Times New Roman" w:hAnsi="Times New Roman"/>
        </w:rPr>
        <w:t xml:space="preserve">  At least some individuals survived scalping as demonstrated by the recovery of crania with healed or healing scalp wounds.  Other</w:t>
      </w:r>
      <w:r w:rsidR="00BF793A">
        <w:rPr>
          <w:rFonts w:ascii="Times New Roman" w:hAnsi="Times New Roman"/>
        </w:rPr>
        <w:t>s</w:t>
      </w:r>
      <w:r>
        <w:rPr>
          <w:rFonts w:ascii="Times New Roman" w:hAnsi="Times New Roman"/>
        </w:rPr>
        <w:t xml:space="preserve"> may have survived the initial trauma of scalping only to succumb to infection.</w:t>
      </w:r>
    </w:p>
    <w:p w14:paraId="048E1D59" w14:textId="77777777" w:rsidR="00BF0494" w:rsidRDefault="00BF0494" w:rsidP="009C5432">
      <w:pPr>
        <w:pStyle w:val="Heading3"/>
      </w:pPr>
      <w:bookmarkStart w:id="21" w:name="_Toc261025842"/>
      <w:r>
        <w:t>Mass or Group Burials</w:t>
      </w:r>
      <w:bookmarkEnd w:id="21"/>
    </w:p>
    <w:p w14:paraId="5B08895E" w14:textId="11CF90F3" w:rsidR="00BF0494" w:rsidRPr="00A00300" w:rsidRDefault="00BF0494" w:rsidP="008E2757">
      <w:pPr>
        <w:ind w:firstLine="720"/>
        <w:rPr>
          <w:rFonts w:ascii="Times New Roman" w:hAnsi="Times New Roman"/>
        </w:rPr>
      </w:pPr>
      <w:r w:rsidRPr="00A00300">
        <w:rPr>
          <w:rFonts w:ascii="Times New Roman" w:hAnsi="Times New Roman"/>
        </w:rPr>
        <w:t>Burials with more than one individual may be evidence of violent death including warfare, sacrifice, or even attempted genocide.  Small group burials of mostly women and children may indicate the</w:t>
      </w:r>
      <w:r w:rsidR="00BF793A">
        <w:rPr>
          <w:rFonts w:ascii="Times New Roman" w:hAnsi="Times New Roman"/>
        </w:rPr>
        <w:t xml:space="preserve"> casualties</w:t>
      </w:r>
      <w:r w:rsidRPr="00A00300">
        <w:rPr>
          <w:rFonts w:ascii="Times New Roman" w:hAnsi="Times New Roman"/>
        </w:rPr>
        <w:t xml:space="preserve"> of raiding parties (Dye 2007).  </w:t>
      </w:r>
      <w:r>
        <w:rPr>
          <w:rFonts w:ascii="Times New Roman" w:hAnsi="Times New Roman"/>
        </w:rPr>
        <w:t>While</w:t>
      </w:r>
      <w:r w:rsidRPr="00A00300">
        <w:rPr>
          <w:rFonts w:ascii="Times New Roman" w:hAnsi="Times New Roman"/>
        </w:rPr>
        <w:t xml:space="preserve"> group burials may al</w:t>
      </w:r>
      <w:r>
        <w:rPr>
          <w:rFonts w:ascii="Times New Roman" w:hAnsi="Times New Roman"/>
        </w:rPr>
        <w:t>so indicate illness or accident, these are expected to be rare events.  Furthermore small groups of mobile hunter-gatherers are not expected to have had the population numbers to sustain infectious epidemics.</w:t>
      </w:r>
    </w:p>
    <w:p w14:paraId="718AB12A" w14:textId="19A60AF8" w:rsidR="00BF0494" w:rsidRPr="00A00300" w:rsidRDefault="00BF0494" w:rsidP="008E2757">
      <w:pPr>
        <w:ind w:firstLine="720"/>
        <w:rPr>
          <w:rFonts w:ascii="Times New Roman" w:hAnsi="Times New Roman"/>
        </w:rPr>
      </w:pPr>
      <w:r w:rsidRPr="00A00300">
        <w:rPr>
          <w:rFonts w:ascii="Times New Roman" w:hAnsi="Times New Roman"/>
        </w:rPr>
        <w:t>A modern forensic investigation of mass graves in both Bosn</w:t>
      </w:r>
      <w:r>
        <w:rPr>
          <w:rFonts w:ascii="Times New Roman" w:hAnsi="Times New Roman"/>
        </w:rPr>
        <w:t>ia and Iraq found that “self” ver</w:t>
      </w:r>
      <w:r w:rsidR="00CA60C0">
        <w:rPr>
          <w:rFonts w:ascii="Times New Roman" w:hAnsi="Times New Roman"/>
        </w:rPr>
        <w:t>s</w:t>
      </w:r>
      <w:r>
        <w:rPr>
          <w:rFonts w:ascii="Times New Roman" w:hAnsi="Times New Roman"/>
        </w:rPr>
        <w:t>us</w:t>
      </w:r>
      <w:r w:rsidRPr="00A00300">
        <w:rPr>
          <w:rFonts w:ascii="Times New Roman" w:hAnsi="Times New Roman"/>
        </w:rPr>
        <w:t xml:space="preserve"> “other” mass burials were fairly easily differentiated (Komar 2008).  “Self” burials (where the living buried dead of their own ethnic group) were distinguished by individuals </w:t>
      </w:r>
      <w:r w:rsidR="00B91DF1">
        <w:rPr>
          <w:rFonts w:ascii="Times New Roman" w:hAnsi="Times New Roman"/>
        </w:rPr>
        <w:t xml:space="preserve">who had been </w:t>
      </w:r>
      <w:r w:rsidR="00B91DF1" w:rsidRPr="00A00300">
        <w:rPr>
          <w:rFonts w:ascii="Times New Roman" w:hAnsi="Times New Roman"/>
        </w:rPr>
        <w:t xml:space="preserve">carefully placed </w:t>
      </w:r>
      <w:r w:rsidR="00B91DF1">
        <w:rPr>
          <w:rFonts w:ascii="Times New Roman" w:hAnsi="Times New Roman"/>
        </w:rPr>
        <w:t>and</w:t>
      </w:r>
      <w:r w:rsidRPr="00A00300">
        <w:rPr>
          <w:rFonts w:ascii="Times New Roman" w:hAnsi="Times New Roman"/>
        </w:rPr>
        <w:t xml:space="preserve"> spaced.  These individuals were never piled on top of each other.  “Other” burials (where the living buried dead from another group they were actively fighting) were not buried with such care; rather they were often carelessly thrown in </w:t>
      </w:r>
      <w:r w:rsidR="00B91DF1">
        <w:rPr>
          <w:rFonts w:ascii="Times New Roman" w:hAnsi="Times New Roman"/>
        </w:rPr>
        <w:t xml:space="preserve">the grave, often face down, </w:t>
      </w:r>
      <w:r w:rsidRPr="00A00300">
        <w:rPr>
          <w:rFonts w:ascii="Times New Roman" w:hAnsi="Times New Roman"/>
        </w:rPr>
        <w:t xml:space="preserve">without careful spacing of the bodies, </w:t>
      </w:r>
      <w:r w:rsidR="00B91DF1">
        <w:rPr>
          <w:rFonts w:ascii="Times New Roman" w:hAnsi="Times New Roman"/>
        </w:rPr>
        <w:t xml:space="preserve">and </w:t>
      </w:r>
      <w:r w:rsidRPr="00A00300">
        <w:rPr>
          <w:rFonts w:ascii="Times New Roman" w:hAnsi="Times New Roman"/>
        </w:rPr>
        <w:t>sometimes piled on</w:t>
      </w:r>
      <w:r>
        <w:rPr>
          <w:rFonts w:ascii="Times New Roman" w:hAnsi="Times New Roman"/>
        </w:rPr>
        <w:t xml:space="preserve"> top of each other.  The author</w:t>
      </w:r>
      <w:r w:rsidRPr="00A00300">
        <w:rPr>
          <w:rFonts w:ascii="Times New Roman" w:hAnsi="Times New Roman"/>
        </w:rPr>
        <w:t xml:space="preserve"> suggests these distinctions may be universal and thus applicable to archaeological mass burials.  </w:t>
      </w:r>
    </w:p>
    <w:p w14:paraId="70BB862D" w14:textId="20242492" w:rsidR="00BF0494" w:rsidRPr="004E149F" w:rsidRDefault="00BF0494" w:rsidP="008E2757">
      <w:pPr>
        <w:ind w:firstLine="720"/>
        <w:rPr>
          <w:rFonts w:ascii="Times New Roman" w:hAnsi="Times New Roman"/>
        </w:rPr>
      </w:pPr>
      <w:r>
        <w:rPr>
          <w:rFonts w:ascii="Times New Roman" w:hAnsi="Times New Roman"/>
        </w:rPr>
        <w:t xml:space="preserve">The bioarchaeological correlates of conflict at the </w:t>
      </w:r>
      <w:r w:rsidR="00CF609A">
        <w:rPr>
          <w:rFonts w:ascii="Times New Roman" w:hAnsi="Times New Roman"/>
        </w:rPr>
        <w:t>Wister area</w:t>
      </w:r>
      <w:r>
        <w:rPr>
          <w:rFonts w:ascii="Times New Roman" w:hAnsi="Times New Roman"/>
        </w:rPr>
        <w:t xml:space="preserve"> Fourche Maline site of Akers (34Lf32) are reported in detail in Chapter 4.  Trophy taking </w:t>
      </w:r>
      <w:r w:rsidR="00CB4ED0">
        <w:rPr>
          <w:rFonts w:ascii="Times New Roman" w:hAnsi="Times New Roman"/>
        </w:rPr>
        <w:t xml:space="preserve"> behavior,</w:t>
      </w:r>
      <w:r>
        <w:rPr>
          <w:rFonts w:ascii="Times New Roman" w:hAnsi="Times New Roman"/>
        </w:rPr>
        <w:t xml:space="preserve"> g</w:t>
      </w:r>
      <w:r w:rsidRPr="00A00300">
        <w:rPr>
          <w:rFonts w:ascii="Times New Roman" w:hAnsi="Times New Roman"/>
        </w:rPr>
        <w:t>roup</w:t>
      </w:r>
      <w:r w:rsidR="00CB4ED0">
        <w:rPr>
          <w:rFonts w:ascii="Times New Roman" w:hAnsi="Times New Roman"/>
        </w:rPr>
        <w:t xml:space="preserve"> and mass</w:t>
      </w:r>
      <w:r w:rsidRPr="00A00300">
        <w:rPr>
          <w:rFonts w:ascii="Times New Roman" w:hAnsi="Times New Roman"/>
        </w:rPr>
        <w:t xml:space="preserve"> burials are quite common in the </w:t>
      </w:r>
      <w:r w:rsidR="00CF609A">
        <w:rPr>
          <w:rFonts w:ascii="Times New Roman" w:hAnsi="Times New Roman"/>
        </w:rPr>
        <w:t>Wister area</w:t>
      </w:r>
      <w:r w:rsidRPr="00A00300">
        <w:rPr>
          <w:rFonts w:ascii="Times New Roman" w:hAnsi="Times New Roman"/>
        </w:rPr>
        <w:t xml:space="preserve"> and are </w:t>
      </w:r>
      <w:r>
        <w:rPr>
          <w:rFonts w:ascii="Times New Roman" w:hAnsi="Times New Roman"/>
        </w:rPr>
        <w:t>reviewed</w:t>
      </w:r>
      <w:r w:rsidRPr="00A00300">
        <w:rPr>
          <w:rFonts w:ascii="Times New Roman" w:hAnsi="Times New Roman"/>
        </w:rPr>
        <w:t xml:space="preserve"> in Chapter 5.</w:t>
      </w:r>
    </w:p>
    <w:p w14:paraId="6517582B" w14:textId="77777777" w:rsidR="00BF0494" w:rsidRDefault="00BF0494" w:rsidP="00CB4ED0">
      <w:pPr>
        <w:pStyle w:val="Heading2"/>
      </w:pPr>
      <w:bookmarkStart w:id="22" w:name="_Toc261025843"/>
      <w:r>
        <w:t>Nutritional Status in the Archaeological Record</w:t>
      </w:r>
      <w:bookmarkEnd w:id="22"/>
    </w:p>
    <w:p w14:paraId="4B9E5225" w14:textId="79884A98" w:rsidR="00BF0494" w:rsidRPr="00A00300" w:rsidRDefault="00BF0494" w:rsidP="008E2757">
      <w:pPr>
        <w:ind w:firstLine="720"/>
        <w:rPr>
          <w:rFonts w:ascii="Times New Roman" w:hAnsi="Times New Roman"/>
        </w:rPr>
      </w:pPr>
      <w:r w:rsidRPr="00A00300">
        <w:rPr>
          <w:rFonts w:ascii="Times New Roman" w:hAnsi="Times New Roman"/>
        </w:rPr>
        <w:t>Although it is never easy or straightforward to tease nutritional deficiencies from archaeological skeletal remains, there has been an upsurge in attempts to do just that.  Nutritional deficiencies are often the result of cultural practices rather than purely physical in cause and are rarely the results of a deficiency in a single dietary element (Lewis 2007:97).  Additionally, most nutritional deficiencies do not leave any skeletal indicators - for instance, according to the World Health Organization, Vitamin A deficiency is the leading cause of non-congenital blindness in the world, but leaves no skeletal indicators</w:t>
      </w:r>
      <w:r>
        <w:rPr>
          <w:rFonts w:ascii="Times New Roman" w:hAnsi="Times New Roman"/>
        </w:rPr>
        <w:t xml:space="preserve"> (WHO 2014)</w:t>
      </w:r>
      <w:r w:rsidRPr="00A00300">
        <w:rPr>
          <w:rFonts w:ascii="Times New Roman" w:hAnsi="Times New Roman"/>
        </w:rPr>
        <w:t>.  However some nutritional deficiencies do leave skeletal</w:t>
      </w:r>
      <w:r w:rsidR="00C96BD5">
        <w:rPr>
          <w:rFonts w:ascii="Times New Roman" w:hAnsi="Times New Roman"/>
        </w:rPr>
        <w:t xml:space="preserve"> markers</w:t>
      </w:r>
      <w:r w:rsidR="00726EE9">
        <w:rPr>
          <w:rFonts w:ascii="Times New Roman" w:hAnsi="Times New Roman"/>
        </w:rPr>
        <w:t>,</w:t>
      </w:r>
      <w:r w:rsidRPr="00A00300">
        <w:rPr>
          <w:rFonts w:ascii="Times New Roman" w:hAnsi="Times New Roman"/>
        </w:rPr>
        <w:t xml:space="preserve"> and making sense of those indicators is a complex task.</w:t>
      </w:r>
    </w:p>
    <w:p w14:paraId="13C23E32" w14:textId="11FF91DB" w:rsidR="00BF0494" w:rsidRPr="00A00300" w:rsidRDefault="00BF0494" w:rsidP="008E2757">
      <w:pPr>
        <w:ind w:firstLine="720"/>
        <w:rPr>
          <w:rFonts w:ascii="Times New Roman" w:hAnsi="Times New Roman"/>
        </w:rPr>
      </w:pPr>
      <w:r w:rsidRPr="00A00300">
        <w:rPr>
          <w:rFonts w:ascii="Times New Roman" w:hAnsi="Times New Roman"/>
        </w:rPr>
        <w:t>When it comes to paleonutrition</w:t>
      </w:r>
      <w:r w:rsidR="00C96BD5">
        <w:rPr>
          <w:rFonts w:ascii="Times New Roman" w:hAnsi="Times New Roman"/>
        </w:rPr>
        <w:t>,</w:t>
      </w:r>
      <w:r w:rsidRPr="00A00300">
        <w:rPr>
          <w:rFonts w:ascii="Times New Roman" w:hAnsi="Times New Roman"/>
        </w:rPr>
        <w:t xml:space="preserve"> the major conflicting paradigm has been how the advent of agriculture and sedentism affected health and nutritional status.  Is agriculture “the greatest mistake in history of humankind” as Jared Diamond </w:t>
      </w:r>
      <w:r>
        <w:rPr>
          <w:rFonts w:ascii="Times New Roman" w:hAnsi="Times New Roman"/>
        </w:rPr>
        <w:t>(1987) infamously proclaims, or is it instead humanity’s</w:t>
      </w:r>
      <w:r w:rsidRPr="00A00300">
        <w:rPr>
          <w:rFonts w:ascii="Times New Roman" w:hAnsi="Times New Roman"/>
        </w:rPr>
        <w:t xml:space="preserve"> savior?  Studies of prehistoric populations have argued for both points of view, often using the same data to argue different sides of the debate.  A sec</w:t>
      </w:r>
      <w:r w:rsidR="00C96BD5">
        <w:rPr>
          <w:rFonts w:ascii="Times New Roman" w:hAnsi="Times New Roman"/>
        </w:rPr>
        <w:t>ondary controversy surrounds two types of</w:t>
      </w:r>
      <w:r w:rsidRPr="00A00300">
        <w:rPr>
          <w:rFonts w:ascii="Times New Roman" w:hAnsi="Times New Roman"/>
        </w:rPr>
        <w:t xml:space="preserve"> cranial lesions</w:t>
      </w:r>
      <w:r w:rsidR="00C96BD5">
        <w:rPr>
          <w:rFonts w:ascii="Times New Roman" w:hAnsi="Times New Roman"/>
        </w:rPr>
        <w:t>,</w:t>
      </w:r>
      <w:r w:rsidRPr="00A00300">
        <w:rPr>
          <w:rFonts w:ascii="Times New Roman" w:hAnsi="Times New Roman"/>
        </w:rPr>
        <w:t xml:space="preserve"> porotic hyperostosis and cribra orbitalia, and just what (if anything) presence of these lesions indicates</w:t>
      </w:r>
      <w:r w:rsidR="00CA60C0">
        <w:rPr>
          <w:rFonts w:ascii="Times New Roman" w:hAnsi="Times New Roman"/>
        </w:rPr>
        <w:t xml:space="preserve"> about nutritional status</w:t>
      </w:r>
      <w:r w:rsidRPr="00A00300">
        <w:rPr>
          <w:rFonts w:ascii="Times New Roman" w:hAnsi="Times New Roman"/>
        </w:rPr>
        <w:t xml:space="preserve">. </w:t>
      </w:r>
      <w:r w:rsidR="00466817">
        <w:rPr>
          <w:rFonts w:ascii="Times New Roman" w:hAnsi="Times New Roman"/>
        </w:rPr>
        <w:t xml:space="preserve"> B</w:t>
      </w:r>
      <w:r>
        <w:rPr>
          <w:rFonts w:ascii="Times New Roman" w:hAnsi="Times New Roman"/>
        </w:rPr>
        <w:t>oth of these issues will be discussed below.</w:t>
      </w:r>
    </w:p>
    <w:p w14:paraId="1DD8B518" w14:textId="77777777" w:rsidR="00BF0494" w:rsidRDefault="00BF0494" w:rsidP="009C5432">
      <w:pPr>
        <w:pStyle w:val="Heading3"/>
      </w:pPr>
      <w:bookmarkStart w:id="23" w:name="_Toc261025844"/>
      <w:r>
        <w:t>Prehistoric Health and the Advent of Agriculture</w:t>
      </w:r>
      <w:bookmarkEnd w:id="23"/>
    </w:p>
    <w:p w14:paraId="1DA824A6" w14:textId="4F886C35" w:rsidR="00BF0494" w:rsidRPr="00295DE8" w:rsidRDefault="00BF0494" w:rsidP="008E2757">
      <w:pPr>
        <w:ind w:firstLine="720"/>
        <w:rPr>
          <w:rFonts w:ascii="Times New Roman" w:hAnsi="Times New Roman"/>
        </w:rPr>
      </w:pPr>
      <w:r>
        <w:rPr>
          <w:rFonts w:ascii="Times New Roman" w:hAnsi="Times New Roman"/>
        </w:rPr>
        <w:t>Skeletal research</w:t>
      </w:r>
      <w:r w:rsidRPr="00295DE8">
        <w:rPr>
          <w:rFonts w:ascii="Times New Roman" w:hAnsi="Times New Roman"/>
        </w:rPr>
        <w:t xml:space="preserve"> on</w:t>
      </w:r>
      <w:r>
        <w:rPr>
          <w:rFonts w:ascii="Times New Roman" w:hAnsi="Times New Roman"/>
        </w:rPr>
        <w:t xml:space="preserve"> the burials from</w:t>
      </w:r>
      <w:r w:rsidR="000438D2">
        <w:rPr>
          <w:rFonts w:ascii="Times New Roman" w:hAnsi="Times New Roman"/>
        </w:rPr>
        <w:t xml:space="preserve"> Dickson Mounds in Illinois</w:t>
      </w:r>
      <w:r w:rsidRPr="00295DE8">
        <w:rPr>
          <w:rFonts w:ascii="Times New Roman" w:hAnsi="Times New Roman"/>
        </w:rPr>
        <w:t xml:space="preserve"> documented that agricultural populations experienced significant increases in both nutritional deficiencies and infectious diseases</w:t>
      </w:r>
      <w:r w:rsidR="00477410">
        <w:rPr>
          <w:rFonts w:ascii="Times New Roman" w:hAnsi="Times New Roman"/>
        </w:rPr>
        <w:t xml:space="preserve"> compared to earlier foraging populations</w:t>
      </w:r>
      <w:r w:rsidRPr="00295DE8">
        <w:rPr>
          <w:rFonts w:ascii="Times New Roman" w:hAnsi="Times New Roman"/>
        </w:rPr>
        <w:t xml:space="preserve"> (e.g. Goodm</w:t>
      </w:r>
      <w:r w:rsidR="002C5D64">
        <w:rPr>
          <w:rFonts w:ascii="Times New Roman" w:hAnsi="Times New Roman"/>
        </w:rPr>
        <w:t>an et al. 1984, Lallo et al. 19</w:t>
      </w:r>
      <w:r w:rsidRPr="00295DE8">
        <w:rPr>
          <w:rFonts w:ascii="Times New Roman" w:hAnsi="Times New Roman"/>
        </w:rPr>
        <w:t>8</w:t>
      </w:r>
      <w:r w:rsidR="002C5D64">
        <w:rPr>
          <w:rFonts w:ascii="Times New Roman" w:hAnsi="Times New Roman"/>
        </w:rPr>
        <w:t>0</w:t>
      </w:r>
      <w:r w:rsidRPr="00295DE8">
        <w:rPr>
          <w:rFonts w:ascii="Times New Roman" w:hAnsi="Times New Roman"/>
        </w:rPr>
        <w:t xml:space="preserve">, Rose et al 1978).  </w:t>
      </w:r>
      <w:r>
        <w:rPr>
          <w:rFonts w:ascii="Times New Roman" w:hAnsi="Times New Roman"/>
        </w:rPr>
        <w:t xml:space="preserve">As explained in the preface to the 2013 reprint of </w:t>
      </w:r>
      <w:r w:rsidR="00477410">
        <w:rPr>
          <w:rFonts w:ascii="Times New Roman" w:hAnsi="Times New Roman"/>
          <w:i/>
        </w:rPr>
        <w:t>Paleopathology at the Origins</w:t>
      </w:r>
      <w:r w:rsidRPr="00295DE8">
        <w:rPr>
          <w:rFonts w:ascii="Times New Roman" w:hAnsi="Times New Roman"/>
          <w:i/>
        </w:rPr>
        <w:t xml:space="preserve"> of Agriculture</w:t>
      </w:r>
      <w:r>
        <w:rPr>
          <w:rFonts w:ascii="Times New Roman" w:hAnsi="Times New Roman"/>
        </w:rPr>
        <w:t>, t</w:t>
      </w:r>
      <w:r w:rsidRPr="00295DE8">
        <w:rPr>
          <w:rFonts w:ascii="Times New Roman" w:hAnsi="Times New Roman"/>
        </w:rPr>
        <w:t>his result was so unexpected that it engendered a 1982 symposium to consider case studies on the transition to agriculture and health changes in various parts of the world (Armelagos and Cohen 2013).  The resulting edited volume (1984, eds Cohen and Armelagos)</w:t>
      </w:r>
      <w:r>
        <w:rPr>
          <w:rFonts w:ascii="Times New Roman" w:hAnsi="Times New Roman"/>
        </w:rPr>
        <w:t xml:space="preserve"> </w:t>
      </w:r>
      <w:r w:rsidRPr="00295DE8">
        <w:rPr>
          <w:rFonts w:ascii="Times New Roman" w:hAnsi="Times New Roman"/>
        </w:rPr>
        <w:t>remains a waters</w:t>
      </w:r>
      <w:r>
        <w:rPr>
          <w:rFonts w:ascii="Times New Roman" w:hAnsi="Times New Roman"/>
        </w:rPr>
        <w:t>hed in biological anthropology.</w:t>
      </w:r>
      <w:r w:rsidRPr="00295DE8">
        <w:rPr>
          <w:rFonts w:ascii="Times New Roman" w:hAnsi="Times New Roman"/>
        </w:rPr>
        <w:t xml:space="preserve">  Case studies included two from Europe, two from the greater Levant, one from Asia, one from Africa, four from Central and South America, and nine studies in the United States.  The studies detailed the many ways that health had declined with agriculture, including decreased stature, increased infection, increased injury, increased dental caries and abscesses, and increased rates of nutritional deficiencies.</w:t>
      </w:r>
    </w:p>
    <w:p w14:paraId="5692C05B" w14:textId="0550572D" w:rsidR="00BF0494" w:rsidRPr="00295DE8" w:rsidRDefault="00BF0494" w:rsidP="008E2757">
      <w:pPr>
        <w:ind w:firstLine="720"/>
        <w:rPr>
          <w:rFonts w:ascii="Times New Roman" w:hAnsi="Times New Roman"/>
        </w:rPr>
      </w:pPr>
      <w:r w:rsidRPr="00295DE8">
        <w:rPr>
          <w:rFonts w:ascii="Times New Roman" w:hAnsi="Times New Roman"/>
        </w:rPr>
        <w:t xml:space="preserve">In a critique not only of the book and its studies, </w:t>
      </w:r>
      <w:r w:rsidR="005544F1" w:rsidRPr="00295DE8">
        <w:rPr>
          <w:rFonts w:ascii="Times New Roman" w:hAnsi="Times New Roman"/>
        </w:rPr>
        <w:t>but also</w:t>
      </w:r>
      <w:r w:rsidRPr="00295DE8">
        <w:rPr>
          <w:rFonts w:ascii="Times New Roman" w:hAnsi="Times New Roman"/>
        </w:rPr>
        <w:t xml:space="preserve"> of the very foundations of paleopathology and its methods, </w:t>
      </w:r>
      <w:r>
        <w:rPr>
          <w:rFonts w:ascii="Times New Roman" w:hAnsi="Times New Roman"/>
        </w:rPr>
        <w:t>the 1992</w:t>
      </w:r>
      <w:r w:rsidRPr="00295DE8">
        <w:rPr>
          <w:rFonts w:ascii="Times New Roman" w:hAnsi="Times New Roman"/>
        </w:rPr>
        <w:t xml:space="preserve"> article “The Osteological Paradox:  Problems of Inferring Prehistoric Health </w:t>
      </w:r>
      <w:r w:rsidR="000438D2">
        <w:rPr>
          <w:rFonts w:ascii="Times New Roman" w:hAnsi="Times New Roman"/>
        </w:rPr>
        <w:t>from Skeletal Samples</w:t>
      </w:r>
      <w:r w:rsidRPr="00295DE8">
        <w:rPr>
          <w:rFonts w:ascii="Times New Roman" w:hAnsi="Times New Roman"/>
        </w:rPr>
        <w:t>” challenged the idea that health decreased with the advent of agric</w:t>
      </w:r>
      <w:r>
        <w:rPr>
          <w:rFonts w:ascii="Times New Roman" w:hAnsi="Times New Roman"/>
        </w:rPr>
        <w:t>ulture</w:t>
      </w:r>
      <w:r w:rsidR="00726EE9">
        <w:rPr>
          <w:rFonts w:ascii="Times New Roman" w:hAnsi="Times New Roman"/>
        </w:rPr>
        <w:t xml:space="preserve"> (Wood et al. 1992)</w:t>
      </w:r>
      <w:r>
        <w:rPr>
          <w:rFonts w:ascii="Times New Roman" w:hAnsi="Times New Roman"/>
        </w:rPr>
        <w:t>.  This critique rested</w:t>
      </w:r>
      <w:r w:rsidRPr="00295DE8">
        <w:rPr>
          <w:rFonts w:ascii="Times New Roman" w:hAnsi="Times New Roman"/>
        </w:rPr>
        <w:t xml:space="preserve"> </w:t>
      </w:r>
      <w:r>
        <w:rPr>
          <w:rFonts w:ascii="Times New Roman" w:hAnsi="Times New Roman"/>
        </w:rPr>
        <w:t>up</w:t>
      </w:r>
      <w:r w:rsidRPr="00295DE8">
        <w:rPr>
          <w:rFonts w:ascii="Times New Roman" w:hAnsi="Times New Roman"/>
        </w:rPr>
        <w:t>on claims that cemetery samples (i.e. skeletal or archaeological series) were biased due to nonstationarity, hidden heterogeneity, differential frailty, and selective mortality</w:t>
      </w:r>
      <w:r w:rsidR="00673A8D">
        <w:rPr>
          <w:rFonts w:ascii="Times New Roman" w:hAnsi="Times New Roman"/>
        </w:rPr>
        <w:t xml:space="preserve"> (Wood et al. 199</w:t>
      </w:r>
      <w:r>
        <w:rPr>
          <w:rFonts w:ascii="Times New Roman" w:hAnsi="Times New Roman"/>
        </w:rPr>
        <w:t>2)</w:t>
      </w:r>
      <w:r w:rsidRPr="00295DE8">
        <w:rPr>
          <w:rFonts w:ascii="Times New Roman" w:hAnsi="Times New Roman"/>
        </w:rPr>
        <w:t>.   The consequences of these assertions were that cemetery populations are unrepresenta</w:t>
      </w:r>
      <w:r w:rsidR="00741B70">
        <w:rPr>
          <w:rFonts w:ascii="Times New Roman" w:hAnsi="Times New Roman"/>
        </w:rPr>
        <w:t>tive of once living populations</w:t>
      </w:r>
      <w:r w:rsidRPr="00295DE8">
        <w:rPr>
          <w:rFonts w:ascii="Times New Roman" w:hAnsi="Times New Roman"/>
        </w:rPr>
        <w:t xml:space="preserve"> and that healthier skeletons do not necessarily reflect healthier people.  </w:t>
      </w:r>
      <w:r>
        <w:rPr>
          <w:rFonts w:ascii="Times New Roman" w:hAnsi="Times New Roman"/>
        </w:rPr>
        <w:t>“The Osteological Paradox”</w:t>
      </w:r>
      <w:r w:rsidRPr="00295DE8">
        <w:rPr>
          <w:rFonts w:ascii="Times New Roman" w:hAnsi="Times New Roman"/>
        </w:rPr>
        <w:t xml:space="preserve"> argued that an apparent increase in pathology could actually represent an improvement in health.  Because farming populations were better nourished and longer-living, they were </w:t>
      </w:r>
      <w:r w:rsidR="00741B70">
        <w:rPr>
          <w:rFonts w:ascii="Times New Roman" w:hAnsi="Times New Roman"/>
        </w:rPr>
        <w:t xml:space="preserve">better </w:t>
      </w:r>
      <w:r w:rsidRPr="00295DE8">
        <w:rPr>
          <w:rFonts w:ascii="Times New Roman" w:hAnsi="Times New Roman"/>
        </w:rPr>
        <w:t>able to</w:t>
      </w:r>
      <w:r>
        <w:rPr>
          <w:rFonts w:ascii="Times New Roman" w:hAnsi="Times New Roman"/>
        </w:rPr>
        <w:t xml:space="preserve"> record skeletal stresses.  The </w:t>
      </w:r>
      <w:r w:rsidRPr="00295DE8">
        <w:rPr>
          <w:rFonts w:ascii="Times New Roman" w:hAnsi="Times New Roman"/>
        </w:rPr>
        <w:t>argument further stated that hunter-gatherer skeletons were relatively free of pathology</w:t>
      </w:r>
      <w:r w:rsidR="00726EE9">
        <w:rPr>
          <w:rFonts w:ascii="Times New Roman" w:hAnsi="Times New Roman"/>
        </w:rPr>
        <w:t>,</w:t>
      </w:r>
      <w:r w:rsidRPr="00295DE8">
        <w:rPr>
          <w:rFonts w:ascii="Times New Roman" w:hAnsi="Times New Roman"/>
        </w:rPr>
        <w:t xml:space="preserve"> not because they were actually healthier</w:t>
      </w:r>
      <w:r w:rsidR="00726EE9">
        <w:rPr>
          <w:rFonts w:ascii="Times New Roman" w:hAnsi="Times New Roman"/>
        </w:rPr>
        <w:t>,</w:t>
      </w:r>
      <w:r w:rsidRPr="00295DE8">
        <w:rPr>
          <w:rFonts w:ascii="Times New Roman" w:hAnsi="Times New Roman"/>
        </w:rPr>
        <w:t xml:space="preserve"> but because they died before their skeletons could reflect any insults.  Within this paradigm, the Dickson Mounds data </w:t>
      </w:r>
      <w:r>
        <w:rPr>
          <w:rFonts w:ascii="Times New Roman" w:hAnsi="Times New Roman"/>
        </w:rPr>
        <w:t xml:space="preserve">was reinterpreted as evidence that </w:t>
      </w:r>
      <w:r w:rsidRPr="00295DE8">
        <w:rPr>
          <w:rFonts w:ascii="Times New Roman" w:hAnsi="Times New Roman"/>
        </w:rPr>
        <w:t>low average ages of death and high frequencies of enamel hypoplasia actually reflected increased fertility and biological privilege</w:t>
      </w:r>
      <w:r>
        <w:rPr>
          <w:rFonts w:ascii="Times New Roman" w:hAnsi="Times New Roman"/>
        </w:rPr>
        <w:t xml:space="preserve"> (Wood et al. 1992</w:t>
      </w:r>
      <w:r w:rsidR="00741B70">
        <w:rPr>
          <w:rFonts w:ascii="Times New Roman" w:hAnsi="Times New Roman"/>
        </w:rPr>
        <w:t>)</w:t>
      </w:r>
      <w:r w:rsidRPr="00295DE8">
        <w:rPr>
          <w:rFonts w:ascii="Times New Roman" w:hAnsi="Times New Roman"/>
        </w:rPr>
        <w:t>.</w:t>
      </w:r>
    </w:p>
    <w:p w14:paraId="56EA4AE8" w14:textId="240FC0A3" w:rsidR="00BF0494" w:rsidRPr="00295DE8" w:rsidRDefault="00BF0494" w:rsidP="008E2757">
      <w:pPr>
        <w:rPr>
          <w:rFonts w:ascii="Times New Roman" w:hAnsi="Times New Roman"/>
        </w:rPr>
      </w:pPr>
      <w:r w:rsidRPr="00295DE8">
        <w:rPr>
          <w:rFonts w:ascii="Times New Roman" w:hAnsi="Times New Roman"/>
        </w:rPr>
        <w:tab/>
      </w:r>
      <w:r>
        <w:rPr>
          <w:rFonts w:ascii="Times New Roman" w:hAnsi="Times New Roman"/>
        </w:rPr>
        <w:t xml:space="preserve">Cohen (1994) quickly </w:t>
      </w:r>
      <w:r w:rsidRPr="00295DE8">
        <w:rPr>
          <w:rFonts w:ascii="Times New Roman" w:hAnsi="Times New Roman"/>
        </w:rPr>
        <w:t xml:space="preserve">(in academic terms) </w:t>
      </w:r>
      <w:r>
        <w:rPr>
          <w:rFonts w:ascii="Times New Roman" w:hAnsi="Times New Roman"/>
        </w:rPr>
        <w:t xml:space="preserve">responded with a </w:t>
      </w:r>
      <w:r w:rsidRPr="00295DE8">
        <w:rPr>
          <w:rFonts w:ascii="Times New Roman" w:hAnsi="Times New Roman"/>
        </w:rPr>
        <w:t>rebuttal in the form of “The Oste</w:t>
      </w:r>
      <w:r>
        <w:rPr>
          <w:rFonts w:ascii="Times New Roman" w:hAnsi="Times New Roman"/>
        </w:rPr>
        <w:t xml:space="preserve">ological Paradox reconsidered,” arguing that </w:t>
      </w:r>
      <w:r w:rsidRPr="00295DE8">
        <w:rPr>
          <w:rFonts w:ascii="Times New Roman" w:hAnsi="Times New Roman"/>
        </w:rPr>
        <w:t>changes in skeletal assemblage</w:t>
      </w:r>
      <w:r w:rsidR="00477410">
        <w:rPr>
          <w:rFonts w:ascii="Times New Roman" w:hAnsi="Times New Roman"/>
        </w:rPr>
        <w:t>s</w:t>
      </w:r>
      <w:r w:rsidRPr="00295DE8">
        <w:rPr>
          <w:rFonts w:ascii="Times New Roman" w:hAnsi="Times New Roman"/>
        </w:rPr>
        <w:t xml:space="preserve"> reflect real c</w:t>
      </w:r>
      <w:r w:rsidR="00477410">
        <w:rPr>
          <w:rFonts w:ascii="Times New Roman" w:hAnsi="Times New Roman"/>
        </w:rPr>
        <w:t>hanges in health of once living</w:t>
      </w:r>
      <w:r w:rsidRPr="00295DE8">
        <w:rPr>
          <w:rFonts w:ascii="Times New Roman" w:hAnsi="Times New Roman"/>
        </w:rPr>
        <w:t xml:space="preserve"> populations.</w:t>
      </w:r>
      <w:r>
        <w:rPr>
          <w:rFonts w:ascii="Times New Roman" w:hAnsi="Times New Roman"/>
        </w:rPr>
        <w:t xml:space="preserve">  Cohen (1994) noted that e</w:t>
      </w:r>
      <w:r w:rsidRPr="00295DE8">
        <w:rPr>
          <w:rFonts w:ascii="Times New Roman" w:hAnsi="Times New Roman"/>
        </w:rPr>
        <w:t>pidemiological theory predicted increased infection and increased parasites with sedentism and increased group size, and that this occurs repeatedly in comparisons o</w:t>
      </w:r>
      <w:r>
        <w:rPr>
          <w:rFonts w:ascii="Times New Roman" w:hAnsi="Times New Roman"/>
        </w:rPr>
        <w:t>f historical and modern populations.  He</w:t>
      </w:r>
      <w:r w:rsidRPr="00295DE8">
        <w:rPr>
          <w:rFonts w:ascii="Times New Roman" w:hAnsi="Times New Roman"/>
        </w:rPr>
        <w:t xml:space="preserve"> further argued that while heterogeneity, differential mortality, and selective mortality are real, they do not play as important a selective role in the creation of cemetery population as Wood and colleagues (1992) stated, and that samples in a population will always include both a selected and a random component.  Effects of selection are usually a relatively minor statistical current against a background of competing factors and (except under very extreme selective conditions), a cemetery population is actually a relatively good sample of th</w:t>
      </w:r>
      <w:r w:rsidR="00673A8D">
        <w:rPr>
          <w:rFonts w:ascii="Times New Roman" w:hAnsi="Times New Roman"/>
        </w:rPr>
        <w:t>e living population (Cohen</w:t>
      </w:r>
      <w:r w:rsidRPr="00295DE8">
        <w:rPr>
          <w:rFonts w:ascii="Times New Roman" w:hAnsi="Times New Roman"/>
        </w:rPr>
        <w:t xml:space="preserve"> 1994).</w:t>
      </w:r>
    </w:p>
    <w:p w14:paraId="75489D0A" w14:textId="77777777" w:rsidR="00BF0494" w:rsidRPr="00295DE8" w:rsidRDefault="00BF0494" w:rsidP="008E2757">
      <w:pPr>
        <w:rPr>
          <w:rFonts w:ascii="Times New Roman" w:hAnsi="Times New Roman"/>
        </w:rPr>
      </w:pPr>
      <w:r w:rsidRPr="00295DE8">
        <w:rPr>
          <w:rFonts w:ascii="Times New Roman" w:hAnsi="Times New Roman"/>
        </w:rPr>
        <w:tab/>
      </w:r>
      <w:r>
        <w:rPr>
          <w:rFonts w:ascii="Times New Roman" w:hAnsi="Times New Roman"/>
        </w:rPr>
        <w:t>A</w:t>
      </w:r>
      <w:r w:rsidRPr="00295DE8">
        <w:rPr>
          <w:rFonts w:ascii="Times New Roman" w:hAnsi="Times New Roman"/>
        </w:rPr>
        <w:t xml:space="preserve"> much-needed methodological advance occurred in 1994 with the publication of </w:t>
      </w:r>
      <w:r w:rsidRPr="00295DE8">
        <w:rPr>
          <w:rFonts w:ascii="Times New Roman" w:hAnsi="Times New Roman"/>
          <w:i/>
        </w:rPr>
        <w:t>Standards for Data Collection from Human Skeletal Remains</w:t>
      </w:r>
      <w:r w:rsidRPr="00295DE8">
        <w:rPr>
          <w:rFonts w:ascii="Times New Roman" w:hAnsi="Times New Roman"/>
        </w:rPr>
        <w:t xml:space="preserve"> (Buikstra and Ubelaker 1994), which provided guidelines to standardize data collection.  However inter-observer error remains an issue.  Some scholars argue that comparison studies were most effective when the comparisons were between studies done in one area by one team, rather than cross regionally or by different teams (Danforth et al. 1993).  While this may be sound, practicality limits the usefulness of this approach.</w:t>
      </w:r>
    </w:p>
    <w:p w14:paraId="7DBD8503" w14:textId="2F250E13" w:rsidR="00BF0494" w:rsidRDefault="00BF0494" w:rsidP="008E2757">
      <w:pPr>
        <w:rPr>
          <w:rFonts w:ascii="Times New Roman" w:hAnsi="Times New Roman"/>
        </w:rPr>
      </w:pPr>
      <w:r w:rsidRPr="00295DE8">
        <w:rPr>
          <w:rFonts w:ascii="Times New Roman" w:hAnsi="Times New Roman"/>
        </w:rPr>
        <w:tab/>
      </w:r>
      <w:r w:rsidRPr="00295DE8">
        <w:rPr>
          <w:rFonts w:ascii="Times New Roman" w:hAnsi="Times New Roman"/>
          <w:i/>
        </w:rPr>
        <w:t>The Backbone of History</w:t>
      </w:r>
      <w:r w:rsidRPr="00295DE8">
        <w:rPr>
          <w:rFonts w:ascii="Times New Roman" w:hAnsi="Times New Roman"/>
        </w:rPr>
        <w:t xml:space="preserve"> (Steckel and Rose eds. 2002) presents the “Mark I Index” as a tool for comparing the overall health </w:t>
      </w:r>
      <w:r w:rsidR="00741B70">
        <w:rPr>
          <w:rFonts w:ascii="Times New Roman" w:hAnsi="Times New Roman"/>
        </w:rPr>
        <w:t xml:space="preserve">of skeletal </w:t>
      </w:r>
      <w:r w:rsidRPr="00295DE8">
        <w:rPr>
          <w:rFonts w:ascii="Times New Roman" w:hAnsi="Times New Roman"/>
        </w:rPr>
        <w:t xml:space="preserve">populations.  This methodological innovation has three features:  use of multiple stress indicators, a measure of the severity of the lesions, and age adjustment.  The index was applied to more than 12,500 individual </w:t>
      </w:r>
      <w:r>
        <w:rPr>
          <w:rFonts w:ascii="Times New Roman" w:hAnsi="Times New Roman"/>
        </w:rPr>
        <w:t xml:space="preserve">skeletal remains </w:t>
      </w:r>
      <w:r w:rsidRPr="00295DE8">
        <w:rPr>
          <w:rFonts w:ascii="Times New Roman" w:hAnsi="Times New Roman"/>
        </w:rPr>
        <w:t>from 65 sites in the Western Hemisph</w:t>
      </w:r>
      <w:r>
        <w:rPr>
          <w:rFonts w:ascii="Times New Roman" w:hAnsi="Times New Roman"/>
        </w:rPr>
        <w:t>ere</w:t>
      </w:r>
      <w:r w:rsidR="0011790C">
        <w:rPr>
          <w:rFonts w:ascii="Times New Roman" w:hAnsi="Times New Roman"/>
        </w:rPr>
        <w:t>,</w:t>
      </w:r>
      <w:r>
        <w:rPr>
          <w:rFonts w:ascii="Times New Roman" w:hAnsi="Times New Roman"/>
        </w:rPr>
        <w:t xml:space="preserve"> and the editors concluded that the rise of agriculture, government, and urbanization brought a concomitant rise in chronic conditions of ill healt</w:t>
      </w:r>
      <w:r w:rsidR="00477410">
        <w:rPr>
          <w:rFonts w:ascii="Times New Roman" w:hAnsi="Times New Roman"/>
        </w:rPr>
        <w:t>h (Steckel and Rose 200</w:t>
      </w:r>
      <w:r>
        <w:rPr>
          <w:rFonts w:ascii="Times New Roman" w:hAnsi="Times New Roman"/>
        </w:rPr>
        <w:t>2:563).</w:t>
      </w:r>
    </w:p>
    <w:p w14:paraId="6AA4B202" w14:textId="2F83FC4C" w:rsidR="00BF0494" w:rsidRPr="00295DE8" w:rsidRDefault="00BF0494" w:rsidP="008E2757">
      <w:pPr>
        <w:ind w:firstLine="720"/>
        <w:rPr>
          <w:rFonts w:ascii="Times New Roman" w:hAnsi="Times New Roman"/>
        </w:rPr>
      </w:pPr>
      <w:r w:rsidRPr="00295DE8">
        <w:rPr>
          <w:rFonts w:ascii="Times New Roman" w:hAnsi="Times New Roman"/>
          <w:i/>
        </w:rPr>
        <w:t>Ancient Health: Skeletal Indicators of Agriculture and Economic Intensification</w:t>
      </w:r>
      <w:r w:rsidRPr="00295DE8">
        <w:rPr>
          <w:rFonts w:ascii="Times New Roman" w:hAnsi="Times New Roman"/>
        </w:rPr>
        <w:t xml:space="preserve"> (Cohen and Crane-Kramer eds. 2007) is another massive compilation of comparative health studies</w:t>
      </w:r>
      <w:r>
        <w:rPr>
          <w:rFonts w:ascii="Times New Roman" w:hAnsi="Times New Roman"/>
        </w:rPr>
        <w:t xml:space="preserve"> (both Old and New World sites) through time.  The edi</w:t>
      </w:r>
      <w:r w:rsidR="0011790C">
        <w:rPr>
          <w:rFonts w:ascii="Times New Roman" w:hAnsi="Times New Roman"/>
        </w:rPr>
        <w:t>tors note that while the data are</w:t>
      </w:r>
      <w:r>
        <w:rPr>
          <w:rFonts w:ascii="Times New Roman" w:hAnsi="Times New Roman"/>
        </w:rPr>
        <w:t xml:space="preserve"> very mixed, most health indicators indicate a “preponderance of downward trends” </w:t>
      </w:r>
      <w:r w:rsidR="00901F01">
        <w:rPr>
          <w:rFonts w:ascii="Times New Roman" w:hAnsi="Times New Roman"/>
        </w:rPr>
        <w:t xml:space="preserve">of health indicators </w:t>
      </w:r>
      <w:r>
        <w:rPr>
          <w:rFonts w:ascii="Times New Roman" w:hAnsi="Times New Roman"/>
        </w:rPr>
        <w:t xml:space="preserve">through time (Cohen and Crane-Kramer 2007:342).  However they also note that regional histories are often “idiosyncratic, reflecting variations in geography, politics, culture, population size and nucleation, domestication, </w:t>
      </w:r>
      <w:r w:rsidR="00741B70">
        <w:rPr>
          <w:rFonts w:ascii="Times New Roman" w:hAnsi="Times New Roman"/>
        </w:rPr>
        <w:t>population movements, and trade</w:t>
      </w:r>
      <w:r>
        <w:rPr>
          <w:rFonts w:ascii="Times New Roman" w:hAnsi="Times New Roman"/>
        </w:rPr>
        <w:t>” (Cohen and Crane-Kramer 2007:343)</w:t>
      </w:r>
      <w:r w:rsidR="00901F01">
        <w:rPr>
          <w:rFonts w:ascii="Times New Roman" w:hAnsi="Times New Roman"/>
        </w:rPr>
        <w:t>, and caution that that each area and population  must be studied in context</w:t>
      </w:r>
      <w:r>
        <w:rPr>
          <w:rFonts w:ascii="Times New Roman" w:hAnsi="Times New Roman"/>
        </w:rPr>
        <w:t>.</w:t>
      </w:r>
    </w:p>
    <w:p w14:paraId="4B4DE28C" w14:textId="4C8DB625" w:rsidR="00BF0494" w:rsidRPr="00AC62D6" w:rsidRDefault="00BF0494" w:rsidP="008E2757">
      <w:pPr>
        <w:rPr>
          <w:rFonts w:ascii="Times New Roman" w:hAnsi="Times New Roman"/>
        </w:rPr>
      </w:pPr>
      <w:r w:rsidRPr="00295DE8">
        <w:rPr>
          <w:rFonts w:ascii="Times New Roman" w:hAnsi="Times New Roman"/>
        </w:rPr>
        <w:tab/>
        <w:t xml:space="preserve">The overall consequences of the debates surrounding the so-called Osteological Paradox are two paradigm shifts (Armelagos and Cohen 2013).  The first shift is the </w:t>
      </w:r>
      <w:r w:rsidR="00901F01">
        <w:rPr>
          <w:rFonts w:ascii="Times New Roman" w:hAnsi="Times New Roman"/>
        </w:rPr>
        <w:t xml:space="preserve">replacement of the </w:t>
      </w:r>
      <w:r w:rsidRPr="00295DE8">
        <w:rPr>
          <w:rFonts w:ascii="Times New Roman" w:hAnsi="Times New Roman"/>
        </w:rPr>
        <w:t xml:space="preserve">idea that the “invention” of agriculture led to increased population size with the idea that demand (i.e. population size) </w:t>
      </w:r>
      <w:r w:rsidRPr="00295DE8">
        <w:rPr>
          <w:rFonts w:ascii="Times New Roman" w:hAnsi="Times New Roman"/>
          <w:i/>
        </w:rPr>
        <w:t>created</w:t>
      </w:r>
      <w:r w:rsidRPr="00295DE8">
        <w:rPr>
          <w:rFonts w:ascii="Times New Roman" w:hAnsi="Times New Roman"/>
        </w:rPr>
        <w:t xml:space="preserve"> the need for agriculture.  Secondly, the progressive idea of steadily improving health throughout history has been replaced with the concept of ir</w:t>
      </w:r>
      <w:r>
        <w:rPr>
          <w:rFonts w:ascii="Times New Roman" w:hAnsi="Times New Roman"/>
        </w:rPr>
        <w:t>regular, often declining health, including significant nutritional stress.</w:t>
      </w:r>
    </w:p>
    <w:p w14:paraId="05F8FD50" w14:textId="77777777" w:rsidR="00BF0494" w:rsidRDefault="00BF0494" w:rsidP="007F6BCD">
      <w:pPr>
        <w:pStyle w:val="Heading4"/>
      </w:pPr>
      <w:r>
        <w:t>Famine, starvation, malnutrition</w:t>
      </w:r>
    </w:p>
    <w:p w14:paraId="3C1AA17B" w14:textId="76BA9CAF" w:rsidR="00BF0494" w:rsidRPr="00A00300" w:rsidRDefault="00BF0494" w:rsidP="008E2757">
      <w:pPr>
        <w:ind w:firstLine="720"/>
        <w:rPr>
          <w:rFonts w:ascii="Times New Roman" w:hAnsi="Times New Roman"/>
        </w:rPr>
      </w:pPr>
      <w:r>
        <w:rPr>
          <w:rFonts w:ascii="Times New Roman" w:hAnsi="Times New Roman"/>
        </w:rPr>
        <w:t xml:space="preserve">While hunter-gatherers may be less prone to famine than agricultural societies, in </w:t>
      </w:r>
      <w:r w:rsidR="00A51171">
        <w:rPr>
          <w:rFonts w:ascii="Times New Roman" w:hAnsi="Times New Roman"/>
        </w:rPr>
        <w:t xml:space="preserve">modern times </w:t>
      </w:r>
      <w:r w:rsidRPr="00A00300">
        <w:rPr>
          <w:rFonts w:ascii="Times New Roman" w:hAnsi="Times New Roman"/>
        </w:rPr>
        <w:t>famine occurs amongst all types of food producing societies (Dirk</w:t>
      </w:r>
      <w:r>
        <w:rPr>
          <w:rFonts w:ascii="Times New Roman" w:hAnsi="Times New Roman"/>
        </w:rPr>
        <w:t>s</w:t>
      </w:r>
      <w:r w:rsidRPr="00A00300">
        <w:rPr>
          <w:rFonts w:ascii="Times New Roman" w:hAnsi="Times New Roman"/>
        </w:rPr>
        <w:t xml:space="preserve"> 1993). </w:t>
      </w:r>
      <w:r>
        <w:rPr>
          <w:rFonts w:ascii="Times New Roman" w:hAnsi="Times New Roman"/>
        </w:rPr>
        <w:t xml:space="preserve"> </w:t>
      </w:r>
      <w:r w:rsidRPr="00A00300">
        <w:rPr>
          <w:rFonts w:ascii="Times New Roman" w:hAnsi="Times New Roman"/>
        </w:rPr>
        <w:t xml:space="preserve">The International Committee of the Red Cross defines famine as “widespread death due to lack of food” and notes that, in times of war, it is usually caused by deliberate disrupted access to sources of food (Mourey 1991).  Famines occur when available food supply is reduced to the point where starvation occurs.  </w:t>
      </w:r>
    </w:p>
    <w:p w14:paraId="64B1C718" w14:textId="5787F783" w:rsidR="00BF0494" w:rsidRPr="00A00300" w:rsidRDefault="00BF0494" w:rsidP="008E2757">
      <w:pPr>
        <w:ind w:firstLine="720"/>
        <w:rPr>
          <w:rFonts w:ascii="Times New Roman" w:hAnsi="Times New Roman"/>
        </w:rPr>
      </w:pPr>
      <w:r w:rsidRPr="00A00300">
        <w:rPr>
          <w:rFonts w:ascii="Times New Roman" w:hAnsi="Times New Roman"/>
        </w:rPr>
        <w:t xml:space="preserve">Starvation is the point at which the body resorts to devouring its own material for protein and nutrients.  Gross nutritional deficiencies can be </w:t>
      </w:r>
      <w:r>
        <w:rPr>
          <w:rFonts w:ascii="Times New Roman" w:hAnsi="Times New Roman"/>
        </w:rPr>
        <w:t>categorized into</w:t>
      </w:r>
      <w:r w:rsidRPr="00A00300">
        <w:rPr>
          <w:rFonts w:ascii="Times New Roman" w:hAnsi="Times New Roman"/>
        </w:rPr>
        <w:t xml:space="preserve"> primary and secondary malnutrition (Kumar et al. 2010).  Primary malnutrition occurs when calories and protein are insufficient to meet metabolic needs, leading to a variety of specific nutrient deficiencies.  It can also occur when calories/protein are sufficient, but the individual does not inges</w:t>
      </w:r>
      <w:r w:rsidR="00741B70">
        <w:rPr>
          <w:rFonts w:ascii="Times New Roman" w:hAnsi="Times New Roman"/>
        </w:rPr>
        <w:t>t enough of a specific nutrient</w:t>
      </w:r>
      <w:r w:rsidRPr="00A00300">
        <w:rPr>
          <w:rFonts w:ascii="Times New Roman" w:hAnsi="Times New Roman"/>
        </w:rPr>
        <w:t>, such as when Vitamin C deficiency leads to scurvy.  Secondary malnutrition</w:t>
      </w:r>
      <w:r w:rsidR="00741B70">
        <w:rPr>
          <w:rFonts w:ascii="Times New Roman" w:hAnsi="Times New Roman"/>
        </w:rPr>
        <w:t>,</w:t>
      </w:r>
      <w:r w:rsidRPr="00A00300">
        <w:rPr>
          <w:rFonts w:ascii="Times New Roman" w:hAnsi="Times New Roman"/>
        </w:rPr>
        <w:t xml:space="preserve"> on the other hand, occurs when ingestion </w:t>
      </w:r>
      <w:r w:rsidRPr="00A00300">
        <w:rPr>
          <w:rFonts w:ascii="Times New Roman" w:hAnsi="Times New Roman"/>
          <w:i/>
        </w:rPr>
        <w:t>should</w:t>
      </w:r>
      <w:r w:rsidRPr="00A00300">
        <w:rPr>
          <w:rFonts w:ascii="Times New Roman" w:hAnsi="Times New Roman"/>
        </w:rPr>
        <w:t xml:space="preserve"> be sufficient, but some other factor prevents adequate utilization of one or more nutrients – examples include malabsorption syndromes, metabolic disorders, severe diarrhea or e</w:t>
      </w:r>
      <w:r>
        <w:rPr>
          <w:rFonts w:ascii="Times New Roman" w:hAnsi="Times New Roman"/>
        </w:rPr>
        <w:t>mesis, or even genetic defects</w:t>
      </w:r>
      <w:r w:rsidRPr="00A00300">
        <w:rPr>
          <w:rFonts w:ascii="Times New Roman" w:hAnsi="Times New Roman"/>
        </w:rPr>
        <w:t xml:space="preserve">. </w:t>
      </w:r>
    </w:p>
    <w:p w14:paraId="132FD4A4" w14:textId="2CD35553" w:rsidR="00BF0494" w:rsidRPr="00A00300" w:rsidRDefault="00BF0494" w:rsidP="008E2757">
      <w:pPr>
        <w:ind w:firstLine="720"/>
        <w:rPr>
          <w:rFonts w:ascii="Times New Roman" w:hAnsi="Times New Roman"/>
        </w:rPr>
      </w:pPr>
      <w:r w:rsidRPr="00A00300">
        <w:rPr>
          <w:rFonts w:ascii="Times New Roman" w:hAnsi="Times New Roman"/>
        </w:rPr>
        <w:t>When a person is starving, the body draws on its own reserves for energy.  In children</w:t>
      </w:r>
      <w:r w:rsidR="00741B70">
        <w:rPr>
          <w:rFonts w:ascii="Times New Roman" w:hAnsi="Times New Roman"/>
        </w:rPr>
        <w:t>,</w:t>
      </w:r>
      <w:r w:rsidRPr="00A00300">
        <w:rPr>
          <w:rFonts w:ascii="Times New Roman" w:hAnsi="Times New Roman"/>
        </w:rPr>
        <w:t xml:space="preserve"> this state of general starvation is soon manifested as kwashikor or marasmus; in adults</w:t>
      </w:r>
      <w:r w:rsidR="00741B70">
        <w:rPr>
          <w:rFonts w:ascii="Times New Roman" w:hAnsi="Times New Roman"/>
        </w:rPr>
        <w:t>,</w:t>
      </w:r>
      <w:r w:rsidRPr="00A00300">
        <w:rPr>
          <w:rFonts w:ascii="Times New Roman" w:hAnsi="Times New Roman"/>
        </w:rPr>
        <w:t xml:space="preserve"> typically apathy and decreased endurance occurs before extreme weight loss, followed by edema and diarrhea (Scrimshaw 1987).  As starvation progresses, the individual experiences severe anemia and a tendency to osteomalacia, which may pr</w:t>
      </w:r>
      <w:r w:rsidR="00A51171">
        <w:rPr>
          <w:rFonts w:ascii="Times New Roman" w:hAnsi="Times New Roman"/>
        </w:rPr>
        <w:t xml:space="preserve">oduce spontaneous fractures accompanied by </w:t>
      </w:r>
      <w:r w:rsidRPr="00A00300">
        <w:rPr>
          <w:rFonts w:ascii="Times New Roman" w:hAnsi="Times New Roman"/>
        </w:rPr>
        <w:t>slow healing.</w:t>
      </w:r>
    </w:p>
    <w:p w14:paraId="2CFD40CA" w14:textId="722D3706" w:rsidR="00BF0494" w:rsidRPr="00A00300" w:rsidRDefault="00BF0494" w:rsidP="008E2757">
      <w:pPr>
        <w:rPr>
          <w:rFonts w:ascii="Times New Roman" w:hAnsi="Times New Roman"/>
        </w:rPr>
      </w:pPr>
      <w:r w:rsidRPr="00A00300">
        <w:rPr>
          <w:rFonts w:ascii="Times New Roman" w:hAnsi="Times New Roman"/>
        </w:rPr>
        <w:tab/>
        <w:t xml:space="preserve">Starvation increases susceptibility to contagious diseases by undermining individual resistance on multiple levels (Scrimshaw 1987).  The first level of defense against pathogens are physical, protective barriers, but a nutritionally compromised person will produce insufficient protein, causing skin and mucus membranes to lose integrity, and </w:t>
      </w:r>
      <w:r w:rsidR="00741B70">
        <w:rPr>
          <w:rFonts w:ascii="Times New Roman" w:hAnsi="Times New Roman"/>
        </w:rPr>
        <w:t>thus to fail</w:t>
      </w:r>
      <w:r>
        <w:rPr>
          <w:rFonts w:ascii="Times New Roman" w:hAnsi="Times New Roman"/>
        </w:rPr>
        <w:t xml:space="preserve"> as</w:t>
      </w:r>
      <w:r w:rsidRPr="00A00300">
        <w:rPr>
          <w:rFonts w:ascii="Times New Roman" w:hAnsi="Times New Roman"/>
        </w:rPr>
        <w:t xml:space="preserve"> pathogen barriers.  Once </w:t>
      </w:r>
      <w:r>
        <w:rPr>
          <w:rFonts w:ascii="Times New Roman" w:hAnsi="Times New Roman"/>
        </w:rPr>
        <w:t xml:space="preserve">a pathogen makes it </w:t>
      </w:r>
      <w:r w:rsidRPr="00A00300">
        <w:rPr>
          <w:rFonts w:ascii="Times New Roman" w:hAnsi="Times New Roman"/>
        </w:rPr>
        <w:t xml:space="preserve">inside the body, </w:t>
      </w:r>
      <w:r w:rsidR="00741B70">
        <w:rPr>
          <w:rFonts w:ascii="Times New Roman" w:hAnsi="Times New Roman"/>
        </w:rPr>
        <w:t xml:space="preserve">the </w:t>
      </w:r>
      <w:r w:rsidRPr="00A00300">
        <w:rPr>
          <w:rFonts w:ascii="Times New Roman" w:hAnsi="Times New Roman"/>
        </w:rPr>
        <w:t xml:space="preserve">immune system is </w:t>
      </w:r>
      <w:r>
        <w:rPr>
          <w:rFonts w:ascii="Times New Roman" w:hAnsi="Times New Roman"/>
        </w:rPr>
        <w:t>impaired</w:t>
      </w:r>
      <w:r w:rsidR="00741B70">
        <w:rPr>
          <w:rFonts w:ascii="Times New Roman" w:hAnsi="Times New Roman"/>
        </w:rPr>
        <w:t xml:space="preserve"> in multiple ways</w:t>
      </w:r>
      <w:r>
        <w:rPr>
          <w:rFonts w:ascii="Times New Roman" w:hAnsi="Times New Roman"/>
        </w:rPr>
        <w:t xml:space="preserve"> and </w:t>
      </w:r>
      <w:r w:rsidR="00741B70">
        <w:rPr>
          <w:rFonts w:ascii="Times New Roman" w:hAnsi="Times New Roman"/>
        </w:rPr>
        <w:t>is unable to fight pathogens effectively.  These impairments include</w:t>
      </w:r>
      <w:r w:rsidRPr="00A00300">
        <w:rPr>
          <w:rFonts w:ascii="Times New Roman" w:hAnsi="Times New Roman"/>
        </w:rPr>
        <w:t xml:space="preserve"> reductions in cell-mediated immunity, phagocyte function, complement function, and specific humoral antibody production (Scrimshaw 1987:9).  To compound the problem</w:t>
      </w:r>
      <w:r>
        <w:rPr>
          <w:rFonts w:ascii="Times New Roman" w:hAnsi="Times New Roman"/>
        </w:rPr>
        <w:t>,</w:t>
      </w:r>
      <w:r w:rsidRPr="00A00300">
        <w:rPr>
          <w:rFonts w:ascii="Times New Roman" w:hAnsi="Times New Roman"/>
        </w:rPr>
        <w:t xml:space="preserve"> disease defense increases nutritional demand on an already deficient system.</w:t>
      </w:r>
    </w:p>
    <w:p w14:paraId="0AAB5B7B" w14:textId="0BF7A5ED" w:rsidR="00BF0494" w:rsidRPr="00A00300" w:rsidRDefault="00BF0494" w:rsidP="008E2757">
      <w:pPr>
        <w:rPr>
          <w:rFonts w:ascii="Times New Roman" w:hAnsi="Times New Roman"/>
        </w:rPr>
      </w:pPr>
      <w:r w:rsidRPr="00A00300">
        <w:rPr>
          <w:rFonts w:ascii="Times New Roman" w:hAnsi="Times New Roman"/>
        </w:rPr>
        <w:tab/>
        <w:t>The physiologica</w:t>
      </w:r>
      <w:r w:rsidR="00741B70">
        <w:rPr>
          <w:rFonts w:ascii="Times New Roman" w:hAnsi="Times New Roman"/>
        </w:rPr>
        <w:t>l effects of semi-starvation have</w:t>
      </w:r>
      <w:r w:rsidRPr="00A00300">
        <w:rPr>
          <w:rFonts w:ascii="Times New Roman" w:hAnsi="Times New Roman"/>
        </w:rPr>
        <w:t xml:space="preserve"> been clinically studied in volunteers.  A group of volunteers who lost about 10.5% of their total weight over a four month period complained of general weakness and tiredness, weakness in the knees, poor tolerance to cold, and reduced endurance (Benedict et al. 1919).  The “Minnesota Starvation Experiment” kept volunteers on a diet of about 1575 calories for six months, resulting in an average 24% reduction in body weight.  The subjects complained of tiredness, muscle soreness, irritability, moodiness, depression, lack of drive, and loss of ambition, self-discipline, concentration, and sex drive.  The</w:t>
      </w:r>
      <w:r>
        <w:rPr>
          <w:rFonts w:ascii="Times New Roman" w:hAnsi="Times New Roman"/>
        </w:rPr>
        <w:t>y</w:t>
      </w:r>
      <w:r w:rsidRPr="00A00300">
        <w:rPr>
          <w:rFonts w:ascii="Times New Roman" w:hAnsi="Times New Roman"/>
        </w:rPr>
        <w:t xml:space="preserve"> showed a decreased physical ability to laugh, sneeze, or blush (Keys et al. 1950).  Even after 12 week</w:t>
      </w:r>
      <w:r>
        <w:rPr>
          <w:rFonts w:ascii="Times New Roman" w:hAnsi="Times New Roman"/>
        </w:rPr>
        <w:t>s</w:t>
      </w:r>
      <w:r w:rsidRPr="00A00300">
        <w:rPr>
          <w:rFonts w:ascii="Times New Roman" w:hAnsi="Times New Roman"/>
        </w:rPr>
        <w:t xml:space="preserve"> of rehabilitation, in which they were allowed unrestricted access to food, feelings of tiredness continued as well as a preoccupation with food.</w:t>
      </w:r>
    </w:p>
    <w:p w14:paraId="6AE125D8" w14:textId="534A0A78" w:rsidR="00BF0494" w:rsidRPr="00A00300" w:rsidRDefault="00BF0494" w:rsidP="008E2757">
      <w:pPr>
        <w:ind w:firstLine="720"/>
        <w:rPr>
          <w:rFonts w:ascii="Times New Roman" w:hAnsi="Times New Roman"/>
        </w:rPr>
      </w:pPr>
      <w:r w:rsidRPr="00A00300">
        <w:rPr>
          <w:rFonts w:ascii="Times New Roman" w:hAnsi="Times New Roman"/>
        </w:rPr>
        <w:t xml:space="preserve">It may be possible to see the effects of primary malnutrition in skeletal remains.  Adult prisoners from both WWI and WWII </w:t>
      </w:r>
      <w:r>
        <w:rPr>
          <w:rFonts w:ascii="Times New Roman" w:hAnsi="Times New Roman"/>
        </w:rPr>
        <w:t>were diagnosed with</w:t>
      </w:r>
      <w:r w:rsidRPr="00A00300">
        <w:rPr>
          <w:rFonts w:ascii="Times New Roman" w:hAnsi="Times New Roman"/>
        </w:rPr>
        <w:t xml:space="preserve"> a syndrome that </w:t>
      </w:r>
      <w:r>
        <w:rPr>
          <w:rFonts w:ascii="Times New Roman" w:hAnsi="Times New Roman"/>
        </w:rPr>
        <w:t>was named</w:t>
      </w:r>
      <w:r w:rsidRPr="00A00300">
        <w:rPr>
          <w:rFonts w:ascii="Times New Roman" w:hAnsi="Times New Roman"/>
        </w:rPr>
        <w:t xml:space="preserve"> “hunger osteopathies</w:t>
      </w:r>
      <w:r>
        <w:rPr>
          <w:rFonts w:ascii="Times New Roman" w:hAnsi="Times New Roman"/>
        </w:rPr>
        <w:t>.</w:t>
      </w:r>
      <w:r w:rsidRPr="00A00300">
        <w:rPr>
          <w:rFonts w:ascii="Times New Roman" w:hAnsi="Times New Roman"/>
        </w:rPr>
        <w:t>”</w:t>
      </w:r>
      <w:r>
        <w:rPr>
          <w:rFonts w:ascii="Times New Roman" w:hAnsi="Times New Roman"/>
        </w:rPr>
        <w:t xml:space="preserve">  This syndrome</w:t>
      </w:r>
      <w:r w:rsidRPr="00A00300">
        <w:rPr>
          <w:rFonts w:ascii="Times New Roman" w:hAnsi="Times New Roman"/>
        </w:rPr>
        <w:t xml:space="preserve"> manifested as severe osteoporosis and spontaneous fractures</w:t>
      </w:r>
      <w:r>
        <w:rPr>
          <w:rFonts w:ascii="Times New Roman" w:hAnsi="Times New Roman"/>
        </w:rPr>
        <w:t xml:space="preserve"> </w:t>
      </w:r>
      <w:r w:rsidR="00673A8D">
        <w:rPr>
          <w:rFonts w:ascii="Times New Roman" w:hAnsi="Times New Roman"/>
        </w:rPr>
        <w:t>(Ortner 2003</w:t>
      </w:r>
      <w:r w:rsidRPr="00A00300">
        <w:rPr>
          <w:rFonts w:ascii="Times New Roman" w:hAnsi="Times New Roman"/>
        </w:rPr>
        <w:t>:405).</w:t>
      </w:r>
      <w:r>
        <w:rPr>
          <w:rFonts w:ascii="Times New Roman" w:hAnsi="Times New Roman"/>
        </w:rPr>
        <w:t xml:space="preserve"> </w:t>
      </w:r>
      <w:r w:rsidRPr="00A00300">
        <w:rPr>
          <w:rFonts w:ascii="Times New Roman" w:hAnsi="Times New Roman"/>
        </w:rPr>
        <w:t xml:space="preserve"> However osteoporosis can be caused by a variety of factors and it may be impossible to definitively diagnosis malnutrition</w:t>
      </w:r>
      <w:r>
        <w:rPr>
          <w:rFonts w:ascii="Times New Roman" w:hAnsi="Times New Roman"/>
        </w:rPr>
        <w:t xml:space="preserve"> in skeletal remains</w:t>
      </w:r>
      <w:r w:rsidRPr="00A00300">
        <w:rPr>
          <w:rFonts w:ascii="Times New Roman" w:hAnsi="Times New Roman"/>
        </w:rPr>
        <w:t xml:space="preserve">.  </w:t>
      </w:r>
      <w:r>
        <w:rPr>
          <w:rFonts w:ascii="Times New Roman" w:hAnsi="Times New Roman"/>
        </w:rPr>
        <w:t xml:space="preserve">Therefore a suite of paleopathological indicators that are not age-related must be identified and assessed in skeletal remains.  </w:t>
      </w:r>
      <w:r w:rsidRPr="00A00300">
        <w:rPr>
          <w:rFonts w:ascii="Times New Roman" w:hAnsi="Times New Roman"/>
        </w:rPr>
        <w:t xml:space="preserve">If a syndrome of severe osteoporosis, periostitis, cribra orbitalia and porotic hyperostosis is seen in skeletal remains from an individual younger than 40 years of age, it is possible that malnutrition/starvation may be the </w:t>
      </w:r>
      <w:r w:rsidR="00741B70">
        <w:rPr>
          <w:rFonts w:ascii="Times New Roman" w:hAnsi="Times New Roman"/>
        </w:rPr>
        <w:t>cause</w:t>
      </w:r>
      <w:r w:rsidR="00673A8D">
        <w:rPr>
          <w:rFonts w:ascii="Times New Roman" w:hAnsi="Times New Roman"/>
        </w:rPr>
        <w:t xml:space="preserve"> (Ortner 2003</w:t>
      </w:r>
      <w:r w:rsidRPr="00A00300">
        <w:rPr>
          <w:rFonts w:ascii="Times New Roman" w:hAnsi="Times New Roman"/>
        </w:rPr>
        <w:t xml:space="preserve">:405). </w:t>
      </w:r>
    </w:p>
    <w:p w14:paraId="5A75B718" w14:textId="0DBD6BA3" w:rsidR="00BF0494" w:rsidRPr="00A00300" w:rsidRDefault="00BF0494" w:rsidP="008E2757">
      <w:pPr>
        <w:ind w:firstLine="720"/>
        <w:rPr>
          <w:rFonts w:ascii="Times New Roman" w:hAnsi="Times New Roman"/>
        </w:rPr>
      </w:pPr>
      <w:r w:rsidRPr="00A00300">
        <w:rPr>
          <w:rFonts w:ascii="Times New Roman" w:hAnsi="Times New Roman"/>
        </w:rPr>
        <w:t xml:space="preserve">In children, severe and prolonged malnutrition leads to a complete </w:t>
      </w:r>
      <w:r w:rsidR="00673A8D">
        <w:rPr>
          <w:rFonts w:ascii="Times New Roman" w:hAnsi="Times New Roman"/>
        </w:rPr>
        <w:t>cessation of growth (Ortner 2003</w:t>
      </w:r>
      <w:r w:rsidRPr="00A00300">
        <w:rPr>
          <w:rFonts w:ascii="Times New Roman" w:hAnsi="Times New Roman"/>
        </w:rPr>
        <w:t>).  Although there may be some “catch up” growth later, if adequate nutrition is restored, stunted growth</w:t>
      </w:r>
      <w:r>
        <w:rPr>
          <w:rFonts w:ascii="Times New Roman" w:hAnsi="Times New Roman"/>
        </w:rPr>
        <w:t xml:space="preserve">, in the form of overall height reduction, </w:t>
      </w:r>
      <w:r w:rsidRPr="00A00300">
        <w:rPr>
          <w:rFonts w:ascii="Times New Roman" w:hAnsi="Times New Roman"/>
        </w:rPr>
        <w:t>is a well-known outcome of starvation in children.</w:t>
      </w:r>
      <w:r>
        <w:rPr>
          <w:rFonts w:ascii="Times New Roman" w:hAnsi="Times New Roman"/>
        </w:rPr>
        <w:t xml:space="preserve">  This is an observable and measureable metric assessed by individual long bone length.</w:t>
      </w:r>
    </w:p>
    <w:p w14:paraId="70FDF5A6" w14:textId="77777777" w:rsidR="00BF0494" w:rsidRPr="00A00300" w:rsidRDefault="00BF0494" w:rsidP="008E2757">
      <w:pPr>
        <w:ind w:firstLine="720"/>
        <w:rPr>
          <w:rFonts w:ascii="Times New Roman" w:hAnsi="Times New Roman"/>
        </w:rPr>
      </w:pPr>
      <w:r>
        <w:rPr>
          <w:rFonts w:ascii="Times New Roman" w:hAnsi="Times New Roman"/>
        </w:rPr>
        <w:t>M</w:t>
      </w:r>
      <w:r w:rsidRPr="00A00300">
        <w:rPr>
          <w:rFonts w:ascii="Times New Roman" w:hAnsi="Times New Roman"/>
        </w:rPr>
        <w:t xml:space="preserve">alnutrition is known to have a synergistic effect with infection.  A body fighting off infection has increased need for several nutrients, and an already depleted body will have a difficult time with any new assault such as an infection.  </w:t>
      </w:r>
      <w:r>
        <w:rPr>
          <w:rFonts w:ascii="Times New Roman" w:hAnsi="Times New Roman"/>
        </w:rPr>
        <w:t>Therefore a combination of pathologies should be observable in the skeletal remains of individuals with seriously compromised nutritional status.</w:t>
      </w:r>
    </w:p>
    <w:p w14:paraId="59C5CAA7" w14:textId="77777777" w:rsidR="00BF0494" w:rsidRDefault="00BF0494" w:rsidP="007F6BCD">
      <w:pPr>
        <w:pStyle w:val="Heading4"/>
      </w:pPr>
      <w:r>
        <w:t>Infection and skeletal response</w:t>
      </w:r>
    </w:p>
    <w:p w14:paraId="13FC517F" w14:textId="77777777" w:rsidR="00BF0494" w:rsidRPr="00A00300" w:rsidRDefault="00BF0494" w:rsidP="008E2757">
      <w:pPr>
        <w:ind w:firstLine="720"/>
        <w:rPr>
          <w:rFonts w:ascii="Times New Roman" w:hAnsi="Times New Roman"/>
        </w:rPr>
      </w:pPr>
      <w:r w:rsidRPr="00A00300">
        <w:rPr>
          <w:rFonts w:ascii="Times New Roman" w:hAnsi="Times New Roman"/>
        </w:rPr>
        <w:t>Infectious diseases rarely leave direct skeletal evidence (Ortner 2003:180).  Furthermore infectious conditions that do affect the skeleton are often subacute chronic conditions that may be related to the immediate cause of death (Ortner 2003:181).  However because bone is living tissue and responsive to inflammatory processes, different infectious diseases do sometimes leave useful diagnostic lesions.</w:t>
      </w:r>
    </w:p>
    <w:p w14:paraId="51CF2D08" w14:textId="570CBC96" w:rsidR="00BF0494" w:rsidRPr="00A00300" w:rsidRDefault="00BF0494" w:rsidP="008E2757">
      <w:pPr>
        <w:ind w:firstLine="720"/>
        <w:rPr>
          <w:rFonts w:ascii="Times New Roman" w:hAnsi="Times New Roman"/>
        </w:rPr>
      </w:pPr>
      <w:r w:rsidRPr="00A00300">
        <w:rPr>
          <w:rFonts w:ascii="Times New Roman" w:hAnsi="Times New Roman"/>
        </w:rPr>
        <w:t>Inflammation is a generalized reaction that can be triggered by a number of stimuli including trauma, cancer, or an infectious agent.  Inflammation in bone is differentiated by which part of the bone is affected.  Osteitis occurs in compact bone and can also be the result of trauma or infection.  Osteomyelitis is the result of infectious</w:t>
      </w:r>
      <w:r w:rsidR="00741B70">
        <w:rPr>
          <w:rFonts w:ascii="Times New Roman" w:hAnsi="Times New Roman"/>
        </w:rPr>
        <w:t xml:space="preserve"> processes that begin</w:t>
      </w:r>
      <w:r w:rsidRPr="00A00300">
        <w:rPr>
          <w:rFonts w:ascii="Times New Roman" w:hAnsi="Times New Roman"/>
        </w:rPr>
        <w:t xml:space="preserve"> in the marrow space of the bone and primarily affects the endosteal surface (Ortner 2003:181).  Usually osteomyelitis results from infection with pygogenic bacteria (usually </w:t>
      </w:r>
      <w:r w:rsidRPr="00A00300">
        <w:rPr>
          <w:rFonts w:ascii="Times New Roman" w:hAnsi="Times New Roman"/>
          <w:i/>
        </w:rPr>
        <w:t>Staphylococcus aureus</w:t>
      </w:r>
      <w:r w:rsidR="00741B70">
        <w:rPr>
          <w:rFonts w:ascii="Times New Roman" w:hAnsi="Times New Roman"/>
        </w:rPr>
        <w:t>).  H</w:t>
      </w:r>
      <w:r w:rsidRPr="00A00300">
        <w:rPr>
          <w:rFonts w:ascii="Times New Roman" w:hAnsi="Times New Roman"/>
        </w:rPr>
        <w:t xml:space="preserve">owever some viruses, fungi, and multicelled parasites can also infect bone marrow.  Osteomyelitis may be localized </w:t>
      </w:r>
      <w:r>
        <w:rPr>
          <w:rFonts w:ascii="Times New Roman" w:hAnsi="Times New Roman"/>
        </w:rPr>
        <w:t>or systemic, acute or chronic, and in skeletal remains is usually diagnosed by the presence of one or more cloaca, or drainage pits.</w:t>
      </w:r>
    </w:p>
    <w:p w14:paraId="13FF7914" w14:textId="315A35B9" w:rsidR="00BF0494" w:rsidRPr="00A00300" w:rsidRDefault="00BF0494" w:rsidP="008E2757">
      <w:pPr>
        <w:ind w:firstLine="720"/>
        <w:rPr>
          <w:rFonts w:ascii="Times New Roman" w:hAnsi="Times New Roman"/>
        </w:rPr>
      </w:pPr>
      <w:r w:rsidRPr="00A00300">
        <w:rPr>
          <w:rFonts w:ascii="Times New Roman" w:hAnsi="Times New Roman"/>
        </w:rPr>
        <w:t>Periostitis is an inflammation of the periosteum (outer blood rich sheath surrounding long bones) covering bone and leaves characteristic lesions on bone. (Ortner 2003:87-91).  Ortner (2003) a</w:t>
      </w:r>
      <w:r w:rsidR="003177B5">
        <w:rPr>
          <w:rFonts w:ascii="Times New Roman" w:hAnsi="Times New Roman"/>
        </w:rPr>
        <w:t>nd White (2000</w:t>
      </w:r>
      <w:r>
        <w:rPr>
          <w:rFonts w:ascii="Times New Roman" w:hAnsi="Times New Roman"/>
        </w:rPr>
        <w:t>) both refer to periostitis</w:t>
      </w:r>
      <w:r w:rsidRPr="00A00300">
        <w:rPr>
          <w:rFonts w:ascii="Times New Roman" w:hAnsi="Times New Roman"/>
        </w:rPr>
        <w:t xml:space="preserve"> as simply a result of infection or trauma, and note that its ultimate cause may be impossible to verify.  Recent studies have suggested that Vitamin C deficiency (further discussed below) may also trigger periostitis (</w:t>
      </w:r>
      <w:r w:rsidR="005544F1">
        <w:rPr>
          <w:rFonts w:ascii="Times New Roman" w:hAnsi="Times New Roman"/>
        </w:rPr>
        <w:t>Or</w:t>
      </w:r>
      <w:r w:rsidR="005544F1" w:rsidRPr="00A00300">
        <w:rPr>
          <w:rFonts w:ascii="Times New Roman" w:hAnsi="Times New Roman"/>
        </w:rPr>
        <w:t>t</w:t>
      </w:r>
      <w:r w:rsidR="005544F1">
        <w:rPr>
          <w:rFonts w:ascii="Times New Roman" w:hAnsi="Times New Roman"/>
        </w:rPr>
        <w:t>n</w:t>
      </w:r>
      <w:r w:rsidR="005544F1" w:rsidRPr="00A00300">
        <w:rPr>
          <w:rFonts w:ascii="Times New Roman" w:hAnsi="Times New Roman"/>
        </w:rPr>
        <w:t>er</w:t>
      </w:r>
      <w:r w:rsidRPr="00A00300">
        <w:rPr>
          <w:rFonts w:ascii="Times New Roman" w:hAnsi="Times New Roman"/>
        </w:rPr>
        <w:t xml:space="preserve"> et al. 2001).  Despite its lack </w:t>
      </w:r>
      <w:r>
        <w:rPr>
          <w:rFonts w:ascii="Times New Roman" w:hAnsi="Times New Roman"/>
        </w:rPr>
        <w:t xml:space="preserve">of </w:t>
      </w:r>
      <w:r w:rsidRPr="00A00300">
        <w:rPr>
          <w:rFonts w:ascii="Times New Roman" w:hAnsi="Times New Roman"/>
        </w:rPr>
        <w:t>specificity, rates of periostitis can still provide useful information on cumulative effects of stress on an archaeological population (Ortner 2003:209).</w:t>
      </w:r>
    </w:p>
    <w:p w14:paraId="4AD4C0B1" w14:textId="77777777" w:rsidR="00BF0494" w:rsidRDefault="00BF0494" w:rsidP="007F6BCD">
      <w:pPr>
        <w:pStyle w:val="Heading4"/>
      </w:pPr>
      <w:r>
        <w:t>Anemia, scurvy, porotic hyperostosis and cribra orbitalia</w:t>
      </w:r>
    </w:p>
    <w:p w14:paraId="64FD44A4" w14:textId="611EAF67" w:rsidR="00BF0494" w:rsidRDefault="00BF0494" w:rsidP="008E2757">
      <w:pPr>
        <w:ind w:firstLine="720"/>
        <w:rPr>
          <w:rFonts w:ascii="Times New Roman" w:hAnsi="Times New Roman"/>
        </w:rPr>
      </w:pPr>
      <w:r w:rsidRPr="0034498B">
        <w:rPr>
          <w:rFonts w:ascii="Times New Roman" w:hAnsi="Times New Roman"/>
        </w:rPr>
        <w:t>Anemia is a general term that covers a host of processes that affect the ability of red blood cells to effectively carry oxygen (Kumar et al. 2010).  Thalassemia and Sickle Cell Disease have been well studied clinically, and there are characteristic changes seen in the skull, especially the “hair on end” appearance of diploe</w:t>
      </w:r>
      <w:r w:rsidR="002828A5">
        <w:rPr>
          <w:rFonts w:ascii="Times New Roman" w:hAnsi="Times New Roman"/>
        </w:rPr>
        <w:t xml:space="preserve"> (the hematopoietic or red blood cell generating tissue)</w:t>
      </w:r>
      <w:r w:rsidRPr="0034498B">
        <w:rPr>
          <w:rFonts w:ascii="Times New Roman" w:hAnsi="Times New Roman"/>
        </w:rPr>
        <w:t xml:space="preserve"> as seen in radiographic images (</w:t>
      </w:r>
      <w:r w:rsidR="003177B5">
        <w:rPr>
          <w:rFonts w:ascii="Times New Roman" w:hAnsi="Times New Roman"/>
        </w:rPr>
        <w:t>discussed by Stuart-Macadam 1992</w:t>
      </w:r>
      <w:r w:rsidRPr="0034498B">
        <w:rPr>
          <w:rFonts w:ascii="Times New Roman" w:hAnsi="Times New Roman"/>
        </w:rPr>
        <w:t>).  Porotic hyperostosis is a term used to describe proliferative lesions of the skull characterized by thickened bone structure and surface porosity (Ortner 2003:89).  Porotic hyperostosis is distinguished by a widening of the blood producing diploe and a concomitant thinning of the outer cortical bone resulting in the typical “spongy” look of surface porosity (Goodman et al. 1984:29).  Angel (1966) appears to have been the first to use the term “porotic hyperostosis” to describe these chara</w:t>
      </w:r>
      <w:r w:rsidR="00B87AB2">
        <w:rPr>
          <w:rFonts w:ascii="Times New Roman" w:hAnsi="Times New Roman"/>
        </w:rPr>
        <w:t>cteristic lesions of the skull.</w:t>
      </w:r>
    </w:p>
    <w:p w14:paraId="713BE8B1" w14:textId="0A88CB7F" w:rsidR="003177B5" w:rsidRPr="0034498B" w:rsidRDefault="003177B5" w:rsidP="003177B5">
      <w:pPr>
        <w:ind w:firstLine="720"/>
        <w:rPr>
          <w:rFonts w:ascii="Times New Roman" w:hAnsi="Times New Roman"/>
        </w:rPr>
      </w:pPr>
      <w:r w:rsidRPr="0034498B">
        <w:rPr>
          <w:rFonts w:ascii="Times New Roman" w:hAnsi="Times New Roman"/>
        </w:rPr>
        <w:t>In skeletal biology studies, iron deficiency anemia has long been linked with the cranial lesions porotic hyperostosis and cribra orbitalia</w:t>
      </w:r>
      <w:r w:rsidR="00F250C5">
        <w:rPr>
          <w:rFonts w:ascii="Times New Roman" w:hAnsi="Times New Roman"/>
        </w:rPr>
        <w:t xml:space="preserve"> (Cohen and Crane-Kramer 2007, Steckel and Rose 2002)</w:t>
      </w:r>
      <w:r w:rsidRPr="0034498B">
        <w:rPr>
          <w:rFonts w:ascii="Times New Roman" w:hAnsi="Times New Roman"/>
        </w:rPr>
        <w:t xml:space="preserve">.  For instance in </w:t>
      </w:r>
      <w:r w:rsidRPr="0034498B">
        <w:rPr>
          <w:rFonts w:ascii="Times New Roman" w:hAnsi="Times New Roman"/>
          <w:i/>
        </w:rPr>
        <w:t>A Health Index from Skeletal Remains</w:t>
      </w:r>
      <w:r w:rsidRPr="0034498B">
        <w:rPr>
          <w:rFonts w:ascii="Times New Roman" w:hAnsi="Times New Roman"/>
        </w:rPr>
        <w:t xml:space="preserve">, the authors begin confidently “Anemia (as indicated by cribra orbitalia and porotic hyperostosis)…” (Steckel et al. 2002:88).  </w:t>
      </w:r>
    </w:p>
    <w:p w14:paraId="12ED3565" w14:textId="77777777" w:rsidR="00E755D1" w:rsidRDefault="00BF0494" w:rsidP="00E755D1">
      <w:pPr>
        <w:ind w:firstLine="720"/>
        <w:rPr>
          <w:rFonts w:ascii="Times New Roman" w:hAnsi="Times New Roman"/>
        </w:rPr>
      </w:pPr>
      <w:r w:rsidRPr="00A00300">
        <w:rPr>
          <w:rFonts w:ascii="Times New Roman" w:hAnsi="Times New Roman"/>
        </w:rPr>
        <w:t>In archaeological series, increased rates of porotic hyperos</w:t>
      </w:r>
      <w:r>
        <w:rPr>
          <w:rFonts w:ascii="Times New Roman" w:hAnsi="Times New Roman"/>
        </w:rPr>
        <w:t>tosis and cribra orbitalia tend</w:t>
      </w:r>
      <w:r w:rsidRPr="00A00300">
        <w:rPr>
          <w:rFonts w:ascii="Times New Roman" w:hAnsi="Times New Roman"/>
        </w:rPr>
        <w:t xml:space="preserve"> to be correlated with an increase in agriculture.  Therefore, diets high in carbohydrates but low in protein (and therefore iron) were assumed to be the cause of the lesions.</w:t>
      </w:r>
      <w:r>
        <w:rPr>
          <w:rFonts w:ascii="Times New Roman" w:hAnsi="Times New Roman"/>
        </w:rPr>
        <w:t xml:space="preserve">  </w:t>
      </w:r>
    </w:p>
    <w:p w14:paraId="633F45D5" w14:textId="7BD3B6BF" w:rsidR="00BF0494" w:rsidRPr="00A00300" w:rsidRDefault="00BF0494" w:rsidP="00E755D1">
      <w:pPr>
        <w:ind w:firstLine="720"/>
        <w:rPr>
          <w:rFonts w:ascii="Times New Roman" w:hAnsi="Times New Roman"/>
        </w:rPr>
      </w:pPr>
      <w:r w:rsidRPr="00A00300">
        <w:rPr>
          <w:rFonts w:ascii="Times New Roman" w:hAnsi="Times New Roman"/>
        </w:rPr>
        <w:t>The reasoning for this association is fairly straightforward.</w:t>
      </w:r>
      <w:r w:rsidR="00E755D1">
        <w:rPr>
          <w:rFonts w:ascii="Times New Roman" w:hAnsi="Times New Roman"/>
        </w:rPr>
        <w:t xml:space="preserve">  In children hemato</w:t>
      </w:r>
      <w:r w:rsidR="00E755D1" w:rsidRPr="00A00300">
        <w:rPr>
          <w:rFonts w:ascii="Times New Roman" w:hAnsi="Times New Roman"/>
        </w:rPr>
        <w:t>po</w:t>
      </w:r>
      <w:r w:rsidR="00E755D1">
        <w:rPr>
          <w:rFonts w:ascii="Times New Roman" w:hAnsi="Times New Roman"/>
        </w:rPr>
        <w:t>i</w:t>
      </w:r>
      <w:r w:rsidR="00E755D1" w:rsidRPr="00A00300">
        <w:rPr>
          <w:rFonts w:ascii="Times New Roman" w:hAnsi="Times New Roman"/>
        </w:rPr>
        <w:t>esis occurs primarily in the marrow of the long bones; in adults it occurs in the flat bones of the sternum, pelvis, and scapula</w:t>
      </w:r>
      <w:r w:rsidR="00E755D1">
        <w:rPr>
          <w:rFonts w:ascii="Times New Roman" w:hAnsi="Times New Roman"/>
        </w:rPr>
        <w:t xml:space="preserve"> (Kumar 2010)</w:t>
      </w:r>
      <w:r w:rsidR="00E755D1" w:rsidRPr="00A00300">
        <w:rPr>
          <w:rFonts w:ascii="Times New Roman" w:hAnsi="Times New Roman"/>
        </w:rPr>
        <w:t>.</w:t>
      </w:r>
      <w:r w:rsidRPr="00A00300">
        <w:rPr>
          <w:rFonts w:ascii="Times New Roman" w:hAnsi="Times New Roman"/>
        </w:rPr>
        <w:t xml:space="preserve">  Both porotic hyperostosis and cribra </w:t>
      </w:r>
      <w:r w:rsidR="005544F1" w:rsidRPr="00A00300">
        <w:rPr>
          <w:rFonts w:ascii="Times New Roman" w:hAnsi="Times New Roman"/>
        </w:rPr>
        <w:t>orbitalia</w:t>
      </w:r>
      <w:r w:rsidRPr="00A00300">
        <w:rPr>
          <w:rFonts w:ascii="Times New Roman" w:hAnsi="Times New Roman"/>
        </w:rPr>
        <w:t xml:space="preserve"> are </w:t>
      </w:r>
      <w:r w:rsidR="00E755D1">
        <w:rPr>
          <w:rFonts w:ascii="Times New Roman" w:hAnsi="Times New Roman"/>
        </w:rPr>
        <w:t>portrayed as</w:t>
      </w:r>
      <w:r w:rsidRPr="00A00300">
        <w:rPr>
          <w:rFonts w:ascii="Times New Roman" w:hAnsi="Times New Roman"/>
        </w:rPr>
        <w:t xml:space="preserve"> the resul</w:t>
      </w:r>
      <w:r w:rsidR="007F20EF">
        <w:rPr>
          <w:rFonts w:ascii="Times New Roman" w:hAnsi="Times New Roman"/>
        </w:rPr>
        <w:t>t of an expanding diploe</w:t>
      </w:r>
      <w:r w:rsidR="00024522">
        <w:rPr>
          <w:rFonts w:ascii="Times New Roman" w:hAnsi="Times New Roman"/>
        </w:rPr>
        <w:t xml:space="preserve"> (</w:t>
      </w:r>
      <w:r w:rsidR="00024522" w:rsidRPr="00A00300">
        <w:rPr>
          <w:rFonts w:ascii="Times New Roman" w:hAnsi="Times New Roman"/>
        </w:rPr>
        <w:t>hematopo</w:t>
      </w:r>
      <w:r w:rsidR="00024522">
        <w:rPr>
          <w:rFonts w:ascii="Times New Roman" w:hAnsi="Times New Roman"/>
        </w:rPr>
        <w:t>ietic material)</w:t>
      </w:r>
      <w:r w:rsidR="007F20EF">
        <w:rPr>
          <w:rFonts w:ascii="Times New Roman" w:hAnsi="Times New Roman"/>
        </w:rPr>
        <w:t xml:space="preserve"> </w:t>
      </w:r>
      <w:r w:rsidRPr="00A00300">
        <w:rPr>
          <w:rFonts w:ascii="Times New Roman" w:hAnsi="Times New Roman"/>
        </w:rPr>
        <w:t>that thins and ultimately destroys the overlaying cortical bone, leaving a lesi</w:t>
      </w:r>
      <w:r w:rsidR="007F20EF">
        <w:rPr>
          <w:rFonts w:ascii="Times New Roman" w:hAnsi="Times New Roman"/>
        </w:rPr>
        <w:t>on with a characteristic porous</w:t>
      </w:r>
      <w:r w:rsidRPr="00A00300">
        <w:rPr>
          <w:rFonts w:ascii="Times New Roman" w:hAnsi="Times New Roman"/>
        </w:rPr>
        <w:t xml:space="preserve"> or spongy appearance.  This proposed etiology of porotic hyperostosis is presented in many classic paleopathology texts (e.g. Aufderheide</w:t>
      </w:r>
      <w:r>
        <w:rPr>
          <w:rFonts w:ascii="Times New Roman" w:hAnsi="Times New Roman"/>
        </w:rPr>
        <w:t xml:space="preserve"> and Rodriguez-Martin</w:t>
      </w:r>
      <w:r w:rsidRPr="00A00300">
        <w:rPr>
          <w:rFonts w:ascii="Times New Roman" w:hAnsi="Times New Roman"/>
        </w:rPr>
        <w:t xml:space="preserve"> 1998, Ortner 2003, Steele and</w:t>
      </w:r>
      <w:r w:rsidR="003177B5">
        <w:rPr>
          <w:rFonts w:ascii="Times New Roman" w:hAnsi="Times New Roman"/>
        </w:rPr>
        <w:t xml:space="preserve"> Bramblet 1988, White</w:t>
      </w:r>
      <w:r w:rsidRPr="00A00300">
        <w:rPr>
          <w:rFonts w:ascii="Times New Roman" w:hAnsi="Times New Roman"/>
        </w:rPr>
        <w:t xml:space="preserve"> 2000, etc.).  </w:t>
      </w:r>
      <w:r w:rsidR="00E755D1">
        <w:rPr>
          <w:rFonts w:ascii="Times New Roman" w:hAnsi="Times New Roman"/>
        </w:rPr>
        <w:t>T</w:t>
      </w:r>
      <w:r w:rsidR="00E755D1" w:rsidRPr="00A00300">
        <w:rPr>
          <w:rFonts w:ascii="Times New Roman" w:hAnsi="Times New Roman"/>
        </w:rPr>
        <w:t>he term “diploe” appears to be limited to anthropological literature at this point.  I have not been able to find the term in clinical or medical literature after about 1969.</w:t>
      </w:r>
    </w:p>
    <w:p w14:paraId="3D93CFC0" w14:textId="28B4F99C" w:rsidR="00BF0494" w:rsidRPr="00A00300" w:rsidRDefault="00E755D1" w:rsidP="008E2757">
      <w:pPr>
        <w:ind w:firstLine="720"/>
        <w:rPr>
          <w:rFonts w:ascii="Times New Roman" w:hAnsi="Times New Roman"/>
        </w:rPr>
      </w:pPr>
      <w:r>
        <w:rPr>
          <w:rFonts w:ascii="Times New Roman" w:hAnsi="Times New Roman"/>
        </w:rPr>
        <w:t>A major</w:t>
      </w:r>
      <w:r w:rsidR="00BF0494" w:rsidRPr="00A00300">
        <w:rPr>
          <w:rFonts w:ascii="Times New Roman" w:hAnsi="Times New Roman"/>
        </w:rPr>
        <w:t xml:space="preserve"> problem with this scenario (that a diet deficient in iron causes porotic hyperostosis and cribra orbitalia) is that </w:t>
      </w:r>
      <w:r w:rsidR="00BF0494">
        <w:rPr>
          <w:rFonts w:ascii="Times New Roman" w:hAnsi="Times New Roman"/>
        </w:rPr>
        <w:t>multiple</w:t>
      </w:r>
      <w:r w:rsidR="00BF0494" w:rsidRPr="00A00300">
        <w:rPr>
          <w:rFonts w:ascii="Times New Roman" w:hAnsi="Times New Roman"/>
        </w:rPr>
        <w:t xml:space="preserve"> clinical studies have failed to demonstrate any correlation between iron </w:t>
      </w:r>
      <w:r w:rsidR="00BF0494">
        <w:rPr>
          <w:rFonts w:ascii="Times New Roman" w:hAnsi="Times New Roman"/>
        </w:rPr>
        <w:t>in</w:t>
      </w:r>
      <w:r w:rsidR="00BF0494" w:rsidRPr="00A00300">
        <w:rPr>
          <w:rFonts w:ascii="Times New Roman" w:hAnsi="Times New Roman"/>
        </w:rPr>
        <w:t xml:space="preserve">take and clinical levels of hemoglobin or hematocrit in modern </w:t>
      </w:r>
      <w:r w:rsidR="00BF0494" w:rsidRPr="00AF38E2">
        <w:rPr>
          <w:rFonts w:ascii="Times New Roman" w:hAnsi="Times New Roman"/>
        </w:rPr>
        <w:t>populations (Wadsworth 1992:79</w:t>
      </w:r>
      <w:r w:rsidR="00BF0494">
        <w:rPr>
          <w:rFonts w:ascii="Times New Roman" w:hAnsi="Times New Roman"/>
        </w:rPr>
        <w:t>-88</w:t>
      </w:r>
      <w:r w:rsidR="00BF0494" w:rsidRPr="00AF38E2">
        <w:rPr>
          <w:rFonts w:ascii="Times New Roman" w:hAnsi="Times New Roman"/>
        </w:rPr>
        <w:t>).</w:t>
      </w:r>
      <w:r w:rsidR="00BF0494" w:rsidRPr="00A00300">
        <w:rPr>
          <w:rFonts w:ascii="Times New Roman" w:hAnsi="Times New Roman"/>
        </w:rPr>
        <w:t xml:space="preserve">  This lack of correlation is not surprising considering modern concepts of the disease process in which iron </w:t>
      </w:r>
      <w:r w:rsidR="00BF0494">
        <w:rPr>
          <w:rFonts w:ascii="Times New Roman" w:hAnsi="Times New Roman"/>
        </w:rPr>
        <w:t xml:space="preserve">withholding or </w:t>
      </w:r>
      <w:r w:rsidR="00BF0494" w:rsidRPr="00A00300">
        <w:rPr>
          <w:rFonts w:ascii="Times New Roman" w:hAnsi="Times New Roman"/>
        </w:rPr>
        <w:t>sequestering by the body is seen as a positive adaptation or defense against</w:t>
      </w:r>
      <w:r w:rsidR="00BF0494">
        <w:rPr>
          <w:rFonts w:ascii="Times New Roman" w:hAnsi="Times New Roman"/>
        </w:rPr>
        <w:t xml:space="preserve"> an</w:t>
      </w:r>
      <w:r w:rsidR="00BF0494" w:rsidRPr="00A00300">
        <w:rPr>
          <w:rFonts w:ascii="Times New Roman" w:hAnsi="Times New Roman"/>
        </w:rPr>
        <w:t xml:space="preserve"> invading pathogen.  In this scenario, the body removes iron from</w:t>
      </w:r>
      <w:r w:rsidR="00BF0494">
        <w:rPr>
          <w:rFonts w:ascii="Times New Roman" w:hAnsi="Times New Roman"/>
        </w:rPr>
        <w:t xml:space="preserve"> the bloodstream and sequesters</w:t>
      </w:r>
      <w:r w:rsidR="00BF0494" w:rsidRPr="00A00300">
        <w:rPr>
          <w:rFonts w:ascii="Times New Roman" w:hAnsi="Times New Roman"/>
        </w:rPr>
        <w:t xml:space="preserve"> it, in order to deprive the </w:t>
      </w:r>
      <w:r w:rsidR="00BF0494">
        <w:rPr>
          <w:rFonts w:ascii="Times New Roman" w:hAnsi="Times New Roman"/>
        </w:rPr>
        <w:t>invading pathogen of iron it needs in order to</w:t>
      </w:r>
      <w:r w:rsidR="00BF0494" w:rsidRPr="00A00300">
        <w:rPr>
          <w:rFonts w:ascii="Times New Roman" w:hAnsi="Times New Roman"/>
        </w:rPr>
        <w:t xml:space="preserve"> multiply</w:t>
      </w:r>
      <w:r w:rsidR="00BF0494">
        <w:rPr>
          <w:rFonts w:ascii="Times New Roman" w:hAnsi="Times New Roman"/>
        </w:rPr>
        <w:t xml:space="preserve"> (Weinberg 1992)</w:t>
      </w:r>
      <w:r w:rsidR="00BF0494" w:rsidRPr="00A00300">
        <w:rPr>
          <w:rFonts w:ascii="Times New Roman" w:hAnsi="Times New Roman"/>
        </w:rPr>
        <w:t xml:space="preserve">.  Indeed, studies show that when modern programs in under-developed countries gave women with clinically low iron levels iron supplements, many women then actually showed an </w:t>
      </w:r>
      <w:r w:rsidR="00BF0494" w:rsidRPr="00A00300">
        <w:rPr>
          <w:rFonts w:ascii="Times New Roman" w:hAnsi="Times New Roman"/>
          <w:i/>
        </w:rPr>
        <w:t>increase</w:t>
      </w:r>
      <w:r w:rsidR="00BF0494" w:rsidRPr="00A00300">
        <w:rPr>
          <w:rFonts w:ascii="Times New Roman" w:hAnsi="Times New Roman"/>
        </w:rPr>
        <w:t xml:space="preserve"> in infectious diseases (</w:t>
      </w:r>
      <w:r w:rsidR="00BF0494">
        <w:rPr>
          <w:rFonts w:ascii="Times New Roman" w:hAnsi="Times New Roman"/>
        </w:rPr>
        <w:t>Weinberg 1992:119-121</w:t>
      </w:r>
      <w:r w:rsidR="00BF0494" w:rsidRPr="00A00300">
        <w:rPr>
          <w:rFonts w:ascii="Times New Roman" w:hAnsi="Times New Roman"/>
        </w:rPr>
        <w:t xml:space="preserve">).  </w:t>
      </w:r>
    </w:p>
    <w:p w14:paraId="6A95BD3B" w14:textId="780DD1E8" w:rsidR="00BF0494" w:rsidRPr="00A00300" w:rsidRDefault="00BF0494" w:rsidP="008E2757">
      <w:pPr>
        <w:ind w:firstLine="720"/>
        <w:rPr>
          <w:rFonts w:ascii="Times New Roman" w:hAnsi="Times New Roman"/>
        </w:rPr>
      </w:pPr>
      <w:r w:rsidRPr="00A00300">
        <w:rPr>
          <w:rFonts w:ascii="Times New Roman" w:hAnsi="Times New Roman"/>
        </w:rPr>
        <w:t>The human body is actually extraordinar</w:t>
      </w:r>
      <w:r w:rsidR="007F20EF">
        <w:rPr>
          <w:rFonts w:ascii="Times New Roman" w:hAnsi="Times New Roman"/>
        </w:rPr>
        <w:t>ily efficient at recycling iron</w:t>
      </w:r>
      <w:r w:rsidRPr="00A00300">
        <w:rPr>
          <w:rFonts w:ascii="Times New Roman" w:hAnsi="Times New Roman"/>
        </w:rPr>
        <w:t xml:space="preserve"> and when iron levels do dip to very low levels, the body becomes even more efficient at extracting very small quantities from the </w:t>
      </w:r>
      <w:r w:rsidRPr="00AF38E2">
        <w:rPr>
          <w:rFonts w:ascii="Times New Roman" w:hAnsi="Times New Roman"/>
        </w:rPr>
        <w:t>gut (Wadsworth 1992:71).</w:t>
      </w:r>
      <w:r w:rsidRPr="00A00300">
        <w:rPr>
          <w:rFonts w:ascii="Times New Roman" w:hAnsi="Times New Roman"/>
        </w:rPr>
        <w:t xml:space="preserve">  It would take many years to deplete the body of its iron.  Very small amounts of intake are adequate to maintain iron lev</w:t>
      </w:r>
      <w:r w:rsidR="007F20EF">
        <w:rPr>
          <w:rFonts w:ascii="Times New Roman" w:hAnsi="Times New Roman"/>
        </w:rPr>
        <w:t>els, even in menstruating women</w:t>
      </w:r>
      <w:r w:rsidRPr="00A00300">
        <w:rPr>
          <w:rFonts w:ascii="Times New Roman" w:hAnsi="Times New Roman"/>
        </w:rPr>
        <w:t xml:space="preserve"> who lose blood monthly (</w:t>
      </w:r>
      <w:r>
        <w:rPr>
          <w:rFonts w:ascii="Times New Roman" w:hAnsi="Times New Roman"/>
        </w:rPr>
        <w:t>Wadsworth 1992:91</w:t>
      </w:r>
      <w:r w:rsidRPr="00A00300">
        <w:rPr>
          <w:rFonts w:ascii="Times New Roman" w:hAnsi="Times New Roman"/>
        </w:rPr>
        <w:t>).</w:t>
      </w:r>
    </w:p>
    <w:p w14:paraId="0D898163" w14:textId="21637C9E" w:rsidR="00BF0494" w:rsidRPr="00A00300" w:rsidRDefault="00BF0494" w:rsidP="008E2757">
      <w:pPr>
        <w:ind w:firstLine="720"/>
        <w:rPr>
          <w:rFonts w:ascii="Times New Roman" w:hAnsi="Times New Roman"/>
        </w:rPr>
      </w:pPr>
      <w:r w:rsidRPr="00A00300">
        <w:rPr>
          <w:rFonts w:ascii="Times New Roman" w:hAnsi="Times New Roman"/>
        </w:rPr>
        <w:t xml:space="preserve">Iron’s role in the body and iron deficiency anemia in prehistoric populations are finally </w:t>
      </w:r>
      <w:r>
        <w:rPr>
          <w:rFonts w:ascii="Times New Roman" w:hAnsi="Times New Roman"/>
        </w:rPr>
        <w:t>being questioned</w:t>
      </w:r>
      <w:r w:rsidRPr="00A00300">
        <w:rPr>
          <w:rFonts w:ascii="Times New Roman" w:hAnsi="Times New Roman"/>
        </w:rPr>
        <w:t xml:space="preserve"> in archaeological and</w:t>
      </w:r>
      <w:r>
        <w:rPr>
          <w:rFonts w:ascii="Times New Roman" w:hAnsi="Times New Roman"/>
        </w:rPr>
        <w:t xml:space="preserve"> skeletal</w:t>
      </w:r>
      <w:r w:rsidRPr="00A00300">
        <w:rPr>
          <w:rFonts w:ascii="Times New Roman" w:hAnsi="Times New Roman"/>
        </w:rPr>
        <w:t xml:space="preserve"> </w:t>
      </w:r>
      <w:r>
        <w:rPr>
          <w:rFonts w:ascii="Times New Roman" w:hAnsi="Times New Roman"/>
        </w:rPr>
        <w:t>bio</w:t>
      </w:r>
      <w:r w:rsidRPr="00A00300">
        <w:rPr>
          <w:rFonts w:ascii="Times New Roman" w:hAnsi="Times New Roman"/>
        </w:rPr>
        <w:t xml:space="preserve">logical literature.  In the edited volume </w:t>
      </w:r>
      <w:r w:rsidRPr="00A00300">
        <w:rPr>
          <w:rFonts w:ascii="Times New Roman" w:hAnsi="Times New Roman"/>
          <w:i/>
        </w:rPr>
        <w:t>Diet, Demography, and New Perspectives on Diseas</w:t>
      </w:r>
      <w:r w:rsidRPr="00A00300">
        <w:rPr>
          <w:rFonts w:ascii="Times New Roman" w:hAnsi="Times New Roman"/>
        </w:rPr>
        <w:t>e (2004 eds. S</w:t>
      </w:r>
      <w:r w:rsidR="007F20EF">
        <w:rPr>
          <w:rFonts w:ascii="Times New Roman" w:hAnsi="Times New Roman"/>
        </w:rPr>
        <w:t>tuart-Macadam and Kent), Stuart-</w:t>
      </w:r>
      <w:r w:rsidRPr="00A00300">
        <w:rPr>
          <w:rFonts w:ascii="Times New Roman" w:hAnsi="Times New Roman"/>
        </w:rPr>
        <w:t>Macadam, whose radiological studies had initially championed the link, cautioned that things were not so simple.</w:t>
      </w:r>
      <w:r>
        <w:rPr>
          <w:rFonts w:ascii="Times New Roman" w:hAnsi="Times New Roman"/>
        </w:rPr>
        <w:t xml:space="preserve"> </w:t>
      </w:r>
      <w:r w:rsidRPr="00A00300">
        <w:rPr>
          <w:rFonts w:ascii="Times New Roman" w:hAnsi="Times New Roman"/>
        </w:rPr>
        <w:t xml:space="preserve"> </w:t>
      </w:r>
      <w:r>
        <w:rPr>
          <w:rFonts w:ascii="Times New Roman" w:hAnsi="Times New Roman"/>
        </w:rPr>
        <w:t>More r</w:t>
      </w:r>
      <w:r w:rsidRPr="00A00300">
        <w:rPr>
          <w:rFonts w:ascii="Times New Roman" w:hAnsi="Times New Roman"/>
        </w:rPr>
        <w:t>ecently</w:t>
      </w:r>
      <w:r w:rsidR="007F20EF">
        <w:rPr>
          <w:rFonts w:ascii="Times New Roman" w:hAnsi="Times New Roman"/>
        </w:rPr>
        <w:t>,</w:t>
      </w:r>
      <w:r w:rsidRPr="00A00300">
        <w:rPr>
          <w:rFonts w:ascii="Times New Roman" w:hAnsi="Times New Roman"/>
        </w:rPr>
        <w:t xml:space="preserve"> Walker</w:t>
      </w:r>
      <w:r w:rsidR="00FC00C1">
        <w:rPr>
          <w:rFonts w:ascii="Times New Roman" w:hAnsi="Times New Roman"/>
        </w:rPr>
        <w:t xml:space="preserve"> and colleagues</w:t>
      </w:r>
      <w:r w:rsidRPr="00A00300">
        <w:rPr>
          <w:rFonts w:ascii="Times New Roman" w:hAnsi="Times New Roman"/>
        </w:rPr>
        <w:t xml:space="preserve"> (2009) published an article calling for a reexamination of the porotic hyperost</w:t>
      </w:r>
      <w:r>
        <w:rPr>
          <w:rFonts w:ascii="Times New Roman" w:hAnsi="Times New Roman"/>
        </w:rPr>
        <w:t>os</w:t>
      </w:r>
      <w:r w:rsidRPr="00A00300">
        <w:rPr>
          <w:rFonts w:ascii="Times New Roman" w:hAnsi="Times New Roman"/>
        </w:rPr>
        <w:t xml:space="preserve">is and cribra orbitalia link with iron </w:t>
      </w:r>
      <w:r w:rsidR="00FC00C1">
        <w:rPr>
          <w:rFonts w:ascii="Times New Roman" w:hAnsi="Times New Roman"/>
        </w:rPr>
        <w:t>deficiency anemia.  They</w:t>
      </w:r>
      <w:r w:rsidRPr="00A00300">
        <w:rPr>
          <w:rFonts w:ascii="Times New Roman" w:hAnsi="Times New Roman"/>
        </w:rPr>
        <w:t xml:space="preserve"> argued that this hypothetical process simply did not make sense from a</w:t>
      </w:r>
      <w:r w:rsidR="00FC00C1">
        <w:rPr>
          <w:rFonts w:ascii="Times New Roman" w:hAnsi="Times New Roman"/>
        </w:rPr>
        <w:t xml:space="preserve"> physiologic point of view and </w:t>
      </w:r>
      <w:r w:rsidRPr="00A00300">
        <w:rPr>
          <w:rFonts w:ascii="Times New Roman" w:hAnsi="Times New Roman"/>
        </w:rPr>
        <w:t xml:space="preserve">noted that an individual who is lacking the necessary iron to produce adequate </w:t>
      </w:r>
      <w:r w:rsidR="007F20EF">
        <w:rPr>
          <w:rFonts w:ascii="Times New Roman" w:hAnsi="Times New Roman"/>
        </w:rPr>
        <w:t>red blood cells (</w:t>
      </w:r>
      <w:r w:rsidRPr="00A00300">
        <w:rPr>
          <w:rFonts w:ascii="Times New Roman" w:hAnsi="Times New Roman"/>
        </w:rPr>
        <w:t>RBCs</w:t>
      </w:r>
      <w:r w:rsidR="007F20EF">
        <w:rPr>
          <w:rFonts w:ascii="Times New Roman" w:hAnsi="Times New Roman"/>
        </w:rPr>
        <w:t>)</w:t>
      </w:r>
      <w:r w:rsidRPr="00A00300">
        <w:rPr>
          <w:rFonts w:ascii="Times New Roman" w:hAnsi="Times New Roman"/>
        </w:rPr>
        <w:t xml:space="preserve"> would be physiologically incapable of gearing up RBC production to the point of diploe hypertrophy.  The lack of iron means that they would produce </w:t>
      </w:r>
      <w:r w:rsidRPr="00A00300">
        <w:rPr>
          <w:rFonts w:ascii="Times New Roman" w:hAnsi="Times New Roman"/>
          <w:i/>
        </w:rPr>
        <w:t>fewer</w:t>
      </w:r>
      <w:r w:rsidRPr="00A00300">
        <w:rPr>
          <w:rFonts w:ascii="Times New Roman" w:hAnsi="Times New Roman"/>
        </w:rPr>
        <w:t xml:space="preserve"> RBCs, not more.</w:t>
      </w:r>
    </w:p>
    <w:p w14:paraId="6F357D97" w14:textId="78C96EDE" w:rsidR="00BF0494" w:rsidRPr="00A00300" w:rsidRDefault="00BF0494" w:rsidP="008E2757">
      <w:pPr>
        <w:ind w:firstLine="720"/>
        <w:rPr>
          <w:rFonts w:ascii="Times New Roman" w:hAnsi="Times New Roman"/>
        </w:rPr>
      </w:pPr>
      <w:r w:rsidRPr="00A00300">
        <w:rPr>
          <w:rFonts w:ascii="Times New Roman" w:hAnsi="Times New Roman"/>
        </w:rPr>
        <w:t xml:space="preserve">Walker noted that anemia can be caused by many processes, including blood loss from myriad sources.  Perhaps, he suggested, porotic hyperostosis </w:t>
      </w:r>
      <w:r>
        <w:rPr>
          <w:rFonts w:ascii="Times New Roman" w:hAnsi="Times New Roman"/>
        </w:rPr>
        <w:t xml:space="preserve">is </w:t>
      </w:r>
      <w:r w:rsidRPr="00A00300">
        <w:rPr>
          <w:rFonts w:ascii="Times New Roman" w:hAnsi="Times New Roman"/>
        </w:rPr>
        <w:t>the result of anemia from blood loss due to diarrhea or parasites, and porotic hyperostosis represents an individual with adequate iron stores trying to replace lost blood.  Walker was not the first to suggest the parasite connection.  Without going into p</w:t>
      </w:r>
      <w:r>
        <w:rPr>
          <w:rFonts w:ascii="Times New Roman" w:hAnsi="Times New Roman"/>
        </w:rPr>
        <w:t>hysiological details, Kent (1986</w:t>
      </w:r>
      <w:r w:rsidRPr="00A00300">
        <w:rPr>
          <w:rFonts w:ascii="Times New Roman" w:hAnsi="Times New Roman"/>
        </w:rPr>
        <w:t xml:space="preserve">) had suggested that increased porotic hyperostosis seen in prehistoric populations of the US southwest was due to a high load of parasites.  The populations she studied were known to be agriculturalists growing maize, beans, and squash.  She noted that these are complementary proteins, and that even a diet that consisted solely of maize and beans (without any </w:t>
      </w:r>
      <w:r w:rsidR="007F20EF">
        <w:rPr>
          <w:rFonts w:ascii="Times New Roman" w:hAnsi="Times New Roman"/>
        </w:rPr>
        <w:t xml:space="preserve">supplemental </w:t>
      </w:r>
      <w:r w:rsidRPr="00A00300">
        <w:rPr>
          <w:rFonts w:ascii="Times New Roman" w:hAnsi="Times New Roman"/>
        </w:rPr>
        <w:t xml:space="preserve">animal protein) would provide adequate protein and iron.  The anemia, she reasoned, must come from another source, such as parasites.  </w:t>
      </w:r>
      <w:r>
        <w:rPr>
          <w:rFonts w:ascii="Times New Roman" w:hAnsi="Times New Roman"/>
        </w:rPr>
        <w:t xml:space="preserve">Although </w:t>
      </w:r>
      <w:r w:rsidR="00FC00C1">
        <w:rPr>
          <w:rFonts w:ascii="Times New Roman" w:hAnsi="Times New Roman"/>
        </w:rPr>
        <w:t>Ortner (2003) suggested</w:t>
      </w:r>
      <w:r w:rsidRPr="00A00300">
        <w:rPr>
          <w:rFonts w:ascii="Times New Roman" w:hAnsi="Times New Roman"/>
        </w:rPr>
        <w:t xml:space="preserve"> that porotic hyperostosis be viewed as the</w:t>
      </w:r>
      <w:r>
        <w:rPr>
          <w:rFonts w:ascii="Times New Roman" w:hAnsi="Times New Roman"/>
        </w:rPr>
        <w:t xml:space="preserve"> parasite load of an individual, interpretation of this lesion is currently in flux.</w:t>
      </w:r>
    </w:p>
    <w:p w14:paraId="722006C2" w14:textId="77777777" w:rsidR="00BF0494" w:rsidRDefault="00BF0494" w:rsidP="007F6BCD">
      <w:pPr>
        <w:pStyle w:val="Heading4"/>
      </w:pPr>
      <w:r>
        <w:t>Scurvy and cribra orbitalia</w:t>
      </w:r>
    </w:p>
    <w:p w14:paraId="51B038E3" w14:textId="62368037" w:rsidR="00BF0494" w:rsidRPr="007C03A6" w:rsidRDefault="00BF0494" w:rsidP="008E2757">
      <w:pPr>
        <w:ind w:firstLine="720"/>
        <w:rPr>
          <w:rFonts w:ascii="Times New Roman" w:hAnsi="Times New Roman"/>
        </w:rPr>
      </w:pPr>
      <w:r w:rsidRPr="00A00300">
        <w:rPr>
          <w:rFonts w:ascii="Times New Roman" w:hAnsi="Times New Roman"/>
        </w:rPr>
        <w:t xml:space="preserve">Porotic lesions in the orbital roof are called cribra orbitalia (Ortner 2003:89). They </w:t>
      </w:r>
      <w:r w:rsidRPr="007C03A6">
        <w:rPr>
          <w:rFonts w:ascii="Times New Roman" w:hAnsi="Times New Roman"/>
        </w:rPr>
        <w:t>too have been traditionally associated with iron deficiency anemia.  However, porotic hyperostosis and cribra orbitalia are not strongly correlated, which suggests different etiologies.  Cribra orbitalia tends to be more common than porotic hyperostosis</w:t>
      </w:r>
      <w:r w:rsidR="007F20EF">
        <w:rPr>
          <w:rFonts w:ascii="Times New Roman" w:hAnsi="Times New Roman"/>
        </w:rPr>
        <w:t xml:space="preserve"> (Ortner 2003)</w:t>
      </w:r>
      <w:r w:rsidRPr="007C03A6">
        <w:rPr>
          <w:rFonts w:ascii="Times New Roman" w:hAnsi="Times New Roman"/>
        </w:rPr>
        <w:t xml:space="preserve">.  </w:t>
      </w:r>
    </w:p>
    <w:p w14:paraId="70833268" w14:textId="5B1C07D7" w:rsidR="00BF0494" w:rsidRPr="007C03A6" w:rsidRDefault="00BF0494" w:rsidP="008E2757">
      <w:pPr>
        <w:ind w:firstLine="720"/>
        <w:rPr>
          <w:rFonts w:ascii="Times New Roman" w:hAnsi="Times New Roman"/>
        </w:rPr>
      </w:pPr>
      <w:r w:rsidRPr="007C03A6">
        <w:rPr>
          <w:rFonts w:ascii="Times New Roman" w:hAnsi="Times New Roman"/>
        </w:rPr>
        <w:t>Recent research by Ortner and colleagues (Ortner and Erickson 1997, Ortner et al. 2001) consider</w:t>
      </w:r>
      <w:r w:rsidR="00FC00C1">
        <w:rPr>
          <w:rFonts w:ascii="Times New Roman" w:hAnsi="Times New Roman"/>
        </w:rPr>
        <w:t>ed</w:t>
      </w:r>
      <w:r w:rsidRPr="007C03A6">
        <w:rPr>
          <w:rFonts w:ascii="Times New Roman" w:hAnsi="Times New Roman"/>
        </w:rPr>
        <w:t xml:space="preserve"> cribra orbitalia to be highly indicative of scurvy, an interpretation strongly seconded by Walker</w:t>
      </w:r>
      <w:r w:rsidR="00FC00C1">
        <w:rPr>
          <w:rFonts w:ascii="Times New Roman" w:hAnsi="Times New Roman"/>
        </w:rPr>
        <w:t xml:space="preserve"> and colleagues</w:t>
      </w:r>
      <w:r w:rsidRPr="007C03A6">
        <w:rPr>
          <w:rFonts w:ascii="Times New Roman" w:hAnsi="Times New Roman"/>
        </w:rPr>
        <w:t xml:space="preserve"> (2009).  This interpretation is bolstered by modern studies of scurvy which indicate that clinical symptoms of scurvy include bleeding gums and ante-mortem tooth loss, hemoarthrosis (bleeding into the joints), bleeding from the eyes, and random bleeding at the sl</w:t>
      </w:r>
      <w:r w:rsidR="007F20EF">
        <w:rPr>
          <w:rFonts w:ascii="Times New Roman" w:hAnsi="Times New Roman"/>
        </w:rPr>
        <w:t>ightest provocation</w:t>
      </w:r>
      <w:r w:rsidRPr="007C03A6">
        <w:rPr>
          <w:rFonts w:ascii="Times New Roman" w:hAnsi="Times New Roman"/>
        </w:rPr>
        <w:t xml:space="preserve"> due to weak blood vessels lacking </w:t>
      </w:r>
      <w:r w:rsidR="00B14848">
        <w:rPr>
          <w:rFonts w:ascii="Times New Roman" w:hAnsi="Times New Roman"/>
        </w:rPr>
        <w:t>collagen</w:t>
      </w:r>
      <w:r w:rsidRPr="007C03A6">
        <w:rPr>
          <w:rFonts w:ascii="Times New Roman" w:hAnsi="Times New Roman"/>
        </w:rPr>
        <w:t xml:space="preserve"> to strengthen them (Fain 2005).  </w:t>
      </w:r>
    </w:p>
    <w:p w14:paraId="7431A6BB" w14:textId="317E2021" w:rsidR="00BF0494" w:rsidRPr="007C03A6" w:rsidRDefault="00BF0494" w:rsidP="008E2757">
      <w:pPr>
        <w:ind w:firstLine="720"/>
        <w:rPr>
          <w:rFonts w:ascii="Times New Roman" w:hAnsi="Times New Roman"/>
        </w:rPr>
      </w:pPr>
      <w:r w:rsidRPr="007C03A6">
        <w:rPr>
          <w:rFonts w:ascii="Times New Roman" w:hAnsi="Times New Roman"/>
        </w:rPr>
        <w:t>Vitamin C is necessary for many bodily functions including proper functioning of the immune system, but from a skeletal point of view, its most important function is that it is necessary for the synthesis of collagen, which is the most abundant protein in the body (Brickley and Ives 2008).  Not only is collagen present in bone and cartilage, it is necessary to properly strengthen blood vessels.  An individual with an inadequate supply of Vitamin C will therefore have more fragile blood vessels (amongst other symptoms), which leads to increased bleeding (Pimentel 2003).  Modern clinical studies have demons</w:t>
      </w:r>
      <w:r w:rsidR="007F20EF">
        <w:rPr>
          <w:rFonts w:ascii="Times New Roman" w:hAnsi="Times New Roman"/>
        </w:rPr>
        <w:t xml:space="preserve">trated that symptoms of scurvy </w:t>
      </w:r>
      <w:r w:rsidRPr="007C03A6">
        <w:rPr>
          <w:rFonts w:ascii="Times New Roman" w:hAnsi="Times New Roman"/>
        </w:rPr>
        <w:t>will ma</w:t>
      </w:r>
      <w:r w:rsidR="007F20EF">
        <w:rPr>
          <w:rFonts w:ascii="Times New Roman" w:hAnsi="Times New Roman"/>
        </w:rPr>
        <w:t>nifest between 29 and 90 days after</w:t>
      </w:r>
      <w:r w:rsidRPr="007C03A6">
        <w:rPr>
          <w:rFonts w:ascii="Times New Roman" w:hAnsi="Times New Roman"/>
        </w:rPr>
        <w:t xml:space="preserve"> cessation of Vitamin C intake (Pimentel 2003).  Unlike most mammals, humans and other primates are unable to synthesize Vitamin C and must obtain it from their diet (Brickley and Ives 2008).  Newborns and nursing infants are dependent upon mother’s milk for Vitamin C.  However a Vitamin C deficient woman will produce Vitamin C deficient breast milk (Fain 2005).  </w:t>
      </w:r>
    </w:p>
    <w:p w14:paraId="2FD643F4" w14:textId="55732077" w:rsidR="00BF0494" w:rsidRPr="007C03A6" w:rsidRDefault="0020189B" w:rsidP="008E2757">
      <w:pPr>
        <w:pStyle w:val="BodyTextIndent"/>
      </w:pPr>
      <w:r>
        <w:rPr>
          <w:szCs w:val="24"/>
        </w:rPr>
        <w:t>Scurvy</w:t>
      </w:r>
      <w:r w:rsidR="00BF0494" w:rsidRPr="007C03A6">
        <w:rPr>
          <w:szCs w:val="24"/>
        </w:rPr>
        <w:t xml:space="preserve"> may have been far more common in prehistoric times than is </w:t>
      </w:r>
      <w:r w:rsidR="00BF0494" w:rsidRPr="007C03A6">
        <w:t xml:space="preserve">currently accepted.  In modern times it is frequently diagnosed in children who have died from infectious processes (Brickley and Ives 2008).  </w:t>
      </w:r>
      <w:r w:rsidR="00BF0494">
        <w:t>Ortner and colleagues opine that i</w:t>
      </w:r>
      <w:r w:rsidR="00BF0494" w:rsidRPr="007C03A6">
        <w:t>t may have been a significant childhood disease in many Native American groups (Ortner et al. 2001).</w:t>
      </w:r>
    </w:p>
    <w:p w14:paraId="49F9B065" w14:textId="34889AA3" w:rsidR="00BF0494" w:rsidRPr="007C03A6" w:rsidRDefault="00FC00C1" w:rsidP="008E2757">
      <w:pPr>
        <w:ind w:firstLine="720"/>
        <w:rPr>
          <w:rFonts w:ascii="Times New Roman" w:hAnsi="Times New Roman"/>
        </w:rPr>
      </w:pPr>
      <w:r>
        <w:rPr>
          <w:rFonts w:ascii="Times New Roman" w:hAnsi="Times New Roman"/>
        </w:rPr>
        <w:t>In summary</w:t>
      </w:r>
      <w:r w:rsidR="0020189B">
        <w:rPr>
          <w:rFonts w:ascii="Times New Roman" w:hAnsi="Times New Roman"/>
        </w:rPr>
        <w:t>, cribra orbitalia</w:t>
      </w:r>
      <w:r w:rsidR="00BF0494" w:rsidRPr="007C03A6">
        <w:rPr>
          <w:rFonts w:ascii="Times New Roman" w:hAnsi="Times New Roman"/>
        </w:rPr>
        <w:t xml:space="preserve"> is currently </w:t>
      </w:r>
      <w:r w:rsidR="00BF0494">
        <w:rPr>
          <w:rFonts w:ascii="Times New Roman" w:hAnsi="Times New Roman"/>
        </w:rPr>
        <w:t>considered a strong indicator of</w:t>
      </w:r>
      <w:r w:rsidR="00BF0494" w:rsidRPr="007C03A6">
        <w:rPr>
          <w:rFonts w:ascii="Times New Roman" w:hAnsi="Times New Roman"/>
        </w:rPr>
        <w:t xml:space="preserve"> scurvy  (Ortner and Erickson 1997, Ortner et al. 2001, Walker</w:t>
      </w:r>
      <w:r>
        <w:rPr>
          <w:rFonts w:ascii="Times New Roman" w:hAnsi="Times New Roman"/>
        </w:rPr>
        <w:t xml:space="preserve"> et al.</w:t>
      </w:r>
      <w:r w:rsidR="00BF0494" w:rsidRPr="007C03A6">
        <w:rPr>
          <w:rFonts w:ascii="Times New Roman" w:hAnsi="Times New Roman"/>
        </w:rPr>
        <w:t xml:space="preserve"> 2009).  Periostitis of the long bones, especially at the joints, may also be symptomatic of scurvy.  With the loss of blood that comes with scurvy, even porotic hyperostosis may result from Vitamin C deficiency.  However Walker, Ortner, and many other researchers stress the difficulties in pinpointing Vitamin C deficiency as a cause for these skeletal lesions.  </w:t>
      </w:r>
    </w:p>
    <w:p w14:paraId="0AF0FAD8" w14:textId="798A50EF" w:rsidR="00BF0494" w:rsidRPr="007C03A6" w:rsidRDefault="00BF0494" w:rsidP="008E2757">
      <w:pPr>
        <w:ind w:firstLine="720"/>
        <w:rPr>
          <w:rFonts w:ascii="Times New Roman" w:hAnsi="Times New Roman"/>
        </w:rPr>
      </w:pPr>
      <w:r w:rsidRPr="007C03A6">
        <w:rPr>
          <w:rFonts w:ascii="Times New Roman" w:hAnsi="Times New Roman"/>
        </w:rPr>
        <w:t>The picture of Vitamin C deficiency scurvy and iron deficiency anemia in archaeologi</w:t>
      </w:r>
      <w:r w:rsidR="0020189B">
        <w:rPr>
          <w:rFonts w:ascii="Times New Roman" w:hAnsi="Times New Roman"/>
        </w:rPr>
        <w:t>cal populations is thus complex</w:t>
      </w:r>
      <w:r w:rsidR="0011790C">
        <w:rPr>
          <w:rFonts w:ascii="Times New Roman" w:hAnsi="Times New Roman"/>
        </w:rPr>
        <w:t xml:space="preserve"> and only getting more so</w:t>
      </w:r>
      <w:r w:rsidRPr="007C03A6">
        <w:rPr>
          <w:rFonts w:ascii="Times New Roman" w:hAnsi="Times New Roman"/>
        </w:rPr>
        <w:t xml:space="preserve">.  To add to </w:t>
      </w:r>
      <w:r w:rsidR="0034498B">
        <w:rPr>
          <w:rFonts w:ascii="Times New Roman" w:hAnsi="Times New Roman"/>
        </w:rPr>
        <w:t xml:space="preserve">the </w:t>
      </w:r>
      <w:r w:rsidRPr="007C03A6">
        <w:rPr>
          <w:rFonts w:ascii="Times New Roman" w:hAnsi="Times New Roman"/>
        </w:rPr>
        <w:t xml:space="preserve">difficulties in interpreting lesions, Vitamin C deficiency and iron deficiency anemia are often found together (in modern clinical populations).  As things stand today, it is simply not possible to definitively determine that a skeletal lesion was caused specifically by Vitamin C deficiency scurvy or iron deficiency anemia or another cause altogether.  Instead, the pattern of lesions over the entire skeleton must be considered.  Vitamin C deficiency scurvy will likely leave multiple skeletal lesions.  If anemia really does cause hypertrophy of the diploe, then hypertrophy of spongy tissue should be seen in other bones as well.  Additionally, one must consider all archaeological evidence, such </w:t>
      </w:r>
      <w:r>
        <w:rPr>
          <w:rFonts w:ascii="Times New Roman" w:hAnsi="Times New Roman"/>
        </w:rPr>
        <w:t xml:space="preserve">as </w:t>
      </w:r>
      <w:r w:rsidRPr="007C03A6">
        <w:rPr>
          <w:rFonts w:ascii="Times New Roman" w:hAnsi="Times New Roman"/>
        </w:rPr>
        <w:t xml:space="preserve">whether or not diet can be reconstructed, </w:t>
      </w:r>
      <w:r>
        <w:rPr>
          <w:rFonts w:ascii="Times New Roman" w:hAnsi="Times New Roman"/>
        </w:rPr>
        <w:t xml:space="preserve">or </w:t>
      </w:r>
      <w:r w:rsidRPr="007C03A6">
        <w:rPr>
          <w:rFonts w:ascii="Times New Roman" w:hAnsi="Times New Roman"/>
        </w:rPr>
        <w:t xml:space="preserve">if the population was </w:t>
      </w:r>
      <w:r>
        <w:rPr>
          <w:rFonts w:ascii="Times New Roman" w:hAnsi="Times New Roman"/>
        </w:rPr>
        <w:t>exposed to other environmental or cultural stressors.</w:t>
      </w:r>
      <w:r w:rsidRPr="007C03A6">
        <w:rPr>
          <w:rFonts w:ascii="Times New Roman" w:hAnsi="Times New Roman"/>
        </w:rPr>
        <w:t xml:space="preserve">  </w:t>
      </w:r>
    </w:p>
    <w:p w14:paraId="59D3F660" w14:textId="77777777" w:rsidR="00BF0494" w:rsidRDefault="00BF0494" w:rsidP="007F6BCD">
      <w:pPr>
        <w:pStyle w:val="Heading4"/>
      </w:pPr>
      <w:r>
        <w:t>Modern example of micronutrient deficiency</w:t>
      </w:r>
    </w:p>
    <w:p w14:paraId="339FACC6" w14:textId="163887F7" w:rsidR="00BF0494" w:rsidRPr="00A00300" w:rsidRDefault="00BF0494" w:rsidP="008E2757">
      <w:pPr>
        <w:ind w:firstLine="720"/>
        <w:rPr>
          <w:rFonts w:ascii="Times New Roman" w:hAnsi="Times New Roman"/>
        </w:rPr>
      </w:pPr>
      <w:r w:rsidRPr="00A00300">
        <w:rPr>
          <w:rFonts w:ascii="Times New Roman" w:hAnsi="Times New Roman"/>
        </w:rPr>
        <w:t>In March 2002, there were reports of a hemorrhagic fever outbreak in western Afghanistan.  Emergency workers were sent in and found that hemorrhagic symptoms and increased mortality were actually due to scurvy (Cheung et al. 2003), which was found to be quite common, especially in the winter, when fresh foods were scarce.  This study demonstrates that scurvy can occur in non-refugee or non-displaced populations</w:t>
      </w:r>
      <w:r w:rsidR="0020189B">
        <w:rPr>
          <w:rFonts w:ascii="Times New Roman" w:hAnsi="Times New Roman"/>
        </w:rPr>
        <w:t>,</w:t>
      </w:r>
      <w:r w:rsidRPr="00A00300">
        <w:rPr>
          <w:rFonts w:ascii="Times New Roman" w:hAnsi="Times New Roman"/>
        </w:rPr>
        <w:t xml:space="preserve"> especially in the wintertime, and bolsters the idea that scurvy may have been quite common in prehistoric times.</w:t>
      </w:r>
    </w:p>
    <w:p w14:paraId="0FB3F0FD" w14:textId="77777777" w:rsidR="00BF0494" w:rsidRDefault="00BF0494" w:rsidP="007F6BCD">
      <w:pPr>
        <w:pStyle w:val="Heading4"/>
      </w:pPr>
      <w:r>
        <w:t>Archaeological example of multiple health assaults combined with conflict</w:t>
      </w:r>
    </w:p>
    <w:p w14:paraId="3CD6BA0B" w14:textId="349EF26F" w:rsidR="0011790C" w:rsidRDefault="00BF0494" w:rsidP="00017AEE">
      <w:pPr>
        <w:ind w:firstLine="720"/>
        <w:rPr>
          <w:rFonts w:ascii="Times New Roman" w:hAnsi="Times New Roman"/>
        </w:rPr>
      </w:pPr>
      <w:r w:rsidRPr="00A00300">
        <w:rPr>
          <w:rFonts w:ascii="Times New Roman" w:hAnsi="Times New Roman"/>
        </w:rPr>
        <w:t>As an archaeological example, at the Norris Farms site in Ohio, it was found that in addition to evidence of violent death, ma</w:t>
      </w:r>
      <w:r>
        <w:rPr>
          <w:rFonts w:ascii="Times New Roman" w:hAnsi="Times New Roman"/>
        </w:rPr>
        <w:t>n</w:t>
      </w:r>
      <w:r w:rsidRPr="00A00300">
        <w:rPr>
          <w:rFonts w:ascii="Times New Roman" w:hAnsi="Times New Roman"/>
        </w:rPr>
        <w:t xml:space="preserve">y individuals suffered from health problems including infectious disease and nutritional deficiencies (Milner </w:t>
      </w:r>
      <w:r w:rsidR="00FC00C1">
        <w:rPr>
          <w:rFonts w:ascii="Times New Roman" w:hAnsi="Times New Roman"/>
        </w:rPr>
        <w:t xml:space="preserve">et al. </w:t>
      </w:r>
      <w:r w:rsidRPr="00A00300">
        <w:rPr>
          <w:rFonts w:ascii="Times New Roman" w:hAnsi="Times New Roman"/>
        </w:rPr>
        <w:t>1991).  Even a small number of adults killed in violent conflict can have serious repercussions for the entire community, especially if the violence is the result of raiding or feuding.  In addition to losing the valuable labor of the killed, the remaining individuals may be reluctant to go on needed foraging/hunting trips for fear of attack.  Subsistence activities may be dramatically curtailed for the entire group, resulting in decreased food procurement/intake and overall health</w:t>
      </w:r>
      <w:r>
        <w:rPr>
          <w:rFonts w:ascii="Times New Roman" w:hAnsi="Times New Roman"/>
        </w:rPr>
        <w:t xml:space="preserve"> status</w:t>
      </w:r>
      <w:r w:rsidRPr="00A00300">
        <w:rPr>
          <w:rFonts w:ascii="Times New Roman" w:hAnsi="Times New Roman"/>
        </w:rPr>
        <w:t xml:space="preserve">.  This observation is particularly salient at the Akers site (34Lf32) and other </w:t>
      </w:r>
      <w:r w:rsidR="00CF609A">
        <w:rPr>
          <w:rFonts w:ascii="Times New Roman" w:hAnsi="Times New Roman"/>
        </w:rPr>
        <w:t>Wister area</w:t>
      </w:r>
      <w:r w:rsidRPr="00A00300">
        <w:rPr>
          <w:rFonts w:ascii="Times New Roman" w:hAnsi="Times New Roman"/>
        </w:rPr>
        <w:t xml:space="preserve"> sites and will be discussed in greater detail in the following chapters.</w:t>
      </w:r>
    </w:p>
    <w:p w14:paraId="50C758AD" w14:textId="77777777" w:rsidR="0011790C" w:rsidRDefault="0011790C">
      <w:pPr>
        <w:spacing w:line="240" w:lineRule="auto"/>
        <w:rPr>
          <w:rFonts w:ascii="Times New Roman" w:hAnsi="Times New Roman"/>
        </w:rPr>
      </w:pPr>
      <w:r>
        <w:rPr>
          <w:rFonts w:ascii="Times New Roman" w:hAnsi="Times New Roman"/>
        </w:rPr>
        <w:br w:type="page"/>
      </w:r>
    </w:p>
    <w:p w14:paraId="14ABFF08" w14:textId="08565406" w:rsidR="00BF0494" w:rsidRPr="00527ACB" w:rsidRDefault="00BF0494" w:rsidP="00FA652B">
      <w:pPr>
        <w:pStyle w:val="Heading1"/>
      </w:pPr>
      <w:bookmarkStart w:id="24" w:name="_Toc261025845"/>
      <w:r>
        <w:t>Chapter 3</w:t>
      </w:r>
      <w:r w:rsidR="009C3DA2">
        <w:t xml:space="preserve">: </w:t>
      </w:r>
      <w:r>
        <w:t xml:space="preserve"> </w:t>
      </w:r>
      <w:r w:rsidR="009C5432">
        <w:t xml:space="preserve">The </w:t>
      </w:r>
      <w:r w:rsidR="009C3DA2">
        <w:t>Wister A</w:t>
      </w:r>
      <w:r w:rsidR="00CF609A">
        <w:t>rea</w:t>
      </w:r>
      <w:r>
        <w:t xml:space="preserve"> and</w:t>
      </w:r>
      <w:r w:rsidR="009C3DA2">
        <w:t xml:space="preserve"> the</w:t>
      </w:r>
      <w:r>
        <w:t xml:space="preserve"> Fourche Maline Mounds</w:t>
      </w:r>
      <w:bookmarkEnd w:id="24"/>
    </w:p>
    <w:p w14:paraId="776A6A1C" w14:textId="2FE7E33B" w:rsidR="004A7E79" w:rsidRDefault="004A7E79" w:rsidP="004A7E79">
      <w:pPr>
        <w:ind w:firstLine="720"/>
        <w:rPr>
          <w:rFonts w:ascii="Times New Roman" w:hAnsi="Times New Roman"/>
        </w:rPr>
      </w:pPr>
      <w:r w:rsidRPr="0066208C">
        <w:rPr>
          <w:rFonts w:ascii="Times New Roman" w:hAnsi="Times New Roman"/>
        </w:rPr>
        <w:t>Excavating the history of Fourche Maline thought requires a rev</w:t>
      </w:r>
      <w:r w:rsidR="006D13E1">
        <w:rPr>
          <w:rFonts w:ascii="Times New Roman" w:hAnsi="Times New Roman"/>
        </w:rPr>
        <w:t>iew of Caddoan and pre-Caddoan a</w:t>
      </w:r>
      <w:r w:rsidRPr="0066208C">
        <w:rPr>
          <w:rFonts w:ascii="Times New Roman" w:hAnsi="Times New Roman"/>
        </w:rPr>
        <w:t xml:space="preserve">rchaeology as seen through a critical lens.  </w:t>
      </w:r>
      <w:r>
        <w:rPr>
          <w:rFonts w:ascii="Times New Roman" w:hAnsi="Times New Roman"/>
        </w:rPr>
        <w:t xml:space="preserve">This chapter presents a </w:t>
      </w:r>
      <w:r w:rsidRPr="00A55697">
        <w:rPr>
          <w:rFonts w:ascii="Times New Roman" w:hAnsi="Times New Roman"/>
        </w:rPr>
        <w:t>history of the concept of Fourche Maline (and to a lesser extent C</w:t>
      </w:r>
      <w:r>
        <w:rPr>
          <w:rFonts w:ascii="Times New Roman" w:hAnsi="Times New Roman"/>
        </w:rPr>
        <w:t>addoan) archaeological studies, followed by a review of study area from a geological and</w:t>
      </w:r>
      <w:r w:rsidRPr="00A55697">
        <w:rPr>
          <w:rFonts w:ascii="Times New Roman" w:hAnsi="Times New Roman"/>
        </w:rPr>
        <w:t xml:space="preserve"> ecological </w:t>
      </w:r>
      <w:r>
        <w:rPr>
          <w:rFonts w:ascii="Times New Roman" w:hAnsi="Times New Roman"/>
        </w:rPr>
        <w:t>perspective.  The chapter ends with</w:t>
      </w:r>
      <w:r w:rsidRPr="00A55697">
        <w:rPr>
          <w:rFonts w:ascii="Times New Roman" w:hAnsi="Times New Roman"/>
        </w:rPr>
        <w:t xml:space="preserve"> detailed information on the Fourche Maline mounds</w:t>
      </w:r>
      <w:r>
        <w:rPr>
          <w:rFonts w:ascii="Times New Roman" w:hAnsi="Times New Roman"/>
        </w:rPr>
        <w:t xml:space="preserve"> included</w:t>
      </w:r>
      <w:r w:rsidRPr="00A55697">
        <w:rPr>
          <w:rFonts w:ascii="Times New Roman" w:hAnsi="Times New Roman"/>
        </w:rPr>
        <w:t xml:space="preserve"> in this </w:t>
      </w:r>
      <w:r>
        <w:rPr>
          <w:rFonts w:ascii="Times New Roman" w:hAnsi="Times New Roman"/>
        </w:rPr>
        <w:t xml:space="preserve">research </w:t>
      </w:r>
      <w:r w:rsidRPr="00A55697">
        <w:rPr>
          <w:rFonts w:ascii="Times New Roman" w:hAnsi="Times New Roman"/>
        </w:rPr>
        <w:t>study.</w:t>
      </w:r>
    </w:p>
    <w:p w14:paraId="0D99CFDB" w14:textId="77777777" w:rsidR="00A54A6A" w:rsidRPr="00A54A6A" w:rsidRDefault="00A54A6A" w:rsidP="00A54A6A">
      <w:pPr>
        <w:spacing w:line="240" w:lineRule="auto"/>
        <w:rPr>
          <w:rFonts w:ascii="Times New Roman" w:hAnsi="Times New Roman"/>
        </w:rPr>
      </w:pPr>
    </w:p>
    <w:p w14:paraId="77B9B956" w14:textId="77777777" w:rsidR="00BF0494" w:rsidRDefault="00BF0494" w:rsidP="00CB4ED0">
      <w:pPr>
        <w:pStyle w:val="Heading2"/>
      </w:pPr>
      <w:bookmarkStart w:id="25" w:name="_Toc261025846"/>
      <w:r>
        <w:t>Fourche Maline – History of a Concept</w:t>
      </w:r>
      <w:bookmarkEnd w:id="25"/>
    </w:p>
    <w:p w14:paraId="07D5E35A" w14:textId="1555E227" w:rsidR="004A7E79" w:rsidRPr="004A7E79" w:rsidRDefault="004A7E79" w:rsidP="004A7E79">
      <w:pPr>
        <w:rPr>
          <w:rFonts w:ascii="Times New Roman" w:hAnsi="Times New Roman"/>
        </w:rPr>
      </w:pPr>
      <w:r>
        <w:tab/>
      </w:r>
      <w:r w:rsidRPr="004A7E79">
        <w:rPr>
          <w:rFonts w:ascii="Times New Roman" w:hAnsi="Times New Roman"/>
        </w:rPr>
        <w:t>Fourche Maline</w:t>
      </w:r>
      <w:r>
        <w:rPr>
          <w:rFonts w:ascii="Times New Roman" w:hAnsi="Times New Roman"/>
        </w:rPr>
        <w:t>, which roughly translates</w:t>
      </w:r>
      <w:r w:rsidR="008A03CC">
        <w:rPr>
          <w:rFonts w:ascii="Times New Roman" w:hAnsi="Times New Roman"/>
        </w:rPr>
        <w:t xml:space="preserve"> from French</w:t>
      </w:r>
      <w:r>
        <w:rPr>
          <w:rFonts w:ascii="Times New Roman" w:hAnsi="Times New Roman"/>
        </w:rPr>
        <w:t xml:space="preserve"> as “bad crossing” or “bad fork” is the name of a small river, or large creek</w:t>
      </w:r>
      <w:r w:rsidR="008A03CC">
        <w:rPr>
          <w:rFonts w:ascii="Times New Roman" w:hAnsi="Times New Roman"/>
        </w:rPr>
        <w:t>, that drains eastward from the San Bois Mountains to join the Poteau River near the modern community of Wister, Oklahoma</w:t>
      </w:r>
      <w:r>
        <w:rPr>
          <w:rFonts w:ascii="Times New Roman" w:hAnsi="Times New Roman"/>
        </w:rPr>
        <w:t xml:space="preserve"> in southeastern Oklahoma.  </w:t>
      </w:r>
      <w:r w:rsidR="00037041">
        <w:rPr>
          <w:rFonts w:ascii="Times New Roman" w:hAnsi="Times New Roman"/>
        </w:rPr>
        <w:t xml:space="preserve">In the archaeological literature, it has been used to denote a focus (as defined by McKern 1939), and archaeological area, a site component, a site complex, a site type, and most recently, a </w:t>
      </w:r>
      <w:r w:rsidR="00FB1FC3">
        <w:rPr>
          <w:rFonts w:ascii="Times New Roman" w:hAnsi="Times New Roman"/>
        </w:rPr>
        <w:t xml:space="preserve">local </w:t>
      </w:r>
      <w:r w:rsidR="00037041">
        <w:rPr>
          <w:rFonts w:ascii="Times New Roman" w:hAnsi="Times New Roman"/>
        </w:rPr>
        <w:t>cultural phase</w:t>
      </w:r>
      <w:r w:rsidR="00280CE9">
        <w:rPr>
          <w:rFonts w:ascii="Times New Roman" w:hAnsi="Times New Roman"/>
        </w:rPr>
        <w:t xml:space="preserve"> (as def</w:t>
      </w:r>
      <w:r w:rsidR="006062CB">
        <w:rPr>
          <w:rFonts w:ascii="Times New Roman" w:hAnsi="Times New Roman"/>
        </w:rPr>
        <w:t>ined by Willey and Phillips 1958</w:t>
      </w:r>
      <w:r w:rsidR="00280CE9">
        <w:rPr>
          <w:rFonts w:ascii="Times New Roman" w:hAnsi="Times New Roman"/>
        </w:rPr>
        <w:t>) developed by Galm (1978, 1981</w:t>
      </w:r>
      <w:r w:rsidR="00037041">
        <w:rPr>
          <w:rFonts w:ascii="Times New Roman" w:hAnsi="Times New Roman"/>
        </w:rPr>
        <w:t xml:space="preserve">, 1984).  </w:t>
      </w:r>
      <w:r>
        <w:rPr>
          <w:rFonts w:ascii="Times New Roman" w:hAnsi="Times New Roman"/>
        </w:rPr>
        <w:t xml:space="preserve">The following section </w:t>
      </w:r>
      <w:r w:rsidR="00037041">
        <w:rPr>
          <w:rFonts w:ascii="Times New Roman" w:hAnsi="Times New Roman"/>
        </w:rPr>
        <w:t>traces the evolving definition</w:t>
      </w:r>
      <w:r w:rsidR="00FD7718">
        <w:rPr>
          <w:rFonts w:ascii="Times New Roman" w:hAnsi="Times New Roman"/>
        </w:rPr>
        <w:t>s and inte</w:t>
      </w:r>
      <w:r w:rsidR="00280CE9">
        <w:rPr>
          <w:rFonts w:ascii="Times New Roman" w:hAnsi="Times New Roman"/>
        </w:rPr>
        <w:t>r</w:t>
      </w:r>
      <w:r w:rsidR="00FD7718">
        <w:rPr>
          <w:rFonts w:ascii="Times New Roman" w:hAnsi="Times New Roman"/>
        </w:rPr>
        <w:t>pretations</w:t>
      </w:r>
      <w:r w:rsidR="00037041">
        <w:rPr>
          <w:rFonts w:ascii="Times New Roman" w:hAnsi="Times New Roman"/>
        </w:rPr>
        <w:t xml:space="preserve"> of Fourche Maline.</w:t>
      </w:r>
    </w:p>
    <w:p w14:paraId="102CE447" w14:textId="77777777" w:rsidR="004A7E79" w:rsidRDefault="004A7E79" w:rsidP="009C5432">
      <w:pPr>
        <w:pStyle w:val="Heading3"/>
      </w:pPr>
      <w:bookmarkStart w:id="26" w:name="_Toc261025847"/>
      <w:r>
        <w:t xml:space="preserve">1930s and 1940s and the </w:t>
      </w:r>
      <w:r w:rsidRPr="002C2B6C">
        <w:t xml:space="preserve">WPA </w:t>
      </w:r>
      <w:r>
        <w:t>Excavations</w:t>
      </w:r>
      <w:bookmarkEnd w:id="26"/>
    </w:p>
    <w:p w14:paraId="253E38FC" w14:textId="61748782" w:rsidR="004A7E79" w:rsidRPr="008E7658" w:rsidRDefault="004A7E79" w:rsidP="004A7E79">
      <w:pPr>
        <w:ind w:firstLine="720"/>
      </w:pPr>
      <w:r w:rsidRPr="0066208C">
        <w:rPr>
          <w:rFonts w:ascii="Times New Roman" w:hAnsi="Times New Roman"/>
        </w:rPr>
        <w:t xml:space="preserve">The beginning of Caddoan archaeology can be said to have begun with the publication </w:t>
      </w:r>
      <w:r w:rsidRPr="0066208C">
        <w:rPr>
          <w:rFonts w:ascii="Times New Roman" w:hAnsi="Times New Roman"/>
          <w:i/>
        </w:rPr>
        <w:t>Certain Caddo Sites</w:t>
      </w:r>
      <w:r w:rsidR="008A03CC">
        <w:rPr>
          <w:rFonts w:ascii="Times New Roman" w:hAnsi="Times New Roman"/>
          <w:i/>
        </w:rPr>
        <w:t xml:space="preserve"> in Arkansas</w:t>
      </w:r>
      <w:r w:rsidRPr="0066208C">
        <w:rPr>
          <w:rFonts w:ascii="Times New Roman" w:hAnsi="Times New Roman"/>
        </w:rPr>
        <w:t xml:space="preserve"> (H</w:t>
      </w:r>
      <w:r w:rsidR="008A03CC">
        <w:rPr>
          <w:rFonts w:ascii="Times New Roman" w:hAnsi="Times New Roman"/>
        </w:rPr>
        <w:t>arrington 1920)</w:t>
      </w:r>
      <w:r w:rsidRPr="0066208C">
        <w:rPr>
          <w:rFonts w:ascii="Times New Roman" w:hAnsi="Times New Roman"/>
        </w:rPr>
        <w:t xml:space="preserve">.  Based on pottery styles and site layout (dispersed sites, sometimes around a mound site), Harrington associated these sites with the Hasaini, a modern Caddoan group.  </w:t>
      </w:r>
      <w:r>
        <w:rPr>
          <w:rFonts w:ascii="Times New Roman" w:hAnsi="Times New Roman"/>
        </w:rPr>
        <w:t>The Caddoan Culture A</w:t>
      </w:r>
      <w:r w:rsidRPr="00C34BAE">
        <w:rPr>
          <w:rFonts w:ascii="Times New Roman" w:hAnsi="Times New Roman"/>
        </w:rPr>
        <w:t xml:space="preserve">rea was defined in 1932 by Swanton, who synthesized information from the fields of linguistics, ethnology, and archaeology.  This area encompasses portions of southeastern Oklahoma, northwest Texas, northwest Louisiana, and </w:t>
      </w:r>
      <w:r w:rsidR="00FD7718">
        <w:rPr>
          <w:rFonts w:ascii="Times New Roman" w:hAnsi="Times New Roman"/>
        </w:rPr>
        <w:t>southwest Arkansas (see Figure 1</w:t>
      </w:r>
      <w:r w:rsidRPr="00C34BAE">
        <w:rPr>
          <w:rFonts w:ascii="Times New Roman" w:hAnsi="Times New Roman"/>
        </w:rPr>
        <w:t>).</w:t>
      </w:r>
    </w:p>
    <w:p w14:paraId="5F1CD012" w14:textId="77777777" w:rsidR="004A7E79" w:rsidRPr="009221B6" w:rsidRDefault="004A7E79" w:rsidP="004A7E79">
      <w:pPr>
        <w:ind w:firstLine="720"/>
        <w:rPr>
          <w:rFonts w:ascii="Times New Roman" w:hAnsi="Times New Roman"/>
        </w:rPr>
      </w:pPr>
      <w:r w:rsidRPr="009221B6">
        <w:rPr>
          <w:rFonts w:ascii="Times New Roman" w:hAnsi="Times New Roman"/>
        </w:rPr>
        <w:t xml:space="preserve">The incipient field of Caddoan archaeology benefitted greatly from New Deal programs </w:t>
      </w:r>
      <w:r>
        <w:rPr>
          <w:rFonts w:ascii="Times New Roman" w:hAnsi="Times New Roman"/>
        </w:rPr>
        <w:t xml:space="preserve">of </w:t>
      </w:r>
      <w:r w:rsidRPr="009221B6">
        <w:rPr>
          <w:rFonts w:ascii="Times New Roman" w:hAnsi="Times New Roman"/>
        </w:rPr>
        <w:t>the late 1930s and early 1940s.  The federally funded Works Progress Administration (WPA) and Civilian Conservation Corps (CCC) employed many out-of-work</w:t>
      </w:r>
      <w:r>
        <w:rPr>
          <w:rFonts w:ascii="Times New Roman" w:hAnsi="Times New Roman"/>
        </w:rPr>
        <w:t xml:space="preserve"> individuals</w:t>
      </w:r>
      <w:r w:rsidRPr="009221B6">
        <w:rPr>
          <w:rFonts w:ascii="Times New Roman" w:hAnsi="Times New Roman"/>
        </w:rPr>
        <w:t xml:space="preserve"> and a plethora of arch</w:t>
      </w:r>
      <w:r>
        <w:rPr>
          <w:rFonts w:ascii="Times New Roman" w:hAnsi="Times New Roman"/>
        </w:rPr>
        <w:t>a</w:t>
      </w:r>
      <w:r w:rsidRPr="009221B6">
        <w:rPr>
          <w:rFonts w:ascii="Times New Roman" w:hAnsi="Times New Roman"/>
        </w:rPr>
        <w:t>eological sites were excavated in the four state area (Arkansas, Louisiana, Texas, and Oklahoma) of the Caddoan homeland.</w:t>
      </w:r>
    </w:p>
    <w:p w14:paraId="6F67290A" w14:textId="77777777" w:rsidR="004A7E79" w:rsidRPr="009221B6" w:rsidRDefault="004A7E79" w:rsidP="004A7E79">
      <w:pPr>
        <w:ind w:firstLine="720"/>
        <w:rPr>
          <w:rFonts w:ascii="Times New Roman" w:hAnsi="Times New Roman"/>
        </w:rPr>
      </w:pPr>
      <w:r w:rsidRPr="00A55697">
        <w:rPr>
          <w:rFonts w:ascii="Times New Roman" w:hAnsi="Times New Roman"/>
        </w:rPr>
        <w:t xml:space="preserve">In Oklahoma, WPA projects included archaeological digs in areas under consideration for eventual reservoir construction.  </w:t>
      </w:r>
      <w:r>
        <w:rPr>
          <w:rFonts w:ascii="Times New Roman" w:hAnsi="Times New Roman"/>
        </w:rPr>
        <w:t>This work was supervised by Dr. Forest Clement of the University of Oklahoma.  Clement</w:t>
      </w:r>
      <w:r w:rsidRPr="009221B6">
        <w:rPr>
          <w:rFonts w:ascii="Times New Roman" w:hAnsi="Times New Roman"/>
        </w:rPr>
        <w:t xml:space="preserve"> had a particular interest in physical anthropology (Rogers 1978:2).  The work thus targeted sites with large burial populations.  This led to a very large collection of Oklahoma prehistoric skeletal </w:t>
      </w:r>
      <w:r>
        <w:rPr>
          <w:rFonts w:ascii="Times New Roman" w:hAnsi="Times New Roman"/>
        </w:rPr>
        <w:t>remains</w:t>
      </w:r>
      <w:r w:rsidRPr="009221B6">
        <w:rPr>
          <w:rFonts w:ascii="Times New Roman" w:hAnsi="Times New Roman"/>
        </w:rPr>
        <w:t>, most of which are housed at the Sam Noble Oklahoma Museum of Natural History (SNOMNH)</w:t>
      </w:r>
      <w:r>
        <w:rPr>
          <w:rFonts w:ascii="Times New Roman" w:hAnsi="Times New Roman"/>
        </w:rPr>
        <w:t xml:space="preserve"> in Norman, Oklahoma</w:t>
      </w:r>
      <w:r w:rsidRPr="009221B6">
        <w:rPr>
          <w:rFonts w:ascii="Times New Roman" w:hAnsi="Times New Roman"/>
        </w:rPr>
        <w:t xml:space="preserve">.  The vast majority of these collections have never been analyzed.  </w:t>
      </w:r>
    </w:p>
    <w:p w14:paraId="639E510D" w14:textId="644EAE48" w:rsidR="004A7E79" w:rsidRDefault="004A7E79" w:rsidP="004A7E79">
      <w:pPr>
        <w:ind w:firstLine="720"/>
        <w:rPr>
          <w:rFonts w:ascii="Times New Roman" w:hAnsi="Times New Roman"/>
        </w:rPr>
      </w:pPr>
      <w:r w:rsidRPr="009221B6">
        <w:rPr>
          <w:rFonts w:ascii="Times New Roman" w:hAnsi="Times New Roman"/>
        </w:rPr>
        <w:t xml:space="preserve">Archaeological work in the area first concentrated on the Spiro Mounds and adjacent areas.  However by 1936, the WPA had turned its attention to the nearby </w:t>
      </w:r>
      <w:r w:rsidR="008A03CC">
        <w:rPr>
          <w:rFonts w:ascii="Times New Roman" w:hAnsi="Times New Roman"/>
        </w:rPr>
        <w:t>Pot</w:t>
      </w:r>
      <w:r w:rsidR="008815B4">
        <w:rPr>
          <w:rFonts w:ascii="Times New Roman" w:hAnsi="Times New Roman"/>
        </w:rPr>
        <w:t>eau-Fourche Maline drainage valley</w:t>
      </w:r>
      <w:r w:rsidR="008A03CC">
        <w:rPr>
          <w:rFonts w:ascii="Times New Roman" w:hAnsi="Times New Roman"/>
        </w:rPr>
        <w:t xml:space="preserve"> (</w:t>
      </w:r>
      <w:r w:rsidR="00CF609A">
        <w:rPr>
          <w:rFonts w:ascii="Times New Roman" w:hAnsi="Times New Roman"/>
        </w:rPr>
        <w:t>Wister area</w:t>
      </w:r>
      <w:r w:rsidR="008A03CC">
        <w:rPr>
          <w:rFonts w:ascii="Times New Roman" w:hAnsi="Times New Roman"/>
        </w:rPr>
        <w:t>)</w:t>
      </w:r>
      <w:r w:rsidRPr="009221B6">
        <w:rPr>
          <w:rFonts w:ascii="Times New Roman" w:hAnsi="Times New Roman"/>
        </w:rPr>
        <w:t xml:space="preserve"> where workers excavated a series of smallish “black midden mounds” along Fourche Maline Creek and the Poteau River.  </w:t>
      </w:r>
      <w:r w:rsidRPr="00A55697">
        <w:rPr>
          <w:rFonts w:ascii="Times New Roman" w:hAnsi="Times New Roman"/>
        </w:rPr>
        <w:t xml:space="preserve">Between 1938 and 1941, 24 major archaeological digs were undertaken in the </w:t>
      </w:r>
      <w:r w:rsidR="00CF609A">
        <w:rPr>
          <w:rFonts w:ascii="Times New Roman" w:hAnsi="Times New Roman"/>
        </w:rPr>
        <w:t xml:space="preserve">Wister </w:t>
      </w:r>
      <w:r w:rsidR="008815B4">
        <w:rPr>
          <w:rFonts w:ascii="Times New Roman" w:hAnsi="Times New Roman"/>
        </w:rPr>
        <w:t>area</w:t>
      </w:r>
      <w:r w:rsidRPr="00A55697">
        <w:rPr>
          <w:rFonts w:ascii="Times New Roman" w:hAnsi="Times New Roman"/>
        </w:rPr>
        <w:t xml:space="preserve"> of southeastern Oklahoma (Rogers 1978).</w:t>
      </w:r>
      <w:r>
        <w:rPr>
          <w:rFonts w:ascii="Times New Roman" w:hAnsi="Times New Roman"/>
        </w:rPr>
        <w:t xml:space="preserve">  Although Clement remained in charge, the actual field</w:t>
      </w:r>
      <w:r w:rsidRPr="00A55697">
        <w:rPr>
          <w:rFonts w:ascii="Times New Roman" w:hAnsi="Times New Roman"/>
        </w:rPr>
        <w:t>work was supervised by a county wide supervisor (Rogers 1978:</w:t>
      </w:r>
      <w:r>
        <w:rPr>
          <w:rFonts w:ascii="Times New Roman" w:hAnsi="Times New Roman"/>
        </w:rPr>
        <w:t>2).  The work in LeFlore county</w:t>
      </w:r>
      <w:r w:rsidRPr="00A55697">
        <w:rPr>
          <w:rFonts w:ascii="Times New Roman" w:hAnsi="Times New Roman"/>
        </w:rPr>
        <w:t xml:space="preserve"> </w:t>
      </w:r>
      <w:r>
        <w:rPr>
          <w:rFonts w:ascii="Times New Roman" w:hAnsi="Times New Roman"/>
        </w:rPr>
        <w:t>was supervised by Phil J. Newku</w:t>
      </w:r>
      <w:r w:rsidRPr="00A55697">
        <w:rPr>
          <w:rFonts w:ascii="Times New Roman" w:hAnsi="Times New Roman"/>
        </w:rPr>
        <w:t>met.</w:t>
      </w:r>
    </w:p>
    <w:p w14:paraId="4B9859A1" w14:textId="3B434E59" w:rsidR="004A7E79" w:rsidRPr="009221B6" w:rsidRDefault="004A7E79" w:rsidP="004A7E79">
      <w:pPr>
        <w:ind w:firstLine="720"/>
        <w:rPr>
          <w:rFonts w:ascii="Times New Roman" w:hAnsi="Times New Roman"/>
        </w:rPr>
      </w:pPr>
      <w:r w:rsidRPr="00A55697">
        <w:rPr>
          <w:rFonts w:ascii="Times New Roman" w:hAnsi="Times New Roman"/>
        </w:rPr>
        <w:t>Newkumet (1940a) appears to have been the first to use the term “Fourche Maline” in an archaeological context, referring to a series of smallish mounds along Fourche Maline Creek</w:t>
      </w:r>
      <w:r w:rsidR="00FD7718">
        <w:rPr>
          <w:rFonts w:ascii="Times New Roman" w:hAnsi="Times New Roman"/>
        </w:rPr>
        <w:t xml:space="preserve"> (Figure 2)</w:t>
      </w:r>
      <w:r w:rsidRPr="00A55697">
        <w:rPr>
          <w:rFonts w:ascii="Times New Roman" w:hAnsi="Times New Roman"/>
        </w:rPr>
        <w:t xml:space="preserve">.  These sites were usually situated along the floodplain and consisted of very dark, </w:t>
      </w:r>
      <w:r>
        <w:rPr>
          <w:rFonts w:ascii="Times New Roman" w:hAnsi="Times New Roman"/>
        </w:rPr>
        <w:t>organically enriched soil</w:t>
      </w:r>
      <w:r w:rsidRPr="00A55697">
        <w:rPr>
          <w:rFonts w:ascii="Times New Roman" w:hAnsi="Times New Roman"/>
        </w:rPr>
        <w:t>, which gave rise to the term “black midden mound.”  A WP</w:t>
      </w:r>
      <w:r>
        <w:rPr>
          <w:rFonts w:ascii="Times New Roman" w:hAnsi="Times New Roman"/>
        </w:rPr>
        <w:t>A quarterly report from March</w:t>
      </w:r>
      <w:r w:rsidRPr="00A55697">
        <w:rPr>
          <w:rFonts w:ascii="Times New Roman" w:hAnsi="Times New Roman"/>
        </w:rPr>
        <w:t xml:space="preserve"> 1941 lumps four sites along Fourche Maline Creek together as a “black mound” complex with “a confusing mixture of apparently </w:t>
      </w:r>
      <w:r>
        <w:rPr>
          <w:rFonts w:ascii="Times New Roman" w:hAnsi="Times New Roman"/>
        </w:rPr>
        <w:t>Woodland and Mississippi traits</w:t>
      </w:r>
      <w:r w:rsidRPr="00A55697">
        <w:rPr>
          <w:rFonts w:ascii="Times New Roman" w:hAnsi="Times New Roman"/>
        </w:rPr>
        <w:t xml:space="preserve">” (Newkumet 1941a).  </w:t>
      </w:r>
      <w:r>
        <w:rPr>
          <w:rFonts w:ascii="Times New Roman" w:hAnsi="Times New Roman"/>
        </w:rPr>
        <w:t>These mounds</w:t>
      </w:r>
      <w:r w:rsidRPr="009221B6">
        <w:rPr>
          <w:rFonts w:ascii="Times New Roman" w:hAnsi="Times New Roman"/>
        </w:rPr>
        <w:t xml:space="preserve"> also contained many burials and occasionally grave goods.  </w:t>
      </w:r>
      <w:r>
        <w:rPr>
          <w:rFonts w:ascii="Times New Roman" w:hAnsi="Times New Roman"/>
        </w:rPr>
        <w:t>Newkumet hypothesized</w:t>
      </w:r>
      <w:r w:rsidRPr="009221B6">
        <w:rPr>
          <w:rFonts w:ascii="Times New Roman" w:hAnsi="Times New Roman"/>
        </w:rPr>
        <w:t xml:space="preserve"> that a group arrived in the area with</w:t>
      </w:r>
      <w:r>
        <w:rPr>
          <w:rFonts w:ascii="Times New Roman" w:hAnsi="Times New Roman"/>
        </w:rPr>
        <w:t xml:space="preserve"> a “relatively simple” culture who later </w:t>
      </w:r>
      <w:r w:rsidRPr="009221B6">
        <w:rPr>
          <w:rFonts w:ascii="Times New Roman" w:hAnsi="Times New Roman"/>
        </w:rPr>
        <w:t>adopted or developed a Mississippi</w:t>
      </w:r>
      <w:r>
        <w:rPr>
          <w:rFonts w:ascii="Times New Roman" w:hAnsi="Times New Roman"/>
        </w:rPr>
        <w:t>an</w:t>
      </w:r>
      <w:r w:rsidRPr="009221B6">
        <w:rPr>
          <w:rFonts w:ascii="Times New Roman" w:hAnsi="Times New Roman"/>
        </w:rPr>
        <w:t xml:space="preserve"> pottery complex after contact with a Mississippi</w:t>
      </w:r>
      <w:r>
        <w:rPr>
          <w:rFonts w:ascii="Times New Roman" w:hAnsi="Times New Roman"/>
        </w:rPr>
        <w:t>an</w:t>
      </w:r>
      <w:r w:rsidRPr="009221B6">
        <w:rPr>
          <w:rFonts w:ascii="Times New Roman" w:hAnsi="Times New Roman"/>
        </w:rPr>
        <w:t xml:space="preserve"> group, thus explaining the mix of Archaic and Woodland traits found in these black mounds.  “Fourche Maline black midden mound” has been used to described these mounds ever since.</w:t>
      </w:r>
    </w:p>
    <w:p w14:paraId="55DE7304" w14:textId="6F9369B3" w:rsidR="00FD7718" w:rsidRDefault="005B5C71" w:rsidP="005B5C71">
      <w:pPr>
        <w:spacing w:line="240" w:lineRule="auto"/>
        <w:jc w:val="center"/>
      </w:pPr>
      <w:r>
        <w:rPr>
          <w:noProof/>
          <w:lang w:bidi="ar-SA"/>
        </w:rPr>
        <w:drawing>
          <wp:inline distT="0" distB="0" distL="0" distR="0" wp14:anchorId="054ADBFC" wp14:editId="23E61203">
            <wp:extent cx="3861550" cy="765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sterValleyRotate.jpg"/>
                    <pic:cNvPicPr/>
                  </pic:nvPicPr>
                  <pic:blipFill>
                    <a:blip r:embed="rId12">
                      <a:extLst>
                        <a:ext uri="{28A0092B-C50C-407E-A947-70E740481C1C}">
                          <a14:useLocalDpi xmlns:a14="http://schemas.microsoft.com/office/drawing/2010/main" val="0"/>
                        </a:ext>
                      </a:extLst>
                    </a:blip>
                    <a:stretch>
                      <a:fillRect/>
                    </a:stretch>
                  </pic:blipFill>
                  <pic:spPr>
                    <a:xfrm>
                      <a:off x="0" y="0"/>
                      <a:ext cx="3861550" cy="7658100"/>
                    </a:xfrm>
                    <a:prstGeom prst="rect">
                      <a:avLst/>
                    </a:prstGeom>
                  </pic:spPr>
                </pic:pic>
              </a:graphicData>
            </a:graphic>
          </wp:inline>
        </w:drawing>
      </w:r>
    </w:p>
    <w:p w14:paraId="2819F813" w14:textId="5DB7800E" w:rsidR="00BF12AA" w:rsidRDefault="00BF12AA" w:rsidP="00BF12AA">
      <w:pPr>
        <w:keepNext/>
        <w:spacing w:line="240" w:lineRule="auto"/>
      </w:pPr>
    </w:p>
    <w:p w14:paraId="4340DE9E" w14:textId="77C0F125" w:rsidR="00B86843" w:rsidRDefault="00B86843" w:rsidP="00133F61">
      <w:pPr>
        <w:pStyle w:val="Caption"/>
      </w:pPr>
      <w:bookmarkStart w:id="27" w:name="_Toc261025204"/>
      <w:r>
        <w:t xml:space="preserve">Figure </w:t>
      </w:r>
      <w:fldSimple w:instr=" SEQ Figure \* ARABIC ">
        <w:r w:rsidR="00396EB3">
          <w:rPr>
            <w:noProof/>
          </w:rPr>
          <w:t>2</w:t>
        </w:r>
      </w:fldSimple>
      <w:r>
        <w:t xml:space="preserve"> </w:t>
      </w:r>
      <w:r w:rsidR="00CF609A">
        <w:t>Wister area</w:t>
      </w:r>
      <w:r>
        <w:t xml:space="preserve"> archaeological sites, adapted from Galm 1978</w:t>
      </w:r>
      <w:bookmarkEnd w:id="27"/>
    </w:p>
    <w:p w14:paraId="4F2BAA46" w14:textId="29364864" w:rsidR="00FD7718" w:rsidRPr="00B86843" w:rsidRDefault="00FD7718" w:rsidP="00B86843">
      <w:r w:rsidRPr="00B86843">
        <w:br w:type="page"/>
      </w:r>
    </w:p>
    <w:p w14:paraId="5F938DDE" w14:textId="607DA4E4" w:rsidR="00BF0494" w:rsidRPr="002C2B6C" w:rsidRDefault="00BF0494" w:rsidP="009C5432">
      <w:pPr>
        <w:pStyle w:val="Heading3"/>
      </w:pPr>
      <w:bookmarkStart w:id="28" w:name="_Toc261025848"/>
      <w:r w:rsidRPr="002C2B6C">
        <w:t>Culture History</w:t>
      </w:r>
      <w:bookmarkEnd w:id="28"/>
    </w:p>
    <w:p w14:paraId="2AF9C94A" w14:textId="280EB25F" w:rsidR="004A7E79" w:rsidRPr="005B281C" w:rsidRDefault="004A7E79" w:rsidP="004A7E79">
      <w:pPr>
        <w:ind w:firstLine="720"/>
        <w:rPr>
          <w:rFonts w:ascii="Times New Roman" w:hAnsi="Times New Roman"/>
        </w:rPr>
      </w:pPr>
      <w:r>
        <w:rPr>
          <w:rFonts w:ascii="Times New Roman" w:hAnsi="Times New Roman"/>
        </w:rPr>
        <w:t>World War II interrupted most</w:t>
      </w:r>
      <w:r w:rsidRPr="005B281C">
        <w:rPr>
          <w:rFonts w:ascii="Times New Roman" w:hAnsi="Times New Roman"/>
        </w:rPr>
        <w:t xml:space="preserve"> archaeological work in the United States, but by the late 1940s and early 1950s, archaeologists were once again pondering southeastern Oklahoma’s Fourche Maline mounds.  Under the influence of Boasian anthropology and the cultural historical paradigm, Caddoan archaeologists in the 1950s through 1970s focused on culture history and developing local Caddoan sequences in Louisiana (Harrington 1920), Texas (Suhm and Krieger 1954), </w:t>
      </w:r>
      <w:r w:rsidR="009917CD">
        <w:rPr>
          <w:rFonts w:ascii="Times New Roman" w:hAnsi="Times New Roman"/>
        </w:rPr>
        <w:t>Oklahoma (Bell and Baerreis 1953</w:t>
      </w:r>
      <w:r w:rsidRPr="005B281C">
        <w:rPr>
          <w:rFonts w:ascii="Times New Roman" w:hAnsi="Times New Roman"/>
        </w:rPr>
        <w:t>), and Arkansas</w:t>
      </w:r>
      <w:r>
        <w:rPr>
          <w:rFonts w:ascii="Times New Roman" w:hAnsi="Times New Roman"/>
        </w:rPr>
        <w:t xml:space="preserve"> (Hoffman 1969)</w:t>
      </w:r>
      <w:r w:rsidRPr="005B281C">
        <w:rPr>
          <w:rFonts w:ascii="Times New Roman" w:hAnsi="Times New Roman"/>
        </w:rPr>
        <w:t xml:space="preserve">.  Fourche Maline mounds were </w:t>
      </w:r>
      <w:r>
        <w:rPr>
          <w:rFonts w:ascii="Times New Roman" w:hAnsi="Times New Roman"/>
        </w:rPr>
        <w:t xml:space="preserve">therefore </w:t>
      </w:r>
      <w:r w:rsidRPr="005B281C">
        <w:rPr>
          <w:rFonts w:ascii="Times New Roman" w:hAnsi="Times New Roman"/>
        </w:rPr>
        <w:t xml:space="preserve">studied and classified according to where they fit into an evolutionary scheme of society.  </w:t>
      </w:r>
    </w:p>
    <w:p w14:paraId="4BABDB32" w14:textId="5579C786" w:rsidR="004A7E79" w:rsidRPr="005B281C" w:rsidRDefault="004A7E79" w:rsidP="004A7E79">
      <w:pPr>
        <w:ind w:firstLine="720"/>
        <w:rPr>
          <w:rFonts w:ascii="Times New Roman" w:hAnsi="Times New Roman"/>
        </w:rPr>
      </w:pPr>
      <w:r w:rsidRPr="005B281C">
        <w:rPr>
          <w:rFonts w:ascii="Times New Roman" w:hAnsi="Times New Roman"/>
        </w:rPr>
        <w:t xml:space="preserve">In 1946 a small </w:t>
      </w:r>
      <w:r w:rsidR="006D13E1">
        <w:rPr>
          <w:rFonts w:ascii="Times New Roman" w:hAnsi="Times New Roman"/>
        </w:rPr>
        <w:t>group of archaeologists met at t</w:t>
      </w:r>
      <w:r w:rsidRPr="005B281C">
        <w:rPr>
          <w:rFonts w:ascii="Times New Roman" w:hAnsi="Times New Roman"/>
        </w:rPr>
        <w:t>he University of Oklahoma in Nor</w:t>
      </w:r>
      <w:r>
        <w:rPr>
          <w:rFonts w:ascii="Times New Roman" w:hAnsi="Times New Roman"/>
        </w:rPr>
        <w:t>man.  This was the first Caddo C</w:t>
      </w:r>
      <w:r w:rsidRPr="005B281C">
        <w:rPr>
          <w:rFonts w:ascii="Times New Roman" w:hAnsi="Times New Roman"/>
        </w:rPr>
        <w:t>onference and was described in detail by Krieger (1946).  In addition to local experts, there were representatives from Mesoamerican archaeology because the George C</w:t>
      </w:r>
      <w:r w:rsidR="001E3ACB">
        <w:rPr>
          <w:rFonts w:ascii="Times New Roman" w:hAnsi="Times New Roman"/>
        </w:rPr>
        <w:t>.</w:t>
      </w:r>
      <w:r w:rsidRPr="005B281C">
        <w:rPr>
          <w:rFonts w:ascii="Times New Roman" w:hAnsi="Times New Roman"/>
        </w:rPr>
        <w:t xml:space="preserve"> Davis site (currently the Caddo Mounds State Historical site 41Ce19) i</w:t>
      </w:r>
      <w:r w:rsidR="001E3ACB">
        <w:rPr>
          <w:rFonts w:ascii="Times New Roman" w:hAnsi="Times New Roman"/>
        </w:rPr>
        <w:t>n eastern Texas</w:t>
      </w:r>
      <w:r w:rsidRPr="005B281C">
        <w:rPr>
          <w:rFonts w:ascii="Times New Roman" w:hAnsi="Times New Roman"/>
        </w:rPr>
        <w:t xml:space="preserve"> was at that time thought to be an early corn dependent chiefdom, and perhaps related to Mesoamerican cultures.  (Both corn dependence and a close Mesoamerican relationship were later discounted).  Working </w:t>
      </w:r>
      <w:r>
        <w:rPr>
          <w:rFonts w:ascii="Times New Roman" w:hAnsi="Times New Roman"/>
        </w:rPr>
        <w:t>with</w:t>
      </w:r>
      <w:r w:rsidRPr="005B281C">
        <w:rPr>
          <w:rFonts w:ascii="Times New Roman" w:hAnsi="Times New Roman"/>
        </w:rPr>
        <w:t>in a regional perspective, archaeologists from Oklahoma, Texas, Louisiana, and Arkansas attempted to define local variants of Caddoan (or pre Caddoan</w:t>
      </w:r>
      <w:r>
        <w:rPr>
          <w:rFonts w:ascii="Times New Roman" w:hAnsi="Times New Roman"/>
        </w:rPr>
        <w:t>) culture</w:t>
      </w:r>
      <w:r w:rsidRPr="005B281C">
        <w:rPr>
          <w:rFonts w:ascii="Times New Roman" w:hAnsi="Times New Roman"/>
        </w:rPr>
        <w:t xml:space="preserve"> and to work out local timelines.  Although this proved very fruitful in some ways, it was problematic in other ways, as the focus on regions (which </w:t>
      </w:r>
      <w:r>
        <w:rPr>
          <w:rFonts w:ascii="Times New Roman" w:hAnsi="Times New Roman"/>
        </w:rPr>
        <w:t xml:space="preserve">was often simply divided by state) generated a </w:t>
      </w:r>
      <w:r w:rsidRPr="005B281C">
        <w:rPr>
          <w:rFonts w:ascii="Times New Roman" w:hAnsi="Times New Roman"/>
        </w:rPr>
        <w:t xml:space="preserve">myriad </w:t>
      </w:r>
      <w:r>
        <w:rPr>
          <w:rFonts w:ascii="Times New Roman" w:hAnsi="Times New Roman"/>
        </w:rPr>
        <w:t xml:space="preserve">of </w:t>
      </w:r>
      <w:r w:rsidRPr="005B281C">
        <w:rPr>
          <w:rFonts w:ascii="Times New Roman" w:hAnsi="Times New Roman"/>
        </w:rPr>
        <w:t xml:space="preserve">regional names, foci, traditions, and a confusing and ever growing terminology that has proven difficult to correlate across state lines.  This </w:t>
      </w:r>
      <w:r>
        <w:rPr>
          <w:rFonts w:ascii="Times New Roman" w:hAnsi="Times New Roman"/>
        </w:rPr>
        <w:t xml:space="preserve">first </w:t>
      </w:r>
      <w:r w:rsidRPr="005B281C">
        <w:rPr>
          <w:rFonts w:ascii="Times New Roman" w:hAnsi="Times New Roman"/>
        </w:rPr>
        <w:t xml:space="preserve">conference set the tone and agenda for Caddoan archaeology for decades to come.  </w:t>
      </w:r>
    </w:p>
    <w:p w14:paraId="1B04F9AA" w14:textId="0FAE21F9" w:rsidR="004A7E79" w:rsidRPr="005B281C" w:rsidRDefault="004A7E79" w:rsidP="004A7E79">
      <w:pPr>
        <w:ind w:firstLine="720"/>
        <w:rPr>
          <w:rFonts w:ascii="Times New Roman" w:hAnsi="Times New Roman"/>
        </w:rPr>
      </w:pPr>
      <w:r w:rsidRPr="005B281C">
        <w:rPr>
          <w:rFonts w:ascii="Times New Roman" w:hAnsi="Times New Roman"/>
        </w:rPr>
        <w:t xml:space="preserve">Newkumet’s concept of Fourche Maline was accepted as an archaeological focus of eastern Oklahoma and characterized as a long lasting culture spanning the Archaic to Woodland transition (1500 </w:t>
      </w:r>
      <w:r>
        <w:rPr>
          <w:rFonts w:ascii="Times New Roman" w:hAnsi="Times New Roman"/>
        </w:rPr>
        <w:t>BCE</w:t>
      </w:r>
      <w:r w:rsidRPr="005B281C">
        <w:rPr>
          <w:rFonts w:ascii="Times New Roman" w:hAnsi="Times New Roman"/>
        </w:rPr>
        <w:t xml:space="preserve"> to </w:t>
      </w:r>
      <w:r>
        <w:rPr>
          <w:rFonts w:ascii="Times New Roman" w:hAnsi="Times New Roman"/>
        </w:rPr>
        <w:t>CE</w:t>
      </w:r>
      <w:r w:rsidRPr="005B281C">
        <w:rPr>
          <w:rFonts w:ascii="Times New Roman" w:hAnsi="Times New Roman"/>
        </w:rPr>
        <w:t xml:space="preserve"> 900 or 3500-1100 BP) (</w:t>
      </w:r>
      <w:r>
        <w:rPr>
          <w:rFonts w:ascii="Times New Roman" w:hAnsi="Times New Roman"/>
        </w:rPr>
        <w:t xml:space="preserve">Bell and </w:t>
      </w:r>
      <w:r w:rsidR="009917CD">
        <w:rPr>
          <w:rFonts w:ascii="Times New Roman" w:hAnsi="Times New Roman"/>
        </w:rPr>
        <w:t>Baerreis 1953</w:t>
      </w:r>
      <w:r>
        <w:rPr>
          <w:rFonts w:ascii="Times New Roman" w:hAnsi="Times New Roman"/>
        </w:rPr>
        <w:t>:19-27).</w:t>
      </w:r>
      <w:r w:rsidRPr="005B281C">
        <w:rPr>
          <w:rFonts w:ascii="Times New Roman" w:hAnsi="Times New Roman"/>
        </w:rPr>
        <w:t xml:space="preserve">  Wister and Fourche Maline Phases were thus seen as local expressions of late Archaic and Woodland Period cultures, analogous to those of the Midwest and Southeast (Orr 1952), and fitting nicely into the cultural historical framework of the day.  Similarly, Fourche Maline sites were soon described in Texas, Louisiana, and Arkansas, and incorporated into local cultural historical time schemes.  </w:t>
      </w:r>
    </w:p>
    <w:p w14:paraId="28EAA2D6" w14:textId="77777777" w:rsidR="004A7E79" w:rsidRPr="00A54A6A" w:rsidRDefault="004A7E79" w:rsidP="004A7E79">
      <w:pPr>
        <w:ind w:firstLine="720"/>
        <w:rPr>
          <w:rFonts w:ascii="Times New Roman" w:hAnsi="Times New Roman"/>
        </w:rPr>
      </w:pPr>
      <w:r w:rsidRPr="00A54A6A">
        <w:rPr>
          <w:rFonts w:ascii="Times New Roman" w:hAnsi="Times New Roman"/>
        </w:rPr>
        <w:t>Fourche Maline sites were described as “…located along the stream banks and consist of large accumulations of village debris representing midden deposits… characterized by a black earth …” (Bell 1953:314).  This description reinforced the concept that the mounds were simply trash deposits and downplayed the importance of the many burials also contained in the mounds.  Bell’s opinion of the importance of the burials may perhaps be surmised by the fact that he assigned analysis of the skeletons from the Scott site to an undergraduate student as a class project in a lower division class.  Bell published the results of this (rather questionable) study under his own name (Bell 1953) and it remains firmly in the literature today (e.g. Rose et al. 1999).</w:t>
      </w:r>
    </w:p>
    <w:p w14:paraId="4C75A86F" w14:textId="78F6E35F" w:rsidR="004A7E79" w:rsidRPr="005B281C" w:rsidRDefault="004A7E79" w:rsidP="004A7E79">
      <w:pPr>
        <w:ind w:firstLine="720"/>
        <w:rPr>
          <w:rFonts w:ascii="Times New Roman" w:hAnsi="Times New Roman"/>
        </w:rPr>
      </w:pPr>
      <w:r w:rsidRPr="005B281C">
        <w:rPr>
          <w:rFonts w:ascii="Times New Roman" w:hAnsi="Times New Roman"/>
        </w:rPr>
        <w:t xml:space="preserve">Bell attempted to refine the concept of Fourche Maline with his work at the Scott site (34Lf11) in the </w:t>
      </w:r>
      <w:r w:rsidR="00CF609A">
        <w:rPr>
          <w:rFonts w:ascii="Times New Roman" w:hAnsi="Times New Roman"/>
        </w:rPr>
        <w:t>Wister area</w:t>
      </w:r>
      <w:r w:rsidRPr="005B281C">
        <w:rPr>
          <w:rFonts w:ascii="Times New Roman" w:hAnsi="Times New Roman"/>
        </w:rPr>
        <w:t>.  He noted that the Fourche Maline concept was unwieldy and needed</w:t>
      </w:r>
      <w:r>
        <w:rPr>
          <w:rFonts w:ascii="Times New Roman" w:hAnsi="Times New Roman"/>
        </w:rPr>
        <w:t xml:space="preserve"> to be further d</w:t>
      </w:r>
      <w:r w:rsidRPr="005B281C">
        <w:rPr>
          <w:rFonts w:ascii="Times New Roman" w:hAnsi="Times New Roman"/>
        </w:rPr>
        <w:t>efined, if not done</w:t>
      </w:r>
      <w:r w:rsidR="009917CD">
        <w:rPr>
          <w:rFonts w:ascii="Times New Roman" w:hAnsi="Times New Roman"/>
        </w:rPr>
        <w:t xml:space="preserve"> away with altogether (Bell 1953</w:t>
      </w:r>
      <w:r w:rsidRPr="005B281C">
        <w:rPr>
          <w:rFonts w:ascii="Times New Roman" w:hAnsi="Times New Roman"/>
        </w:rPr>
        <w:t>).  However the nature of the mounds made temporal refinement very difficult.  The dark, mostly homogenous soil did not show stratigraphic layers.  Even the burial pits were usually impossible to distinguish from the surrounding matrix.</w:t>
      </w:r>
    </w:p>
    <w:p w14:paraId="3421E907" w14:textId="77777777" w:rsidR="00BF0494" w:rsidRPr="002C2B6C" w:rsidRDefault="00BF0494" w:rsidP="009C5432">
      <w:pPr>
        <w:pStyle w:val="Heading3"/>
      </w:pPr>
      <w:bookmarkStart w:id="29" w:name="_Toc261025849"/>
      <w:r w:rsidRPr="002C2B6C">
        <w:t>Processualism and Ecological Adaptations</w:t>
      </w:r>
      <w:bookmarkEnd w:id="29"/>
    </w:p>
    <w:p w14:paraId="212CCA4D" w14:textId="7B519A43" w:rsidR="004A7E79" w:rsidRDefault="004A7E79" w:rsidP="004A7E79">
      <w:pPr>
        <w:ind w:firstLine="720"/>
        <w:rPr>
          <w:rFonts w:ascii="Times New Roman" w:hAnsi="Times New Roman"/>
        </w:rPr>
      </w:pPr>
      <w:r w:rsidRPr="006C4D74">
        <w:rPr>
          <w:rFonts w:ascii="Times New Roman" w:hAnsi="Times New Roman"/>
        </w:rPr>
        <w:t xml:space="preserve">During the 1970s and 1980s, the </w:t>
      </w:r>
      <w:r w:rsidR="00CF609A">
        <w:rPr>
          <w:rFonts w:ascii="Times New Roman" w:hAnsi="Times New Roman"/>
        </w:rPr>
        <w:t>Wister area</w:t>
      </w:r>
      <w:r w:rsidRPr="006C4D74">
        <w:rPr>
          <w:rFonts w:ascii="Times New Roman" w:hAnsi="Times New Roman"/>
        </w:rPr>
        <w:t xml:space="preserve"> was again the focus of considerable archaeological work conducted by the O</w:t>
      </w:r>
      <w:r>
        <w:rPr>
          <w:rFonts w:ascii="Times New Roman" w:hAnsi="Times New Roman"/>
        </w:rPr>
        <w:t>klahoma Arch</w:t>
      </w:r>
      <w:r w:rsidRPr="006C4D74">
        <w:rPr>
          <w:rFonts w:ascii="Times New Roman" w:hAnsi="Times New Roman"/>
        </w:rPr>
        <w:t xml:space="preserve">eological Survey and the </w:t>
      </w:r>
      <w:r>
        <w:rPr>
          <w:rFonts w:ascii="Times New Roman" w:hAnsi="Times New Roman"/>
        </w:rPr>
        <w:t xml:space="preserve">University of Oklahoma’s Stovall Museum (now SNOMNH) </w:t>
      </w:r>
      <w:r w:rsidRPr="006C4D74">
        <w:rPr>
          <w:rFonts w:ascii="Times New Roman" w:hAnsi="Times New Roman"/>
        </w:rPr>
        <w:t xml:space="preserve">(e.g. Galm 1978, 1981; </w:t>
      </w:r>
      <w:r>
        <w:rPr>
          <w:rFonts w:ascii="Times New Roman" w:hAnsi="Times New Roman"/>
        </w:rPr>
        <w:t>Galm and Flynne 1978;</w:t>
      </w:r>
      <w:r w:rsidRPr="006D19AB">
        <w:rPr>
          <w:rFonts w:ascii="Times New Roman" w:hAnsi="Times New Roman"/>
        </w:rPr>
        <w:t xml:space="preserve"> </w:t>
      </w:r>
      <w:r w:rsidRPr="006C4D74">
        <w:rPr>
          <w:rFonts w:ascii="Times New Roman" w:hAnsi="Times New Roman"/>
        </w:rPr>
        <w:t>Guilinger 1975; Powell and Rogers 1980; Wyckoff 1980).</w:t>
      </w:r>
      <w:r>
        <w:rPr>
          <w:rFonts w:ascii="Times New Roman" w:hAnsi="Times New Roman"/>
        </w:rPr>
        <w:t xml:space="preserve">  T</w:t>
      </w:r>
      <w:r w:rsidRPr="006C4D74">
        <w:rPr>
          <w:rFonts w:ascii="Times New Roman" w:hAnsi="Times New Roman"/>
        </w:rPr>
        <w:t>he predominant theoretical framework for Caddoan and pre-Caddoan archaeology</w:t>
      </w:r>
      <w:r>
        <w:rPr>
          <w:rFonts w:ascii="Times New Roman" w:hAnsi="Times New Roman"/>
        </w:rPr>
        <w:t xml:space="preserve"> reflected processual concerns and</w:t>
      </w:r>
      <w:r w:rsidRPr="006C4D74">
        <w:rPr>
          <w:rFonts w:ascii="Times New Roman" w:hAnsi="Times New Roman"/>
        </w:rPr>
        <w:t xml:space="preserve"> was the environmentally based concept of Adaptive Strategies or Adaptive Types.  An often-cited synthesis of archaeological resources in the Ozark Mountain, Arkansas River, and Ouachita Mountains defines “adaption types” as resulting in “a series of models depicting each discrete human ecosystem type that can be abstracted from the avai</w:t>
      </w:r>
      <w:r w:rsidR="009D578C">
        <w:rPr>
          <w:rFonts w:ascii="Times New Roman" w:hAnsi="Times New Roman"/>
        </w:rPr>
        <w:t>lable data” (Sabo and Early 1990</w:t>
      </w:r>
      <w:r w:rsidRPr="006C4D74">
        <w:rPr>
          <w:rFonts w:ascii="Times New Roman" w:hAnsi="Times New Roman"/>
        </w:rPr>
        <w:t xml:space="preserve">:2).  </w:t>
      </w:r>
      <w:r>
        <w:rPr>
          <w:rFonts w:ascii="Times New Roman" w:hAnsi="Times New Roman"/>
        </w:rPr>
        <w:t>Adaptive types were often divided by time periods and/or ecological regions.  For instance, the Ouachita Mountain, Arkansas River Valley, and Ozark Mountain region has been divided into “Early to Middle Holocene Adaptation,” Late Holocene Semisedentary Adaptation,” and “Late Holocene Sedentary (Dispersed) Adaptation,” with each time period further divided by region and archaeological pha</w:t>
      </w:r>
      <w:r w:rsidR="009917CD">
        <w:rPr>
          <w:rFonts w:ascii="Times New Roman" w:hAnsi="Times New Roman"/>
        </w:rPr>
        <w:t>se (Rose et al.</w:t>
      </w:r>
      <w:r>
        <w:rPr>
          <w:rFonts w:ascii="Times New Roman" w:hAnsi="Times New Roman"/>
        </w:rPr>
        <w:t xml:space="preserve"> 1999).  </w:t>
      </w:r>
      <w:r w:rsidRPr="006C4D74">
        <w:rPr>
          <w:rFonts w:ascii="Times New Roman" w:hAnsi="Times New Roman"/>
        </w:rPr>
        <w:t xml:space="preserve">Wyckoff’s 1980 extensive study of Caddoan and pre-Caddoan archaeology similarly focuses on adaptive strategies.  </w:t>
      </w:r>
    </w:p>
    <w:p w14:paraId="4E59AE82" w14:textId="77777777" w:rsidR="004A7E79" w:rsidRDefault="004A7E79" w:rsidP="004A7E79">
      <w:pPr>
        <w:ind w:firstLine="720"/>
        <w:rPr>
          <w:rFonts w:ascii="Times New Roman" w:hAnsi="Times New Roman"/>
        </w:rPr>
      </w:pPr>
      <w:r w:rsidRPr="006C4D74">
        <w:rPr>
          <w:rFonts w:ascii="Times New Roman" w:hAnsi="Times New Roman"/>
        </w:rPr>
        <w:t xml:space="preserve">Schambach, perhaps the most prolific writer on Fourche Maline, also favored environmentally and geographically driven research models (e.g. Schambach 1990, 1993, 1998, 2000).  Schambach argued that Fourche Maline should be defined not only by artifact attributes but </w:t>
      </w:r>
      <w:r>
        <w:rPr>
          <w:rFonts w:ascii="Times New Roman" w:hAnsi="Times New Roman"/>
        </w:rPr>
        <w:t xml:space="preserve">also </w:t>
      </w:r>
      <w:r w:rsidRPr="006C4D74">
        <w:rPr>
          <w:rFonts w:ascii="Times New Roman" w:hAnsi="Times New Roman"/>
        </w:rPr>
        <w:t>by geographic bou</w:t>
      </w:r>
      <w:r>
        <w:rPr>
          <w:rFonts w:ascii="Times New Roman" w:hAnsi="Times New Roman"/>
        </w:rPr>
        <w:t>ndaries (Schambach 1998), although this latter recommendation is not widely accepted.</w:t>
      </w:r>
    </w:p>
    <w:p w14:paraId="61889674" w14:textId="72F445AC" w:rsidR="004A7E79" w:rsidRPr="006C4D74" w:rsidRDefault="00F42FC8" w:rsidP="004A7E79">
      <w:pPr>
        <w:ind w:firstLine="720"/>
        <w:rPr>
          <w:rFonts w:ascii="Times New Roman" w:hAnsi="Times New Roman"/>
        </w:rPr>
      </w:pPr>
      <w:r>
        <w:rPr>
          <w:rFonts w:ascii="Times New Roman" w:hAnsi="Times New Roman"/>
        </w:rPr>
        <w:t>An</w:t>
      </w:r>
      <w:r w:rsidR="004A7E79">
        <w:rPr>
          <w:rFonts w:ascii="Times New Roman" w:hAnsi="Times New Roman"/>
        </w:rPr>
        <w:t xml:space="preserve"> influential</w:t>
      </w:r>
      <w:r w:rsidR="004A7E79" w:rsidRPr="006C4D74">
        <w:rPr>
          <w:rFonts w:ascii="Times New Roman" w:hAnsi="Times New Roman"/>
        </w:rPr>
        <w:t xml:space="preserve"> view of Archaic and Woodland burial mounds characterized them as cemeteries that signaled territoriality (Charles and Buikstra 1983, Buikstra and Charles 1999).  Under this paradigm, the Fourche Maline mounds reflect sedentary villagers burying their dead and signaling territoriality.  Some researchers thus interpreted the burials at Fourche Maline sites as sources of ancestral validation (Rogers 1991).</w:t>
      </w:r>
    </w:p>
    <w:p w14:paraId="5000C930" w14:textId="7553B5E2" w:rsidR="004A7E79" w:rsidRDefault="004A7E79" w:rsidP="004A7E79">
      <w:pPr>
        <w:ind w:firstLine="720"/>
        <w:rPr>
          <w:rFonts w:ascii="Times New Roman" w:hAnsi="Times New Roman"/>
        </w:rPr>
      </w:pPr>
      <w:r w:rsidRPr="006C4D74">
        <w:rPr>
          <w:rFonts w:ascii="Times New Roman" w:hAnsi="Times New Roman"/>
        </w:rPr>
        <w:t>Attempts to refine Fourche Ma</w:t>
      </w:r>
      <w:r>
        <w:rPr>
          <w:rFonts w:ascii="Times New Roman" w:hAnsi="Times New Roman"/>
        </w:rPr>
        <w:t>l</w:t>
      </w:r>
      <w:r w:rsidRPr="006C4D74">
        <w:rPr>
          <w:rFonts w:ascii="Times New Roman" w:hAnsi="Times New Roman"/>
        </w:rPr>
        <w:t>ine chronology continued.  Bell had noted that the long-lasting Fourche Maline focus was “either not a single complex or … existed with some modifications over a long period of time from an Archaic prepottery period through early Woodland, and possibly longer” (Bell 1953:314).</w:t>
      </w:r>
      <w:r>
        <w:rPr>
          <w:rFonts w:ascii="Times New Roman" w:hAnsi="Times New Roman"/>
        </w:rPr>
        <w:t xml:space="preserve">  At the 1968 Caddo conference, five Caddoan periods (Caddo 1 through Caddo 5) were defined (Wyckoff 1980).  Although this scheme was used by some writers (e.g. Davis 1970, Wyckoff 1974, 1980), other complained that it was too rigid to use throughout much of</w:t>
      </w:r>
      <w:r w:rsidR="00094BDC">
        <w:rPr>
          <w:rFonts w:ascii="Times New Roman" w:hAnsi="Times New Roman"/>
        </w:rPr>
        <w:t xml:space="preserve"> the Caddoan area (Prewitt 1974</w:t>
      </w:r>
      <w:r>
        <w:rPr>
          <w:rFonts w:ascii="Times New Roman" w:hAnsi="Times New Roman"/>
        </w:rPr>
        <w:t>:77-78).</w:t>
      </w:r>
      <w:r w:rsidRPr="006C4D74">
        <w:rPr>
          <w:rFonts w:ascii="Times New Roman" w:hAnsi="Times New Roman"/>
        </w:rPr>
        <w:t xml:space="preserve"> </w:t>
      </w:r>
    </w:p>
    <w:p w14:paraId="4933299A" w14:textId="77777777" w:rsidR="004A7E79" w:rsidRDefault="004A7E79" w:rsidP="004A7E79">
      <w:pPr>
        <w:ind w:firstLine="720"/>
        <w:rPr>
          <w:rFonts w:ascii="Times New Roman" w:hAnsi="Times New Roman"/>
        </w:rPr>
      </w:pPr>
      <w:r>
        <w:rPr>
          <w:rFonts w:ascii="Times New Roman" w:hAnsi="Times New Roman"/>
        </w:rPr>
        <w:t>Galm and Flynn (1978</w:t>
      </w:r>
      <w:r w:rsidRPr="006C4D74">
        <w:rPr>
          <w:rFonts w:ascii="Times New Roman" w:hAnsi="Times New Roman"/>
        </w:rPr>
        <w:t xml:space="preserve">) suggested </w:t>
      </w:r>
      <w:r>
        <w:rPr>
          <w:rFonts w:ascii="Times New Roman" w:hAnsi="Times New Roman"/>
        </w:rPr>
        <w:t>dividing</w:t>
      </w:r>
      <w:r w:rsidRPr="006C4D74">
        <w:rPr>
          <w:rFonts w:ascii="Times New Roman" w:hAnsi="Times New Roman"/>
        </w:rPr>
        <w:t xml:space="preserve"> the very long Fourche Maline</w:t>
      </w:r>
      <w:r>
        <w:rPr>
          <w:rFonts w:ascii="Times New Roman" w:hAnsi="Times New Roman"/>
        </w:rPr>
        <w:t xml:space="preserve"> focus</w:t>
      </w:r>
      <w:r w:rsidRPr="006C4D74">
        <w:rPr>
          <w:rFonts w:ascii="Times New Roman" w:hAnsi="Times New Roman"/>
        </w:rPr>
        <w:t xml:space="preserve"> into the Wister Phase (for the Archaic portion) and using Fourche Maline for</w:t>
      </w:r>
      <w:r>
        <w:rPr>
          <w:rFonts w:ascii="Times New Roman" w:hAnsi="Times New Roman"/>
        </w:rPr>
        <w:t xml:space="preserve"> only</w:t>
      </w:r>
      <w:r w:rsidRPr="006C4D74">
        <w:rPr>
          <w:rFonts w:ascii="Times New Roman" w:hAnsi="Times New Roman"/>
        </w:rPr>
        <w:t xml:space="preserve"> the Woodland portion (defined as the widespread adoption of pottery).  Although this was an improvement, it still left the Fourche Maline spanning approximately 600 years (</w:t>
      </w:r>
      <w:r>
        <w:rPr>
          <w:rFonts w:ascii="Times New Roman" w:hAnsi="Times New Roman"/>
        </w:rPr>
        <w:t>CE</w:t>
      </w:r>
      <w:r w:rsidRPr="006C4D74">
        <w:rPr>
          <w:rFonts w:ascii="Times New Roman" w:hAnsi="Times New Roman"/>
        </w:rPr>
        <w:t xml:space="preserve"> 300 – 900).</w:t>
      </w:r>
      <w:r>
        <w:rPr>
          <w:rFonts w:ascii="Times New Roman" w:hAnsi="Times New Roman"/>
        </w:rPr>
        <w:t xml:space="preserve">  </w:t>
      </w:r>
    </w:p>
    <w:p w14:paraId="4ACFD9C1" w14:textId="48E33CFF" w:rsidR="004A7E79" w:rsidRPr="006C4D74" w:rsidRDefault="004A7E79" w:rsidP="004A7E79">
      <w:pPr>
        <w:ind w:firstLine="720"/>
        <w:rPr>
          <w:rFonts w:ascii="Times New Roman" w:hAnsi="Times New Roman"/>
        </w:rPr>
      </w:pPr>
      <w:r w:rsidRPr="006C4D74">
        <w:rPr>
          <w:rFonts w:ascii="Times New Roman" w:hAnsi="Times New Roman"/>
        </w:rPr>
        <w:t>An attempt to use variations of the Gary points</w:t>
      </w:r>
      <w:r>
        <w:rPr>
          <w:rFonts w:ascii="Times New Roman" w:hAnsi="Times New Roman"/>
        </w:rPr>
        <w:t>, commonly found in the four state Caddoan region,</w:t>
      </w:r>
      <w:r w:rsidRPr="006C4D74">
        <w:rPr>
          <w:rFonts w:ascii="Times New Roman" w:hAnsi="Times New Roman"/>
        </w:rPr>
        <w:t xml:space="preserve"> as temporal markers (Schambach 1982) has been difficult to test in Oklahoma where dating mounds has proven a challenge.</w:t>
      </w:r>
      <w:r>
        <w:rPr>
          <w:rFonts w:ascii="Times New Roman" w:hAnsi="Times New Roman"/>
        </w:rPr>
        <w:t xml:space="preserve">  The dark, organically enriched soil of the </w:t>
      </w:r>
      <w:r w:rsidR="00CF609A">
        <w:rPr>
          <w:rFonts w:ascii="Times New Roman" w:hAnsi="Times New Roman"/>
        </w:rPr>
        <w:t>Wister area</w:t>
      </w:r>
      <w:r>
        <w:rPr>
          <w:rFonts w:ascii="Times New Roman" w:hAnsi="Times New Roman"/>
        </w:rPr>
        <w:t xml:space="preserve"> Fourche Maline mounds obscures stratigraphy.</w:t>
      </w:r>
      <w:r w:rsidRPr="006C4D74">
        <w:rPr>
          <w:rFonts w:ascii="Times New Roman" w:hAnsi="Times New Roman"/>
        </w:rPr>
        <w:t xml:space="preserve"> </w:t>
      </w:r>
    </w:p>
    <w:p w14:paraId="037C219B" w14:textId="7671F018" w:rsidR="00BF0494" w:rsidRDefault="009C5432" w:rsidP="009C5432">
      <w:pPr>
        <w:pStyle w:val="Heading3"/>
      </w:pPr>
      <w:bookmarkStart w:id="30" w:name="_Toc261025850"/>
      <w:r>
        <w:t>Beyond P</w:t>
      </w:r>
      <w:r w:rsidR="007F6BCD">
        <w:t>rocessualism</w:t>
      </w:r>
      <w:bookmarkEnd w:id="30"/>
    </w:p>
    <w:p w14:paraId="5DAAA0A0" w14:textId="62F33A42" w:rsidR="00DE7154" w:rsidRPr="00DE7154" w:rsidRDefault="00DE7154" w:rsidP="00DE7154">
      <w:pPr>
        <w:ind w:firstLine="720"/>
        <w:rPr>
          <w:rFonts w:ascii="Times New Roman" w:hAnsi="Times New Roman"/>
        </w:rPr>
      </w:pPr>
      <w:r w:rsidRPr="00DE7154">
        <w:rPr>
          <w:rFonts w:ascii="Times New Roman" w:hAnsi="Times New Roman"/>
        </w:rPr>
        <w:t>By the 1990s, southeastern archaeologists were seeking explanations for changes in culture outside of strictly environmental caus</w:t>
      </w:r>
      <w:r w:rsidR="00206881">
        <w:rPr>
          <w:rFonts w:ascii="Times New Roman" w:hAnsi="Times New Roman"/>
        </w:rPr>
        <w:t>es</w:t>
      </w:r>
      <w:r w:rsidRPr="00DE7154">
        <w:rPr>
          <w:rFonts w:ascii="Times New Roman" w:hAnsi="Times New Roman"/>
        </w:rPr>
        <w:t>.  Within Caddoan and pre-Caddoan societies, Rogers</w:t>
      </w:r>
      <w:r w:rsidR="00B64B88">
        <w:rPr>
          <w:rFonts w:ascii="Times New Roman" w:hAnsi="Times New Roman"/>
        </w:rPr>
        <w:t xml:space="preserve"> (1991)</w:t>
      </w:r>
      <w:r w:rsidRPr="00DE7154">
        <w:rPr>
          <w:rFonts w:ascii="Times New Roman" w:hAnsi="Times New Roman"/>
        </w:rPr>
        <w:t xml:space="preserve"> noted that there was no evidence for environmental or demographic regional stresses</w:t>
      </w:r>
      <w:r w:rsidR="00010D0A">
        <w:rPr>
          <w:rFonts w:ascii="Times New Roman" w:hAnsi="Times New Roman"/>
        </w:rPr>
        <w:t xml:space="preserve"> so favored in processual models of change</w:t>
      </w:r>
      <w:r w:rsidRPr="00DE7154">
        <w:rPr>
          <w:rFonts w:ascii="Times New Roman" w:hAnsi="Times New Roman"/>
        </w:rPr>
        <w:t xml:space="preserve"> and emphasized that explanations for change and variability must </w:t>
      </w:r>
      <w:r>
        <w:rPr>
          <w:rFonts w:ascii="Times New Roman" w:hAnsi="Times New Roman"/>
        </w:rPr>
        <w:t>be sought</w:t>
      </w:r>
      <w:r w:rsidRPr="00DE7154">
        <w:rPr>
          <w:rFonts w:ascii="Times New Roman" w:hAnsi="Times New Roman"/>
        </w:rPr>
        <w:t xml:space="preserve"> in internal variation within kinship structure and othe</w:t>
      </w:r>
      <w:r w:rsidR="00B64B88">
        <w:rPr>
          <w:rFonts w:ascii="Times New Roman" w:hAnsi="Times New Roman"/>
        </w:rPr>
        <w:t>r social relations</w:t>
      </w:r>
      <w:r w:rsidRPr="00DE7154">
        <w:rPr>
          <w:rFonts w:ascii="Times New Roman" w:hAnsi="Times New Roman"/>
        </w:rPr>
        <w:t>.  One archaeological focus in the wake of post</w:t>
      </w:r>
      <w:r w:rsidR="00DA5B2F">
        <w:rPr>
          <w:rFonts w:ascii="Times New Roman" w:hAnsi="Times New Roman"/>
        </w:rPr>
        <w:t>-processualism has been agency</w:t>
      </w:r>
      <w:r w:rsidRPr="00DE7154">
        <w:rPr>
          <w:rFonts w:ascii="Times New Roman" w:hAnsi="Times New Roman"/>
        </w:rPr>
        <w:t>.  However explicitly agency-oriented theoretical frameworks have been lacking in many Fourche Maline studies which (as discussed above) privileged environmental and ecological explanations, and where Fourche Maline mounds have been regarded more as accidenta</w:t>
      </w:r>
      <w:r w:rsidR="00B64B88">
        <w:rPr>
          <w:rFonts w:ascii="Times New Roman" w:hAnsi="Times New Roman"/>
        </w:rPr>
        <w:t>l accumulations than as</w:t>
      </w:r>
      <w:r w:rsidRPr="00DE7154">
        <w:rPr>
          <w:rFonts w:ascii="Times New Roman" w:hAnsi="Times New Roman"/>
        </w:rPr>
        <w:t xml:space="preserve"> purposeful constructs.</w:t>
      </w:r>
    </w:p>
    <w:p w14:paraId="4C21D7FA" w14:textId="6627BAA1" w:rsidR="00BF0494" w:rsidRPr="0036266F" w:rsidRDefault="00BF0494" w:rsidP="00BF0494">
      <w:pPr>
        <w:ind w:firstLine="720"/>
        <w:rPr>
          <w:rFonts w:ascii="Times New Roman" w:hAnsi="Times New Roman"/>
        </w:rPr>
      </w:pPr>
      <w:r w:rsidRPr="0036266F">
        <w:rPr>
          <w:rFonts w:ascii="Times New Roman" w:hAnsi="Times New Roman"/>
        </w:rPr>
        <w:t>F</w:t>
      </w:r>
      <w:r>
        <w:rPr>
          <w:rFonts w:ascii="Times New Roman" w:hAnsi="Times New Roman"/>
        </w:rPr>
        <w:t>ollowing a host of literature on other geographic areas of</w:t>
      </w:r>
      <w:r w:rsidRPr="0036266F">
        <w:rPr>
          <w:rFonts w:ascii="Times New Roman" w:hAnsi="Times New Roman"/>
        </w:rPr>
        <w:t xml:space="preserve"> North America that rec</w:t>
      </w:r>
      <w:r>
        <w:rPr>
          <w:rFonts w:ascii="Times New Roman" w:hAnsi="Times New Roman"/>
        </w:rPr>
        <w:t>asts hunter-gather societies as</w:t>
      </w:r>
      <w:r w:rsidRPr="0036266F">
        <w:rPr>
          <w:rFonts w:ascii="Times New Roman" w:hAnsi="Times New Roman"/>
        </w:rPr>
        <w:t xml:space="preserve"> far more complex than previously acknowledged, Leith (2011) portrayed Fourche Maline peoples as transegalitarian hunter-gatherers who were transitioning to horticulture.  Leith attempted to trace when agriculture</w:t>
      </w:r>
      <w:r w:rsidR="00B64B88">
        <w:rPr>
          <w:rFonts w:ascii="Times New Roman" w:hAnsi="Times New Roman"/>
        </w:rPr>
        <w:t xml:space="preserve"> was adopted in the Wister area</w:t>
      </w:r>
      <w:r w:rsidRPr="0036266F">
        <w:rPr>
          <w:rFonts w:ascii="Times New Roman" w:hAnsi="Times New Roman"/>
        </w:rPr>
        <w:t xml:space="preserve"> (Leith 2006, 2011).  Leith had previously recast the single and double bitted “axes” recovered from Fourche Maline mounds as “hoes,” and he attempted to place the origin</w:t>
      </w:r>
      <w:r>
        <w:rPr>
          <w:rFonts w:ascii="Times New Roman" w:hAnsi="Times New Roman"/>
        </w:rPr>
        <w:t>s of Caddoan agriculture back to</w:t>
      </w:r>
      <w:r w:rsidRPr="0036266F">
        <w:rPr>
          <w:rFonts w:ascii="Times New Roman" w:hAnsi="Times New Roman"/>
        </w:rPr>
        <w:t xml:space="preserve"> the Fourche Maline (Leith 2006, 2011).</w:t>
      </w:r>
    </w:p>
    <w:p w14:paraId="49677327" w14:textId="77777777" w:rsidR="00BF0494" w:rsidRPr="0036266F" w:rsidRDefault="00BF0494" w:rsidP="00BF0494">
      <w:pPr>
        <w:ind w:firstLine="720"/>
        <w:rPr>
          <w:rFonts w:ascii="Times New Roman" w:hAnsi="Times New Roman"/>
        </w:rPr>
      </w:pPr>
      <w:r w:rsidRPr="0036266F">
        <w:rPr>
          <w:rFonts w:ascii="Times New Roman" w:hAnsi="Times New Roman"/>
        </w:rPr>
        <w:t xml:space="preserve">Leith was also the first person to seriously reconsider the role of the “black midden” mounds and suggested that perhaps they were not simply middens.  He argued that people were not living on the mounds, nor using them as campgrounds, and posited that villages were placed adjacent to the mounds, or perhaps surrounding them.  He further proposed that the mounds be considered “houses of the dead” rather than middens (Leith 2011).  His work concentrated on finding evidence for off-mound habitation and did not further problematize or theorize the mounds themselves.  </w:t>
      </w:r>
    </w:p>
    <w:p w14:paraId="20B97723" w14:textId="545753C2" w:rsidR="00BF0494" w:rsidRDefault="00BF0494" w:rsidP="00BF0494">
      <w:pPr>
        <w:ind w:firstLine="720"/>
        <w:rPr>
          <w:rFonts w:ascii="Times New Roman" w:hAnsi="Times New Roman"/>
        </w:rPr>
      </w:pPr>
      <w:r w:rsidRPr="0036266F">
        <w:rPr>
          <w:rFonts w:ascii="Times New Roman" w:hAnsi="Times New Roman"/>
        </w:rPr>
        <w:t>As I have attempted to summarize, Caddoan archaeology has be</w:t>
      </w:r>
      <w:r>
        <w:rPr>
          <w:rFonts w:ascii="Times New Roman" w:hAnsi="Times New Roman"/>
        </w:rPr>
        <w:t>en thriving since at least 1920 and the Caddo C</w:t>
      </w:r>
      <w:r w:rsidRPr="0036266F">
        <w:rPr>
          <w:rFonts w:ascii="Times New Roman" w:hAnsi="Times New Roman"/>
        </w:rPr>
        <w:t>onference</w:t>
      </w:r>
      <w:r>
        <w:rPr>
          <w:rFonts w:ascii="Times New Roman" w:hAnsi="Times New Roman"/>
        </w:rPr>
        <w:t xml:space="preserve"> has been regularly held</w:t>
      </w:r>
      <w:r w:rsidRPr="0036266F">
        <w:rPr>
          <w:rFonts w:ascii="Times New Roman" w:hAnsi="Times New Roman"/>
        </w:rPr>
        <w:t xml:space="preserve"> since 1946.  </w:t>
      </w:r>
      <w:r>
        <w:rPr>
          <w:rFonts w:ascii="Times New Roman" w:hAnsi="Times New Roman"/>
        </w:rPr>
        <w:t xml:space="preserve">The current study builds on earlier work and examines the </w:t>
      </w:r>
      <w:r w:rsidR="00CF609A">
        <w:rPr>
          <w:rFonts w:ascii="Times New Roman" w:hAnsi="Times New Roman"/>
        </w:rPr>
        <w:t>Wister area</w:t>
      </w:r>
      <w:r>
        <w:rPr>
          <w:rFonts w:ascii="Times New Roman" w:hAnsi="Times New Roman"/>
        </w:rPr>
        <w:t xml:space="preserve"> Fourche Maline mounds not as middens, as they have previously been characterized, but as small, accretional (non-constructed) burial mounds or cemeteries.  </w:t>
      </w:r>
    </w:p>
    <w:p w14:paraId="541D6EDD" w14:textId="77777777" w:rsidR="007F6BCD" w:rsidRPr="0036266F" w:rsidRDefault="007F6BCD" w:rsidP="007F6BCD">
      <w:pPr>
        <w:spacing w:line="240" w:lineRule="auto"/>
        <w:ind w:firstLine="720"/>
        <w:rPr>
          <w:rFonts w:ascii="Times New Roman" w:hAnsi="Times New Roman"/>
        </w:rPr>
      </w:pPr>
    </w:p>
    <w:p w14:paraId="061C36A3" w14:textId="77777777" w:rsidR="00BF0494" w:rsidRDefault="00BF0494" w:rsidP="00CB4ED0">
      <w:pPr>
        <w:pStyle w:val="Heading2"/>
      </w:pPr>
      <w:bookmarkStart w:id="31" w:name="_Toc261025851"/>
      <w:r>
        <w:t>The Study Area</w:t>
      </w:r>
      <w:bookmarkEnd w:id="31"/>
    </w:p>
    <w:p w14:paraId="0368B22E" w14:textId="63612792" w:rsidR="00BF0494" w:rsidRPr="00D10B25" w:rsidRDefault="00557987" w:rsidP="00557987">
      <w:pPr>
        <w:ind w:firstLine="720"/>
        <w:rPr>
          <w:rFonts w:ascii="Times New Roman" w:hAnsi="Times New Roman"/>
        </w:rPr>
      </w:pPr>
      <w:r>
        <w:rPr>
          <w:rFonts w:ascii="Times New Roman" w:hAnsi="Times New Roman"/>
        </w:rPr>
        <w:t>This study discusses 14</w:t>
      </w:r>
      <w:r w:rsidR="00BF0494" w:rsidRPr="00D10B25">
        <w:rPr>
          <w:rFonts w:ascii="Times New Roman" w:hAnsi="Times New Roman"/>
        </w:rPr>
        <w:t xml:space="preserve"> small mounds in southeast Oklahoma’s </w:t>
      </w:r>
      <w:r w:rsidR="00CF609A">
        <w:rPr>
          <w:rFonts w:ascii="Times New Roman" w:hAnsi="Times New Roman"/>
        </w:rPr>
        <w:t>Wister area</w:t>
      </w:r>
      <w:r w:rsidR="00BF0494" w:rsidRPr="00D10B25">
        <w:rPr>
          <w:rFonts w:ascii="Times New Roman" w:hAnsi="Times New Roman"/>
        </w:rPr>
        <w:t xml:space="preserve">.  The </w:t>
      </w:r>
      <w:r w:rsidR="00CF609A">
        <w:rPr>
          <w:rFonts w:ascii="Times New Roman" w:hAnsi="Times New Roman"/>
        </w:rPr>
        <w:t>Wister area</w:t>
      </w:r>
      <w:r>
        <w:rPr>
          <w:rFonts w:ascii="Times New Roman" w:hAnsi="Times New Roman"/>
        </w:rPr>
        <w:t>, lying in an east-west direction,</w:t>
      </w:r>
      <w:r w:rsidR="00BF0494" w:rsidRPr="00D10B25">
        <w:rPr>
          <w:rFonts w:ascii="Times New Roman" w:hAnsi="Times New Roman"/>
        </w:rPr>
        <w:t xml:space="preserve"> is the northern-most valley of the Ouachita Mountains, </w:t>
      </w:r>
      <w:r>
        <w:rPr>
          <w:rFonts w:ascii="Times New Roman" w:hAnsi="Times New Roman"/>
        </w:rPr>
        <w:t xml:space="preserve">and includes the floodplains of both the Poteau River and Fourche Maline Creek.  </w:t>
      </w:r>
      <w:r w:rsidR="00BF0494" w:rsidRPr="00D10B25">
        <w:rPr>
          <w:rFonts w:ascii="Times New Roman" w:hAnsi="Times New Roman"/>
        </w:rPr>
        <w:t xml:space="preserve">In 1949, the Wister Lake Reservoir, at the junction of Fourche Maline Creek and the Poteau River was completed, flooding several of </w:t>
      </w:r>
      <w:r w:rsidR="00BF0494">
        <w:rPr>
          <w:rFonts w:ascii="Times New Roman" w:hAnsi="Times New Roman"/>
        </w:rPr>
        <w:t xml:space="preserve">the </w:t>
      </w:r>
      <w:r w:rsidR="00CF609A">
        <w:rPr>
          <w:rFonts w:ascii="Times New Roman" w:hAnsi="Times New Roman"/>
        </w:rPr>
        <w:t>Wister area</w:t>
      </w:r>
      <w:r w:rsidR="00BF0494">
        <w:rPr>
          <w:rFonts w:ascii="Times New Roman" w:hAnsi="Times New Roman"/>
        </w:rPr>
        <w:t xml:space="preserve"> Fourche Maline mounds</w:t>
      </w:r>
      <w:r w:rsidR="00BF0494" w:rsidRPr="00D10B25">
        <w:rPr>
          <w:rFonts w:ascii="Times New Roman" w:hAnsi="Times New Roman"/>
        </w:rPr>
        <w:t>, most notably the Akers site (34Lf32), which is the focus of the skeletal analyses in this study (Chapter 4).</w:t>
      </w:r>
    </w:p>
    <w:p w14:paraId="22FADF1C" w14:textId="32D661FC" w:rsidR="00BF0494" w:rsidRDefault="00BF0494" w:rsidP="005A6677">
      <w:pPr>
        <w:ind w:firstLine="720"/>
        <w:rPr>
          <w:rFonts w:ascii="Times New Roman" w:hAnsi="Times New Roman"/>
        </w:rPr>
      </w:pPr>
      <w:r w:rsidRPr="00D10B25">
        <w:rPr>
          <w:rFonts w:ascii="Times New Roman" w:hAnsi="Times New Roman"/>
        </w:rPr>
        <w:t xml:space="preserve">The </w:t>
      </w:r>
      <w:r w:rsidR="00CF609A">
        <w:rPr>
          <w:rFonts w:ascii="Times New Roman" w:hAnsi="Times New Roman"/>
        </w:rPr>
        <w:t>Wister area</w:t>
      </w:r>
      <w:r w:rsidRPr="00D10B25">
        <w:rPr>
          <w:rFonts w:ascii="Times New Roman" w:hAnsi="Times New Roman"/>
        </w:rPr>
        <w:t xml:space="preserve"> is part of the “Trans-Mississippi South,” defined by Schambach (1998) </w:t>
      </w:r>
      <w:r w:rsidR="00B27F1C">
        <w:rPr>
          <w:rFonts w:ascii="Times New Roman" w:hAnsi="Times New Roman"/>
        </w:rPr>
        <w:t>and depicted in Figure 3</w:t>
      </w:r>
      <w:r>
        <w:rPr>
          <w:rFonts w:ascii="Times New Roman" w:hAnsi="Times New Roman"/>
        </w:rPr>
        <w:t xml:space="preserve"> </w:t>
      </w:r>
      <w:r w:rsidRPr="00D10B25">
        <w:rPr>
          <w:rFonts w:ascii="Times New Roman" w:hAnsi="Times New Roman"/>
        </w:rPr>
        <w:t>as the region west of the Lower Mississippi Valley and east of the Plains, bounded to the north b</w:t>
      </w:r>
      <w:r w:rsidR="00B64B88">
        <w:rPr>
          <w:rFonts w:ascii="Times New Roman" w:hAnsi="Times New Roman"/>
        </w:rPr>
        <w:t>y the Ozark Plateau and to the s</w:t>
      </w:r>
      <w:r w:rsidRPr="00D10B25">
        <w:rPr>
          <w:rFonts w:ascii="Times New Roman" w:hAnsi="Times New Roman"/>
        </w:rPr>
        <w:t xml:space="preserve">outh by the Gulf Coast swamps.  This area is an upland (rather than lowland) forest, which may have facilitated different adaptations and thus different artifact assemblages from more familiar eastern Woodland sites (Schambach 1982:136).  </w:t>
      </w:r>
      <w:r>
        <w:rPr>
          <w:rFonts w:ascii="Times New Roman" w:hAnsi="Times New Roman"/>
        </w:rPr>
        <w:t>Geographically, the area has been</w:t>
      </w:r>
      <w:r w:rsidR="00010D0A">
        <w:rPr>
          <w:rFonts w:ascii="Times New Roman" w:hAnsi="Times New Roman"/>
        </w:rPr>
        <w:t xml:space="preserve"> called</w:t>
      </w:r>
      <w:r w:rsidRPr="00D10B25">
        <w:rPr>
          <w:rFonts w:ascii="Times New Roman" w:hAnsi="Times New Roman"/>
        </w:rPr>
        <w:t xml:space="preserve"> “a long tongue of the Eastern Woodlands on the ‘wrong’ side of the Mississippi River … in semi-isolation west of the Lower Mississippi Al</w:t>
      </w:r>
      <w:r w:rsidR="00010D0A">
        <w:rPr>
          <w:rFonts w:ascii="Times New Roman" w:hAnsi="Times New Roman"/>
        </w:rPr>
        <w:t>l</w:t>
      </w:r>
      <w:r w:rsidRPr="00D10B25">
        <w:rPr>
          <w:rFonts w:ascii="Times New Roman" w:hAnsi="Times New Roman"/>
        </w:rPr>
        <w:t>uvial Valley</w:t>
      </w:r>
      <w:r>
        <w:rPr>
          <w:rFonts w:ascii="Times New Roman" w:hAnsi="Times New Roman"/>
        </w:rPr>
        <w:t>”</w:t>
      </w:r>
      <w:r w:rsidR="005A6677">
        <w:rPr>
          <w:rFonts w:ascii="Times New Roman" w:hAnsi="Times New Roman"/>
        </w:rPr>
        <w:t xml:space="preserve"> (Schambach 1998:10).</w:t>
      </w:r>
      <w:r w:rsidRPr="00D10B25">
        <w:rPr>
          <w:rFonts w:ascii="Times New Roman" w:hAnsi="Times New Roman"/>
        </w:rPr>
        <w:t xml:space="preserve">  </w:t>
      </w:r>
      <w:r w:rsidR="00CF609A">
        <w:rPr>
          <w:rFonts w:ascii="Times New Roman" w:hAnsi="Times New Roman"/>
        </w:rPr>
        <w:t>Wister area</w:t>
      </w:r>
      <w:r>
        <w:rPr>
          <w:rFonts w:ascii="Times New Roman" w:hAnsi="Times New Roman"/>
        </w:rPr>
        <w:t xml:space="preserve"> sites represent the largest body of Trans-Mississippian data available (Early 2004).  </w:t>
      </w:r>
      <w:r w:rsidRPr="00D10B25">
        <w:rPr>
          <w:rFonts w:ascii="Times New Roman" w:hAnsi="Times New Roman"/>
        </w:rPr>
        <w:t>Galm consid</w:t>
      </w:r>
      <w:r>
        <w:rPr>
          <w:rFonts w:ascii="Times New Roman" w:hAnsi="Times New Roman"/>
        </w:rPr>
        <w:t>ered</w:t>
      </w:r>
      <w:r w:rsidRPr="00D10B25">
        <w:rPr>
          <w:rFonts w:ascii="Times New Roman" w:hAnsi="Times New Roman"/>
        </w:rPr>
        <w:t xml:space="preserve"> the </w:t>
      </w:r>
      <w:r w:rsidR="00CF609A">
        <w:rPr>
          <w:rFonts w:ascii="Times New Roman" w:hAnsi="Times New Roman"/>
        </w:rPr>
        <w:t>Wister area</w:t>
      </w:r>
      <w:r w:rsidRPr="00D10B25">
        <w:rPr>
          <w:rFonts w:ascii="Times New Roman" w:hAnsi="Times New Roman"/>
        </w:rPr>
        <w:t xml:space="preserve"> (or Poteau Basin) the “core” of Fourche Maline Culture, reasoning that the Ouachita Mountains provided both geographic and cultural barriers between neighboring Red River and </w:t>
      </w:r>
      <w:r>
        <w:rPr>
          <w:rFonts w:ascii="Times New Roman" w:hAnsi="Times New Roman"/>
        </w:rPr>
        <w:t>Arkansas drainage populations (</w:t>
      </w:r>
      <w:r w:rsidRPr="00D10B25">
        <w:rPr>
          <w:rFonts w:ascii="Times New Roman" w:hAnsi="Times New Roman"/>
        </w:rPr>
        <w:t>Galm 1984:214).</w:t>
      </w:r>
      <w:r>
        <w:rPr>
          <w:rFonts w:ascii="Times New Roman" w:hAnsi="Times New Roman"/>
        </w:rPr>
        <w:t xml:space="preserve">  </w:t>
      </w:r>
    </w:p>
    <w:p w14:paraId="74D6F7DB" w14:textId="035696D0" w:rsidR="00833BB1" w:rsidRDefault="00833BB1" w:rsidP="00833BB1">
      <w:pPr>
        <w:ind w:firstLine="720"/>
        <w:rPr>
          <w:rFonts w:ascii="Times New Roman" w:hAnsi="Times New Roman"/>
        </w:rPr>
      </w:pPr>
      <w:r w:rsidRPr="00D10B25">
        <w:rPr>
          <w:rFonts w:ascii="Times New Roman" w:hAnsi="Times New Roman"/>
        </w:rPr>
        <w:t>The geologically complex</w:t>
      </w:r>
      <w:r>
        <w:rPr>
          <w:rFonts w:ascii="Times New Roman" w:hAnsi="Times New Roman"/>
        </w:rPr>
        <w:t xml:space="preserve"> Ouachita Mountains are made </w:t>
      </w:r>
      <w:r w:rsidRPr="00D10B25">
        <w:rPr>
          <w:rFonts w:ascii="Times New Roman" w:hAnsi="Times New Roman"/>
        </w:rPr>
        <w:t>up</w:t>
      </w:r>
      <w:r>
        <w:rPr>
          <w:rFonts w:ascii="Times New Roman" w:hAnsi="Times New Roman"/>
        </w:rPr>
        <w:t xml:space="preserve"> of roughly east-</w:t>
      </w:r>
      <w:r w:rsidRPr="00D10B25">
        <w:rPr>
          <w:rFonts w:ascii="Times New Roman" w:hAnsi="Times New Roman"/>
        </w:rPr>
        <w:t xml:space="preserve">west chains of mountains and valleys, composed of two principle geological groups, the Stanley and </w:t>
      </w:r>
      <w:r>
        <w:rPr>
          <w:rFonts w:ascii="Times New Roman" w:hAnsi="Times New Roman"/>
        </w:rPr>
        <w:t xml:space="preserve">the </w:t>
      </w:r>
      <w:r w:rsidRPr="00D10B25">
        <w:rPr>
          <w:rFonts w:ascii="Times New Roman" w:hAnsi="Times New Roman"/>
        </w:rPr>
        <w:t xml:space="preserve">Jackfork (Thornbury 1965).  The mountain ridge tops are composed of resistant quartzitic sandstone while the intervening </w:t>
      </w:r>
      <w:r>
        <w:rPr>
          <w:rFonts w:ascii="Times New Roman" w:hAnsi="Times New Roman"/>
        </w:rPr>
        <w:t>v</w:t>
      </w:r>
      <w:r w:rsidRPr="00D10B25">
        <w:rPr>
          <w:rFonts w:ascii="Times New Roman" w:hAnsi="Times New Roman"/>
        </w:rPr>
        <w:t xml:space="preserve">alley floors are more easily eroded shales (Banks 1990:33). </w:t>
      </w:r>
    </w:p>
    <w:p w14:paraId="0144B595" w14:textId="77777777" w:rsidR="00BF0494" w:rsidRDefault="00BF0494" w:rsidP="00BF0494">
      <w:pPr>
        <w:ind w:firstLine="720"/>
        <w:rPr>
          <w:rFonts w:ascii="Times New Roman" w:hAnsi="Times New Roman"/>
        </w:rPr>
      </w:pPr>
    </w:p>
    <w:p w14:paraId="43F6D57E" w14:textId="77777777" w:rsidR="00BF0494" w:rsidRDefault="00BF0494" w:rsidP="00BF0494">
      <w:pPr>
        <w:jc w:val="center"/>
        <w:rPr>
          <w:rFonts w:ascii="Times New Roman" w:hAnsi="Times New Roman"/>
        </w:rPr>
      </w:pPr>
      <w:r>
        <w:rPr>
          <w:rFonts w:ascii="Times New Roman" w:hAnsi="Times New Roman"/>
          <w:noProof/>
          <w:lang w:bidi="ar-SA"/>
        </w:rPr>
        <w:drawing>
          <wp:inline distT="0" distB="0" distL="0" distR="0" wp14:anchorId="44263D57" wp14:editId="0A0C015C">
            <wp:extent cx="4927600" cy="467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S.tiff"/>
                    <pic:cNvPicPr/>
                  </pic:nvPicPr>
                  <pic:blipFill>
                    <a:blip r:embed="rId13">
                      <a:extLst>
                        <a:ext uri="{28A0092B-C50C-407E-A947-70E740481C1C}">
                          <a14:useLocalDpi xmlns:a14="http://schemas.microsoft.com/office/drawing/2010/main" val="0"/>
                        </a:ext>
                      </a:extLst>
                    </a:blip>
                    <a:stretch>
                      <a:fillRect/>
                    </a:stretch>
                  </pic:blipFill>
                  <pic:spPr>
                    <a:xfrm>
                      <a:off x="0" y="0"/>
                      <a:ext cx="4927600" cy="4673600"/>
                    </a:xfrm>
                    <a:prstGeom prst="rect">
                      <a:avLst/>
                    </a:prstGeom>
                  </pic:spPr>
                </pic:pic>
              </a:graphicData>
            </a:graphic>
          </wp:inline>
        </w:drawing>
      </w:r>
    </w:p>
    <w:p w14:paraId="29CB0396" w14:textId="2234A260" w:rsidR="00133F61" w:rsidRDefault="00BF0494" w:rsidP="00133F61">
      <w:pPr>
        <w:pStyle w:val="Caption"/>
      </w:pPr>
      <w:bookmarkStart w:id="32" w:name="_Toc261025205"/>
      <w:r>
        <w:t xml:space="preserve">Figure </w:t>
      </w:r>
      <w:fldSimple w:instr=" SEQ Figure \* ARABIC ">
        <w:r w:rsidR="00396EB3">
          <w:rPr>
            <w:noProof/>
          </w:rPr>
          <w:t>3</w:t>
        </w:r>
      </w:fldSimple>
      <w:r>
        <w:t xml:space="preserve"> Map of the Trans-Mississippi South, with approximate location of the</w:t>
      </w:r>
    </w:p>
    <w:p w14:paraId="6F691DBC" w14:textId="6C555F44" w:rsidR="00BF0494" w:rsidRDefault="00CF609A" w:rsidP="00133F61">
      <w:pPr>
        <w:pStyle w:val="Caption"/>
      </w:pPr>
      <w:r>
        <w:t>Wister area</w:t>
      </w:r>
      <w:r w:rsidR="00BF0494">
        <w:t xml:space="preserve"> indicated by square, adapted from Schambach 1998:xii</w:t>
      </w:r>
      <w:bookmarkEnd w:id="32"/>
    </w:p>
    <w:p w14:paraId="2EA6AE3C" w14:textId="77777777" w:rsidR="00BF0494" w:rsidRDefault="00BF0494" w:rsidP="00BF0494">
      <w:pPr>
        <w:ind w:firstLine="720"/>
        <w:rPr>
          <w:rFonts w:ascii="Times New Roman" w:hAnsi="Times New Roman"/>
        </w:rPr>
      </w:pPr>
    </w:p>
    <w:p w14:paraId="4B76EDDE" w14:textId="77777777" w:rsidR="00BF0494" w:rsidRPr="00D10B25" w:rsidRDefault="00BF0494" w:rsidP="00BF0494">
      <w:pPr>
        <w:ind w:firstLine="720"/>
        <w:rPr>
          <w:rFonts w:ascii="Times New Roman" w:hAnsi="Times New Roman"/>
        </w:rPr>
      </w:pPr>
      <w:r w:rsidRPr="00D10B25">
        <w:rPr>
          <w:rFonts w:ascii="Times New Roman" w:hAnsi="Times New Roman"/>
        </w:rPr>
        <w:t>The Ouachita geomorphological province of eastern Oklahoma and western Arkansas stre</w:t>
      </w:r>
      <w:r>
        <w:rPr>
          <w:rFonts w:ascii="Times New Roman" w:hAnsi="Times New Roman"/>
        </w:rPr>
        <w:t>tches along an east-west area</w:t>
      </w:r>
      <w:r w:rsidRPr="00D10B25">
        <w:rPr>
          <w:rFonts w:ascii="Times New Roman" w:hAnsi="Times New Roman"/>
        </w:rPr>
        <w:t xml:space="preserve"> approximately 225 miles long by 100 miles wide, and can be divided into two sections: a northern section consisting primarily of lowlands, called the Arkansas Valley, and a southern section dominated by the Ouachita Mountains (Thornbury 1965).  The Arkansas Valley section, which lies just north of the study area, is a transitional trough between the Boston Mountains to the north and the Ouachita Mountains to the south (Thornbury 1965).  Directly south of the </w:t>
      </w:r>
      <w:r>
        <w:rPr>
          <w:rFonts w:ascii="Times New Roman" w:hAnsi="Times New Roman"/>
        </w:rPr>
        <w:t>Arkansas V</w:t>
      </w:r>
      <w:r w:rsidRPr="00D10B25">
        <w:rPr>
          <w:rFonts w:ascii="Times New Roman" w:hAnsi="Times New Roman"/>
        </w:rPr>
        <w:t xml:space="preserve">alley, the Ouachita Mountain section stretches for about 200 </w:t>
      </w:r>
      <w:r>
        <w:rPr>
          <w:rFonts w:ascii="Times New Roman" w:hAnsi="Times New Roman"/>
        </w:rPr>
        <w:t>miles in an east-west direction</w:t>
      </w:r>
      <w:r w:rsidRPr="00D10B25">
        <w:rPr>
          <w:rFonts w:ascii="Times New Roman" w:hAnsi="Times New Roman"/>
        </w:rPr>
        <w:t xml:space="preserve"> from Atoka, Oklahoma, to nearly Little Rock, Arkansas (Thornbury 1965).  The region is only about 50-60 miles wide, and is bordered on the south by the Gulf Coastal Plain.  Thus the area of this study is fairly well-defined structurally and bordered geologically and ecologically.</w:t>
      </w:r>
    </w:p>
    <w:p w14:paraId="2C902EB9" w14:textId="1FCCD58B" w:rsidR="00BF0494" w:rsidRDefault="00BF0494" w:rsidP="00BF0494">
      <w:pPr>
        <w:ind w:firstLine="720"/>
        <w:rPr>
          <w:rFonts w:ascii="Times New Roman" w:hAnsi="Times New Roman"/>
        </w:rPr>
      </w:pPr>
      <w:r w:rsidRPr="00D10B25">
        <w:rPr>
          <w:rFonts w:ascii="Times New Roman" w:hAnsi="Times New Roman"/>
        </w:rPr>
        <w:t xml:space="preserve">Fourche Maline Creek originates near Wilburton, Oklahoma, and flows eastward.  It is a meandering stream with a trellis drainage pattern stream that drains into (manmade) Lake Wister.  At the eastern end of the </w:t>
      </w:r>
      <w:r w:rsidR="00CF609A">
        <w:rPr>
          <w:rFonts w:ascii="Times New Roman" w:hAnsi="Times New Roman"/>
        </w:rPr>
        <w:t>Wister area</w:t>
      </w:r>
      <w:r w:rsidR="00B64B88">
        <w:rPr>
          <w:rFonts w:ascii="Times New Roman" w:hAnsi="Times New Roman"/>
        </w:rPr>
        <w:t>, Fourche Maline Creek flows</w:t>
      </w:r>
      <w:r w:rsidRPr="00D10B25">
        <w:rPr>
          <w:rFonts w:ascii="Times New Roman" w:hAnsi="Times New Roman"/>
        </w:rPr>
        <w:t xml:space="preserve"> into the Poteau River, at which point the</w:t>
      </w:r>
      <w:r>
        <w:rPr>
          <w:rFonts w:ascii="Times New Roman" w:hAnsi="Times New Roman"/>
        </w:rPr>
        <w:t xml:space="preserve"> waterway makes an abrupt turn north.  From there</w:t>
      </w:r>
      <w:r w:rsidR="00EE390B">
        <w:rPr>
          <w:rFonts w:ascii="Times New Roman" w:hAnsi="Times New Roman"/>
        </w:rPr>
        <w:t xml:space="preserve"> it flows northeast to</w:t>
      </w:r>
      <w:r w:rsidRPr="00D10B25">
        <w:rPr>
          <w:rFonts w:ascii="Times New Roman" w:hAnsi="Times New Roman"/>
        </w:rPr>
        <w:t xml:space="preserve"> the Arkansas River before joining the Mississippi River and finally the Gulf of Mexico.  </w:t>
      </w:r>
      <w:r w:rsidR="005A6677">
        <w:rPr>
          <w:rFonts w:ascii="Times New Roman" w:hAnsi="Times New Roman"/>
        </w:rPr>
        <w:t>The study area is bounded to the north by</w:t>
      </w:r>
      <w:r w:rsidRPr="00D10B25">
        <w:rPr>
          <w:rFonts w:ascii="Times New Roman" w:hAnsi="Times New Roman"/>
        </w:rPr>
        <w:t xml:space="preserve"> the Sans Bois Mountains</w:t>
      </w:r>
      <w:r w:rsidR="005A6677">
        <w:rPr>
          <w:rFonts w:ascii="Times New Roman" w:hAnsi="Times New Roman"/>
        </w:rPr>
        <w:t xml:space="preserve">-Poteau Mountains.  Further north is </w:t>
      </w:r>
      <w:r w:rsidRPr="00D10B25">
        <w:rPr>
          <w:rFonts w:ascii="Times New Roman" w:hAnsi="Times New Roman"/>
        </w:rPr>
        <w:t>the Arkoma Basin and Arkansas Riv</w:t>
      </w:r>
      <w:r>
        <w:rPr>
          <w:rFonts w:ascii="Times New Roman" w:hAnsi="Times New Roman"/>
        </w:rPr>
        <w:t>er Valley, and the Ozark Uplift</w:t>
      </w:r>
      <w:r w:rsidRPr="00D10B25">
        <w:rPr>
          <w:rFonts w:ascii="Times New Roman" w:hAnsi="Times New Roman"/>
        </w:rPr>
        <w:t>.</w:t>
      </w:r>
      <w:r w:rsidR="005A6677">
        <w:rPr>
          <w:rFonts w:ascii="Times New Roman" w:hAnsi="Times New Roman"/>
        </w:rPr>
        <w:t xml:space="preserve">  South of the study area is the rugged Winding Stair Range of the Ouachita Mountains, which forms the southern boundary of the Poteau drainage basin.</w:t>
      </w:r>
      <w:r w:rsidRPr="00D10B25">
        <w:rPr>
          <w:rFonts w:ascii="Times New Roman" w:hAnsi="Times New Roman"/>
        </w:rPr>
        <w:t xml:space="preserve">  To t</w:t>
      </w:r>
      <w:r>
        <w:rPr>
          <w:rFonts w:ascii="Times New Roman" w:hAnsi="Times New Roman"/>
        </w:rPr>
        <w:t>he east is the eastern woodland</w:t>
      </w:r>
      <w:r w:rsidRPr="00D10B25">
        <w:rPr>
          <w:rFonts w:ascii="Times New Roman" w:hAnsi="Times New Roman"/>
        </w:rPr>
        <w:t xml:space="preserve"> and to the west i</w:t>
      </w:r>
      <w:r>
        <w:rPr>
          <w:rFonts w:ascii="Times New Roman" w:hAnsi="Times New Roman"/>
        </w:rPr>
        <w:t>s</w:t>
      </w:r>
      <w:r w:rsidR="009A10BF">
        <w:rPr>
          <w:rFonts w:ascii="Times New Roman" w:hAnsi="Times New Roman"/>
        </w:rPr>
        <w:t xml:space="preserve"> prairie or grassland (Figure </w:t>
      </w:r>
      <w:r>
        <w:rPr>
          <w:rFonts w:ascii="Times New Roman" w:hAnsi="Times New Roman"/>
        </w:rPr>
        <w:t>4</w:t>
      </w:r>
      <w:r w:rsidRPr="00D10B25">
        <w:rPr>
          <w:rFonts w:ascii="Times New Roman" w:hAnsi="Times New Roman"/>
        </w:rPr>
        <w:t>).</w:t>
      </w:r>
    </w:p>
    <w:p w14:paraId="7333D5E8" w14:textId="77777777" w:rsidR="00833BB1" w:rsidRDefault="00833BB1" w:rsidP="00833BB1">
      <w:pPr>
        <w:ind w:firstLine="720"/>
        <w:rPr>
          <w:rFonts w:ascii="Times New Roman" w:hAnsi="Times New Roman"/>
        </w:rPr>
      </w:pPr>
      <w:r w:rsidRPr="00D10B25">
        <w:rPr>
          <w:rFonts w:ascii="Times New Roman" w:hAnsi="Times New Roman"/>
        </w:rPr>
        <w:t>Fourche Maline Creek has a (relatively) wide valley (approximately 4.2 miles) for its discharge volume.  This is due to the underlying bedrock of easily eroded shales of the Atoka F</w:t>
      </w:r>
      <w:r>
        <w:rPr>
          <w:rFonts w:ascii="Times New Roman" w:hAnsi="Times New Roman"/>
        </w:rPr>
        <w:t>ormation (Guccione 1999).  The v</w:t>
      </w:r>
      <w:r w:rsidRPr="00D10B25">
        <w:rPr>
          <w:rFonts w:ascii="Times New Roman" w:hAnsi="Times New Roman"/>
        </w:rPr>
        <w:t xml:space="preserve">alley narrows as it approaches the Poteau River due to the more resistant folded beds of sandstone, chert, and novaculite (Johnson 1998).  The creek has apparently moved horizontally across the valley floor, switching channel positions and leaving abandoned meanders (Guiccione 1999).  The floodplain </w:t>
      </w:r>
      <w:r>
        <w:rPr>
          <w:rFonts w:ascii="Times New Roman" w:hAnsi="Times New Roman"/>
        </w:rPr>
        <w:t>is only about 7-8,000 years old.</w:t>
      </w:r>
    </w:p>
    <w:p w14:paraId="325D3737" w14:textId="77777777" w:rsidR="00BF0494" w:rsidRDefault="00BF0494" w:rsidP="00BF0494">
      <w:pPr>
        <w:spacing w:line="240" w:lineRule="auto"/>
        <w:ind w:firstLine="720"/>
        <w:rPr>
          <w:rFonts w:ascii="Times New Roman" w:hAnsi="Times New Roman"/>
        </w:rPr>
      </w:pPr>
    </w:p>
    <w:p w14:paraId="3D1C01D0" w14:textId="77777777" w:rsidR="00BF0494" w:rsidRPr="00D10B25" w:rsidRDefault="00BF0494" w:rsidP="00BF0494">
      <w:pPr>
        <w:jc w:val="center"/>
        <w:rPr>
          <w:rFonts w:ascii="Times New Roman" w:hAnsi="Times New Roman"/>
        </w:rPr>
      </w:pPr>
      <w:r w:rsidRPr="00D10B25">
        <w:rPr>
          <w:rFonts w:ascii="Times New Roman" w:hAnsi="Times New Roman"/>
          <w:noProof/>
          <w:lang w:bidi="ar-SA"/>
        </w:rPr>
        <w:drawing>
          <wp:inline distT="0" distB="0" distL="0" distR="0" wp14:anchorId="099CD63B" wp14:editId="2B4C119E">
            <wp:extent cx="4173583" cy="395300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nces.tiff"/>
                    <pic:cNvPicPr/>
                  </pic:nvPicPr>
                  <pic:blipFill>
                    <a:blip r:embed="rId14">
                      <a:extLst>
                        <a:ext uri="{28A0092B-C50C-407E-A947-70E740481C1C}">
                          <a14:useLocalDpi xmlns:a14="http://schemas.microsoft.com/office/drawing/2010/main" val="0"/>
                        </a:ext>
                      </a:extLst>
                    </a:blip>
                    <a:stretch>
                      <a:fillRect/>
                    </a:stretch>
                  </pic:blipFill>
                  <pic:spPr>
                    <a:xfrm>
                      <a:off x="0" y="0"/>
                      <a:ext cx="4176978" cy="3956221"/>
                    </a:xfrm>
                    <a:prstGeom prst="rect">
                      <a:avLst/>
                    </a:prstGeom>
                  </pic:spPr>
                </pic:pic>
              </a:graphicData>
            </a:graphic>
          </wp:inline>
        </w:drawing>
      </w:r>
    </w:p>
    <w:p w14:paraId="2AF813AE" w14:textId="44810B68" w:rsidR="00833BB1" w:rsidRDefault="00BF0494" w:rsidP="00133F61">
      <w:pPr>
        <w:pStyle w:val="Caption"/>
      </w:pPr>
      <w:bookmarkStart w:id="33" w:name="_Toc261025206"/>
      <w:r>
        <w:t xml:space="preserve">Figure </w:t>
      </w:r>
      <w:fldSimple w:instr=" SEQ Figure \* ARABIC ">
        <w:r w:rsidR="00396EB3">
          <w:rPr>
            <w:noProof/>
          </w:rPr>
          <w:t>4</w:t>
        </w:r>
      </w:fldSimple>
      <w:r>
        <w:t xml:space="preserve"> Geomorphological Provinces, adapted from maps.google.com</w:t>
      </w:r>
      <w:bookmarkEnd w:id="33"/>
    </w:p>
    <w:p w14:paraId="259F7A63" w14:textId="77777777" w:rsidR="00174A5F" w:rsidRPr="00174A5F" w:rsidRDefault="00174A5F" w:rsidP="00174A5F">
      <w:pPr>
        <w:spacing w:line="240" w:lineRule="auto"/>
      </w:pPr>
    </w:p>
    <w:p w14:paraId="6278F11F" w14:textId="77777777" w:rsidR="00BF0494" w:rsidRDefault="00BF0494" w:rsidP="009C5432">
      <w:pPr>
        <w:pStyle w:val="Heading3"/>
      </w:pPr>
      <w:bookmarkStart w:id="34" w:name="_Toc261025852"/>
      <w:r>
        <w:t>Geologic History</w:t>
      </w:r>
      <w:bookmarkEnd w:id="34"/>
    </w:p>
    <w:p w14:paraId="54C71970" w14:textId="416269DA" w:rsidR="00BF0494" w:rsidRPr="003A057A" w:rsidRDefault="00BF0494" w:rsidP="00BF0494">
      <w:pPr>
        <w:ind w:firstLine="720"/>
        <w:rPr>
          <w:rFonts w:ascii="Times New Roman" w:hAnsi="Times New Roman"/>
        </w:rPr>
      </w:pPr>
      <w:r w:rsidRPr="003A057A">
        <w:rPr>
          <w:rFonts w:ascii="Times New Roman" w:hAnsi="Times New Roman"/>
        </w:rPr>
        <w:t xml:space="preserve">From the late Cambrian through Early Pennsylvanian (515-315 million years ago), the central portion of the United States, including all of what is now Oklahoma, was covered by </w:t>
      </w:r>
      <w:r w:rsidR="00891719">
        <w:rPr>
          <w:rFonts w:ascii="Times New Roman" w:hAnsi="Times New Roman"/>
        </w:rPr>
        <w:t>an inland sea (Thornbury 1965).</w:t>
      </w:r>
      <w:r w:rsidRPr="003A057A">
        <w:rPr>
          <w:rFonts w:ascii="Times New Roman" w:hAnsi="Times New Roman"/>
        </w:rPr>
        <w:t xml:space="preserve">  The Ouachita Mountains are made up primarily of sandstones and shales, with lesser amounts of cherts and novaculite that were deposited under this inland </w:t>
      </w:r>
      <w:r>
        <w:rPr>
          <w:rFonts w:ascii="Times New Roman" w:hAnsi="Times New Roman"/>
        </w:rPr>
        <w:t>sea</w:t>
      </w:r>
      <w:r w:rsidRPr="003A057A">
        <w:rPr>
          <w:rFonts w:ascii="Times New Roman" w:hAnsi="Times New Roman"/>
        </w:rPr>
        <w:t xml:space="preserve">.  These deposits were then lifted and faulted.  The resulting resistant beds of sandstone, chert, and novaculite now form a series of long, arching mountain ridges that rise above adjacent valleys formed of more easily eroded shales (Johnson 1998).   </w:t>
      </w:r>
    </w:p>
    <w:p w14:paraId="7527BC18" w14:textId="77777777" w:rsidR="00BF0494" w:rsidRPr="003A057A" w:rsidRDefault="00BF0494" w:rsidP="00BF0494">
      <w:pPr>
        <w:ind w:firstLine="720"/>
        <w:rPr>
          <w:rFonts w:ascii="Times New Roman" w:hAnsi="Times New Roman"/>
        </w:rPr>
      </w:pPr>
      <w:r w:rsidRPr="003A057A">
        <w:rPr>
          <w:rFonts w:ascii="Times New Roman" w:hAnsi="Times New Roman"/>
        </w:rPr>
        <w:t xml:space="preserve">The Ouachita Mountains are thus the eroded remnant of an extremely old mountain range that was uplifted approximately 300 million years ago during the Pennsylvanian (Johnson 1998).  They are an isolated segment of a much larger </w:t>
      </w:r>
      <w:r>
        <w:rPr>
          <w:rFonts w:ascii="Times New Roman" w:hAnsi="Times New Roman"/>
        </w:rPr>
        <w:t>chain of mountains that include</w:t>
      </w:r>
      <w:r w:rsidRPr="003A057A">
        <w:rPr>
          <w:rFonts w:ascii="Times New Roman" w:hAnsi="Times New Roman"/>
        </w:rPr>
        <w:t xml:space="preserve"> the Appalachian Mountains of the eastern United States and the Marathon Mountains of west Texas and northern Mexico (Thornbury 1965).  </w:t>
      </w:r>
    </w:p>
    <w:p w14:paraId="1067DFD4" w14:textId="77777777" w:rsidR="00BF0494" w:rsidRDefault="00BF0494" w:rsidP="009C5432">
      <w:pPr>
        <w:pStyle w:val="Heading3"/>
      </w:pPr>
      <w:bookmarkStart w:id="35" w:name="_Toc261025853"/>
      <w:r>
        <w:t>The Ouachita Ecoregion</w:t>
      </w:r>
      <w:bookmarkEnd w:id="35"/>
    </w:p>
    <w:p w14:paraId="7C028C46" w14:textId="1086A7EC" w:rsidR="00BF0494" w:rsidRPr="00667006" w:rsidRDefault="00BF0494" w:rsidP="00BF0494">
      <w:pPr>
        <w:ind w:firstLine="720"/>
        <w:rPr>
          <w:rFonts w:ascii="Times New Roman" w:hAnsi="Times New Roman"/>
        </w:rPr>
      </w:pPr>
      <w:r w:rsidRPr="00667006">
        <w:rPr>
          <w:rFonts w:ascii="Times New Roman" w:hAnsi="Times New Roman"/>
        </w:rPr>
        <w:t xml:space="preserve">The </w:t>
      </w:r>
      <w:r w:rsidR="00CF609A">
        <w:rPr>
          <w:rFonts w:ascii="Times New Roman" w:hAnsi="Times New Roman"/>
        </w:rPr>
        <w:t>Wister area</w:t>
      </w:r>
      <w:r w:rsidRPr="00667006">
        <w:rPr>
          <w:rFonts w:ascii="Times New Roman" w:hAnsi="Times New Roman"/>
        </w:rPr>
        <w:t xml:space="preserve"> is part of the Ouachita Ecoregion, which encompasses parts of eastern Oklahoma and western Arkansas.  Directly north is the Ozark Ecoregion (although the Ozark and Ouachita Mountains are often lumped together as the “Interior Highlands</w:t>
      </w:r>
      <w:r>
        <w:rPr>
          <w:rFonts w:ascii="Times New Roman" w:hAnsi="Times New Roman"/>
        </w:rPr>
        <w:t>,</w:t>
      </w:r>
      <w:r w:rsidRPr="00667006">
        <w:rPr>
          <w:rFonts w:ascii="Times New Roman" w:hAnsi="Times New Roman"/>
        </w:rPr>
        <w:t>” they have distinctly different geologic origins) and to the south is the Upper West Gulf Coastal Plain.  To the east is the Mississippi River Alluvial Plain and to the West are the Crosstimbers and Southern Tallgrass Prairie Ecoregion</w:t>
      </w:r>
      <w:r>
        <w:rPr>
          <w:rFonts w:ascii="Times New Roman" w:hAnsi="Times New Roman"/>
        </w:rPr>
        <w:t>s</w:t>
      </w:r>
      <w:r w:rsidRPr="00667006">
        <w:rPr>
          <w:rFonts w:ascii="Times New Roman" w:hAnsi="Times New Roman"/>
        </w:rPr>
        <w:t>.</w:t>
      </w:r>
    </w:p>
    <w:p w14:paraId="1F923077" w14:textId="1C4B7BD0" w:rsidR="00BF0494" w:rsidRDefault="00BF0494" w:rsidP="00BF0494">
      <w:pPr>
        <w:ind w:firstLine="720"/>
        <w:rPr>
          <w:rFonts w:ascii="Times New Roman" w:hAnsi="Times New Roman"/>
        </w:rPr>
      </w:pPr>
      <w:r w:rsidRPr="00667006">
        <w:rPr>
          <w:rFonts w:ascii="Times New Roman" w:hAnsi="Times New Roman"/>
        </w:rPr>
        <w:t xml:space="preserve">As part of the Ouachita Biotic District, the </w:t>
      </w:r>
      <w:r w:rsidR="00CF609A">
        <w:rPr>
          <w:rFonts w:ascii="Times New Roman" w:hAnsi="Times New Roman"/>
        </w:rPr>
        <w:t>Wister area</w:t>
      </w:r>
      <w:r w:rsidRPr="00667006">
        <w:rPr>
          <w:rFonts w:ascii="Times New Roman" w:hAnsi="Times New Roman"/>
        </w:rPr>
        <w:t xml:space="preserve"> today enjoys a humid subtropical climate with four distinct seasons, relatively high humidity, and a consistent water supply (Ouachita Mountains Ecoregional Assessment Team 2003). Warm moist air from the Gulf of Mexico dominates and controls the climate during the spring and summer, while cool dry air from the Central Plains dominate</w:t>
      </w:r>
      <w:r>
        <w:rPr>
          <w:rFonts w:ascii="Times New Roman" w:hAnsi="Times New Roman"/>
        </w:rPr>
        <w:t>s</w:t>
      </w:r>
      <w:r w:rsidRPr="00667006">
        <w:rPr>
          <w:rFonts w:ascii="Times New Roman" w:hAnsi="Times New Roman"/>
        </w:rPr>
        <w:t xml:space="preserve"> in the winter (Stroud and Handson 1981).  </w:t>
      </w:r>
    </w:p>
    <w:p w14:paraId="465A0239" w14:textId="3FDAC4E5" w:rsidR="00BF0494" w:rsidRDefault="00BF0494" w:rsidP="00BF0494">
      <w:pPr>
        <w:ind w:firstLine="720"/>
        <w:rPr>
          <w:rFonts w:ascii="Times New Roman" w:hAnsi="Times New Roman"/>
        </w:rPr>
      </w:pPr>
      <w:r w:rsidRPr="00667006">
        <w:rPr>
          <w:rFonts w:ascii="Times New Roman" w:hAnsi="Times New Roman"/>
        </w:rPr>
        <w:t>Summers thus tend to be hot and humid, and the winters cool with occasional sno</w:t>
      </w:r>
      <w:r>
        <w:rPr>
          <w:rFonts w:ascii="Times New Roman" w:hAnsi="Times New Roman"/>
        </w:rPr>
        <w:t>w, but usually no accumulation.</w:t>
      </w:r>
      <w:r w:rsidRPr="00667006">
        <w:rPr>
          <w:rFonts w:ascii="Times New Roman" w:hAnsi="Times New Roman"/>
        </w:rPr>
        <w:t xml:space="preserve">  While precipitation is well distributed throughout the year, moderate droughts do occur at 15-20 year intervals, with severe, multi-year droughts occurring even more infrequently (Ouachita Mountains Ecoregional Assessment Team 2003).  Temperatures in the summer typically range from 21-32 degrees Cel</w:t>
      </w:r>
      <w:r w:rsidR="006D13E1">
        <w:rPr>
          <w:rFonts w:ascii="Times New Roman" w:hAnsi="Times New Roman"/>
        </w:rPr>
        <w:t>sius and dip to 4-10 degrees Cels</w:t>
      </w:r>
      <w:r w:rsidRPr="00667006">
        <w:rPr>
          <w:rFonts w:ascii="Times New Roman" w:hAnsi="Times New Roman"/>
        </w:rPr>
        <w:t xml:space="preserve">ius in the winter with occasional strong winter winds and sleet and freezing rain (Ouachita Mountains Ecoregional Assessment Team 2003). </w:t>
      </w:r>
      <w:r>
        <w:rPr>
          <w:rFonts w:ascii="Times New Roman" w:hAnsi="Times New Roman"/>
        </w:rPr>
        <w:t xml:space="preserve"> </w:t>
      </w:r>
    </w:p>
    <w:p w14:paraId="06141901" w14:textId="744C6004" w:rsidR="00BF0494" w:rsidRDefault="00BF0494" w:rsidP="00BF0494">
      <w:pPr>
        <w:ind w:firstLine="720"/>
        <w:rPr>
          <w:rFonts w:ascii="Times New Roman" w:hAnsi="Times New Roman"/>
        </w:rPr>
      </w:pPr>
      <w:r w:rsidRPr="00667006">
        <w:rPr>
          <w:rFonts w:ascii="Times New Roman" w:hAnsi="Times New Roman"/>
        </w:rPr>
        <w:t>A continuous pollen record for nearly 12,000 years was obtained</w:t>
      </w:r>
      <w:r w:rsidR="00C70574">
        <w:rPr>
          <w:rFonts w:ascii="Times New Roman" w:hAnsi="Times New Roman"/>
        </w:rPr>
        <w:t xml:space="preserve"> from</w:t>
      </w:r>
      <w:r w:rsidRPr="00667006">
        <w:rPr>
          <w:rFonts w:ascii="Times New Roman" w:hAnsi="Times New Roman"/>
        </w:rPr>
        <w:t xml:space="preserve"> core </w:t>
      </w:r>
      <w:r w:rsidR="00C70574">
        <w:rPr>
          <w:rFonts w:ascii="Times New Roman" w:hAnsi="Times New Roman"/>
        </w:rPr>
        <w:t xml:space="preserve">samples taken at </w:t>
      </w:r>
      <w:r w:rsidRPr="00667006">
        <w:rPr>
          <w:rFonts w:ascii="Times New Roman" w:hAnsi="Times New Roman"/>
        </w:rPr>
        <w:t>Ferndale Bog in Atoka County, Oklahoma, which lies in the southwestern corner of the Ouachita Mountains.  The polle</w:t>
      </w:r>
      <w:r>
        <w:rPr>
          <w:rFonts w:ascii="Times New Roman" w:hAnsi="Times New Roman"/>
        </w:rPr>
        <w:t>n</w:t>
      </w:r>
      <w:r w:rsidR="00C70574">
        <w:rPr>
          <w:rFonts w:ascii="Times New Roman" w:hAnsi="Times New Roman"/>
        </w:rPr>
        <w:t xml:space="preserve"> record</w:t>
      </w:r>
      <w:r w:rsidR="00B27F1C">
        <w:rPr>
          <w:rFonts w:ascii="Times New Roman" w:hAnsi="Times New Roman"/>
        </w:rPr>
        <w:t xml:space="preserve"> </w:t>
      </w:r>
      <w:r w:rsidR="00C70574">
        <w:rPr>
          <w:rFonts w:ascii="Times New Roman" w:hAnsi="Times New Roman"/>
        </w:rPr>
        <w:t>(</w:t>
      </w:r>
      <w:r w:rsidR="00B27F1C">
        <w:rPr>
          <w:rFonts w:ascii="Times New Roman" w:hAnsi="Times New Roman"/>
        </w:rPr>
        <w:t xml:space="preserve">summarized in Figure </w:t>
      </w:r>
      <w:r>
        <w:rPr>
          <w:rFonts w:ascii="Times New Roman" w:hAnsi="Times New Roman"/>
        </w:rPr>
        <w:t>5</w:t>
      </w:r>
      <w:r w:rsidR="00C70574">
        <w:rPr>
          <w:rFonts w:ascii="Times New Roman" w:hAnsi="Times New Roman"/>
        </w:rPr>
        <w:t>)</w:t>
      </w:r>
      <w:r w:rsidRPr="00667006">
        <w:rPr>
          <w:rFonts w:ascii="Times New Roman" w:hAnsi="Times New Roman"/>
        </w:rPr>
        <w:t xml:space="preserve">, documents that during the early Holocene, the Ouachita Mountains were dominated by grasslands </w:t>
      </w:r>
      <w:r>
        <w:rPr>
          <w:rFonts w:ascii="Times New Roman" w:hAnsi="Times New Roman"/>
        </w:rPr>
        <w:t>(Poaceae), indicating that</w:t>
      </w:r>
      <w:r w:rsidRPr="00667006">
        <w:rPr>
          <w:rFonts w:ascii="Times New Roman" w:hAnsi="Times New Roman"/>
        </w:rPr>
        <w:t xml:space="preserve"> early hunter and gatherer occupants of the </w:t>
      </w:r>
      <w:r w:rsidR="00CF609A">
        <w:rPr>
          <w:rFonts w:ascii="Times New Roman" w:hAnsi="Times New Roman"/>
        </w:rPr>
        <w:t>Wister area</w:t>
      </w:r>
      <w:r w:rsidRPr="00667006">
        <w:rPr>
          <w:rFonts w:ascii="Times New Roman" w:hAnsi="Times New Roman"/>
        </w:rPr>
        <w:t xml:space="preserve"> enjoyed a warmer and drier climate than today (Albert 1981).</w:t>
      </w:r>
      <w:r w:rsidR="00C70574">
        <w:rPr>
          <w:rFonts w:ascii="Times New Roman" w:hAnsi="Times New Roman"/>
        </w:rPr>
        <w:t xml:space="preserve">  </w:t>
      </w:r>
      <w:r w:rsidR="005544F1">
        <w:rPr>
          <w:rFonts w:ascii="Times New Roman" w:hAnsi="Times New Roman"/>
        </w:rPr>
        <w:t>Around 3,000 years ago, g</w:t>
      </w:r>
      <w:r w:rsidR="005544F1" w:rsidRPr="00A65235">
        <w:rPr>
          <w:rFonts w:ascii="Times New Roman" w:hAnsi="Times New Roman"/>
        </w:rPr>
        <w:t>rasses (Poaceae) decline</w:t>
      </w:r>
      <w:r w:rsidR="005544F1">
        <w:rPr>
          <w:rFonts w:ascii="Times New Roman" w:hAnsi="Times New Roman"/>
        </w:rPr>
        <w:t>d</w:t>
      </w:r>
      <w:r w:rsidR="005544F1" w:rsidRPr="00A65235">
        <w:rPr>
          <w:rFonts w:ascii="Times New Roman" w:hAnsi="Times New Roman"/>
        </w:rPr>
        <w:t xml:space="preserve"> while trees (</w:t>
      </w:r>
      <w:r w:rsidR="005544F1" w:rsidRPr="00A65235">
        <w:rPr>
          <w:rFonts w:ascii="Times New Roman" w:hAnsi="Times New Roman"/>
          <w:i/>
        </w:rPr>
        <w:t>Pinus,</w:t>
      </w:r>
      <w:r w:rsidR="005544F1" w:rsidRPr="00A65235">
        <w:rPr>
          <w:rFonts w:ascii="Times New Roman" w:hAnsi="Times New Roman"/>
        </w:rPr>
        <w:t xml:space="preserve"> </w:t>
      </w:r>
      <w:r w:rsidR="005544F1" w:rsidRPr="00A65235">
        <w:rPr>
          <w:rFonts w:ascii="Times New Roman" w:hAnsi="Times New Roman"/>
          <w:i/>
        </w:rPr>
        <w:t>Quercus</w:t>
      </w:r>
      <w:r w:rsidR="005544F1" w:rsidRPr="00A65235">
        <w:rPr>
          <w:rFonts w:ascii="Times New Roman" w:hAnsi="Times New Roman"/>
        </w:rPr>
        <w:t>,</w:t>
      </w:r>
      <w:r w:rsidR="005544F1">
        <w:rPr>
          <w:rFonts w:ascii="Times New Roman" w:hAnsi="Times New Roman"/>
        </w:rPr>
        <w:t xml:space="preserve"> </w:t>
      </w:r>
      <w:r w:rsidR="005544F1" w:rsidRPr="00A65235">
        <w:rPr>
          <w:rFonts w:ascii="Times New Roman" w:hAnsi="Times New Roman"/>
        </w:rPr>
        <w:t xml:space="preserve">and </w:t>
      </w:r>
      <w:r w:rsidR="005544F1" w:rsidRPr="00A65235">
        <w:rPr>
          <w:rFonts w:ascii="Times New Roman" w:hAnsi="Times New Roman"/>
          <w:i/>
        </w:rPr>
        <w:t>Carya</w:t>
      </w:r>
      <w:r w:rsidR="005544F1">
        <w:rPr>
          <w:rFonts w:ascii="Times New Roman" w:hAnsi="Times New Roman"/>
        </w:rPr>
        <w:t>) increased, indicating the beginning of a more modern climate and vegetation communities.</w:t>
      </w:r>
    </w:p>
    <w:p w14:paraId="171243C4" w14:textId="456FB3AD" w:rsidR="00B27F1C" w:rsidRDefault="00B27F1C" w:rsidP="00B27F1C">
      <w:pPr>
        <w:ind w:firstLine="720"/>
        <w:rPr>
          <w:rFonts w:ascii="Times New Roman" w:hAnsi="Times New Roman"/>
        </w:rPr>
      </w:pPr>
      <w:r>
        <w:rPr>
          <w:rFonts w:ascii="Times New Roman" w:hAnsi="Times New Roman"/>
        </w:rPr>
        <w:t xml:space="preserve">Early residents of the </w:t>
      </w:r>
      <w:r w:rsidR="00CF609A">
        <w:rPr>
          <w:rFonts w:ascii="Times New Roman" w:hAnsi="Times New Roman"/>
        </w:rPr>
        <w:t>Wister area</w:t>
      </w:r>
      <w:r>
        <w:rPr>
          <w:rFonts w:ascii="Times New Roman" w:hAnsi="Times New Roman"/>
        </w:rPr>
        <w:t xml:space="preserve"> (prior to about 2,700 ya or ~750 BCE) would have experienced a warm and dry climate</w:t>
      </w:r>
      <w:r w:rsidRPr="003A34D9">
        <w:rPr>
          <w:rFonts w:ascii="Times New Roman" w:hAnsi="Times New Roman"/>
        </w:rPr>
        <w:t xml:space="preserve"> </w:t>
      </w:r>
      <w:r>
        <w:rPr>
          <w:rFonts w:ascii="Times New Roman" w:hAnsi="Times New Roman"/>
        </w:rPr>
        <w:t xml:space="preserve">that possibly produced an oak savanna (Albert and Wyckoff 1984:38).  </w:t>
      </w:r>
      <w:r w:rsidRPr="00667006">
        <w:rPr>
          <w:rFonts w:ascii="Times New Roman" w:hAnsi="Times New Roman"/>
        </w:rPr>
        <w:t>The pollen record indicates a noticeable increase in tree pollen, especially pines, oaks, and hickory starting around 2,700 years ago</w:t>
      </w:r>
      <w:r>
        <w:rPr>
          <w:rFonts w:ascii="Times New Roman" w:hAnsi="Times New Roman"/>
        </w:rPr>
        <w:t>, as shown in Figure 5</w:t>
      </w:r>
      <w:r w:rsidRPr="00667006">
        <w:rPr>
          <w:rFonts w:ascii="Times New Roman" w:hAnsi="Times New Roman"/>
        </w:rPr>
        <w:t xml:space="preserve">. </w:t>
      </w:r>
      <w:r>
        <w:rPr>
          <w:rFonts w:ascii="Times New Roman" w:hAnsi="Times New Roman"/>
        </w:rPr>
        <w:t xml:space="preserve">  </w:t>
      </w:r>
      <w:r w:rsidRPr="00667006">
        <w:rPr>
          <w:rFonts w:ascii="Times New Roman" w:hAnsi="Times New Roman"/>
        </w:rPr>
        <w:t xml:space="preserve">Both Archaic (Wister) and Woodland (Fourche Maline) residents of </w:t>
      </w:r>
      <w:r w:rsidR="00CF609A">
        <w:rPr>
          <w:rFonts w:ascii="Times New Roman" w:hAnsi="Times New Roman"/>
        </w:rPr>
        <w:t>Wister area</w:t>
      </w:r>
      <w:r w:rsidRPr="00667006">
        <w:rPr>
          <w:rFonts w:ascii="Times New Roman" w:hAnsi="Times New Roman"/>
        </w:rPr>
        <w:t xml:space="preserve"> would have inhabited a densely wooded area filled with oak, hickory, and pine trees</w:t>
      </w:r>
      <w:r>
        <w:rPr>
          <w:rFonts w:ascii="Times New Roman" w:hAnsi="Times New Roman"/>
        </w:rPr>
        <w:t xml:space="preserve"> (Albert 1981)</w:t>
      </w:r>
      <w:r w:rsidRPr="00667006">
        <w:rPr>
          <w:rFonts w:ascii="Times New Roman" w:hAnsi="Times New Roman"/>
        </w:rPr>
        <w:t>.</w:t>
      </w:r>
      <w:r>
        <w:rPr>
          <w:rFonts w:ascii="Times New Roman" w:hAnsi="Times New Roman"/>
        </w:rPr>
        <w:t xml:space="preserve"> A</w:t>
      </w:r>
      <w:r w:rsidRPr="00667006">
        <w:rPr>
          <w:rFonts w:ascii="Times New Roman" w:hAnsi="Times New Roman"/>
        </w:rPr>
        <w:t>bout 500 year</w:t>
      </w:r>
      <w:r>
        <w:rPr>
          <w:rFonts w:ascii="Times New Roman" w:hAnsi="Times New Roman"/>
        </w:rPr>
        <w:t>s ago, or approximately 1400 CE the pine pollen percentage began to shift rather dramatically</w:t>
      </w:r>
      <w:r w:rsidR="00084D1B">
        <w:rPr>
          <w:rFonts w:ascii="Times New Roman" w:hAnsi="Times New Roman"/>
        </w:rPr>
        <w:t>,</w:t>
      </w:r>
      <w:r>
        <w:rPr>
          <w:rFonts w:ascii="Times New Roman" w:hAnsi="Times New Roman"/>
        </w:rPr>
        <w:t xml:space="preserve"> indicating periods of climatic (and probably resource) instability (Albert and Wyckoff 1984).  An extensive list of flora for all biotic districts of Oklahoma can be found in Albert and Wyckoff (1984).</w:t>
      </w:r>
    </w:p>
    <w:p w14:paraId="59AE8431" w14:textId="77777777" w:rsidR="00B27F1C" w:rsidRDefault="00B27F1C" w:rsidP="00174A5F">
      <w:pPr>
        <w:spacing w:line="240" w:lineRule="auto"/>
        <w:ind w:firstLine="720"/>
        <w:rPr>
          <w:rFonts w:ascii="Times New Roman" w:hAnsi="Times New Roman"/>
        </w:rPr>
      </w:pPr>
    </w:p>
    <w:p w14:paraId="4C0FFC1A" w14:textId="77777777" w:rsidR="00BF0494" w:rsidRDefault="00BF0494" w:rsidP="00BF0494">
      <w:pPr>
        <w:jc w:val="center"/>
      </w:pPr>
      <w:r>
        <w:rPr>
          <w:noProof/>
          <w:lang w:bidi="ar-SA"/>
        </w:rPr>
        <w:drawing>
          <wp:inline distT="0" distB="0" distL="0" distR="0" wp14:anchorId="23FA2BD2" wp14:editId="4F6FD328">
            <wp:extent cx="5418623" cy="2906486"/>
            <wp:effectExtent l="0" t="0" r="0" b="0"/>
            <wp:docPr id="7" name="Picture 1" descr="ferndalepollen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rndalepollen06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0735" cy="2907619"/>
                    </a:xfrm>
                    <a:prstGeom prst="rect">
                      <a:avLst/>
                    </a:prstGeom>
                    <a:noFill/>
                    <a:ln>
                      <a:noFill/>
                    </a:ln>
                  </pic:spPr>
                </pic:pic>
              </a:graphicData>
            </a:graphic>
          </wp:inline>
        </w:drawing>
      </w:r>
    </w:p>
    <w:p w14:paraId="1C4748E4" w14:textId="77777777" w:rsidR="00BF0494" w:rsidRDefault="00BF0494" w:rsidP="00133F61">
      <w:pPr>
        <w:pStyle w:val="Caption"/>
      </w:pPr>
      <w:bookmarkStart w:id="36" w:name="_Toc261025207"/>
      <w:r>
        <w:t xml:space="preserve">Figure </w:t>
      </w:r>
      <w:fldSimple w:instr=" SEQ Figure \* ARABIC ">
        <w:r w:rsidR="00396EB3">
          <w:rPr>
            <w:noProof/>
          </w:rPr>
          <w:t>5</w:t>
        </w:r>
      </w:fldSimple>
      <w:r>
        <w:t xml:space="preserve"> Summary pollen diagram from Ferndale Bog in Atoka County, Oklahoma, adapted from Holloway 1994</w:t>
      </w:r>
      <w:bookmarkEnd w:id="36"/>
    </w:p>
    <w:p w14:paraId="3D8D4DC7" w14:textId="77777777" w:rsidR="00B27F1C" w:rsidRDefault="00B27F1C" w:rsidP="00BF0494">
      <w:pPr>
        <w:ind w:firstLine="720"/>
        <w:rPr>
          <w:rFonts w:ascii="Times New Roman" w:hAnsi="Times New Roman"/>
        </w:rPr>
      </w:pPr>
    </w:p>
    <w:p w14:paraId="2603B59D" w14:textId="2491778E" w:rsidR="00BF0494" w:rsidRPr="00667006" w:rsidRDefault="00BF0494" w:rsidP="00BF0494">
      <w:pPr>
        <w:ind w:firstLine="720"/>
        <w:rPr>
          <w:rFonts w:ascii="Times New Roman" w:hAnsi="Times New Roman"/>
        </w:rPr>
      </w:pPr>
      <w:r w:rsidRPr="00667006">
        <w:rPr>
          <w:rFonts w:ascii="Times New Roman" w:hAnsi="Times New Roman"/>
        </w:rPr>
        <w:t>Wildlife in the area is varied, and includes river inver</w:t>
      </w:r>
      <w:r>
        <w:rPr>
          <w:rFonts w:ascii="Times New Roman" w:hAnsi="Times New Roman"/>
        </w:rPr>
        <w:t>tebrates, fishes, amphibians,</w:t>
      </w:r>
      <w:r w:rsidRPr="00667006">
        <w:rPr>
          <w:rFonts w:ascii="Times New Roman" w:hAnsi="Times New Roman"/>
        </w:rPr>
        <w:t xml:space="preserve"> reptiles, and a variety of birds and mammals.  The faunal rema</w:t>
      </w:r>
      <w:r>
        <w:rPr>
          <w:rFonts w:ascii="Times New Roman" w:hAnsi="Times New Roman"/>
        </w:rPr>
        <w:t>ins in archaeological context are</w:t>
      </w:r>
      <w:r w:rsidRPr="00667006">
        <w:rPr>
          <w:rFonts w:ascii="Times New Roman" w:hAnsi="Times New Roman"/>
        </w:rPr>
        <w:t xml:space="preserve"> dominated by white tailed deer (</w:t>
      </w:r>
      <w:r w:rsidRPr="00667006">
        <w:rPr>
          <w:rFonts w:ascii="Times New Roman" w:hAnsi="Times New Roman"/>
          <w:i/>
        </w:rPr>
        <w:t>Odocoileus virginianus</w:t>
      </w:r>
      <w:r w:rsidRPr="00667006">
        <w:rPr>
          <w:rFonts w:ascii="Times New Roman" w:hAnsi="Times New Roman"/>
        </w:rPr>
        <w:t>), although both buffalo (</w:t>
      </w:r>
      <w:r w:rsidRPr="00667006">
        <w:rPr>
          <w:rFonts w:ascii="Times New Roman" w:hAnsi="Times New Roman"/>
          <w:i/>
        </w:rPr>
        <w:t>Bison bison</w:t>
      </w:r>
      <w:r w:rsidRPr="00667006">
        <w:rPr>
          <w:rFonts w:ascii="Times New Roman" w:hAnsi="Times New Roman"/>
        </w:rPr>
        <w:t>) and eastern elk (</w:t>
      </w:r>
      <w:r w:rsidR="00084D1B">
        <w:rPr>
          <w:rFonts w:ascii="Times New Roman" w:hAnsi="Times New Roman"/>
          <w:i/>
        </w:rPr>
        <w:t>Cervus c</w:t>
      </w:r>
      <w:r w:rsidRPr="00667006">
        <w:rPr>
          <w:rFonts w:ascii="Times New Roman" w:hAnsi="Times New Roman"/>
          <w:i/>
        </w:rPr>
        <w:t>anadensis</w:t>
      </w:r>
      <w:r w:rsidRPr="00667006">
        <w:rPr>
          <w:rFonts w:ascii="Times New Roman" w:hAnsi="Times New Roman"/>
        </w:rPr>
        <w:t>) occasionally appear, suggesting that they may have been part of the local fauna (Galm 1978:17).  Other local mammals include beaver (</w:t>
      </w:r>
      <w:r w:rsidRPr="00667006">
        <w:rPr>
          <w:rFonts w:ascii="Times New Roman" w:hAnsi="Times New Roman"/>
          <w:i/>
        </w:rPr>
        <w:t>Castor canadensis</w:t>
      </w:r>
      <w:r w:rsidRPr="00667006">
        <w:rPr>
          <w:rFonts w:ascii="Times New Roman" w:hAnsi="Times New Roman"/>
        </w:rPr>
        <w:t>), squirrel (</w:t>
      </w:r>
      <w:r w:rsidRPr="00667006">
        <w:rPr>
          <w:rFonts w:ascii="Times New Roman" w:hAnsi="Times New Roman"/>
          <w:i/>
        </w:rPr>
        <w:t>Sciurus sp</w:t>
      </w:r>
      <w:r w:rsidRPr="00667006">
        <w:rPr>
          <w:rFonts w:ascii="Times New Roman" w:hAnsi="Times New Roman"/>
        </w:rPr>
        <w:t>.), bo</w:t>
      </w:r>
      <w:r w:rsidR="00010D0A">
        <w:rPr>
          <w:rFonts w:ascii="Times New Roman" w:hAnsi="Times New Roman"/>
        </w:rPr>
        <w:t>bc</w:t>
      </w:r>
      <w:r w:rsidRPr="00667006">
        <w:rPr>
          <w:rFonts w:ascii="Times New Roman" w:hAnsi="Times New Roman"/>
        </w:rPr>
        <w:t>at (</w:t>
      </w:r>
      <w:r w:rsidRPr="00667006">
        <w:rPr>
          <w:rFonts w:ascii="Times New Roman" w:hAnsi="Times New Roman"/>
          <w:i/>
        </w:rPr>
        <w:t>Lynx rufus</w:t>
      </w:r>
      <w:r w:rsidRPr="00667006">
        <w:rPr>
          <w:rFonts w:ascii="Times New Roman" w:hAnsi="Times New Roman"/>
        </w:rPr>
        <w:t>), coyote (</w:t>
      </w:r>
      <w:r w:rsidRPr="00667006">
        <w:rPr>
          <w:rFonts w:ascii="Times New Roman" w:hAnsi="Times New Roman"/>
          <w:i/>
        </w:rPr>
        <w:t>Canis latrans</w:t>
      </w:r>
      <w:r w:rsidRPr="00667006">
        <w:rPr>
          <w:rFonts w:ascii="Times New Roman" w:hAnsi="Times New Roman"/>
        </w:rPr>
        <w:t>), raccoon (</w:t>
      </w:r>
      <w:r w:rsidRPr="00667006">
        <w:rPr>
          <w:rFonts w:ascii="Times New Roman" w:hAnsi="Times New Roman"/>
          <w:i/>
        </w:rPr>
        <w:t>Procyon lotor</w:t>
      </w:r>
      <w:r w:rsidRPr="00667006">
        <w:rPr>
          <w:rFonts w:ascii="Times New Roman" w:hAnsi="Times New Roman"/>
        </w:rPr>
        <w:t>), gray and red foxes (</w:t>
      </w:r>
      <w:r w:rsidRPr="00667006">
        <w:rPr>
          <w:rFonts w:ascii="Times New Roman" w:hAnsi="Times New Roman"/>
          <w:i/>
        </w:rPr>
        <w:t>Urocyon cinereoargenteus</w:t>
      </w:r>
      <w:r w:rsidRPr="00667006">
        <w:rPr>
          <w:rFonts w:ascii="Times New Roman" w:hAnsi="Times New Roman"/>
        </w:rPr>
        <w:t xml:space="preserve"> and </w:t>
      </w:r>
      <w:r w:rsidRPr="00667006">
        <w:rPr>
          <w:rFonts w:ascii="Times New Roman" w:hAnsi="Times New Roman"/>
          <w:i/>
        </w:rPr>
        <w:t>Vulpes fulva</w:t>
      </w:r>
      <w:r w:rsidRPr="00667006">
        <w:rPr>
          <w:rFonts w:ascii="Times New Roman" w:hAnsi="Times New Roman"/>
        </w:rPr>
        <w:t>), skunk (</w:t>
      </w:r>
      <w:r w:rsidRPr="00667006">
        <w:rPr>
          <w:rFonts w:ascii="Times New Roman" w:hAnsi="Times New Roman"/>
          <w:i/>
        </w:rPr>
        <w:t>Mephitis mephitis</w:t>
      </w:r>
      <w:r w:rsidRPr="00667006">
        <w:rPr>
          <w:rFonts w:ascii="Times New Roman" w:hAnsi="Times New Roman"/>
        </w:rPr>
        <w:t>), mink (</w:t>
      </w:r>
      <w:r w:rsidRPr="00667006">
        <w:rPr>
          <w:rFonts w:ascii="Times New Roman" w:hAnsi="Times New Roman"/>
          <w:i/>
        </w:rPr>
        <w:t>Mustela vison</w:t>
      </w:r>
      <w:r w:rsidRPr="00667006">
        <w:rPr>
          <w:rFonts w:ascii="Times New Roman" w:hAnsi="Times New Roman"/>
        </w:rPr>
        <w:t>), armadillo (</w:t>
      </w:r>
      <w:r w:rsidRPr="00667006">
        <w:rPr>
          <w:rFonts w:ascii="Times New Roman" w:hAnsi="Times New Roman"/>
          <w:i/>
        </w:rPr>
        <w:t>Dasypus novemcinctus</w:t>
      </w:r>
      <w:r w:rsidRPr="00667006">
        <w:rPr>
          <w:rFonts w:ascii="Times New Roman" w:hAnsi="Times New Roman"/>
        </w:rPr>
        <w:t>), cottontail and swamp rabbits (</w:t>
      </w:r>
      <w:r w:rsidRPr="00667006">
        <w:rPr>
          <w:rFonts w:ascii="Times New Roman" w:hAnsi="Times New Roman"/>
          <w:i/>
        </w:rPr>
        <w:t>Sylvilagus floridanus</w:t>
      </w:r>
      <w:r w:rsidRPr="00667006">
        <w:rPr>
          <w:rFonts w:ascii="Times New Roman" w:hAnsi="Times New Roman"/>
        </w:rPr>
        <w:t xml:space="preserve"> and </w:t>
      </w:r>
      <w:r w:rsidRPr="00667006">
        <w:rPr>
          <w:rFonts w:ascii="Times New Roman" w:hAnsi="Times New Roman"/>
          <w:i/>
        </w:rPr>
        <w:t>Sylvilagus aquaticus</w:t>
      </w:r>
      <w:r w:rsidRPr="00667006">
        <w:rPr>
          <w:rFonts w:ascii="Times New Roman" w:hAnsi="Times New Roman"/>
        </w:rPr>
        <w:t>), woodchucks (</w:t>
      </w:r>
      <w:r w:rsidRPr="00667006">
        <w:rPr>
          <w:rFonts w:ascii="Times New Roman" w:hAnsi="Times New Roman"/>
          <w:i/>
        </w:rPr>
        <w:t>Marmota monax</w:t>
      </w:r>
      <w:r w:rsidRPr="00667006">
        <w:rPr>
          <w:rFonts w:ascii="Times New Roman" w:hAnsi="Times New Roman"/>
        </w:rPr>
        <w:t>), and opossum (</w:t>
      </w:r>
      <w:r w:rsidRPr="00667006">
        <w:rPr>
          <w:rFonts w:ascii="Times New Roman" w:hAnsi="Times New Roman"/>
          <w:i/>
        </w:rPr>
        <w:t>Didelphis marsupialis</w:t>
      </w:r>
      <w:r w:rsidRPr="00667006">
        <w:rPr>
          <w:rFonts w:ascii="Times New Roman" w:hAnsi="Times New Roman"/>
        </w:rPr>
        <w:t>).</w:t>
      </w:r>
    </w:p>
    <w:p w14:paraId="775B186E" w14:textId="77777777" w:rsidR="00BF0494" w:rsidRPr="00667006" w:rsidRDefault="00BF0494" w:rsidP="00BF0494">
      <w:pPr>
        <w:ind w:firstLine="720"/>
        <w:rPr>
          <w:rFonts w:ascii="Times New Roman" w:hAnsi="Times New Roman"/>
        </w:rPr>
      </w:pPr>
      <w:r w:rsidRPr="00667006">
        <w:rPr>
          <w:rFonts w:ascii="Times New Roman" w:hAnsi="Times New Roman"/>
        </w:rPr>
        <w:t>Local game birds include quail, mourning dove, wild turkey, and a variety of waterfowl.  Fishes currently found in Wister Lake include catfish, sucker, drum, carp, and gar and should have been available in larger rivers and streams prior to completion of the reservoir (Galm 1978:17).  Invertebrate species include insects, gastropods, mollusks, and crustaceans.   River mussels are common inclusions in archaeological remains.</w:t>
      </w:r>
      <w:r>
        <w:rPr>
          <w:rFonts w:ascii="Times New Roman" w:hAnsi="Times New Roman"/>
        </w:rPr>
        <w:t xml:space="preserve">  More extensive lists of lists of fauna for all biotic districts of Oklahoma can be found in Albert and Wyckoff (1984).</w:t>
      </w:r>
    </w:p>
    <w:p w14:paraId="7CC53057" w14:textId="77777777" w:rsidR="00BF0494" w:rsidRDefault="00BF0494" w:rsidP="009C5432">
      <w:pPr>
        <w:pStyle w:val="Heading3"/>
      </w:pPr>
      <w:bookmarkStart w:id="37" w:name="_Toc261025854"/>
      <w:r>
        <w:t>Soils and Minerals</w:t>
      </w:r>
      <w:bookmarkEnd w:id="37"/>
    </w:p>
    <w:p w14:paraId="33DC6787" w14:textId="78E78546" w:rsidR="00BF0494" w:rsidRPr="00A65235" w:rsidRDefault="00BF0494" w:rsidP="00BF0494">
      <w:pPr>
        <w:rPr>
          <w:rFonts w:ascii="Times New Roman" w:hAnsi="Times New Roman"/>
        </w:rPr>
      </w:pPr>
      <w:r>
        <w:tab/>
      </w:r>
      <w:r w:rsidRPr="00D10B25">
        <w:rPr>
          <w:rFonts w:ascii="Times New Roman" w:hAnsi="Times New Roman"/>
        </w:rPr>
        <w:t>The major soils mapped for the Fourche Maline Creek floodplain are the Neff-Rexor-Cupco series, described as “deep, nearly level and very gently sloping, moderately well drained to somewhat poorly drained loamy soils; on flood plains</w:t>
      </w:r>
      <w:r>
        <w:rPr>
          <w:rFonts w:ascii="Times New Roman" w:hAnsi="Times New Roman"/>
        </w:rPr>
        <w:t>”</w:t>
      </w:r>
      <w:r w:rsidRPr="00D10B25">
        <w:rPr>
          <w:rFonts w:ascii="Times New Roman" w:hAnsi="Times New Roman"/>
        </w:rPr>
        <w:t xml:space="preserve"> (Brinlee and Wilson 1981:7).  Guccione’s 1999 survey of Fourche Maline Creek geomorphology found both Neff and Cupco soils on</w:t>
      </w:r>
      <w:r>
        <w:rPr>
          <w:rFonts w:ascii="Times New Roman" w:hAnsi="Times New Roman"/>
        </w:rPr>
        <w:t xml:space="preserve"> t</w:t>
      </w:r>
      <w:r w:rsidRPr="00D10B25">
        <w:rPr>
          <w:rFonts w:ascii="Times New Roman" w:hAnsi="Times New Roman"/>
        </w:rPr>
        <w:t>h</w:t>
      </w:r>
      <w:r>
        <w:rPr>
          <w:rFonts w:ascii="Times New Roman" w:hAnsi="Times New Roman"/>
        </w:rPr>
        <w:t>e</w:t>
      </w:r>
      <w:r w:rsidRPr="00D10B25">
        <w:rPr>
          <w:rFonts w:ascii="Times New Roman" w:hAnsi="Times New Roman"/>
        </w:rPr>
        <w:t xml:space="preserve"> floodplain.  </w:t>
      </w:r>
      <w:r>
        <w:rPr>
          <w:rFonts w:ascii="Times New Roman" w:hAnsi="Times New Roman"/>
        </w:rPr>
        <w:t>These soils are</w:t>
      </w:r>
      <w:r w:rsidRPr="00A65235">
        <w:rPr>
          <w:rFonts w:ascii="Times New Roman" w:hAnsi="Times New Roman"/>
        </w:rPr>
        <w:t xml:space="preserve"> Ultisols, which are mo</w:t>
      </w:r>
      <w:r>
        <w:rPr>
          <w:rFonts w:ascii="Times New Roman" w:hAnsi="Times New Roman"/>
        </w:rPr>
        <w:t>i</w:t>
      </w:r>
      <w:r w:rsidRPr="00A65235">
        <w:rPr>
          <w:rFonts w:ascii="Times New Roman" w:hAnsi="Times New Roman"/>
        </w:rPr>
        <w:t>st soils with clay accumulation and tend to be</w:t>
      </w:r>
      <w:r>
        <w:rPr>
          <w:rFonts w:ascii="Times New Roman" w:hAnsi="Times New Roman"/>
        </w:rPr>
        <w:t xml:space="preserve"> of</w:t>
      </w:r>
      <w:r w:rsidRPr="00A65235">
        <w:rPr>
          <w:rFonts w:ascii="Times New Roman" w:hAnsi="Times New Roman"/>
        </w:rPr>
        <w:t xml:space="preserve"> low fertility </w:t>
      </w:r>
      <w:r w:rsidR="00F158ED">
        <w:rPr>
          <w:rFonts w:ascii="Times New Roman" w:hAnsi="Times New Roman"/>
        </w:rPr>
        <w:t xml:space="preserve">and not well suited to agriculture </w:t>
      </w:r>
      <w:r w:rsidRPr="00A65235">
        <w:rPr>
          <w:rFonts w:ascii="Times New Roman" w:hAnsi="Times New Roman"/>
        </w:rPr>
        <w:t xml:space="preserve">(Steila and Pond 1989).  </w:t>
      </w:r>
      <w:r w:rsidR="00084D1B">
        <w:rPr>
          <w:rFonts w:ascii="Times New Roman" w:hAnsi="Times New Roman"/>
        </w:rPr>
        <w:t>This low fertility is reflected in the fact that a</w:t>
      </w:r>
      <w:r w:rsidRPr="00A65235">
        <w:rPr>
          <w:rFonts w:ascii="Times New Roman" w:hAnsi="Times New Roman"/>
        </w:rPr>
        <w:t xml:space="preserve">lthough </w:t>
      </w:r>
      <w:r w:rsidR="00CF609A">
        <w:rPr>
          <w:rFonts w:ascii="Times New Roman" w:hAnsi="Times New Roman"/>
        </w:rPr>
        <w:t>Wister area</w:t>
      </w:r>
      <w:r w:rsidRPr="00A65235">
        <w:rPr>
          <w:rFonts w:ascii="Times New Roman" w:hAnsi="Times New Roman"/>
        </w:rPr>
        <w:t xml:space="preserve"> residents practiced some degree of horticulture, they never depended on maize agriculture to the same extent as many of their Mississippian neighbors (Rogers 2011, Regnier 2013).</w:t>
      </w:r>
    </w:p>
    <w:p w14:paraId="297C6B81" w14:textId="3F71CDAF" w:rsidR="00BF0494" w:rsidRPr="00896C43" w:rsidRDefault="00BF0494" w:rsidP="00BF0494">
      <w:pPr>
        <w:ind w:firstLine="720"/>
        <w:rPr>
          <w:rFonts w:ascii="Times New Roman" w:hAnsi="Times New Roman"/>
        </w:rPr>
      </w:pPr>
      <w:r w:rsidRPr="00A65235">
        <w:rPr>
          <w:rFonts w:ascii="Times New Roman" w:hAnsi="Times New Roman"/>
        </w:rPr>
        <w:t>In the Ouachita Mountains, the largest quantity of lithic material suitable for knapping are the nearly unlimited quantities of quartzitic sandstone that make up the Stanley and Jackfork formations (Banks 1990:41).  By contrast, in the Arkansas Valley, the primary knappable material is Webbers Falls siltstone or argillite of the Atoka formation.  This material, which appears to be restricted to a fairly small area</w:t>
      </w:r>
      <w:r w:rsidR="00F158ED">
        <w:rPr>
          <w:rFonts w:ascii="Times New Roman" w:hAnsi="Times New Roman"/>
        </w:rPr>
        <w:t xml:space="preserve"> near Webbers Falls, OK was</w:t>
      </w:r>
      <w:r w:rsidRPr="00A65235">
        <w:rPr>
          <w:rFonts w:ascii="Times New Roman" w:hAnsi="Times New Roman"/>
        </w:rPr>
        <w:t xml:space="preserve"> commonly used to creat</w:t>
      </w:r>
      <w:r w:rsidR="00F158ED">
        <w:rPr>
          <w:rFonts w:ascii="Times New Roman" w:hAnsi="Times New Roman"/>
        </w:rPr>
        <w:t xml:space="preserve">e bifacially flaked hoes during the Fourche Maline </w:t>
      </w:r>
      <w:r w:rsidRPr="00A65235">
        <w:rPr>
          <w:rFonts w:ascii="Times New Roman" w:hAnsi="Times New Roman"/>
        </w:rPr>
        <w:t xml:space="preserve">and early Caddoan occupations (Banks 1990:30).  </w:t>
      </w:r>
      <w:r w:rsidR="00084D1B">
        <w:rPr>
          <w:rFonts w:ascii="Times New Roman" w:hAnsi="Times New Roman"/>
        </w:rPr>
        <w:t>Additionally, Ogal</w:t>
      </w:r>
      <w:r w:rsidR="00896C43">
        <w:rPr>
          <w:rFonts w:ascii="Times New Roman" w:hAnsi="Times New Roman"/>
        </w:rPr>
        <w:t>lal</w:t>
      </w:r>
      <w:r w:rsidR="00084D1B">
        <w:rPr>
          <w:rFonts w:ascii="Times New Roman" w:hAnsi="Times New Roman"/>
        </w:rPr>
        <w:t>a chert cobbles</w:t>
      </w:r>
      <w:r w:rsidR="00896C43">
        <w:rPr>
          <w:rFonts w:ascii="Times New Roman" w:hAnsi="Times New Roman"/>
        </w:rPr>
        <w:t xml:space="preserve">, originating from the </w:t>
      </w:r>
      <w:r w:rsidR="00896C43" w:rsidRPr="00896C43">
        <w:rPr>
          <w:rFonts w:ascii="Times New Roman" w:hAnsi="Times New Roman"/>
        </w:rPr>
        <w:t>Ogallala formation (which extends from South Dakota to west-central Texas) are found in gravel bars of the Arkansas River (Wyckoff 2010).</w:t>
      </w:r>
    </w:p>
    <w:p w14:paraId="76C4D2E9" w14:textId="77777777" w:rsidR="00BD730C" w:rsidRPr="00BE6B63" w:rsidRDefault="00BF0494" w:rsidP="00BD730C">
      <w:pPr>
        <w:ind w:firstLine="720"/>
        <w:rPr>
          <w:rFonts w:ascii="Times New Roman" w:hAnsi="Times New Roman"/>
        </w:rPr>
      </w:pPr>
      <w:r w:rsidRPr="00A65235">
        <w:rPr>
          <w:rFonts w:ascii="Times New Roman" w:hAnsi="Times New Roman"/>
        </w:rPr>
        <w:t>Further north and eas</w:t>
      </w:r>
      <w:r>
        <w:rPr>
          <w:rFonts w:ascii="Times New Roman" w:hAnsi="Times New Roman"/>
        </w:rPr>
        <w:t>t is the Ozark Plateau</w:t>
      </w:r>
      <w:r w:rsidR="00891719">
        <w:rPr>
          <w:rFonts w:ascii="Times New Roman" w:hAnsi="Times New Roman"/>
        </w:rPr>
        <w:t>, containing</w:t>
      </w:r>
      <w:r w:rsidRPr="00A65235">
        <w:rPr>
          <w:rFonts w:ascii="Times New Roman" w:hAnsi="Times New Roman"/>
        </w:rPr>
        <w:t xml:space="preserve"> the richest concentration of knappable stone in Oklahoma (Banks 1984:93).  </w:t>
      </w:r>
      <w:r w:rsidR="00BD730C" w:rsidRPr="00A65235">
        <w:rPr>
          <w:rFonts w:ascii="Times New Roman" w:hAnsi="Times New Roman"/>
        </w:rPr>
        <w:t>The major chert-producing group in this area is the Boone Formation, which includ</w:t>
      </w:r>
      <w:r w:rsidR="00BD730C">
        <w:rPr>
          <w:rFonts w:ascii="Times New Roman" w:hAnsi="Times New Roman"/>
        </w:rPr>
        <w:t xml:space="preserve">es the Keokuk, Reed Springs, Woodford, and Moorefield </w:t>
      </w:r>
      <w:r w:rsidR="00BD730C" w:rsidRPr="00A65235">
        <w:rPr>
          <w:rFonts w:ascii="Times New Roman" w:hAnsi="Times New Roman"/>
        </w:rPr>
        <w:t>formations</w:t>
      </w:r>
      <w:r w:rsidR="00BD730C">
        <w:rPr>
          <w:rFonts w:ascii="Times New Roman" w:hAnsi="Times New Roman"/>
        </w:rPr>
        <w:t xml:space="preserve">.  Keokuk chert is </w:t>
      </w:r>
      <w:r w:rsidR="00BD730C" w:rsidRPr="00A65235">
        <w:rPr>
          <w:rFonts w:ascii="Times New Roman" w:hAnsi="Times New Roman"/>
        </w:rPr>
        <w:t>characteristically light colored</w:t>
      </w:r>
      <w:r w:rsidR="00BD730C">
        <w:rPr>
          <w:rFonts w:ascii="Times New Roman" w:hAnsi="Times New Roman"/>
        </w:rPr>
        <w:t>, while the Reed Springs and Woodford cherts are darker.  The Moorefield formation</w:t>
      </w:r>
      <w:r w:rsidR="00BD730C" w:rsidRPr="00A65235">
        <w:rPr>
          <w:rFonts w:ascii="Times New Roman" w:hAnsi="Times New Roman"/>
        </w:rPr>
        <w:t xml:space="preserve"> produces a black, opaque, waxy lustered type of chert (Bayou Manard) in addition to the more characteristically light colored (Talequah)</w:t>
      </w:r>
      <w:r w:rsidR="00BD730C">
        <w:rPr>
          <w:rFonts w:ascii="Times New Roman" w:hAnsi="Times New Roman"/>
        </w:rPr>
        <w:t xml:space="preserve"> chert</w:t>
      </w:r>
      <w:r w:rsidR="00BD730C" w:rsidRPr="00A65235">
        <w:rPr>
          <w:rFonts w:ascii="Times New Roman" w:hAnsi="Times New Roman"/>
        </w:rPr>
        <w:t xml:space="preserve"> (Banks 1990:29).  </w:t>
      </w:r>
    </w:p>
    <w:p w14:paraId="7BCC4D0E" w14:textId="4383F4B7" w:rsidR="00BF0494" w:rsidRPr="00A65235" w:rsidRDefault="00CF609A" w:rsidP="00BF0494">
      <w:pPr>
        <w:ind w:firstLine="720"/>
        <w:rPr>
          <w:rFonts w:ascii="Times New Roman" w:hAnsi="Times New Roman"/>
        </w:rPr>
      </w:pPr>
      <w:r>
        <w:rPr>
          <w:rFonts w:ascii="Times New Roman" w:hAnsi="Times New Roman"/>
        </w:rPr>
        <w:t>Wister area</w:t>
      </w:r>
      <w:r w:rsidR="00BF0494">
        <w:rPr>
          <w:rFonts w:ascii="Times New Roman" w:hAnsi="Times New Roman"/>
        </w:rPr>
        <w:t xml:space="preserve"> lithics at Fourche Maline sites incorporate all of these material types, although quartzites tend to predominate.  Attempts to distinguish changes in material type utilization through time have proven inconclusive due to the </w:t>
      </w:r>
      <w:r w:rsidR="00DB54D2">
        <w:rPr>
          <w:rFonts w:ascii="Times New Roman" w:hAnsi="Times New Roman"/>
        </w:rPr>
        <w:t xml:space="preserve">lack of good stratigraphy and </w:t>
      </w:r>
      <w:r w:rsidR="00BF0494">
        <w:rPr>
          <w:rFonts w:ascii="Times New Roman" w:hAnsi="Times New Roman"/>
        </w:rPr>
        <w:t>difficulties in establishing firm dates at the Fourch</w:t>
      </w:r>
      <w:r w:rsidR="00891719">
        <w:rPr>
          <w:rFonts w:ascii="Times New Roman" w:hAnsi="Times New Roman"/>
        </w:rPr>
        <w:t>e Maline sites.</w:t>
      </w:r>
    </w:p>
    <w:p w14:paraId="67B513DC" w14:textId="77777777" w:rsidR="00BF0494" w:rsidRDefault="00BF0494" w:rsidP="00CB4ED0">
      <w:pPr>
        <w:pStyle w:val="Heading2"/>
      </w:pPr>
      <w:bookmarkStart w:id="38" w:name="_Toc261025855"/>
      <w:r>
        <w:t>Inhabitation</w:t>
      </w:r>
      <w:bookmarkEnd w:id="38"/>
    </w:p>
    <w:p w14:paraId="28C7CFD7" w14:textId="1837D771" w:rsidR="00BF0494" w:rsidRDefault="00BF0494" w:rsidP="00BF0494">
      <w:pPr>
        <w:ind w:firstLine="720"/>
        <w:rPr>
          <w:rFonts w:ascii="Times New Roman" w:hAnsi="Times New Roman"/>
        </w:rPr>
      </w:pPr>
      <w:r w:rsidRPr="002F27BB">
        <w:rPr>
          <w:rFonts w:ascii="Times New Roman" w:hAnsi="Times New Roman"/>
        </w:rPr>
        <w:t xml:space="preserve">Numerous </w:t>
      </w:r>
      <w:r>
        <w:rPr>
          <w:rFonts w:ascii="Times New Roman" w:hAnsi="Times New Roman"/>
        </w:rPr>
        <w:t>small, scattered sites dating from</w:t>
      </w:r>
      <w:r w:rsidRPr="002F27BB">
        <w:rPr>
          <w:rFonts w:ascii="Times New Roman" w:hAnsi="Times New Roman"/>
        </w:rPr>
        <w:t xml:space="preserve"> 9500-6000 years ago, or the late Holocene, testify to a very long human occupation in the Ouachita Mountains (Wyckoff 2005).  </w:t>
      </w:r>
      <w:r w:rsidR="00F158ED">
        <w:rPr>
          <w:rFonts w:ascii="Times New Roman" w:hAnsi="Times New Roman"/>
        </w:rPr>
        <w:t>In the</w:t>
      </w:r>
      <w:r w:rsidR="005A6677">
        <w:rPr>
          <w:rFonts w:ascii="Times New Roman" w:hAnsi="Times New Roman"/>
        </w:rPr>
        <w:t xml:space="preserve"> </w:t>
      </w:r>
      <w:r w:rsidR="00CF609A">
        <w:rPr>
          <w:rFonts w:ascii="Times New Roman" w:hAnsi="Times New Roman"/>
        </w:rPr>
        <w:t>Wister area</w:t>
      </w:r>
      <w:r w:rsidR="005A6677">
        <w:rPr>
          <w:rFonts w:ascii="Times New Roman" w:hAnsi="Times New Roman"/>
        </w:rPr>
        <w:t xml:space="preserve"> the </w:t>
      </w:r>
      <w:r w:rsidRPr="003A057A">
        <w:rPr>
          <w:rFonts w:ascii="Times New Roman" w:hAnsi="Times New Roman"/>
        </w:rPr>
        <w:t xml:space="preserve">oldest soils along Fourche Maline Creek are approximately 7000 years old (Guiccione 1999), suggesting that we would not expect </w:t>
      </w:r>
      <w:r w:rsidR="00F158ED">
        <w:rPr>
          <w:rFonts w:ascii="Times New Roman" w:hAnsi="Times New Roman"/>
        </w:rPr>
        <w:t>to find</w:t>
      </w:r>
      <w:r w:rsidRPr="003A057A">
        <w:rPr>
          <w:rFonts w:ascii="Times New Roman" w:hAnsi="Times New Roman"/>
        </w:rPr>
        <w:t xml:space="preserve"> archaeological sites any earlier than this.  </w:t>
      </w:r>
      <w:r>
        <w:rPr>
          <w:rFonts w:ascii="Times New Roman" w:hAnsi="Times New Roman"/>
        </w:rPr>
        <w:t xml:space="preserve">By about 4000 ya, the </w:t>
      </w:r>
      <w:r w:rsidR="00CF609A">
        <w:rPr>
          <w:rFonts w:ascii="Times New Roman" w:hAnsi="Times New Roman"/>
        </w:rPr>
        <w:t>Wister area</w:t>
      </w:r>
      <w:r>
        <w:rPr>
          <w:rFonts w:ascii="Times New Roman" w:hAnsi="Times New Roman"/>
        </w:rPr>
        <w:t xml:space="preserve"> had stabilized enough for intensive human inhabitation (Albert and Wyckoff 1984:39).</w:t>
      </w:r>
    </w:p>
    <w:p w14:paraId="147D3AAF" w14:textId="2B0EDD9D" w:rsidR="00BF0494" w:rsidRPr="002F27BB" w:rsidRDefault="00FB1FC3" w:rsidP="009C5432">
      <w:pPr>
        <w:pStyle w:val="Heading3"/>
      </w:pPr>
      <w:bookmarkStart w:id="39" w:name="_Toc261025856"/>
      <w:r>
        <w:t>Wister phase</w:t>
      </w:r>
      <w:r w:rsidR="00BF0494">
        <w:t xml:space="preserve"> (</w:t>
      </w:r>
      <w:r w:rsidR="00BF0494" w:rsidRPr="002F27BB">
        <w:t xml:space="preserve">1500 </w:t>
      </w:r>
      <w:r w:rsidR="00BF0494">
        <w:t>BCE – 300 CE)</w:t>
      </w:r>
      <w:bookmarkEnd w:id="39"/>
    </w:p>
    <w:p w14:paraId="2340FB4E" w14:textId="6C9540B1" w:rsidR="00BF0494" w:rsidRDefault="00BF0494" w:rsidP="00BF0494">
      <w:pPr>
        <w:ind w:firstLine="720"/>
        <w:rPr>
          <w:rFonts w:ascii="Times New Roman" w:hAnsi="Times New Roman"/>
        </w:rPr>
      </w:pPr>
      <w:r w:rsidRPr="002F27BB">
        <w:rPr>
          <w:rFonts w:ascii="Times New Roman" w:hAnsi="Times New Roman"/>
        </w:rPr>
        <w:t>By the Late Archaic, or</w:t>
      </w:r>
      <w:r w:rsidR="00DB54D2">
        <w:rPr>
          <w:rFonts w:ascii="Times New Roman" w:hAnsi="Times New Roman"/>
        </w:rPr>
        <w:t xml:space="preserve"> Wister phase</w:t>
      </w:r>
      <w:r w:rsidRPr="002F27BB">
        <w:rPr>
          <w:rFonts w:ascii="Times New Roman" w:hAnsi="Times New Roman"/>
        </w:rPr>
        <w:t xml:space="preserve">, the </w:t>
      </w:r>
      <w:r w:rsidR="00CF609A">
        <w:rPr>
          <w:rFonts w:ascii="Times New Roman" w:hAnsi="Times New Roman"/>
        </w:rPr>
        <w:t>Wister area</w:t>
      </w:r>
      <w:r>
        <w:rPr>
          <w:rFonts w:ascii="Times New Roman" w:hAnsi="Times New Roman"/>
        </w:rPr>
        <w:t xml:space="preserve"> was extensively occupied.  The </w:t>
      </w:r>
      <w:r w:rsidRPr="002F27BB">
        <w:rPr>
          <w:rFonts w:ascii="Times New Roman" w:hAnsi="Times New Roman"/>
        </w:rPr>
        <w:t xml:space="preserve">occupants left behind small mounds containing stone and bone tools, particularly corner-notched contracting stem spear points, ground stone artifacts, bone tools, and shell ornaments, ash, charcoal, </w:t>
      </w:r>
      <w:r>
        <w:rPr>
          <w:rFonts w:ascii="Times New Roman" w:hAnsi="Times New Roman"/>
        </w:rPr>
        <w:t xml:space="preserve">and human </w:t>
      </w:r>
      <w:r w:rsidRPr="002F27BB">
        <w:rPr>
          <w:rFonts w:ascii="Times New Roman" w:hAnsi="Times New Roman"/>
        </w:rPr>
        <w:t xml:space="preserve">burials (Galm 1984).  </w:t>
      </w:r>
      <w:r>
        <w:rPr>
          <w:rFonts w:ascii="Times New Roman" w:hAnsi="Times New Roman"/>
        </w:rPr>
        <w:t xml:space="preserve"> These small mounds, or middens were spaced every kilometer or so along the Fourche Maline Creek and Poteau River (Wykcoff 1984). </w:t>
      </w:r>
    </w:p>
    <w:p w14:paraId="0EF5ADDD" w14:textId="7C09F77E" w:rsidR="00BF0494" w:rsidRDefault="00BF0494" w:rsidP="00BF0494">
      <w:pPr>
        <w:ind w:firstLine="720"/>
        <w:rPr>
          <w:rFonts w:ascii="Times New Roman" w:hAnsi="Times New Roman"/>
        </w:rPr>
      </w:pPr>
      <w:r w:rsidRPr="002F27BB">
        <w:rPr>
          <w:rFonts w:ascii="Times New Roman" w:hAnsi="Times New Roman"/>
        </w:rPr>
        <w:t xml:space="preserve">Base camps, utilized for nut collecting/processing, hunting, and harvesting of river resources occur frequently in the </w:t>
      </w:r>
      <w:r w:rsidR="00CF609A">
        <w:rPr>
          <w:rFonts w:ascii="Times New Roman" w:hAnsi="Times New Roman"/>
        </w:rPr>
        <w:t>Wister area</w:t>
      </w:r>
      <w:r w:rsidRPr="002F27BB">
        <w:rPr>
          <w:rFonts w:ascii="Times New Roman" w:hAnsi="Times New Roman"/>
        </w:rPr>
        <w:t xml:space="preserve"> during the Wister Phase (Galm</w:t>
      </w:r>
      <w:r>
        <w:rPr>
          <w:rFonts w:ascii="Times New Roman" w:hAnsi="Times New Roman"/>
        </w:rPr>
        <w:t xml:space="preserve"> </w:t>
      </w:r>
      <w:r w:rsidRPr="002F27BB">
        <w:rPr>
          <w:rFonts w:ascii="Times New Roman" w:hAnsi="Times New Roman"/>
        </w:rPr>
        <w:t>1984:213).  The seasonal base camp interpretation</w:t>
      </w:r>
      <w:r>
        <w:rPr>
          <w:rFonts w:ascii="Times New Roman" w:hAnsi="Times New Roman"/>
        </w:rPr>
        <w:t xml:space="preserve"> discussed above</w:t>
      </w:r>
      <w:r w:rsidRPr="002F27BB">
        <w:rPr>
          <w:rFonts w:ascii="Times New Roman" w:hAnsi="Times New Roman"/>
        </w:rPr>
        <w:t xml:space="preserve"> is strengthened by the dearth of evidence for permanent structures (Galm and Flynn 1978:90).  However, large charcoal and ash concentrations at many sites </w:t>
      </w:r>
      <w:r>
        <w:rPr>
          <w:rFonts w:ascii="Times New Roman" w:hAnsi="Times New Roman"/>
        </w:rPr>
        <w:t>have been interpreted as</w:t>
      </w:r>
      <w:r w:rsidRPr="002F27BB">
        <w:rPr>
          <w:rFonts w:ascii="Times New Roman" w:hAnsi="Times New Roman"/>
        </w:rPr>
        <w:t xml:space="preserve"> the remains of temporary hearths (Galm 1984).  Some sites had large concentrations of mussel shells and animal bone which WPA investigators initially interpreted as evidence of feasting, but were re-interpreted as </w:t>
      </w:r>
      <w:r>
        <w:rPr>
          <w:rFonts w:ascii="Times New Roman" w:hAnsi="Times New Roman"/>
        </w:rPr>
        <w:t xml:space="preserve">evidence of </w:t>
      </w:r>
      <w:r w:rsidRPr="002F27BB">
        <w:rPr>
          <w:rFonts w:ascii="Times New Roman" w:hAnsi="Times New Roman"/>
        </w:rPr>
        <w:t>animal processing events (Galm</w:t>
      </w:r>
      <w:r w:rsidR="00F158ED">
        <w:rPr>
          <w:rFonts w:ascii="Times New Roman" w:hAnsi="Times New Roman"/>
        </w:rPr>
        <w:t xml:space="preserve"> and Flynn 1978:67).  The</w:t>
      </w:r>
      <w:r w:rsidRPr="002F27BB">
        <w:rPr>
          <w:rFonts w:ascii="Times New Roman" w:hAnsi="Times New Roman"/>
        </w:rPr>
        <w:t xml:space="preserve"> sites were most likely frequented in different seasons and/or different years (Wyckoff 1984:152).</w:t>
      </w:r>
    </w:p>
    <w:p w14:paraId="021BB88D" w14:textId="76F118B8" w:rsidR="00BF0494" w:rsidRDefault="00BF0494" w:rsidP="00BF0494">
      <w:pPr>
        <w:ind w:firstLine="720"/>
        <w:rPr>
          <w:rFonts w:ascii="Times New Roman" w:hAnsi="Times New Roman"/>
        </w:rPr>
      </w:pPr>
      <w:r>
        <w:rPr>
          <w:rFonts w:ascii="Times New Roman" w:hAnsi="Times New Roman"/>
        </w:rPr>
        <w:t xml:space="preserve">Wister </w:t>
      </w:r>
      <w:r w:rsidR="00E73C97">
        <w:rPr>
          <w:rFonts w:ascii="Times New Roman" w:hAnsi="Times New Roman"/>
        </w:rPr>
        <w:t>phase</w:t>
      </w:r>
      <w:r>
        <w:rPr>
          <w:rFonts w:ascii="Times New Roman" w:hAnsi="Times New Roman"/>
        </w:rPr>
        <w:t xml:space="preserve"> people may have participated in long distance trade networks.  For instance at the Poverty Point site in northwestern Louisiana, argillite (a form of siltstone)</w:t>
      </w:r>
      <w:r w:rsidR="00961845">
        <w:rPr>
          <w:rFonts w:ascii="Times New Roman" w:hAnsi="Times New Roman"/>
        </w:rPr>
        <w:t xml:space="preserve"> as well as</w:t>
      </w:r>
      <w:r>
        <w:rPr>
          <w:rFonts w:ascii="Times New Roman" w:hAnsi="Times New Roman"/>
        </w:rPr>
        <w:t xml:space="preserve"> cherts</w:t>
      </w:r>
      <w:r w:rsidR="00961845">
        <w:rPr>
          <w:rFonts w:ascii="Times New Roman" w:hAnsi="Times New Roman"/>
        </w:rPr>
        <w:t xml:space="preserve"> and sandstones</w:t>
      </w:r>
      <w:r>
        <w:rPr>
          <w:rFonts w:ascii="Times New Roman" w:hAnsi="Times New Roman"/>
        </w:rPr>
        <w:t xml:space="preserve"> from eastern Oklahoma have been </w:t>
      </w:r>
      <w:r w:rsidR="00961845">
        <w:rPr>
          <w:rFonts w:ascii="Times New Roman" w:hAnsi="Times New Roman"/>
        </w:rPr>
        <w:t>recovered</w:t>
      </w:r>
      <w:r>
        <w:rPr>
          <w:rFonts w:ascii="Times New Roman" w:hAnsi="Times New Roman"/>
        </w:rPr>
        <w:t xml:space="preserve"> (Wyckoff 1984).  Marine shells from the Gulf Coast have also been f</w:t>
      </w:r>
      <w:r w:rsidR="00E73C97">
        <w:rPr>
          <w:rFonts w:ascii="Times New Roman" w:hAnsi="Times New Roman"/>
        </w:rPr>
        <w:t>ound in Wister phase</w:t>
      </w:r>
      <w:r>
        <w:rPr>
          <w:rFonts w:ascii="Times New Roman" w:hAnsi="Times New Roman"/>
        </w:rPr>
        <w:t xml:space="preserve"> sites (Wyckoff 1980).  </w:t>
      </w:r>
    </w:p>
    <w:p w14:paraId="7C83B4B6" w14:textId="43FAB281" w:rsidR="00BF0494" w:rsidRDefault="00BF0494" w:rsidP="00BF0494">
      <w:pPr>
        <w:ind w:firstLine="720"/>
        <w:rPr>
          <w:rFonts w:ascii="Times New Roman" w:hAnsi="Times New Roman"/>
        </w:rPr>
      </w:pPr>
      <w:r>
        <w:rPr>
          <w:rFonts w:ascii="Times New Roman" w:hAnsi="Times New Roman"/>
        </w:rPr>
        <w:t xml:space="preserve">Several sites include </w:t>
      </w:r>
      <w:r w:rsidR="00E73C97">
        <w:rPr>
          <w:rFonts w:ascii="Times New Roman" w:hAnsi="Times New Roman"/>
        </w:rPr>
        <w:t>in this study have Wister phase</w:t>
      </w:r>
      <w:r>
        <w:rPr>
          <w:rFonts w:ascii="Times New Roman" w:hAnsi="Times New Roman"/>
        </w:rPr>
        <w:t xml:space="preserve"> dates (in addition to Fourche Maline dates).  </w:t>
      </w:r>
      <w:r w:rsidR="005544F1">
        <w:rPr>
          <w:rFonts w:ascii="Times New Roman" w:hAnsi="Times New Roman"/>
        </w:rPr>
        <w:t>These sites are McCutchan-McLaughlin (34Lt11), Scott (34Lf11), Williams (34Lf 24), Wann (34Lf27), and Adams (34Lf33).</w:t>
      </w:r>
    </w:p>
    <w:p w14:paraId="63B8B2DD" w14:textId="1160A675" w:rsidR="00BF0494" w:rsidRPr="002F27BB" w:rsidRDefault="00E73C97" w:rsidP="009C5432">
      <w:pPr>
        <w:pStyle w:val="Heading3"/>
      </w:pPr>
      <w:bookmarkStart w:id="40" w:name="_Toc261025857"/>
      <w:r>
        <w:t>Fourche Maline phase</w:t>
      </w:r>
      <w:r w:rsidR="00BF0494">
        <w:t xml:space="preserve"> (</w:t>
      </w:r>
      <w:r w:rsidR="00BF0494" w:rsidRPr="006C4D74">
        <w:t>300 – 800/900</w:t>
      </w:r>
      <w:r w:rsidR="00BF0494">
        <w:t xml:space="preserve"> CE)</w:t>
      </w:r>
      <w:bookmarkEnd w:id="40"/>
    </w:p>
    <w:p w14:paraId="3FB2A5B9" w14:textId="4A1E4257" w:rsidR="00BF0494" w:rsidRPr="002F27BB" w:rsidRDefault="00BF0494" w:rsidP="00BF0494">
      <w:pPr>
        <w:ind w:firstLine="720"/>
        <w:rPr>
          <w:rFonts w:ascii="Times New Roman" w:hAnsi="Times New Roman"/>
        </w:rPr>
      </w:pPr>
      <w:r w:rsidRPr="002F27BB">
        <w:rPr>
          <w:rFonts w:ascii="Times New Roman" w:hAnsi="Times New Roman"/>
        </w:rPr>
        <w:t>Pottery, typically thick, grog tempered vessels, marks the transition</w:t>
      </w:r>
      <w:r w:rsidR="00E73C97">
        <w:rPr>
          <w:rFonts w:ascii="Times New Roman" w:hAnsi="Times New Roman"/>
        </w:rPr>
        <w:t xml:space="preserve"> from Wister to Fourche Maline p</w:t>
      </w:r>
      <w:r w:rsidRPr="002F27BB">
        <w:rPr>
          <w:rFonts w:ascii="Times New Roman" w:hAnsi="Times New Roman"/>
        </w:rPr>
        <w:t>hases</w:t>
      </w:r>
      <w:r>
        <w:rPr>
          <w:rFonts w:ascii="Times New Roman" w:hAnsi="Times New Roman"/>
        </w:rPr>
        <w:t xml:space="preserve">, as defined by </w:t>
      </w:r>
      <w:r w:rsidRPr="002F27BB">
        <w:rPr>
          <w:rFonts w:ascii="Times New Roman" w:hAnsi="Times New Roman"/>
        </w:rPr>
        <w:t xml:space="preserve">Galm </w:t>
      </w:r>
      <w:r>
        <w:rPr>
          <w:rFonts w:ascii="Times New Roman" w:hAnsi="Times New Roman"/>
        </w:rPr>
        <w:t>(</w:t>
      </w:r>
      <w:r w:rsidR="005A6677">
        <w:rPr>
          <w:rFonts w:ascii="Times New Roman" w:hAnsi="Times New Roman"/>
        </w:rPr>
        <w:t xml:space="preserve">Galm 1978:26, </w:t>
      </w:r>
      <w:r w:rsidRPr="002F27BB">
        <w:rPr>
          <w:rFonts w:ascii="Times New Roman" w:hAnsi="Times New Roman"/>
        </w:rPr>
        <w:t>1984:213-216).</w:t>
      </w:r>
      <w:r>
        <w:rPr>
          <w:rFonts w:ascii="Times New Roman" w:hAnsi="Times New Roman"/>
        </w:rPr>
        <w:t xml:space="preserve"> </w:t>
      </w:r>
      <w:r w:rsidRPr="002F27BB">
        <w:rPr>
          <w:rFonts w:ascii="Times New Roman" w:hAnsi="Times New Roman"/>
        </w:rPr>
        <w:t xml:space="preserve"> The addition of sm</w:t>
      </w:r>
      <w:r>
        <w:rPr>
          <w:rFonts w:ascii="Times New Roman" w:hAnsi="Times New Roman"/>
        </w:rPr>
        <w:t>all corner-notched arrow points</w:t>
      </w:r>
      <w:r w:rsidRPr="002F27BB">
        <w:rPr>
          <w:rFonts w:ascii="Times New Roman" w:hAnsi="Times New Roman"/>
        </w:rPr>
        <w:t xml:space="preserve"> indicate</w:t>
      </w:r>
      <w:r>
        <w:rPr>
          <w:rFonts w:ascii="Times New Roman" w:hAnsi="Times New Roman"/>
        </w:rPr>
        <w:t>s</w:t>
      </w:r>
      <w:r w:rsidRPr="002F27BB">
        <w:rPr>
          <w:rFonts w:ascii="Times New Roman" w:hAnsi="Times New Roman"/>
        </w:rPr>
        <w:t xml:space="preserve"> adoption of bow and arrow technology.  </w:t>
      </w:r>
      <w:r>
        <w:rPr>
          <w:rFonts w:ascii="Times New Roman" w:hAnsi="Times New Roman"/>
        </w:rPr>
        <w:t xml:space="preserve">However other than these additions, </w:t>
      </w:r>
      <w:r w:rsidRPr="002F27BB">
        <w:rPr>
          <w:rFonts w:ascii="Times New Roman" w:hAnsi="Times New Roman"/>
        </w:rPr>
        <w:t>these</w:t>
      </w:r>
      <w:r>
        <w:rPr>
          <w:rFonts w:ascii="Times New Roman" w:hAnsi="Times New Roman"/>
        </w:rPr>
        <w:t xml:space="preserve"> later people living in the</w:t>
      </w:r>
      <w:r w:rsidRPr="002F27BB">
        <w:rPr>
          <w:rFonts w:ascii="Times New Roman" w:hAnsi="Times New Roman"/>
        </w:rPr>
        <w:t xml:space="preserve"> area appear to have continued with a very similar lifestyle </w:t>
      </w:r>
      <w:r>
        <w:rPr>
          <w:rFonts w:ascii="Times New Roman" w:hAnsi="Times New Roman"/>
        </w:rPr>
        <w:t>as</w:t>
      </w:r>
      <w:r w:rsidRPr="002F27BB">
        <w:rPr>
          <w:rFonts w:ascii="Times New Roman" w:hAnsi="Times New Roman"/>
        </w:rPr>
        <w:t xml:space="preserve"> artifact assemblages are very similar to the Wister Phase.  </w:t>
      </w:r>
    </w:p>
    <w:p w14:paraId="438C7117" w14:textId="6CD68579" w:rsidR="00BF0494" w:rsidRPr="006C4D74" w:rsidRDefault="00BF0494" w:rsidP="00BF0494">
      <w:pPr>
        <w:ind w:firstLine="720"/>
        <w:rPr>
          <w:rFonts w:ascii="Times New Roman" w:hAnsi="Times New Roman"/>
        </w:rPr>
      </w:pPr>
      <w:r w:rsidRPr="002F27BB">
        <w:rPr>
          <w:rFonts w:ascii="Times New Roman" w:hAnsi="Times New Roman"/>
        </w:rPr>
        <w:t>Fourche Maline populations are seen as semi-sedentary</w:t>
      </w:r>
      <w:r>
        <w:rPr>
          <w:rFonts w:ascii="Times New Roman" w:hAnsi="Times New Roman"/>
        </w:rPr>
        <w:t xml:space="preserve"> hunter-gatherers who may have lived in </w:t>
      </w:r>
      <w:r w:rsidRPr="002F27BB">
        <w:rPr>
          <w:rFonts w:ascii="Times New Roman" w:hAnsi="Times New Roman"/>
        </w:rPr>
        <w:t>village</w:t>
      </w:r>
      <w:r>
        <w:rPr>
          <w:rFonts w:ascii="Times New Roman" w:hAnsi="Times New Roman"/>
        </w:rPr>
        <w:t>s</w:t>
      </w:r>
      <w:r w:rsidRPr="002F27BB">
        <w:rPr>
          <w:rFonts w:ascii="Times New Roman" w:hAnsi="Times New Roman"/>
        </w:rPr>
        <w:t xml:space="preserve"> </w:t>
      </w:r>
      <w:r>
        <w:rPr>
          <w:rFonts w:ascii="Times New Roman" w:hAnsi="Times New Roman"/>
        </w:rPr>
        <w:t>and</w:t>
      </w:r>
      <w:r w:rsidRPr="002F27BB">
        <w:rPr>
          <w:rFonts w:ascii="Times New Roman" w:hAnsi="Times New Roman"/>
        </w:rPr>
        <w:t xml:space="preserve"> who eventually developed into Caddoan language speaking groups</w:t>
      </w:r>
      <w:r w:rsidR="00891719">
        <w:rPr>
          <w:rFonts w:ascii="Times New Roman" w:hAnsi="Times New Roman"/>
        </w:rPr>
        <w:t xml:space="preserve"> (Galm 1984</w:t>
      </w:r>
      <w:r>
        <w:rPr>
          <w:rFonts w:ascii="Times New Roman" w:hAnsi="Times New Roman"/>
        </w:rPr>
        <w:t>)</w:t>
      </w:r>
      <w:r w:rsidRPr="002F27BB">
        <w:rPr>
          <w:rFonts w:ascii="Times New Roman" w:hAnsi="Times New Roman"/>
        </w:rPr>
        <w:t>.</w:t>
      </w:r>
      <w:r>
        <w:rPr>
          <w:rFonts w:ascii="Times New Roman" w:hAnsi="Times New Roman"/>
        </w:rPr>
        <w:t xml:space="preserve"> </w:t>
      </w:r>
      <w:r w:rsidRPr="002F27BB">
        <w:rPr>
          <w:rFonts w:ascii="Times New Roman" w:hAnsi="Times New Roman"/>
        </w:rPr>
        <w:t xml:space="preserve"> </w:t>
      </w:r>
      <w:r w:rsidRPr="006C4D74">
        <w:rPr>
          <w:rFonts w:ascii="Times New Roman" w:hAnsi="Times New Roman"/>
        </w:rPr>
        <w:t xml:space="preserve">Although they did use a basic, distinctive, grog tempered pottery, there appeared to be no indication of agriculture.  However </w:t>
      </w:r>
      <w:r>
        <w:rPr>
          <w:rFonts w:ascii="Times New Roman" w:hAnsi="Times New Roman"/>
        </w:rPr>
        <w:t>the presence of manos and metates suggest</w:t>
      </w:r>
      <w:r w:rsidRPr="006C4D74">
        <w:rPr>
          <w:rFonts w:ascii="Times New Roman" w:hAnsi="Times New Roman"/>
        </w:rPr>
        <w:t xml:space="preserve"> some form of plant gathering and processing and perhaps some basic horticulture.  Their material culture was dominated by Gary points and other lithics such as </w:t>
      </w:r>
      <w:r>
        <w:rPr>
          <w:rFonts w:ascii="Times New Roman" w:hAnsi="Times New Roman"/>
        </w:rPr>
        <w:t>boatstones and bannerstones, as well as</w:t>
      </w:r>
      <w:r w:rsidR="00940779">
        <w:rPr>
          <w:rFonts w:ascii="Times New Roman" w:hAnsi="Times New Roman"/>
        </w:rPr>
        <w:t xml:space="preserve"> bone tools (Galm 1984</w:t>
      </w:r>
      <w:r w:rsidRPr="006C4D74">
        <w:rPr>
          <w:rFonts w:ascii="Times New Roman" w:hAnsi="Times New Roman"/>
        </w:rPr>
        <w:t xml:space="preserve">).  </w:t>
      </w:r>
      <w:r>
        <w:rPr>
          <w:rFonts w:ascii="Times New Roman" w:hAnsi="Times New Roman"/>
        </w:rPr>
        <w:t xml:space="preserve">Despite the addition of both pottery and arrow points, </w:t>
      </w:r>
      <w:r w:rsidRPr="006C4D74">
        <w:rPr>
          <w:rFonts w:ascii="Times New Roman" w:hAnsi="Times New Roman"/>
        </w:rPr>
        <w:t xml:space="preserve">the material culture was seen as being remarkably static for many centuries. </w:t>
      </w:r>
    </w:p>
    <w:p w14:paraId="7DDB52BF" w14:textId="77777777" w:rsidR="00BF0494" w:rsidRDefault="00BF0494" w:rsidP="00BF0494">
      <w:pPr>
        <w:ind w:firstLine="720"/>
        <w:rPr>
          <w:rFonts w:ascii="Times New Roman" w:hAnsi="Times New Roman"/>
        </w:rPr>
      </w:pPr>
      <w:r w:rsidRPr="002F27BB">
        <w:rPr>
          <w:rFonts w:ascii="Times New Roman" w:hAnsi="Times New Roman"/>
        </w:rPr>
        <w:t xml:space="preserve">Fourche Maline people buried their dead in small mounds that have been </w:t>
      </w:r>
      <w:r>
        <w:rPr>
          <w:rFonts w:ascii="Times New Roman" w:hAnsi="Times New Roman"/>
        </w:rPr>
        <w:t xml:space="preserve">previously </w:t>
      </w:r>
      <w:r w:rsidRPr="002F27BB">
        <w:rPr>
          <w:rFonts w:ascii="Times New Roman" w:hAnsi="Times New Roman"/>
        </w:rPr>
        <w:t xml:space="preserve">characterized as middens.  Despite the high concentration of </w:t>
      </w:r>
      <w:r>
        <w:rPr>
          <w:rFonts w:ascii="Times New Roman" w:hAnsi="Times New Roman"/>
        </w:rPr>
        <w:t xml:space="preserve">human </w:t>
      </w:r>
      <w:r w:rsidRPr="002F27BB">
        <w:rPr>
          <w:rFonts w:ascii="Times New Roman" w:hAnsi="Times New Roman"/>
        </w:rPr>
        <w:t xml:space="preserve">burials in these mounds, they are routinely referred to as middens, or midden mounds.  </w:t>
      </w:r>
      <w:r>
        <w:rPr>
          <w:rFonts w:ascii="Times New Roman" w:hAnsi="Times New Roman"/>
        </w:rPr>
        <w:t>Some of these</w:t>
      </w:r>
      <w:r w:rsidRPr="002F27BB">
        <w:rPr>
          <w:rFonts w:ascii="Times New Roman" w:hAnsi="Times New Roman"/>
        </w:rPr>
        <w:t xml:space="preserve"> Fourche Maline mounds </w:t>
      </w:r>
      <w:r>
        <w:rPr>
          <w:rFonts w:ascii="Times New Roman" w:hAnsi="Times New Roman"/>
        </w:rPr>
        <w:t>have</w:t>
      </w:r>
      <w:r w:rsidRPr="002F27BB">
        <w:rPr>
          <w:rFonts w:ascii="Times New Roman" w:hAnsi="Times New Roman"/>
        </w:rPr>
        <w:t xml:space="preserve"> hundreds of burials and associated grave goods</w:t>
      </w:r>
      <w:r>
        <w:rPr>
          <w:rFonts w:ascii="Times New Roman" w:hAnsi="Times New Roman"/>
        </w:rPr>
        <w:t xml:space="preserve">. </w:t>
      </w:r>
      <w:r w:rsidRPr="002F27BB">
        <w:rPr>
          <w:rFonts w:ascii="Times New Roman" w:hAnsi="Times New Roman"/>
        </w:rPr>
        <w:t>Given that the small Fourche Maline mounds with burials are almost certainly precursors to later large mound sites, including Spiro</w:t>
      </w:r>
      <w:r>
        <w:rPr>
          <w:rFonts w:ascii="Times New Roman" w:hAnsi="Times New Roman"/>
        </w:rPr>
        <w:t xml:space="preserve"> Mounds</w:t>
      </w:r>
      <w:r w:rsidRPr="002F27BB">
        <w:rPr>
          <w:rFonts w:ascii="Times New Roman" w:hAnsi="Times New Roman"/>
        </w:rPr>
        <w:t xml:space="preserve">, it seems particularly surprising that Fourche Maline mounds have </w:t>
      </w:r>
      <w:r>
        <w:rPr>
          <w:rFonts w:ascii="Times New Roman" w:hAnsi="Times New Roman"/>
        </w:rPr>
        <w:t xml:space="preserve">for </w:t>
      </w:r>
      <w:r w:rsidRPr="002F27BB">
        <w:rPr>
          <w:rFonts w:ascii="Times New Roman" w:hAnsi="Times New Roman"/>
        </w:rPr>
        <w:t>so long been relegated to both the literal and figurative trash heap.</w:t>
      </w:r>
      <w:r>
        <w:rPr>
          <w:rFonts w:ascii="Times New Roman" w:hAnsi="Times New Roman"/>
        </w:rPr>
        <w:t xml:space="preserve">  Dismissing the Fourche Maline mounds as</w:t>
      </w:r>
      <w:r w:rsidRPr="002F27BB">
        <w:rPr>
          <w:rFonts w:ascii="Times New Roman" w:hAnsi="Times New Roman"/>
        </w:rPr>
        <w:t xml:space="preserve"> </w:t>
      </w:r>
      <w:r>
        <w:rPr>
          <w:rFonts w:ascii="Times New Roman" w:hAnsi="Times New Roman"/>
        </w:rPr>
        <w:t>trash heaps is not only disrespectful, but impairs analysis and understanding by obfuscating their importance.</w:t>
      </w:r>
    </w:p>
    <w:p w14:paraId="62026FF5" w14:textId="11CFEECC" w:rsidR="00BF0494" w:rsidRDefault="00E73C97" w:rsidP="009C5432">
      <w:pPr>
        <w:pStyle w:val="Heading3"/>
      </w:pPr>
      <w:bookmarkStart w:id="41" w:name="_Toc261025858"/>
      <w:r>
        <w:t>Harlan phase</w:t>
      </w:r>
      <w:r w:rsidR="00BF0494">
        <w:t xml:space="preserve"> (900 – 1200 CE</w:t>
      </w:r>
      <w:r w:rsidR="00BF0494" w:rsidRPr="002F27BB">
        <w:t>)</w:t>
      </w:r>
      <w:bookmarkEnd w:id="41"/>
    </w:p>
    <w:p w14:paraId="128DEC8A" w14:textId="1736B9DC" w:rsidR="00BF0494" w:rsidRDefault="00E73C97" w:rsidP="00BF0494">
      <w:pPr>
        <w:ind w:firstLine="720"/>
        <w:rPr>
          <w:rFonts w:ascii="Times New Roman" w:hAnsi="Times New Roman"/>
        </w:rPr>
      </w:pPr>
      <w:r>
        <w:rPr>
          <w:rFonts w:ascii="Times New Roman" w:hAnsi="Times New Roman"/>
        </w:rPr>
        <w:t>The Fourche Maline phase</w:t>
      </w:r>
      <w:r w:rsidR="00BF0494" w:rsidRPr="006C4D74">
        <w:rPr>
          <w:rFonts w:ascii="Times New Roman" w:hAnsi="Times New Roman"/>
        </w:rPr>
        <w:t xml:space="preserve"> </w:t>
      </w:r>
      <w:r>
        <w:rPr>
          <w:rFonts w:ascii="Times New Roman" w:hAnsi="Times New Roman"/>
        </w:rPr>
        <w:t>transitioned into the more complex Harlan phase</w:t>
      </w:r>
      <w:r w:rsidR="00BF0494" w:rsidRPr="006C4D74">
        <w:rPr>
          <w:rFonts w:ascii="Times New Roman" w:hAnsi="Times New Roman"/>
        </w:rPr>
        <w:t>.  By Harlan times there was an increase in population (or perhaps simply an aggregation of peo</w:t>
      </w:r>
      <w:r w:rsidR="00BF0494">
        <w:rPr>
          <w:rFonts w:ascii="Times New Roman" w:hAnsi="Times New Roman"/>
        </w:rPr>
        <w:t>ple into more settled villages)</w:t>
      </w:r>
      <w:r w:rsidR="00BF0494" w:rsidRPr="006C4D74">
        <w:rPr>
          <w:rFonts w:ascii="Times New Roman" w:hAnsi="Times New Roman"/>
        </w:rPr>
        <w:t xml:space="preserve"> </w:t>
      </w:r>
      <w:r w:rsidR="00BF0494">
        <w:rPr>
          <w:rFonts w:ascii="Times New Roman" w:hAnsi="Times New Roman"/>
        </w:rPr>
        <w:t xml:space="preserve">and an increase in </w:t>
      </w:r>
      <w:r w:rsidR="00BF0494" w:rsidRPr="002F27BB">
        <w:rPr>
          <w:rFonts w:ascii="Times New Roman" w:hAnsi="Times New Roman"/>
        </w:rPr>
        <w:t>social complexity manifested by the development of a religious and political elite that was cente</w:t>
      </w:r>
      <w:r w:rsidR="00BF0494">
        <w:rPr>
          <w:rFonts w:ascii="Times New Roman" w:hAnsi="Times New Roman"/>
        </w:rPr>
        <w:t>red at major sites (Bell 1984).</w:t>
      </w:r>
      <w:r w:rsidR="00BF0494" w:rsidRPr="002F27BB">
        <w:rPr>
          <w:rFonts w:ascii="Times New Roman" w:hAnsi="Times New Roman"/>
        </w:rPr>
        <w:t xml:space="preserve">  </w:t>
      </w:r>
      <w:r w:rsidR="00BF0494">
        <w:rPr>
          <w:rFonts w:ascii="Times New Roman" w:hAnsi="Times New Roman"/>
        </w:rPr>
        <w:t xml:space="preserve">Between 700 </w:t>
      </w:r>
      <w:r w:rsidR="00AE6769">
        <w:rPr>
          <w:rFonts w:ascii="Times New Roman" w:hAnsi="Times New Roman"/>
        </w:rPr>
        <w:t xml:space="preserve">– 1300 CE, </w:t>
      </w:r>
      <w:r w:rsidR="00BF0494">
        <w:rPr>
          <w:rFonts w:ascii="Times New Roman" w:hAnsi="Times New Roman"/>
        </w:rPr>
        <w:t>at least 15 community centers were built in the Arkansas Basin (Wyckoff 1980).  These sites included formal burial or temple mounds and houses</w:t>
      </w:r>
      <w:r w:rsidR="00BE3533">
        <w:rPr>
          <w:rFonts w:ascii="Times New Roman" w:hAnsi="Times New Roman"/>
        </w:rPr>
        <w:t xml:space="preserve"> for</w:t>
      </w:r>
      <w:r w:rsidR="00BF0494">
        <w:rPr>
          <w:rFonts w:ascii="Times New Roman" w:hAnsi="Times New Roman"/>
        </w:rPr>
        <w:t xml:space="preserve"> political-religious leaders </w:t>
      </w:r>
      <w:r w:rsidR="00BE3533">
        <w:rPr>
          <w:rFonts w:ascii="Times New Roman" w:hAnsi="Times New Roman"/>
        </w:rPr>
        <w:t>to administer</w:t>
      </w:r>
      <w:r w:rsidR="00BF0494">
        <w:rPr>
          <w:rFonts w:ascii="Times New Roman" w:hAnsi="Times New Roman"/>
        </w:rPr>
        <w:t xml:space="preserve"> spiritual and governmental affairs.</w:t>
      </w:r>
    </w:p>
    <w:p w14:paraId="69B81823" w14:textId="212DDEC0" w:rsidR="00BF0494" w:rsidRPr="002F27BB" w:rsidRDefault="00BF0494" w:rsidP="00BF0494">
      <w:pPr>
        <w:ind w:firstLine="720"/>
        <w:rPr>
          <w:rFonts w:ascii="Times New Roman" w:hAnsi="Times New Roman"/>
        </w:rPr>
      </w:pPr>
      <w:r>
        <w:rPr>
          <w:rFonts w:ascii="Times New Roman" w:hAnsi="Times New Roman"/>
        </w:rPr>
        <w:t>Formal</w:t>
      </w:r>
      <w:r w:rsidRPr="002F27BB">
        <w:rPr>
          <w:rFonts w:ascii="Times New Roman" w:hAnsi="Times New Roman"/>
        </w:rPr>
        <w:t xml:space="preserve"> mortuary structures and mortuary mounds</w:t>
      </w:r>
      <w:r w:rsidR="00E73C97">
        <w:rPr>
          <w:rFonts w:ascii="Times New Roman" w:hAnsi="Times New Roman"/>
        </w:rPr>
        <w:t xml:space="preserve"> appear during the Harlan phase</w:t>
      </w:r>
      <w:r w:rsidRPr="002F27BB">
        <w:rPr>
          <w:rFonts w:ascii="Times New Roman" w:hAnsi="Times New Roman"/>
        </w:rPr>
        <w:t>.  Mortuary structures were built to house the dead; when the structure became full the remains were removed, the structure was burned, and a mound was constructed over the burned structure.  The remains were then secondarily interr</w:t>
      </w:r>
      <w:r w:rsidR="00940779">
        <w:rPr>
          <w:rFonts w:ascii="Times New Roman" w:hAnsi="Times New Roman"/>
        </w:rPr>
        <w:t>ed in a nearby mound (Bell 1984</w:t>
      </w:r>
      <w:r w:rsidRPr="002F27BB">
        <w:rPr>
          <w:rFonts w:ascii="Times New Roman" w:hAnsi="Times New Roman"/>
        </w:rPr>
        <w:t>:2</w:t>
      </w:r>
      <w:r w:rsidR="00636B1F">
        <w:rPr>
          <w:rFonts w:ascii="Times New Roman" w:hAnsi="Times New Roman"/>
        </w:rPr>
        <w:t>2</w:t>
      </w:r>
      <w:r w:rsidRPr="002F27BB">
        <w:rPr>
          <w:rFonts w:ascii="Times New Roman" w:hAnsi="Times New Roman"/>
        </w:rPr>
        <w:t>9-231).</w:t>
      </w:r>
      <w:r>
        <w:rPr>
          <w:rFonts w:ascii="Times New Roman" w:hAnsi="Times New Roman"/>
        </w:rPr>
        <w:t xml:space="preserve">  At this point, b</w:t>
      </w:r>
      <w:r w:rsidRPr="006C4D74">
        <w:rPr>
          <w:rFonts w:ascii="Times New Roman" w:hAnsi="Times New Roman"/>
        </w:rPr>
        <w:t xml:space="preserve">urials </w:t>
      </w:r>
      <w:r>
        <w:rPr>
          <w:rFonts w:ascii="Times New Roman" w:hAnsi="Times New Roman"/>
        </w:rPr>
        <w:t xml:space="preserve">begin to </w:t>
      </w:r>
      <w:r w:rsidRPr="006C4D74">
        <w:rPr>
          <w:rFonts w:ascii="Times New Roman" w:hAnsi="Times New Roman"/>
        </w:rPr>
        <w:t>show some differenti</w:t>
      </w:r>
      <w:r>
        <w:rPr>
          <w:rFonts w:ascii="Times New Roman" w:hAnsi="Times New Roman"/>
        </w:rPr>
        <w:t xml:space="preserve">ation in terms of grave goods, with some burials </w:t>
      </w:r>
      <w:r w:rsidR="00BE3533">
        <w:rPr>
          <w:rFonts w:ascii="Times New Roman" w:hAnsi="Times New Roman"/>
        </w:rPr>
        <w:t>containing</w:t>
      </w:r>
      <w:r>
        <w:rPr>
          <w:rFonts w:ascii="Times New Roman" w:hAnsi="Times New Roman"/>
        </w:rPr>
        <w:t xml:space="preserve"> more elaborate funerary objects.</w:t>
      </w:r>
    </w:p>
    <w:p w14:paraId="5682E4C9" w14:textId="5C409DBD" w:rsidR="00BF0494" w:rsidRDefault="00BF0494" w:rsidP="00BF0494">
      <w:pPr>
        <w:ind w:firstLine="720"/>
        <w:rPr>
          <w:rFonts w:ascii="Times New Roman" w:hAnsi="Times New Roman"/>
        </w:rPr>
      </w:pPr>
      <w:r w:rsidRPr="002F27BB">
        <w:rPr>
          <w:rFonts w:ascii="Times New Roman" w:hAnsi="Times New Roman"/>
        </w:rPr>
        <w:t xml:space="preserve">Subsistence is thought to have been a </w:t>
      </w:r>
      <w:r>
        <w:rPr>
          <w:rFonts w:ascii="Times New Roman" w:hAnsi="Times New Roman"/>
        </w:rPr>
        <w:t xml:space="preserve">mix of horticulture and hunting, gathering, and </w:t>
      </w:r>
      <w:r w:rsidRPr="002F27BB">
        <w:rPr>
          <w:rFonts w:ascii="Times New Roman" w:hAnsi="Times New Roman"/>
        </w:rPr>
        <w:t xml:space="preserve">fishing.  </w:t>
      </w:r>
      <w:r w:rsidRPr="006C4D74">
        <w:rPr>
          <w:rFonts w:ascii="Times New Roman" w:hAnsi="Times New Roman"/>
        </w:rPr>
        <w:t xml:space="preserve">Horticulture is presumed to have been well-developed due to the presence of manos and </w:t>
      </w:r>
      <w:r w:rsidR="006E6C4E">
        <w:rPr>
          <w:rFonts w:ascii="Times New Roman" w:hAnsi="Times New Roman"/>
        </w:rPr>
        <w:t>me</w:t>
      </w:r>
      <w:r w:rsidR="00636B1F">
        <w:rPr>
          <w:rFonts w:ascii="Times New Roman" w:hAnsi="Times New Roman"/>
        </w:rPr>
        <w:t>tates (seed processing implements)</w:t>
      </w:r>
      <w:r w:rsidRPr="006C4D74">
        <w:rPr>
          <w:rFonts w:ascii="Times New Roman" w:hAnsi="Times New Roman"/>
        </w:rPr>
        <w:t xml:space="preserve"> as well as stone hoes.</w:t>
      </w:r>
      <w:r>
        <w:rPr>
          <w:rFonts w:ascii="Times New Roman" w:hAnsi="Times New Roman"/>
        </w:rPr>
        <w:t xml:space="preserve"> </w:t>
      </w:r>
      <w:r w:rsidRPr="006C4D74">
        <w:rPr>
          <w:rFonts w:ascii="Times New Roman" w:hAnsi="Times New Roman"/>
        </w:rPr>
        <w:t xml:space="preserve"> </w:t>
      </w:r>
      <w:r w:rsidRPr="002F27BB">
        <w:rPr>
          <w:rFonts w:ascii="Times New Roman" w:hAnsi="Times New Roman"/>
        </w:rPr>
        <w:t xml:space="preserve">Increased trade is indicated by the presence of valued exotic goods.  The presence of conch shell and copper items differentiates the Harlan Phase from earlier, formative periods (Bell 1984:228).  </w:t>
      </w:r>
    </w:p>
    <w:p w14:paraId="768FC656" w14:textId="0A15D520" w:rsidR="00BF0494" w:rsidRPr="002F27BB" w:rsidRDefault="00E73C97" w:rsidP="009C5432">
      <w:pPr>
        <w:pStyle w:val="Heading3"/>
      </w:pPr>
      <w:bookmarkStart w:id="42" w:name="_Toc261025859"/>
      <w:r>
        <w:t>Spiro phase</w:t>
      </w:r>
      <w:r w:rsidR="00BF0494">
        <w:t xml:space="preserve"> (1200 – 1400 CE)</w:t>
      </w:r>
      <w:bookmarkEnd w:id="42"/>
    </w:p>
    <w:p w14:paraId="45F10121" w14:textId="5F96CF40" w:rsidR="003A3097" w:rsidRDefault="003A3097" w:rsidP="003A3097">
      <w:pPr>
        <w:ind w:firstLine="720"/>
        <w:rPr>
          <w:rFonts w:ascii="Times New Roman" w:hAnsi="Times New Roman"/>
        </w:rPr>
      </w:pPr>
      <w:r>
        <w:rPr>
          <w:rFonts w:ascii="Times New Roman" w:hAnsi="Times New Roman"/>
        </w:rPr>
        <w:t xml:space="preserve">The Spiro </w:t>
      </w:r>
      <w:r w:rsidR="00E73C97">
        <w:rPr>
          <w:rFonts w:ascii="Times New Roman" w:hAnsi="Times New Roman"/>
        </w:rPr>
        <w:t>phase</w:t>
      </w:r>
      <w:r>
        <w:rPr>
          <w:rFonts w:ascii="Times New Roman" w:hAnsi="Times New Roman"/>
        </w:rPr>
        <w:t xml:space="preserve"> represents the climax of </w:t>
      </w:r>
      <w:r w:rsidRPr="002F27BB">
        <w:rPr>
          <w:rFonts w:ascii="Times New Roman" w:hAnsi="Times New Roman"/>
        </w:rPr>
        <w:t>social</w:t>
      </w:r>
      <w:r w:rsidR="00E72003">
        <w:rPr>
          <w:rFonts w:ascii="Times New Roman" w:hAnsi="Times New Roman"/>
        </w:rPr>
        <w:t xml:space="preserve"> and political</w:t>
      </w:r>
      <w:r w:rsidRPr="002F27BB">
        <w:rPr>
          <w:rFonts w:ascii="Times New Roman" w:hAnsi="Times New Roman"/>
        </w:rPr>
        <w:t xml:space="preserve"> complexity</w:t>
      </w:r>
      <w:r>
        <w:rPr>
          <w:rFonts w:ascii="Times New Roman" w:hAnsi="Times New Roman"/>
        </w:rPr>
        <w:t xml:space="preserve"> in the area </w:t>
      </w:r>
      <w:r w:rsidRPr="002F27BB">
        <w:rPr>
          <w:rFonts w:ascii="Times New Roman" w:hAnsi="Times New Roman"/>
        </w:rPr>
        <w:t>(Brown 1984:241) and is exemplified by the Spiro</w:t>
      </w:r>
      <w:r>
        <w:rPr>
          <w:rFonts w:ascii="Times New Roman" w:hAnsi="Times New Roman"/>
        </w:rPr>
        <w:t xml:space="preserve"> Mounds</w:t>
      </w:r>
      <w:r w:rsidRPr="002F27BB">
        <w:rPr>
          <w:rFonts w:ascii="Times New Roman" w:hAnsi="Times New Roman"/>
        </w:rPr>
        <w:t xml:space="preserve"> site, </w:t>
      </w:r>
      <w:r>
        <w:rPr>
          <w:rFonts w:ascii="Times New Roman" w:hAnsi="Times New Roman"/>
        </w:rPr>
        <w:t xml:space="preserve">located </w:t>
      </w:r>
      <w:r w:rsidRPr="002F27BB">
        <w:rPr>
          <w:rFonts w:ascii="Times New Roman" w:hAnsi="Times New Roman"/>
        </w:rPr>
        <w:t xml:space="preserve">slightly north and east of the </w:t>
      </w:r>
      <w:r w:rsidR="00CF609A">
        <w:rPr>
          <w:rFonts w:ascii="Times New Roman" w:hAnsi="Times New Roman"/>
        </w:rPr>
        <w:t>Wister area</w:t>
      </w:r>
      <w:r>
        <w:rPr>
          <w:rFonts w:ascii="Times New Roman" w:hAnsi="Times New Roman"/>
        </w:rPr>
        <w:t>, on</w:t>
      </w:r>
      <w:r w:rsidR="006E6C4E">
        <w:rPr>
          <w:rFonts w:ascii="Times New Roman" w:hAnsi="Times New Roman"/>
        </w:rPr>
        <w:t xml:space="preserve"> the Arkansas River.  </w:t>
      </w:r>
      <w:r>
        <w:rPr>
          <w:rFonts w:ascii="Times New Roman" w:hAnsi="Times New Roman"/>
        </w:rPr>
        <w:t>Spiro Mounds would have been just a short c</w:t>
      </w:r>
      <w:r w:rsidR="00C94640">
        <w:rPr>
          <w:rFonts w:ascii="Times New Roman" w:hAnsi="Times New Roman"/>
        </w:rPr>
        <w:t>anoe ride away from the eastern</w:t>
      </w:r>
      <w:r>
        <w:rPr>
          <w:rFonts w:ascii="Times New Roman" w:hAnsi="Times New Roman"/>
        </w:rPr>
        <w:t xml:space="preserve">most </w:t>
      </w:r>
      <w:r w:rsidR="00CF609A">
        <w:rPr>
          <w:rFonts w:ascii="Times New Roman" w:hAnsi="Times New Roman"/>
        </w:rPr>
        <w:t>Wister area</w:t>
      </w:r>
      <w:r>
        <w:rPr>
          <w:rFonts w:ascii="Times New Roman" w:hAnsi="Times New Roman"/>
        </w:rPr>
        <w:t xml:space="preserve"> sites such as Akers (34Lf32).  This community center was </w:t>
      </w:r>
      <w:r w:rsidRPr="006C4D74">
        <w:rPr>
          <w:rFonts w:ascii="Times New Roman" w:hAnsi="Times New Roman"/>
        </w:rPr>
        <w:t xml:space="preserve">one of the largest civic and ceremonial sites in North America, and certainly </w:t>
      </w:r>
      <w:r>
        <w:rPr>
          <w:rFonts w:ascii="Times New Roman" w:hAnsi="Times New Roman"/>
        </w:rPr>
        <w:t xml:space="preserve">contained </w:t>
      </w:r>
      <w:r w:rsidRPr="006C4D74">
        <w:rPr>
          <w:rFonts w:ascii="Times New Roman" w:hAnsi="Times New Roman"/>
        </w:rPr>
        <w:t xml:space="preserve">the most elaborate, extensive, and exotic corpus of </w:t>
      </w:r>
      <w:r>
        <w:rPr>
          <w:rFonts w:ascii="Times New Roman" w:hAnsi="Times New Roman"/>
        </w:rPr>
        <w:t>artifacts</w:t>
      </w:r>
      <w:r w:rsidRPr="006C4D74">
        <w:rPr>
          <w:rFonts w:ascii="Times New Roman" w:hAnsi="Times New Roman"/>
        </w:rPr>
        <w:t xml:space="preserve"> (Brown 1984</w:t>
      </w:r>
      <w:r w:rsidR="00940779">
        <w:rPr>
          <w:rFonts w:ascii="Times New Roman" w:hAnsi="Times New Roman"/>
        </w:rPr>
        <w:t>, Rogers 1982</w:t>
      </w:r>
      <w:r>
        <w:rPr>
          <w:rFonts w:ascii="Times New Roman" w:hAnsi="Times New Roman"/>
        </w:rPr>
        <w:t>).</w:t>
      </w:r>
    </w:p>
    <w:p w14:paraId="18D88848" w14:textId="7ED56F9B" w:rsidR="003A3097" w:rsidRDefault="00C94640" w:rsidP="003A3097">
      <w:pPr>
        <w:ind w:firstLine="720"/>
        <w:rPr>
          <w:rFonts w:ascii="Times New Roman" w:hAnsi="Times New Roman"/>
        </w:rPr>
      </w:pPr>
      <w:r>
        <w:rPr>
          <w:rFonts w:ascii="Times New Roman" w:hAnsi="Times New Roman"/>
        </w:rPr>
        <w:t>Spiro Mounds was the western</w:t>
      </w:r>
      <w:r w:rsidR="003A3097">
        <w:rPr>
          <w:rFonts w:ascii="Times New Roman" w:hAnsi="Times New Roman"/>
        </w:rPr>
        <w:t>most manifestation of the Mississippian efflorescence, and a</w:t>
      </w:r>
      <w:r w:rsidR="003A3097" w:rsidRPr="006C4D74">
        <w:rPr>
          <w:rFonts w:ascii="Times New Roman" w:hAnsi="Times New Roman"/>
        </w:rPr>
        <w:t xml:space="preserve"> complex and stratified political and social structure was assumed to have accompanied this spectacular material corpus</w:t>
      </w:r>
      <w:r w:rsidR="003A3097">
        <w:rPr>
          <w:rFonts w:ascii="Times New Roman" w:hAnsi="Times New Roman"/>
        </w:rPr>
        <w:t>.  T</w:t>
      </w:r>
      <w:r w:rsidR="003A3097" w:rsidRPr="006C4D74">
        <w:rPr>
          <w:rFonts w:ascii="Times New Roman" w:hAnsi="Times New Roman"/>
        </w:rPr>
        <w:t xml:space="preserve">he </w:t>
      </w:r>
      <w:r w:rsidR="003A3097">
        <w:rPr>
          <w:rFonts w:ascii="Times New Roman" w:hAnsi="Times New Roman"/>
        </w:rPr>
        <w:t>elaborate</w:t>
      </w:r>
      <w:r w:rsidR="003A3097" w:rsidRPr="006C4D74">
        <w:rPr>
          <w:rFonts w:ascii="Times New Roman" w:hAnsi="Times New Roman"/>
        </w:rPr>
        <w:t xml:space="preserve"> burials and accompanying grave goods were seen to represent ascribed status differences and </w:t>
      </w:r>
      <w:r w:rsidR="003A3097">
        <w:rPr>
          <w:rFonts w:ascii="Times New Roman" w:hAnsi="Times New Roman"/>
        </w:rPr>
        <w:t xml:space="preserve">chiefly </w:t>
      </w:r>
      <w:r w:rsidR="005544F1">
        <w:rPr>
          <w:rFonts w:ascii="Times New Roman" w:hAnsi="Times New Roman"/>
        </w:rPr>
        <w:t>agg</w:t>
      </w:r>
      <w:r w:rsidR="005544F1" w:rsidRPr="006C4D74">
        <w:rPr>
          <w:rFonts w:ascii="Times New Roman" w:hAnsi="Times New Roman"/>
        </w:rPr>
        <w:t>randization</w:t>
      </w:r>
      <w:r w:rsidR="00940779">
        <w:rPr>
          <w:rFonts w:ascii="Times New Roman" w:hAnsi="Times New Roman"/>
        </w:rPr>
        <w:t xml:space="preserve"> (e.g. Brown 1995, Rogers 1982</w:t>
      </w:r>
      <w:r w:rsidR="003A3097">
        <w:rPr>
          <w:rFonts w:ascii="Times New Roman" w:hAnsi="Times New Roman"/>
        </w:rPr>
        <w:t>, Wyckoff 1980).  However more recent work has characterized the Great Mortuary as a geographic and cosmological monument, or a created and ritualized “center of the universe” (Brown 2012:117).  In this view, such complex burials are not meant to glorify any one individual, but are seen as a theatrical performance meant to unify the community and create history and memory.</w:t>
      </w:r>
    </w:p>
    <w:p w14:paraId="4130D532" w14:textId="6E2769B8" w:rsidR="00BF0494" w:rsidRDefault="00BF0494" w:rsidP="00BF0494">
      <w:pPr>
        <w:ind w:firstLine="720"/>
        <w:rPr>
          <w:rFonts w:ascii="Times New Roman" w:hAnsi="Times New Roman"/>
        </w:rPr>
      </w:pPr>
      <w:r w:rsidRPr="0036266F">
        <w:rPr>
          <w:rFonts w:ascii="Times New Roman" w:hAnsi="Times New Roman"/>
        </w:rPr>
        <w:t>Adoption of intensive agriculture in the Caddo area lagged behind that o</w:t>
      </w:r>
      <w:r>
        <w:rPr>
          <w:rFonts w:ascii="Times New Roman" w:hAnsi="Times New Roman"/>
        </w:rPr>
        <w:t xml:space="preserve">f their Mississippian neighbors, but is </w:t>
      </w:r>
      <w:r w:rsidRPr="002F27BB">
        <w:rPr>
          <w:rFonts w:ascii="Times New Roman" w:hAnsi="Times New Roman"/>
        </w:rPr>
        <w:t>well</w:t>
      </w:r>
      <w:r w:rsidR="00E73C97">
        <w:rPr>
          <w:rFonts w:ascii="Times New Roman" w:hAnsi="Times New Roman"/>
        </w:rPr>
        <w:t>-established by the Spiro p</w:t>
      </w:r>
      <w:r>
        <w:rPr>
          <w:rFonts w:ascii="Times New Roman" w:hAnsi="Times New Roman"/>
        </w:rPr>
        <w:t>hase.  Crops included</w:t>
      </w:r>
      <w:r w:rsidRPr="002F27BB">
        <w:rPr>
          <w:rFonts w:ascii="Times New Roman" w:hAnsi="Times New Roman"/>
        </w:rPr>
        <w:t xml:space="preserve"> squash, beans, sunflower, gourd, and at least some maize (Brown 1975).  </w:t>
      </w:r>
      <w:r w:rsidRPr="0036266F">
        <w:rPr>
          <w:rFonts w:ascii="Times New Roman" w:hAnsi="Times New Roman"/>
        </w:rPr>
        <w:t xml:space="preserve">Although there is some evidence for squash as early as </w:t>
      </w:r>
      <w:r>
        <w:rPr>
          <w:rFonts w:ascii="Times New Roman" w:hAnsi="Times New Roman"/>
        </w:rPr>
        <w:t>BC</w:t>
      </w:r>
      <w:r w:rsidRPr="0036266F">
        <w:rPr>
          <w:rFonts w:ascii="Times New Roman" w:hAnsi="Times New Roman"/>
        </w:rPr>
        <w:t>E. 550-50, maize does not seem to have</w:t>
      </w:r>
      <w:r w:rsidR="00AE6769">
        <w:rPr>
          <w:rFonts w:ascii="Times New Roman" w:hAnsi="Times New Roman"/>
        </w:rPr>
        <w:t xml:space="preserve"> been cultivated until ca. </w:t>
      </w:r>
      <w:r w:rsidRPr="0036266F">
        <w:rPr>
          <w:rFonts w:ascii="Times New Roman" w:hAnsi="Times New Roman"/>
        </w:rPr>
        <w:t>800</w:t>
      </w:r>
      <w:r w:rsidR="00AE6769">
        <w:rPr>
          <w:rFonts w:ascii="Times New Roman" w:hAnsi="Times New Roman"/>
        </w:rPr>
        <w:t xml:space="preserve"> CE, and beans not until </w:t>
      </w:r>
      <w:r w:rsidRPr="0036266F">
        <w:rPr>
          <w:rFonts w:ascii="Times New Roman" w:hAnsi="Times New Roman"/>
        </w:rPr>
        <w:t>1250-1300 (Perttula 2008).  Intensification of domesticated plant use is only apparent after ca 1300</w:t>
      </w:r>
      <w:r w:rsidR="00AE6769">
        <w:rPr>
          <w:rFonts w:ascii="Times New Roman" w:hAnsi="Times New Roman"/>
        </w:rPr>
        <w:t xml:space="preserve"> CE</w:t>
      </w:r>
      <w:r>
        <w:rPr>
          <w:rFonts w:ascii="Times New Roman" w:hAnsi="Times New Roman"/>
        </w:rPr>
        <w:t>,</w:t>
      </w:r>
      <w:r w:rsidRPr="0036266F">
        <w:rPr>
          <w:rFonts w:ascii="Times New Roman" w:hAnsi="Times New Roman"/>
        </w:rPr>
        <w:t xml:space="preserve"> as shown by both archaeological remains (</w:t>
      </w:r>
      <w:r w:rsidR="005544F1" w:rsidRPr="0036266F">
        <w:rPr>
          <w:rFonts w:ascii="Times New Roman" w:hAnsi="Times New Roman"/>
        </w:rPr>
        <w:t>Per</w:t>
      </w:r>
      <w:r w:rsidR="005544F1">
        <w:rPr>
          <w:rFonts w:ascii="Times New Roman" w:hAnsi="Times New Roman"/>
        </w:rPr>
        <w:t>t</w:t>
      </w:r>
      <w:r w:rsidR="005544F1" w:rsidRPr="0036266F">
        <w:rPr>
          <w:rFonts w:ascii="Times New Roman" w:hAnsi="Times New Roman"/>
        </w:rPr>
        <w:t>tula</w:t>
      </w:r>
      <w:r w:rsidRPr="0036266F">
        <w:rPr>
          <w:rFonts w:ascii="Times New Roman" w:hAnsi="Times New Roman"/>
        </w:rPr>
        <w:t xml:space="preserve"> 2008, </w:t>
      </w:r>
      <w:r w:rsidR="005544F1" w:rsidRPr="0036266F">
        <w:rPr>
          <w:rFonts w:ascii="Times New Roman" w:hAnsi="Times New Roman"/>
        </w:rPr>
        <w:t>Regni</w:t>
      </w:r>
      <w:r w:rsidR="005544F1">
        <w:rPr>
          <w:rFonts w:ascii="Times New Roman" w:hAnsi="Times New Roman"/>
        </w:rPr>
        <w:t>e</w:t>
      </w:r>
      <w:r w:rsidR="005544F1" w:rsidRPr="0036266F">
        <w:rPr>
          <w:rFonts w:ascii="Times New Roman" w:hAnsi="Times New Roman"/>
        </w:rPr>
        <w:t>r</w:t>
      </w:r>
      <w:r w:rsidRPr="0036266F">
        <w:rPr>
          <w:rFonts w:ascii="Times New Roman" w:hAnsi="Times New Roman"/>
        </w:rPr>
        <w:t xml:space="preserve"> 2013) and isotope studies of dentition (Rogers 2011).</w:t>
      </w:r>
      <w:r>
        <w:rPr>
          <w:rFonts w:ascii="Times New Roman" w:hAnsi="Times New Roman"/>
        </w:rPr>
        <w:t xml:space="preserve">  However the amount of reliance on maize varied considerably by region (Wilson 2012).</w:t>
      </w:r>
    </w:p>
    <w:p w14:paraId="096FBA21" w14:textId="0DE0C313" w:rsidR="00BF0494" w:rsidRDefault="00E73C97" w:rsidP="009C5432">
      <w:pPr>
        <w:pStyle w:val="Heading3"/>
      </w:pPr>
      <w:bookmarkStart w:id="43" w:name="_Toc261025860"/>
      <w:r>
        <w:t>Ft. Coffee phase</w:t>
      </w:r>
      <w:r w:rsidR="00BF0494">
        <w:t xml:space="preserve"> (1400 – 1550)</w:t>
      </w:r>
      <w:bookmarkEnd w:id="43"/>
    </w:p>
    <w:p w14:paraId="1E444B19" w14:textId="0A39BA64" w:rsidR="00BF0494" w:rsidRDefault="00BF0494" w:rsidP="00BF0494">
      <w:pPr>
        <w:ind w:firstLine="720"/>
        <w:rPr>
          <w:rFonts w:ascii="Times New Roman" w:hAnsi="Times New Roman"/>
        </w:rPr>
      </w:pPr>
      <w:r>
        <w:rPr>
          <w:rFonts w:ascii="Times New Roman" w:hAnsi="Times New Roman"/>
        </w:rPr>
        <w:t>A</w:t>
      </w:r>
      <w:r w:rsidRPr="006C4D74">
        <w:rPr>
          <w:rFonts w:ascii="Times New Roman" w:hAnsi="Times New Roman"/>
        </w:rPr>
        <w:t>fter Spiro</w:t>
      </w:r>
      <w:r w:rsidR="00A27DB4">
        <w:rPr>
          <w:rFonts w:ascii="Times New Roman" w:hAnsi="Times New Roman"/>
        </w:rPr>
        <w:t xml:space="preserve"> times</w:t>
      </w:r>
      <w:r w:rsidRPr="006C4D74">
        <w:rPr>
          <w:rFonts w:ascii="Times New Roman" w:hAnsi="Times New Roman"/>
        </w:rPr>
        <w:t xml:space="preserve">, </w:t>
      </w:r>
      <w:r>
        <w:rPr>
          <w:rFonts w:ascii="Times New Roman" w:hAnsi="Times New Roman"/>
        </w:rPr>
        <w:t xml:space="preserve">local </w:t>
      </w:r>
      <w:r w:rsidRPr="006C4D74">
        <w:rPr>
          <w:rFonts w:ascii="Times New Roman" w:hAnsi="Times New Roman"/>
        </w:rPr>
        <w:t>populations seem to have crashed and/or dispersed, moun</w:t>
      </w:r>
      <w:r>
        <w:rPr>
          <w:rFonts w:ascii="Times New Roman" w:hAnsi="Times New Roman"/>
        </w:rPr>
        <w:t>d</w:t>
      </w:r>
      <w:r w:rsidRPr="006C4D74">
        <w:rPr>
          <w:rFonts w:ascii="Times New Roman" w:hAnsi="Times New Roman"/>
        </w:rPr>
        <w:t xml:space="preserve"> centers fell into disuse, and new mounds largely ceased to be built</w:t>
      </w:r>
      <w:r>
        <w:rPr>
          <w:rFonts w:ascii="Times New Roman" w:hAnsi="Times New Roman"/>
        </w:rPr>
        <w:t xml:space="preserve"> (Wyckoff 1980)</w:t>
      </w:r>
      <w:r w:rsidR="00E64A42">
        <w:rPr>
          <w:rFonts w:ascii="Times New Roman" w:hAnsi="Times New Roman"/>
        </w:rPr>
        <w:t>.  The</w:t>
      </w:r>
      <w:r w:rsidRPr="006C4D74">
        <w:rPr>
          <w:rFonts w:ascii="Times New Roman" w:hAnsi="Times New Roman"/>
        </w:rPr>
        <w:t xml:space="preserve"> Ft. Coffee phase was seen as a decline both in terms of population </w:t>
      </w:r>
      <w:r w:rsidR="00E64A42">
        <w:rPr>
          <w:rFonts w:ascii="Times New Roman" w:hAnsi="Times New Roman"/>
        </w:rPr>
        <w:t xml:space="preserve">size </w:t>
      </w:r>
      <w:r w:rsidRPr="006C4D74">
        <w:rPr>
          <w:rFonts w:ascii="Times New Roman" w:hAnsi="Times New Roman"/>
        </w:rPr>
        <w:t>and sociopolitical complexity (Bell 1984).</w:t>
      </w:r>
      <w:r>
        <w:rPr>
          <w:rFonts w:ascii="Times New Roman" w:hAnsi="Times New Roman"/>
        </w:rPr>
        <w:t xml:space="preserve">  These changes may have been driven by climatic fluctuations, particularly drought</w:t>
      </w:r>
      <w:r w:rsidR="005D223F">
        <w:rPr>
          <w:rFonts w:ascii="Times New Roman" w:hAnsi="Times New Roman"/>
        </w:rPr>
        <w:t>.</w:t>
      </w:r>
      <w:r w:rsidR="00A27DB4">
        <w:rPr>
          <w:rFonts w:ascii="Times New Roman" w:hAnsi="Times New Roman"/>
        </w:rPr>
        <w:t xml:space="preserve">  This interpretation is strengthened by the</w:t>
      </w:r>
      <w:r>
        <w:rPr>
          <w:rFonts w:ascii="Times New Roman" w:hAnsi="Times New Roman"/>
        </w:rPr>
        <w:t xml:space="preserve"> </w:t>
      </w:r>
      <w:r w:rsidR="00A27DB4">
        <w:rPr>
          <w:rFonts w:ascii="Times New Roman" w:hAnsi="Times New Roman"/>
        </w:rPr>
        <w:t xml:space="preserve">incorporation of Plains derived traits, more suitable for a dryer climate </w:t>
      </w:r>
      <w:r>
        <w:rPr>
          <w:rFonts w:ascii="Times New Roman" w:hAnsi="Times New Roman"/>
        </w:rPr>
        <w:t>(Wyckoff 1980).</w:t>
      </w:r>
    </w:p>
    <w:p w14:paraId="2B7B8B52" w14:textId="2994F188" w:rsidR="00AA5653" w:rsidRDefault="00AA5653" w:rsidP="00BF0494">
      <w:pPr>
        <w:ind w:firstLine="720"/>
        <w:rPr>
          <w:rFonts w:ascii="Times New Roman" w:hAnsi="Times New Roman"/>
        </w:rPr>
      </w:pPr>
      <w:r>
        <w:rPr>
          <w:rFonts w:ascii="Times New Roman" w:hAnsi="Times New Roman"/>
        </w:rPr>
        <w:t>Confusingly, Rohrbaugh</w:t>
      </w:r>
      <w:r w:rsidR="00E14A27">
        <w:rPr>
          <w:rFonts w:ascii="Times New Roman" w:hAnsi="Times New Roman"/>
        </w:rPr>
        <w:t xml:space="preserve"> (</w:t>
      </w:r>
      <w:r w:rsidR="00940779">
        <w:rPr>
          <w:rFonts w:ascii="Times New Roman" w:hAnsi="Times New Roman"/>
        </w:rPr>
        <w:t>1984) considered</w:t>
      </w:r>
      <w:r>
        <w:rPr>
          <w:rFonts w:ascii="Times New Roman" w:hAnsi="Times New Roman"/>
        </w:rPr>
        <w:t xml:space="preserve"> the Ft. Coffee </w:t>
      </w:r>
      <w:r w:rsidRPr="00DB48A8">
        <w:rPr>
          <w:rFonts w:ascii="Times New Roman" w:hAnsi="Times New Roman"/>
          <w:i/>
        </w:rPr>
        <w:t xml:space="preserve">focus </w:t>
      </w:r>
      <w:r>
        <w:rPr>
          <w:rFonts w:ascii="Times New Roman" w:hAnsi="Times New Roman"/>
        </w:rPr>
        <w:t xml:space="preserve">to be contemporary with the Spiro </w:t>
      </w:r>
      <w:r w:rsidRPr="00DB48A8">
        <w:rPr>
          <w:rFonts w:ascii="Times New Roman" w:hAnsi="Times New Roman"/>
          <w:i/>
        </w:rPr>
        <w:t>phase</w:t>
      </w:r>
      <w:r>
        <w:rPr>
          <w:rFonts w:ascii="Times New Roman" w:hAnsi="Times New Roman"/>
        </w:rPr>
        <w:t xml:space="preserve">.  However most workers seem to </w:t>
      </w:r>
      <w:r w:rsidR="00DB48A8">
        <w:rPr>
          <w:rFonts w:ascii="Times New Roman" w:hAnsi="Times New Roman"/>
        </w:rPr>
        <w:t>use the term to</w:t>
      </w:r>
      <w:r>
        <w:rPr>
          <w:rFonts w:ascii="Times New Roman" w:hAnsi="Times New Roman"/>
        </w:rPr>
        <w:t xml:space="preserve"> represent a post-Spiro period, as described above.</w:t>
      </w:r>
    </w:p>
    <w:p w14:paraId="24F65B8D" w14:textId="77777777" w:rsidR="00DB48A8" w:rsidRPr="001B63F7" w:rsidRDefault="00DB48A8" w:rsidP="00DB48A8">
      <w:pPr>
        <w:spacing w:line="240" w:lineRule="auto"/>
        <w:rPr>
          <w:rFonts w:ascii="Times New Roman" w:hAnsi="Times New Roman"/>
        </w:rPr>
      </w:pPr>
    </w:p>
    <w:p w14:paraId="3D01C005" w14:textId="77777777" w:rsidR="00BF0494" w:rsidRDefault="00BF0494" w:rsidP="00CB4ED0">
      <w:pPr>
        <w:pStyle w:val="Heading2"/>
      </w:pPr>
      <w:bookmarkStart w:id="44" w:name="_Toc261025861"/>
      <w:r>
        <w:t>The Fourche Maline Mounds</w:t>
      </w:r>
      <w:bookmarkEnd w:id="44"/>
    </w:p>
    <w:p w14:paraId="36BB64E4" w14:textId="75518665" w:rsidR="00772DB8" w:rsidRPr="00A54A6A" w:rsidRDefault="00772DB8" w:rsidP="00772DB8">
      <w:pPr>
        <w:ind w:firstLine="720"/>
        <w:rPr>
          <w:rFonts w:ascii="Times New Roman" w:hAnsi="Times New Roman"/>
        </w:rPr>
      </w:pPr>
      <w:r w:rsidRPr="00A54A6A">
        <w:rPr>
          <w:rFonts w:ascii="Times New Roman" w:hAnsi="Times New Roman"/>
        </w:rPr>
        <w:t xml:space="preserve">This study concentrates on 14 small mounds in the </w:t>
      </w:r>
      <w:r w:rsidR="00CF609A">
        <w:rPr>
          <w:rFonts w:ascii="Times New Roman" w:hAnsi="Times New Roman"/>
        </w:rPr>
        <w:t>Wister area</w:t>
      </w:r>
      <w:r w:rsidRPr="00A54A6A">
        <w:rPr>
          <w:rFonts w:ascii="Times New Roman" w:hAnsi="Times New Roman"/>
        </w:rPr>
        <w:t xml:space="preserve"> of so</w:t>
      </w:r>
      <w:r>
        <w:rPr>
          <w:rFonts w:ascii="Times New Roman" w:hAnsi="Times New Roman"/>
        </w:rPr>
        <w:t>utheastern Oklahoma.  However</w:t>
      </w:r>
      <w:r w:rsidRPr="00A54A6A">
        <w:rPr>
          <w:rFonts w:ascii="Times New Roman" w:hAnsi="Times New Roman"/>
        </w:rPr>
        <w:t xml:space="preserve"> three different types of mounds exist within this valley, so some clarification is necessary.  Galm (1978) defined natural, or “pimple” mounds, constructional mounds, and midden mounds from the </w:t>
      </w:r>
      <w:r w:rsidR="00CF609A">
        <w:rPr>
          <w:rFonts w:ascii="Times New Roman" w:hAnsi="Times New Roman"/>
        </w:rPr>
        <w:t>Wister area</w:t>
      </w:r>
      <w:r w:rsidRPr="00A54A6A">
        <w:rPr>
          <w:rFonts w:ascii="Times New Roman" w:hAnsi="Times New Roman"/>
        </w:rPr>
        <w:t>.</w:t>
      </w:r>
    </w:p>
    <w:p w14:paraId="4E1A4C27" w14:textId="4FFCA83B" w:rsidR="00772DB8" w:rsidRPr="00A54A6A" w:rsidRDefault="00772DB8" w:rsidP="00772DB8">
      <w:pPr>
        <w:rPr>
          <w:rFonts w:ascii="Times New Roman" w:hAnsi="Times New Roman"/>
        </w:rPr>
      </w:pPr>
      <w:r>
        <w:tab/>
      </w:r>
      <w:r w:rsidRPr="00A54A6A">
        <w:rPr>
          <w:rFonts w:ascii="Times New Roman" w:hAnsi="Times New Roman"/>
        </w:rPr>
        <w:t>Natural, or “pimple” mounds “exhibited scatte</w:t>
      </w:r>
      <w:r w:rsidR="00940779">
        <w:rPr>
          <w:rFonts w:ascii="Times New Roman" w:hAnsi="Times New Roman"/>
        </w:rPr>
        <w:t>rs of cultural debris,” (Galm 19</w:t>
      </w:r>
      <w:r w:rsidRPr="00A54A6A">
        <w:rPr>
          <w:rFonts w:ascii="Times New Roman" w:hAnsi="Times New Roman"/>
        </w:rPr>
        <w:t xml:space="preserve">78:33).  These mound do not contain burials and are not addressed in this study.  Constructional mounds were defined as “’loaded’ or culturally derived features,” (Galm 1978:33).  Here Galm appears to be referring to the purposefully constructed temple mounds of later periods.  </w:t>
      </w:r>
    </w:p>
    <w:p w14:paraId="2201B64D" w14:textId="3DB9840B" w:rsidR="00772DB8" w:rsidRDefault="00772DB8" w:rsidP="00772DB8">
      <w:pPr>
        <w:rPr>
          <w:rFonts w:ascii="Times New Roman" w:hAnsi="Times New Roman"/>
        </w:rPr>
      </w:pPr>
      <w:r w:rsidRPr="00A54A6A">
        <w:rPr>
          <w:rFonts w:ascii="Times New Roman" w:hAnsi="Times New Roman"/>
        </w:rPr>
        <w:tab/>
        <w:t>Of primary concern for this study are the “midden mo</w:t>
      </w:r>
      <w:r w:rsidR="00C94640">
        <w:rPr>
          <w:rFonts w:ascii="Times New Roman" w:hAnsi="Times New Roman"/>
        </w:rPr>
        <w:t>u</w:t>
      </w:r>
      <w:r w:rsidRPr="00A54A6A">
        <w:rPr>
          <w:rFonts w:ascii="Times New Roman" w:hAnsi="Times New Roman"/>
        </w:rPr>
        <w:t>nds” which “refer to the deep accumulations of cultural debris that form low, mounded deposits throughout the valley … the dark color of the deposits in the sites makes them easily distinguishable from the surrounding soils,” (Galm 1978:33).  Not</w:t>
      </w:r>
      <w:r>
        <w:rPr>
          <w:rFonts w:ascii="Times New Roman" w:hAnsi="Times New Roman"/>
        </w:rPr>
        <w:t>e</w:t>
      </w:r>
      <w:r w:rsidRPr="00A54A6A">
        <w:rPr>
          <w:rFonts w:ascii="Times New Roman" w:hAnsi="Times New Roman"/>
        </w:rPr>
        <w:t xml:space="preserve"> however that the primary feature</w:t>
      </w:r>
      <w:r>
        <w:rPr>
          <w:rFonts w:ascii="Times New Roman" w:hAnsi="Times New Roman"/>
        </w:rPr>
        <w:t>s</w:t>
      </w:r>
      <w:r w:rsidRPr="00A54A6A">
        <w:rPr>
          <w:rFonts w:ascii="Times New Roman" w:hAnsi="Times New Roman"/>
        </w:rPr>
        <w:t xml:space="preserve"> in these mounds are human burials</w:t>
      </w:r>
      <w:r>
        <w:rPr>
          <w:rFonts w:ascii="Times New Roman" w:hAnsi="Times New Roman"/>
        </w:rPr>
        <w:t>, sometimes hundreds of individuals, and</w:t>
      </w:r>
      <w:r w:rsidRPr="00F02822">
        <w:rPr>
          <w:rFonts w:ascii="Times New Roman" w:hAnsi="Times New Roman"/>
        </w:rPr>
        <w:t xml:space="preserve"> some with associated funeral objects</w:t>
      </w:r>
      <w:r>
        <w:rPr>
          <w:rFonts w:ascii="Times New Roman" w:hAnsi="Times New Roman"/>
        </w:rPr>
        <w:t>.</w:t>
      </w:r>
      <w:r w:rsidR="00DE7154">
        <w:rPr>
          <w:rFonts w:ascii="Times New Roman" w:hAnsi="Times New Roman"/>
        </w:rPr>
        <w:t xml:space="preserve"> </w:t>
      </w:r>
      <w:r>
        <w:rPr>
          <w:rFonts w:ascii="Times New Roman" w:hAnsi="Times New Roman"/>
        </w:rPr>
        <w:t xml:space="preserve"> </w:t>
      </w:r>
      <w:r w:rsidR="00C94640">
        <w:rPr>
          <w:rFonts w:ascii="Times New Roman" w:hAnsi="Times New Roman"/>
        </w:rPr>
        <w:t xml:space="preserve">Trivializing the burials by referring to them as middens </w:t>
      </w:r>
      <w:r w:rsidR="00DE7154" w:rsidRPr="00DE7154">
        <w:rPr>
          <w:rFonts w:ascii="Times New Roman" w:hAnsi="Times New Roman"/>
        </w:rPr>
        <w:t xml:space="preserve">is not only disrespectful, but it severely limits archaeological analysis.  If the burials are considered unintentional deposits of bodies, then a serious examination of the burials themselves becomes unimportant.  </w:t>
      </w:r>
      <w:r w:rsidR="00686C29">
        <w:rPr>
          <w:rFonts w:ascii="Times New Roman" w:hAnsi="Times New Roman"/>
        </w:rPr>
        <w:t>I</w:t>
      </w:r>
      <w:r w:rsidRPr="00A54A6A">
        <w:rPr>
          <w:rFonts w:ascii="Times New Roman" w:hAnsi="Times New Roman"/>
        </w:rPr>
        <w:t>n this study these mounds are called burial mounds.</w:t>
      </w:r>
    </w:p>
    <w:p w14:paraId="64065E0C" w14:textId="10D5FE3B" w:rsidR="00BF0494" w:rsidRDefault="00BF0494" w:rsidP="00A05A58">
      <w:pPr>
        <w:ind w:firstLine="720"/>
        <w:rPr>
          <w:rFonts w:ascii="Times New Roman" w:hAnsi="Times New Roman"/>
        </w:rPr>
      </w:pPr>
      <w:r w:rsidRPr="00F02822">
        <w:rPr>
          <w:rFonts w:ascii="Times New Roman" w:hAnsi="Times New Roman"/>
        </w:rPr>
        <w:t xml:space="preserve">Along Fourche Maline Creek, </w:t>
      </w:r>
      <w:r w:rsidR="00772DB8">
        <w:rPr>
          <w:rFonts w:ascii="Times New Roman" w:hAnsi="Times New Roman"/>
        </w:rPr>
        <w:t xml:space="preserve">these </w:t>
      </w:r>
      <w:r w:rsidRPr="00F02822">
        <w:rPr>
          <w:rFonts w:ascii="Times New Roman" w:hAnsi="Times New Roman"/>
        </w:rPr>
        <w:t xml:space="preserve">small mounds are spaced every kilometer or so (Wyckoff 1980:234-235).  </w:t>
      </w:r>
      <w:r w:rsidR="00D92FF7">
        <w:rPr>
          <w:rFonts w:ascii="Times New Roman" w:hAnsi="Times New Roman"/>
        </w:rPr>
        <w:t>This study concentrates on 14</w:t>
      </w:r>
      <w:r w:rsidRPr="00F02822">
        <w:rPr>
          <w:rFonts w:ascii="Times New Roman" w:hAnsi="Times New Roman"/>
        </w:rPr>
        <w:t xml:space="preserve"> mound sites </w:t>
      </w:r>
      <w:r w:rsidR="00891719">
        <w:rPr>
          <w:rFonts w:ascii="Times New Roman" w:hAnsi="Times New Roman"/>
        </w:rPr>
        <w:t>(</w:t>
      </w:r>
      <w:r w:rsidR="00D92FF7">
        <w:rPr>
          <w:rFonts w:ascii="Times New Roman" w:hAnsi="Times New Roman"/>
        </w:rPr>
        <w:t xml:space="preserve">listed in </w:t>
      </w:r>
      <w:r w:rsidR="00891719">
        <w:rPr>
          <w:rFonts w:ascii="Times New Roman" w:hAnsi="Times New Roman"/>
        </w:rPr>
        <w:t xml:space="preserve">Table 2).  </w:t>
      </w:r>
      <w:r w:rsidRPr="00F02822">
        <w:rPr>
          <w:rFonts w:ascii="Times New Roman" w:hAnsi="Times New Roman"/>
        </w:rPr>
        <w:t xml:space="preserve">The </w:t>
      </w:r>
      <w:r w:rsidR="00CF609A">
        <w:rPr>
          <w:rFonts w:ascii="Times New Roman" w:hAnsi="Times New Roman"/>
        </w:rPr>
        <w:t>Wister area</w:t>
      </w:r>
      <w:r w:rsidRPr="00F02822">
        <w:rPr>
          <w:rFonts w:ascii="Times New Roman" w:hAnsi="Times New Roman"/>
        </w:rPr>
        <w:t xml:space="preserve"> sites </w:t>
      </w:r>
      <w:r>
        <w:rPr>
          <w:rFonts w:ascii="Times New Roman" w:hAnsi="Times New Roman"/>
        </w:rPr>
        <w:t>were all located</w:t>
      </w:r>
      <w:r w:rsidRPr="00F02822">
        <w:rPr>
          <w:rFonts w:ascii="Times New Roman" w:hAnsi="Times New Roman"/>
        </w:rPr>
        <w:t xml:space="preserve"> in the bottomland of Fourche Maline Creek or Poteau River and were subject to seasonal flooding and inundation, especially during </w:t>
      </w:r>
      <w:r w:rsidR="00AF7F81">
        <w:rPr>
          <w:rFonts w:ascii="Times New Roman" w:hAnsi="Times New Roman"/>
        </w:rPr>
        <w:t xml:space="preserve">the </w:t>
      </w:r>
      <w:r w:rsidR="00C94640">
        <w:rPr>
          <w:rFonts w:ascii="Times New Roman" w:hAnsi="Times New Roman"/>
        </w:rPr>
        <w:t>spring and f</w:t>
      </w:r>
      <w:r w:rsidRPr="00F02822">
        <w:rPr>
          <w:rFonts w:ascii="Times New Roman" w:hAnsi="Times New Roman"/>
        </w:rPr>
        <w:t xml:space="preserve">all (Galm and Flynn 1978).  With their constant supply of fresh water and fertile soils, they were excellent habitation locations for early peoples </w:t>
      </w:r>
      <w:r>
        <w:rPr>
          <w:rFonts w:ascii="Times New Roman" w:hAnsi="Times New Roman"/>
        </w:rPr>
        <w:t>(Wyckoff 1980).  These sites were</w:t>
      </w:r>
      <w:r w:rsidRPr="00F02822">
        <w:rPr>
          <w:rFonts w:ascii="Times New Roman" w:hAnsi="Times New Roman"/>
        </w:rPr>
        <w:t xml:space="preserve"> assigned to the Fourche Maline Phase based on their typical “black mound” appearance as well as the recovered material culture.  However, many of these sites are thought to have been occupied for hundreds</w:t>
      </w:r>
      <w:r w:rsidR="00AF7F81">
        <w:rPr>
          <w:rFonts w:ascii="Times New Roman" w:hAnsi="Times New Roman"/>
        </w:rPr>
        <w:t>, if not thousands,</w:t>
      </w:r>
      <w:r w:rsidRPr="00F02822">
        <w:rPr>
          <w:rFonts w:ascii="Times New Roman" w:hAnsi="Times New Roman"/>
        </w:rPr>
        <w:t xml:space="preserve"> of years and may also contain some Archaic (Wister Phase) burials, as well as burials that may post-date the Fourche Maline occupation.  The uniform, black, organic substrate in these mounds obscures stratigraphy and makes relative dating very difficult.  Analysis of thes</w:t>
      </w:r>
      <w:r>
        <w:rPr>
          <w:rFonts w:ascii="Times New Roman" w:hAnsi="Times New Roman"/>
        </w:rPr>
        <w:t>e sites has</w:t>
      </w:r>
      <w:r w:rsidRPr="00F02822">
        <w:rPr>
          <w:rFonts w:ascii="Times New Roman" w:hAnsi="Times New Roman"/>
        </w:rPr>
        <w:t xml:space="preserve"> proven quite challenging due to their complex nature. </w:t>
      </w:r>
    </w:p>
    <w:p w14:paraId="341D7BDA" w14:textId="77777777" w:rsidR="00D92FF7" w:rsidRDefault="00D92FF7" w:rsidP="00133F61">
      <w:pPr>
        <w:pStyle w:val="Caption"/>
      </w:pPr>
      <w:bookmarkStart w:id="45" w:name="_Toc257898728"/>
    </w:p>
    <w:p w14:paraId="7DC92BA8" w14:textId="59F00663" w:rsidR="00BF0494" w:rsidRDefault="00BF0494" w:rsidP="00133F61">
      <w:pPr>
        <w:pStyle w:val="Caption"/>
      </w:pPr>
      <w:bookmarkStart w:id="46" w:name="_Toc261025230"/>
      <w:r>
        <w:t xml:space="preserve">Table </w:t>
      </w:r>
      <w:fldSimple w:instr=" SEQ Table \* ARABIC ">
        <w:r w:rsidR="00396EB3">
          <w:rPr>
            <w:noProof/>
          </w:rPr>
          <w:t>2</w:t>
        </w:r>
      </w:fldSimple>
      <w:r>
        <w:t xml:space="preserve"> </w:t>
      </w:r>
      <w:r w:rsidR="00CF609A">
        <w:t>Wister area</w:t>
      </w:r>
      <w:r>
        <w:t xml:space="preserve"> Fourche Maline sites included in study</w:t>
      </w:r>
      <w:bookmarkEnd w:id="45"/>
      <w:bookmarkEnd w:id="46"/>
    </w:p>
    <w:p w14:paraId="299CCB56" w14:textId="77777777" w:rsidR="00BF0494" w:rsidRPr="00FF0506" w:rsidRDefault="00BF0494" w:rsidP="00133F61">
      <w:pPr>
        <w:pStyle w:val="Caption"/>
      </w:pPr>
    </w:p>
    <w:tbl>
      <w:tblPr>
        <w:tblStyle w:val="TableGrid"/>
        <w:tblW w:w="7646" w:type="dxa"/>
        <w:jc w:val="center"/>
        <w:tblInd w:w="-567" w:type="dxa"/>
        <w:tblLayout w:type="fixed"/>
        <w:tblLook w:val="04A0" w:firstRow="1" w:lastRow="0" w:firstColumn="1" w:lastColumn="0" w:noHBand="0" w:noVBand="1"/>
      </w:tblPr>
      <w:tblGrid>
        <w:gridCol w:w="536"/>
        <w:gridCol w:w="630"/>
        <w:gridCol w:w="630"/>
        <w:gridCol w:w="2551"/>
        <w:gridCol w:w="1229"/>
        <w:gridCol w:w="810"/>
        <w:gridCol w:w="1260"/>
      </w:tblGrid>
      <w:tr w:rsidR="00BF0494" w:rsidRPr="00DD5809" w14:paraId="48BE7E60" w14:textId="77777777" w:rsidTr="008E2757">
        <w:trPr>
          <w:jc w:val="center"/>
        </w:trPr>
        <w:tc>
          <w:tcPr>
            <w:tcW w:w="536" w:type="dxa"/>
          </w:tcPr>
          <w:p w14:paraId="7F316D18" w14:textId="77777777" w:rsidR="00BF0494" w:rsidRPr="00DD5809" w:rsidRDefault="00BF0494" w:rsidP="008E2757">
            <w:pPr>
              <w:spacing w:line="240" w:lineRule="auto"/>
              <w:jc w:val="center"/>
              <w:rPr>
                <w:rFonts w:cstheme="minorHAnsi"/>
                <w:b/>
                <w:sz w:val="22"/>
                <w:szCs w:val="22"/>
              </w:rPr>
            </w:pPr>
            <w:r w:rsidRPr="00DD5809">
              <w:rPr>
                <w:rFonts w:cstheme="minorHAnsi"/>
                <w:b/>
                <w:sz w:val="22"/>
                <w:szCs w:val="22"/>
              </w:rPr>
              <w:t>34</w:t>
            </w:r>
          </w:p>
        </w:tc>
        <w:tc>
          <w:tcPr>
            <w:tcW w:w="630" w:type="dxa"/>
          </w:tcPr>
          <w:p w14:paraId="26331D2B" w14:textId="77777777" w:rsidR="00BF0494" w:rsidRPr="00DD5809" w:rsidRDefault="00BF0494" w:rsidP="008E2757">
            <w:pPr>
              <w:spacing w:line="240" w:lineRule="auto"/>
              <w:jc w:val="center"/>
              <w:rPr>
                <w:rFonts w:cstheme="minorHAnsi"/>
                <w:b/>
                <w:sz w:val="22"/>
                <w:szCs w:val="22"/>
              </w:rPr>
            </w:pPr>
            <w:r w:rsidRPr="00DD5809">
              <w:rPr>
                <w:rFonts w:cstheme="minorHAnsi"/>
                <w:b/>
                <w:sz w:val="22"/>
                <w:szCs w:val="22"/>
              </w:rPr>
              <w:t>Co.</w:t>
            </w:r>
          </w:p>
        </w:tc>
        <w:tc>
          <w:tcPr>
            <w:tcW w:w="630" w:type="dxa"/>
          </w:tcPr>
          <w:p w14:paraId="11F2C062" w14:textId="77777777" w:rsidR="00BF0494" w:rsidRPr="00DD5809" w:rsidRDefault="00BF0494" w:rsidP="008E2757">
            <w:pPr>
              <w:spacing w:line="240" w:lineRule="auto"/>
              <w:jc w:val="center"/>
              <w:rPr>
                <w:rFonts w:cstheme="minorHAnsi"/>
                <w:b/>
                <w:sz w:val="22"/>
                <w:szCs w:val="22"/>
              </w:rPr>
            </w:pPr>
            <w:r w:rsidRPr="00DD5809">
              <w:rPr>
                <w:rFonts w:cstheme="minorHAnsi"/>
                <w:b/>
                <w:sz w:val="22"/>
                <w:szCs w:val="22"/>
              </w:rPr>
              <w:t>Site</w:t>
            </w:r>
          </w:p>
          <w:p w14:paraId="28CB2733" w14:textId="77777777" w:rsidR="00BF0494" w:rsidRPr="00DD5809" w:rsidRDefault="00BF0494" w:rsidP="008E2757">
            <w:pPr>
              <w:spacing w:line="240" w:lineRule="auto"/>
              <w:jc w:val="center"/>
              <w:rPr>
                <w:rFonts w:cstheme="minorHAnsi"/>
                <w:b/>
                <w:sz w:val="22"/>
                <w:szCs w:val="22"/>
              </w:rPr>
            </w:pPr>
            <w:r w:rsidRPr="00DD5809">
              <w:rPr>
                <w:rFonts w:cstheme="minorHAnsi"/>
                <w:b/>
                <w:sz w:val="22"/>
                <w:szCs w:val="22"/>
              </w:rPr>
              <w:t>#</w:t>
            </w:r>
          </w:p>
        </w:tc>
        <w:tc>
          <w:tcPr>
            <w:tcW w:w="2551" w:type="dxa"/>
          </w:tcPr>
          <w:p w14:paraId="14ABA0D4" w14:textId="77777777" w:rsidR="00BF0494" w:rsidRPr="00DD5809" w:rsidRDefault="00BF0494" w:rsidP="008E2757">
            <w:pPr>
              <w:spacing w:line="240" w:lineRule="auto"/>
              <w:jc w:val="center"/>
              <w:rPr>
                <w:rFonts w:cstheme="minorHAnsi"/>
                <w:b/>
                <w:sz w:val="22"/>
                <w:szCs w:val="22"/>
              </w:rPr>
            </w:pPr>
            <w:r w:rsidRPr="00DD5809">
              <w:rPr>
                <w:rFonts w:cstheme="minorHAnsi"/>
                <w:b/>
                <w:sz w:val="22"/>
                <w:szCs w:val="22"/>
              </w:rPr>
              <w:t>Site Name</w:t>
            </w:r>
          </w:p>
        </w:tc>
        <w:tc>
          <w:tcPr>
            <w:tcW w:w="1229" w:type="dxa"/>
          </w:tcPr>
          <w:p w14:paraId="17459B91" w14:textId="77777777" w:rsidR="00BF0494" w:rsidRPr="00DD5809" w:rsidRDefault="00BF0494" w:rsidP="008E2757">
            <w:pPr>
              <w:spacing w:line="240" w:lineRule="auto"/>
              <w:jc w:val="center"/>
              <w:rPr>
                <w:rFonts w:cstheme="minorHAnsi"/>
                <w:b/>
                <w:sz w:val="22"/>
                <w:szCs w:val="22"/>
              </w:rPr>
            </w:pPr>
            <w:r>
              <w:rPr>
                <w:rFonts w:cstheme="minorHAnsi"/>
                <w:b/>
                <w:sz w:val="22"/>
                <w:szCs w:val="22"/>
              </w:rPr>
              <w:t xml:space="preserve"># </w:t>
            </w:r>
            <w:r w:rsidRPr="00DD5809">
              <w:rPr>
                <w:rFonts w:cstheme="minorHAnsi"/>
                <w:b/>
                <w:sz w:val="22"/>
                <w:szCs w:val="22"/>
              </w:rPr>
              <w:t>Burials Excavated</w:t>
            </w:r>
          </w:p>
        </w:tc>
        <w:tc>
          <w:tcPr>
            <w:tcW w:w="810" w:type="dxa"/>
          </w:tcPr>
          <w:p w14:paraId="646DC624" w14:textId="77777777" w:rsidR="00BF0494" w:rsidRPr="00DD5809" w:rsidRDefault="00BF0494" w:rsidP="008E2757">
            <w:pPr>
              <w:spacing w:line="240" w:lineRule="auto"/>
              <w:jc w:val="center"/>
              <w:rPr>
                <w:rFonts w:cstheme="minorHAnsi"/>
                <w:b/>
                <w:sz w:val="22"/>
                <w:szCs w:val="22"/>
              </w:rPr>
            </w:pPr>
            <w:r w:rsidRPr="00DD5809">
              <w:rPr>
                <w:rFonts w:cstheme="minorHAnsi"/>
                <w:b/>
                <w:sz w:val="22"/>
                <w:szCs w:val="22"/>
              </w:rPr>
              <w:t>Total Inds</w:t>
            </w:r>
          </w:p>
        </w:tc>
        <w:tc>
          <w:tcPr>
            <w:tcW w:w="1260" w:type="dxa"/>
          </w:tcPr>
          <w:p w14:paraId="62574352" w14:textId="77777777" w:rsidR="00BF0494" w:rsidRPr="00DD5809" w:rsidRDefault="00BF0494" w:rsidP="008E2757">
            <w:pPr>
              <w:spacing w:line="240" w:lineRule="auto"/>
              <w:rPr>
                <w:rFonts w:cstheme="minorHAnsi"/>
                <w:b/>
                <w:sz w:val="22"/>
                <w:szCs w:val="22"/>
              </w:rPr>
            </w:pPr>
            <w:r w:rsidRPr="00DD5809">
              <w:rPr>
                <w:rFonts w:cstheme="minorHAnsi"/>
                <w:b/>
                <w:sz w:val="22"/>
                <w:szCs w:val="22"/>
              </w:rPr>
              <w:t>Excavator</w:t>
            </w:r>
          </w:p>
        </w:tc>
      </w:tr>
      <w:tr w:rsidR="00BF0494" w:rsidRPr="00DD5809" w14:paraId="486E7D71" w14:textId="77777777" w:rsidTr="008E2757">
        <w:trPr>
          <w:jc w:val="center"/>
        </w:trPr>
        <w:tc>
          <w:tcPr>
            <w:tcW w:w="536" w:type="dxa"/>
          </w:tcPr>
          <w:p w14:paraId="4F02FDB1"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40CB60D1" w14:textId="77777777" w:rsidR="00BF0494" w:rsidRPr="00DD5809" w:rsidRDefault="00BF0494" w:rsidP="008E2757">
            <w:pPr>
              <w:spacing w:line="240" w:lineRule="auto"/>
              <w:rPr>
                <w:rFonts w:cstheme="minorHAnsi"/>
                <w:sz w:val="22"/>
                <w:szCs w:val="22"/>
              </w:rPr>
            </w:pPr>
            <w:r w:rsidRPr="00DD5809">
              <w:rPr>
                <w:rFonts w:cstheme="minorHAnsi"/>
                <w:sz w:val="22"/>
                <w:szCs w:val="22"/>
              </w:rPr>
              <w:t>Lt</w:t>
            </w:r>
          </w:p>
        </w:tc>
        <w:tc>
          <w:tcPr>
            <w:tcW w:w="630" w:type="dxa"/>
          </w:tcPr>
          <w:p w14:paraId="554E12E2" w14:textId="77777777" w:rsidR="00BF0494" w:rsidRPr="00DD5809" w:rsidRDefault="00BF0494" w:rsidP="008E2757">
            <w:pPr>
              <w:spacing w:line="240" w:lineRule="auto"/>
              <w:rPr>
                <w:rFonts w:cstheme="minorHAnsi"/>
                <w:sz w:val="22"/>
                <w:szCs w:val="22"/>
              </w:rPr>
            </w:pPr>
            <w:r w:rsidRPr="00DD5809">
              <w:rPr>
                <w:rFonts w:cstheme="minorHAnsi"/>
                <w:sz w:val="22"/>
                <w:szCs w:val="22"/>
              </w:rPr>
              <w:t>11</w:t>
            </w:r>
          </w:p>
        </w:tc>
        <w:tc>
          <w:tcPr>
            <w:tcW w:w="2551" w:type="dxa"/>
          </w:tcPr>
          <w:p w14:paraId="2F374397" w14:textId="77777777" w:rsidR="00BF0494" w:rsidRPr="00DD5809" w:rsidRDefault="00BF0494" w:rsidP="008E2757">
            <w:pPr>
              <w:spacing w:line="240" w:lineRule="auto"/>
              <w:rPr>
                <w:rFonts w:cstheme="minorHAnsi"/>
                <w:sz w:val="22"/>
                <w:szCs w:val="22"/>
              </w:rPr>
            </w:pPr>
            <w:r w:rsidRPr="00DD5809">
              <w:rPr>
                <w:rFonts w:cstheme="minorHAnsi"/>
                <w:sz w:val="22"/>
                <w:szCs w:val="22"/>
              </w:rPr>
              <w:t>McCutchan-McLaughlin</w:t>
            </w:r>
          </w:p>
        </w:tc>
        <w:tc>
          <w:tcPr>
            <w:tcW w:w="1229" w:type="dxa"/>
          </w:tcPr>
          <w:p w14:paraId="7628C960"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32</w:t>
            </w:r>
          </w:p>
        </w:tc>
        <w:tc>
          <w:tcPr>
            <w:tcW w:w="810" w:type="dxa"/>
          </w:tcPr>
          <w:p w14:paraId="15C259B2"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47</w:t>
            </w:r>
          </w:p>
        </w:tc>
        <w:tc>
          <w:tcPr>
            <w:tcW w:w="1260" w:type="dxa"/>
          </w:tcPr>
          <w:p w14:paraId="5BF7B1D7" w14:textId="77777777" w:rsidR="00BF0494" w:rsidRPr="00DD5809" w:rsidRDefault="00BF0494" w:rsidP="008E2757">
            <w:pPr>
              <w:spacing w:line="240" w:lineRule="auto"/>
              <w:rPr>
                <w:rFonts w:cstheme="minorHAnsi"/>
                <w:sz w:val="22"/>
                <w:szCs w:val="22"/>
              </w:rPr>
            </w:pPr>
            <w:r w:rsidRPr="00DD5809">
              <w:rPr>
                <w:rFonts w:cstheme="minorHAnsi"/>
                <w:sz w:val="22"/>
                <w:szCs w:val="22"/>
              </w:rPr>
              <w:t>Wyckoff</w:t>
            </w:r>
          </w:p>
        </w:tc>
      </w:tr>
      <w:tr w:rsidR="00BF0494" w:rsidRPr="00DD5809" w14:paraId="27640256" w14:textId="77777777" w:rsidTr="008E2757">
        <w:trPr>
          <w:jc w:val="center"/>
        </w:trPr>
        <w:tc>
          <w:tcPr>
            <w:tcW w:w="536" w:type="dxa"/>
          </w:tcPr>
          <w:p w14:paraId="51CF26F3" w14:textId="77777777" w:rsidR="00BF0494" w:rsidRPr="00DD5809" w:rsidRDefault="00BF0494" w:rsidP="008E2757">
            <w:pPr>
              <w:spacing w:line="240" w:lineRule="auto"/>
              <w:ind w:left="-281" w:firstLine="281"/>
              <w:rPr>
                <w:rFonts w:cstheme="minorHAnsi"/>
                <w:sz w:val="22"/>
                <w:szCs w:val="22"/>
              </w:rPr>
            </w:pPr>
            <w:r w:rsidRPr="00DD5809">
              <w:rPr>
                <w:rFonts w:cstheme="minorHAnsi"/>
                <w:sz w:val="22"/>
                <w:szCs w:val="22"/>
              </w:rPr>
              <w:t>34</w:t>
            </w:r>
          </w:p>
        </w:tc>
        <w:tc>
          <w:tcPr>
            <w:tcW w:w="630" w:type="dxa"/>
          </w:tcPr>
          <w:p w14:paraId="13161C62"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524BA8DA" w14:textId="77777777" w:rsidR="00BF0494" w:rsidRPr="00DD5809" w:rsidRDefault="00BF0494" w:rsidP="008E2757">
            <w:pPr>
              <w:spacing w:line="240" w:lineRule="auto"/>
              <w:rPr>
                <w:rFonts w:cstheme="minorHAnsi"/>
                <w:sz w:val="22"/>
                <w:szCs w:val="22"/>
              </w:rPr>
            </w:pPr>
            <w:r w:rsidRPr="00DD5809">
              <w:rPr>
                <w:rFonts w:cstheme="minorHAnsi"/>
                <w:sz w:val="22"/>
                <w:szCs w:val="22"/>
              </w:rPr>
              <w:t>11</w:t>
            </w:r>
          </w:p>
        </w:tc>
        <w:tc>
          <w:tcPr>
            <w:tcW w:w="2551" w:type="dxa"/>
          </w:tcPr>
          <w:p w14:paraId="3B999773" w14:textId="77777777" w:rsidR="00BF0494" w:rsidRPr="00DD5809" w:rsidRDefault="00BF0494" w:rsidP="008E2757">
            <w:pPr>
              <w:spacing w:line="240" w:lineRule="auto"/>
              <w:rPr>
                <w:rFonts w:cstheme="minorHAnsi"/>
                <w:sz w:val="22"/>
                <w:szCs w:val="22"/>
              </w:rPr>
            </w:pPr>
            <w:r w:rsidRPr="00DD5809">
              <w:rPr>
                <w:rFonts w:cstheme="minorHAnsi"/>
                <w:sz w:val="22"/>
                <w:szCs w:val="22"/>
              </w:rPr>
              <w:t>Scott</w:t>
            </w:r>
          </w:p>
        </w:tc>
        <w:tc>
          <w:tcPr>
            <w:tcW w:w="1229" w:type="dxa"/>
          </w:tcPr>
          <w:p w14:paraId="0E53F1F8"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25</w:t>
            </w:r>
          </w:p>
        </w:tc>
        <w:tc>
          <w:tcPr>
            <w:tcW w:w="810" w:type="dxa"/>
          </w:tcPr>
          <w:p w14:paraId="45766CBE"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25</w:t>
            </w:r>
          </w:p>
        </w:tc>
        <w:tc>
          <w:tcPr>
            <w:tcW w:w="1260" w:type="dxa"/>
          </w:tcPr>
          <w:p w14:paraId="6B3690F5" w14:textId="77777777" w:rsidR="00BF0494" w:rsidRPr="00DD5809" w:rsidRDefault="00BF0494" w:rsidP="008E2757">
            <w:pPr>
              <w:spacing w:line="240" w:lineRule="auto"/>
              <w:rPr>
                <w:rFonts w:cstheme="minorHAnsi"/>
                <w:sz w:val="22"/>
                <w:szCs w:val="22"/>
              </w:rPr>
            </w:pPr>
            <w:r w:rsidRPr="00DD5809">
              <w:rPr>
                <w:rFonts w:cstheme="minorHAnsi"/>
                <w:sz w:val="22"/>
                <w:szCs w:val="22"/>
              </w:rPr>
              <w:t>Bell</w:t>
            </w:r>
          </w:p>
        </w:tc>
      </w:tr>
      <w:tr w:rsidR="00BF0494" w:rsidRPr="00DD5809" w14:paraId="6CFE05BE" w14:textId="77777777" w:rsidTr="008E2757">
        <w:trPr>
          <w:jc w:val="center"/>
        </w:trPr>
        <w:tc>
          <w:tcPr>
            <w:tcW w:w="536" w:type="dxa"/>
          </w:tcPr>
          <w:p w14:paraId="42BA767B" w14:textId="77777777" w:rsidR="00BF0494" w:rsidRPr="00DD5809" w:rsidRDefault="00BF0494" w:rsidP="008E2757">
            <w:pPr>
              <w:spacing w:line="240" w:lineRule="auto"/>
              <w:ind w:left="-281" w:firstLine="281"/>
              <w:rPr>
                <w:rFonts w:cstheme="minorHAnsi"/>
                <w:sz w:val="22"/>
                <w:szCs w:val="22"/>
              </w:rPr>
            </w:pPr>
            <w:r w:rsidRPr="00DD5809">
              <w:rPr>
                <w:rFonts w:cstheme="minorHAnsi"/>
                <w:sz w:val="22"/>
                <w:szCs w:val="22"/>
              </w:rPr>
              <w:t>34</w:t>
            </w:r>
          </w:p>
        </w:tc>
        <w:tc>
          <w:tcPr>
            <w:tcW w:w="630" w:type="dxa"/>
          </w:tcPr>
          <w:p w14:paraId="06603357"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339E3E3D" w14:textId="77777777" w:rsidR="00BF0494" w:rsidRPr="00DD5809" w:rsidRDefault="00BF0494" w:rsidP="008E2757">
            <w:pPr>
              <w:spacing w:line="240" w:lineRule="auto"/>
              <w:rPr>
                <w:rFonts w:cstheme="minorHAnsi"/>
                <w:sz w:val="22"/>
                <w:szCs w:val="22"/>
              </w:rPr>
            </w:pPr>
            <w:r w:rsidRPr="00DD5809">
              <w:rPr>
                <w:rFonts w:cstheme="minorHAnsi"/>
                <w:sz w:val="22"/>
                <w:szCs w:val="22"/>
              </w:rPr>
              <w:t>15</w:t>
            </w:r>
          </w:p>
        </w:tc>
        <w:tc>
          <w:tcPr>
            <w:tcW w:w="2551" w:type="dxa"/>
          </w:tcPr>
          <w:p w14:paraId="58C67563" w14:textId="77777777" w:rsidR="00BF0494" w:rsidRPr="00DD5809" w:rsidRDefault="00BF0494" w:rsidP="008E2757">
            <w:pPr>
              <w:spacing w:line="240" w:lineRule="auto"/>
              <w:rPr>
                <w:rFonts w:cstheme="minorHAnsi"/>
                <w:sz w:val="22"/>
                <w:szCs w:val="22"/>
              </w:rPr>
            </w:pPr>
            <w:r w:rsidRPr="00DD5809">
              <w:rPr>
                <w:rFonts w:cstheme="minorHAnsi"/>
                <w:sz w:val="22"/>
                <w:szCs w:val="22"/>
              </w:rPr>
              <w:t>Lee Redwine II</w:t>
            </w:r>
          </w:p>
        </w:tc>
        <w:tc>
          <w:tcPr>
            <w:tcW w:w="1229" w:type="dxa"/>
          </w:tcPr>
          <w:p w14:paraId="50923EE4"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6</w:t>
            </w:r>
          </w:p>
        </w:tc>
        <w:tc>
          <w:tcPr>
            <w:tcW w:w="810" w:type="dxa"/>
          </w:tcPr>
          <w:p w14:paraId="15838833"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18</w:t>
            </w:r>
          </w:p>
        </w:tc>
        <w:tc>
          <w:tcPr>
            <w:tcW w:w="1260" w:type="dxa"/>
          </w:tcPr>
          <w:p w14:paraId="720CB80F"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197771AA" w14:textId="77777777" w:rsidTr="008E2757">
        <w:trPr>
          <w:jc w:val="center"/>
        </w:trPr>
        <w:tc>
          <w:tcPr>
            <w:tcW w:w="536" w:type="dxa"/>
          </w:tcPr>
          <w:p w14:paraId="682F323F"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75A78E33"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38072946" w14:textId="77777777" w:rsidR="00BF0494" w:rsidRPr="00DD5809" w:rsidRDefault="00BF0494" w:rsidP="008E2757">
            <w:pPr>
              <w:spacing w:line="240" w:lineRule="auto"/>
              <w:rPr>
                <w:rFonts w:cstheme="minorHAnsi"/>
                <w:sz w:val="22"/>
                <w:szCs w:val="22"/>
              </w:rPr>
            </w:pPr>
            <w:r w:rsidRPr="00DD5809">
              <w:rPr>
                <w:rFonts w:cstheme="minorHAnsi"/>
                <w:sz w:val="22"/>
                <w:szCs w:val="22"/>
              </w:rPr>
              <w:t>17</w:t>
            </w:r>
          </w:p>
        </w:tc>
        <w:tc>
          <w:tcPr>
            <w:tcW w:w="2551" w:type="dxa"/>
          </w:tcPr>
          <w:p w14:paraId="05C727E4" w14:textId="77777777" w:rsidR="00BF0494" w:rsidRPr="00DD5809" w:rsidRDefault="00BF0494" w:rsidP="008E2757">
            <w:pPr>
              <w:spacing w:line="240" w:lineRule="auto"/>
              <w:rPr>
                <w:rFonts w:cstheme="minorHAnsi"/>
                <w:sz w:val="22"/>
                <w:szCs w:val="22"/>
              </w:rPr>
            </w:pPr>
            <w:r w:rsidRPr="00DD5809">
              <w:rPr>
                <w:rFonts w:cstheme="minorHAnsi"/>
                <w:sz w:val="22"/>
                <w:szCs w:val="22"/>
              </w:rPr>
              <w:t>DeHart II</w:t>
            </w:r>
          </w:p>
        </w:tc>
        <w:tc>
          <w:tcPr>
            <w:tcW w:w="1229" w:type="dxa"/>
          </w:tcPr>
          <w:p w14:paraId="445217EA"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32?</w:t>
            </w:r>
          </w:p>
        </w:tc>
        <w:tc>
          <w:tcPr>
            <w:tcW w:w="810" w:type="dxa"/>
          </w:tcPr>
          <w:p w14:paraId="1C6C4DCB"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36</w:t>
            </w:r>
          </w:p>
        </w:tc>
        <w:tc>
          <w:tcPr>
            <w:tcW w:w="1260" w:type="dxa"/>
          </w:tcPr>
          <w:p w14:paraId="01F119CD"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385635E9" w14:textId="77777777" w:rsidTr="008E2757">
        <w:trPr>
          <w:jc w:val="center"/>
        </w:trPr>
        <w:tc>
          <w:tcPr>
            <w:tcW w:w="536" w:type="dxa"/>
          </w:tcPr>
          <w:p w14:paraId="16505656"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230CE7FA"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412C2747" w14:textId="77777777" w:rsidR="00BF0494" w:rsidRPr="00DD5809" w:rsidRDefault="00BF0494" w:rsidP="008E2757">
            <w:pPr>
              <w:spacing w:line="240" w:lineRule="auto"/>
              <w:rPr>
                <w:rFonts w:cstheme="minorHAnsi"/>
                <w:sz w:val="22"/>
                <w:szCs w:val="22"/>
              </w:rPr>
            </w:pPr>
            <w:r w:rsidRPr="00DD5809">
              <w:rPr>
                <w:rFonts w:cstheme="minorHAnsi"/>
                <w:sz w:val="22"/>
                <w:szCs w:val="22"/>
              </w:rPr>
              <w:t>18</w:t>
            </w:r>
          </w:p>
        </w:tc>
        <w:tc>
          <w:tcPr>
            <w:tcW w:w="2551" w:type="dxa"/>
          </w:tcPr>
          <w:p w14:paraId="55EBB73E" w14:textId="77777777" w:rsidR="00BF0494" w:rsidRPr="00DD5809" w:rsidRDefault="00BF0494" w:rsidP="008E2757">
            <w:pPr>
              <w:spacing w:line="240" w:lineRule="auto"/>
              <w:rPr>
                <w:rFonts w:cstheme="minorHAnsi"/>
                <w:sz w:val="22"/>
                <w:szCs w:val="22"/>
              </w:rPr>
            </w:pPr>
            <w:r w:rsidRPr="00DD5809">
              <w:rPr>
                <w:rFonts w:cstheme="minorHAnsi"/>
                <w:sz w:val="22"/>
                <w:szCs w:val="22"/>
              </w:rPr>
              <w:t>DeHart I</w:t>
            </w:r>
          </w:p>
        </w:tc>
        <w:tc>
          <w:tcPr>
            <w:tcW w:w="1229" w:type="dxa"/>
          </w:tcPr>
          <w:p w14:paraId="4EE1A74E"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30?</w:t>
            </w:r>
          </w:p>
        </w:tc>
        <w:tc>
          <w:tcPr>
            <w:tcW w:w="810" w:type="dxa"/>
          </w:tcPr>
          <w:p w14:paraId="41DC36C0"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35</w:t>
            </w:r>
          </w:p>
        </w:tc>
        <w:tc>
          <w:tcPr>
            <w:tcW w:w="1260" w:type="dxa"/>
          </w:tcPr>
          <w:p w14:paraId="382D2E4E"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61FDF5CA" w14:textId="77777777" w:rsidTr="008E2757">
        <w:trPr>
          <w:jc w:val="center"/>
        </w:trPr>
        <w:tc>
          <w:tcPr>
            <w:tcW w:w="536" w:type="dxa"/>
          </w:tcPr>
          <w:p w14:paraId="5E5F01BC"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7DD27E2E"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0F3FB8B4" w14:textId="77777777" w:rsidR="00BF0494" w:rsidRPr="00DD5809" w:rsidRDefault="00BF0494" w:rsidP="008E2757">
            <w:pPr>
              <w:spacing w:line="240" w:lineRule="auto"/>
              <w:rPr>
                <w:rFonts w:cstheme="minorHAnsi"/>
                <w:sz w:val="22"/>
                <w:szCs w:val="22"/>
              </w:rPr>
            </w:pPr>
            <w:r w:rsidRPr="00DD5809">
              <w:rPr>
                <w:rFonts w:cstheme="minorHAnsi"/>
                <w:sz w:val="22"/>
                <w:szCs w:val="22"/>
              </w:rPr>
              <w:t>19</w:t>
            </w:r>
          </w:p>
        </w:tc>
        <w:tc>
          <w:tcPr>
            <w:tcW w:w="2551" w:type="dxa"/>
          </w:tcPr>
          <w:p w14:paraId="1A9D8CF6" w14:textId="77777777" w:rsidR="00BF0494" w:rsidRPr="00DD5809" w:rsidRDefault="00BF0494" w:rsidP="008E2757">
            <w:pPr>
              <w:spacing w:line="240" w:lineRule="auto"/>
              <w:rPr>
                <w:rFonts w:cstheme="minorHAnsi"/>
                <w:sz w:val="22"/>
                <w:szCs w:val="22"/>
              </w:rPr>
            </w:pPr>
            <w:r w:rsidRPr="00DD5809">
              <w:rPr>
                <w:rFonts w:cstheme="minorHAnsi"/>
                <w:sz w:val="22"/>
                <w:szCs w:val="22"/>
              </w:rPr>
              <w:t>Hooks</w:t>
            </w:r>
          </w:p>
        </w:tc>
        <w:tc>
          <w:tcPr>
            <w:tcW w:w="1229" w:type="dxa"/>
          </w:tcPr>
          <w:p w14:paraId="29357C5B"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80`</w:t>
            </w:r>
          </w:p>
        </w:tc>
        <w:tc>
          <w:tcPr>
            <w:tcW w:w="810" w:type="dxa"/>
          </w:tcPr>
          <w:p w14:paraId="03F07160"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93</w:t>
            </w:r>
          </w:p>
        </w:tc>
        <w:tc>
          <w:tcPr>
            <w:tcW w:w="1260" w:type="dxa"/>
          </w:tcPr>
          <w:p w14:paraId="3A3A19D6"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465F6B2D" w14:textId="77777777" w:rsidTr="008E2757">
        <w:trPr>
          <w:jc w:val="center"/>
        </w:trPr>
        <w:tc>
          <w:tcPr>
            <w:tcW w:w="536" w:type="dxa"/>
          </w:tcPr>
          <w:p w14:paraId="66CB386C"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1D40729C"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4C798950" w14:textId="77777777" w:rsidR="00BF0494" w:rsidRPr="00DD5809" w:rsidRDefault="00BF0494" w:rsidP="008E2757">
            <w:pPr>
              <w:spacing w:line="240" w:lineRule="auto"/>
              <w:rPr>
                <w:rFonts w:cstheme="minorHAnsi"/>
                <w:sz w:val="22"/>
                <w:szCs w:val="22"/>
              </w:rPr>
            </w:pPr>
            <w:r w:rsidRPr="00DD5809">
              <w:rPr>
                <w:rFonts w:cstheme="minorHAnsi"/>
                <w:sz w:val="22"/>
                <w:szCs w:val="22"/>
              </w:rPr>
              <w:t>20</w:t>
            </w:r>
          </w:p>
        </w:tc>
        <w:tc>
          <w:tcPr>
            <w:tcW w:w="2551" w:type="dxa"/>
          </w:tcPr>
          <w:p w14:paraId="6D959634" w14:textId="77777777" w:rsidR="00BF0494" w:rsidRPr="00DD5809" w:rsidRDefault="00BF0494" w:rsidP="008E2757">
            <w:pPr>
              <w:spacing w:line="240" w:lineRule="auto"/>
              <w:rPr>
                <w:rFonts w:cstheme="minorHAnsi"/>
                <w:sz w:val="22"/>
                <w:szCs w:val="22"/>
              </w:rPr>
            </w:pPr>
            <w:r w:rsidRPr="00DD5809">
              <w:rPr>
                <w:rFonts w:cstheme="minorHAnsi"/>
                <w:sz w:val="22"/>
                <w:szCs w:val="22"/>
              </w:rPr>
              <w:t>Copeland</w:t>
            </w:r>
          </w:p>
        </w:tc>
        <w:tc>
          <w:tcPr>
            <w:tcW w:w="1229" w:type="dxa"/>
          </w:tcPr>
          <w:p w14:paraId="1EB0486C"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78</w:t>
            </w:r>
          </w:p>
        </w:tc>
        <w:tc>
          <w:tcPr>
            <w:tcW w:w="810" w:type="dxa"/>
          </w:tcPr>
          <w:p w14:paraId="6BD710B4"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88</w:t>
            </w:r>
          </w:p>
        </w:tc>
        <w:tc>
          <w:tcPr>
            <w:tcW w:w="1260" w:type="dxa"/>
          </w:tcPr>
          <w:p w14:paraId="34A8AF72"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1DD70D93" w14:textId="77777777" w:rsidTr="008E2757">
        <w:trPr>
          <w:jc w:val="center"/>
        </w:trPr>
        <w:tc>
          <w:tcPr>
            <w:tcW w:w="536" w:type="dxa"/>
          </w:tcPr>
          <w:p w14:paraId="559F711E"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60C36895"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4390106B" w14:textId="77777777" w:rsidR="00BF0494" w:rsidRPr="00DD5809" w:rsidRDefault="00BF0494" w:rsidP="008E2757">
            <w:pPr>
              <w:spacing w:line="240" w:lineRule="auto"/>
              <w:rPr>
                <w:rFonts w:cstheme="minorHAnsi"/>
                <w:sz w:val="22"/>
                <w:szCs w:val="22"/>
              </w:rPr>
            </w:pPr>
            <w:r w:rsidRPr="00DD5809">
              <w:rPr>
                <w:rFonts w:cstheme="minorHAnsi"/>
                <w:sz w:val="22"/>
                <w:szCs w:val="22"/>
              </w:rPr>
              <w:t>24</w:t>
            </w:r>
          </w:p>
        </w:tc>
        <w:tc>
          <w:tcPr>
            <w:tcW w:w="2551" w:type="dxa"/>
          </w:tcPr>
          <w:p w14:paraId="08D2AF1E" w14:textId="77777777" w:rsidR="00BF0494" w:rsidRPr="00DD5809" w:rsidRDefault="00BF0494" w:rsidP="008E2757">
            <w:pPr>
              <w:spacing w:line="240" w:lineRule="auto"/>
              <w:rPr>
                <w:rFonts w:cstheme="minorHAnsi"/>
                <w:sz w:val="22"/>
                <w:szCs w:val="22"/>
              </w:rPr>
            </w:pPr>
            <w:r w:rsidRPr="00DD5809">
              <w:rPr>
                <w:rFonts w:cstheme="minorHAnsi"/>
                <w:sz w:val="22"/>
                <w:szCs w:val="22"/>
              </w:rPr>
              <w:t>Williams I</w:t>
            </w:r>
          </w:p>
        </w:tc>
        <w:tc>
          <w:tcPr>
            <w:tcW w:w="1229" w:type="dxa"/>
          </w:tcPr>
          <w:p w14:paraId="1594C800"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122</w:t>
            </w:r>
          </w:p>
        </w:tc>
        <w:tc>
          <w:tcPr>
            <w:tcW w:w="810" w:type="dxa"/>
          </w:tcPr>
          <w:p w14:paraId="07C96106"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210</w:t>
            </w:r>
          </w:p>
        </w:tc>
        <w:tc>
          <w:tcPr>
            <w:tcW w:w="1260" w:type="dxa"/>
          </w:tcPr>
          <w:p w14:paraId="539BDF6C"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0B565855" w14:textId="77777777" w:rsidTr="008E2757">
        <w:trPr>
          <w:jc w:val="center"/>
        </w:trPr>
        <w:tc>
          <w:tcPr>
            <w:tcW w:w="536" w:type="dxa"/>
          </w:tcPr>
          <w:p w14:paraId="5E3083FC"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0644549C"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066E9408" w14:textId="77777777" w:rsidR="00BF0494" w:rsidRPr="00DD5809" w:rsidRDefault="00BF0494" w:rsidP="008E2757">
            <w:pPr>
              <w:spacing w:line="240" w:lineRule="auto"/>
              <w:rPr>
                <w:rFonts w:cstheme="minorHAnsi"/>
                <w:sz w:val="22"/>
                <w:szCs w:val="22"/>
              </w:rPr>
            </w:pPr>
            <w:r w:rsidRPr="00DD5809">
              <w:rPr>
                <w:rFonts w:cstheme="minorHAnsi"/>
                <w:sz w:val="22"/>
                <w:szCs w:val="22"/>
              </w:rPr>
              <w:t>27</w:t>
            </w:r>
          </w:p>
        </w:tc>
        <w:tc>
          <w:tcPr>
            <w:tcW w:w="2551" w:type="dxa"/>
          </w:tcPr>
          <w:p w14:paraId="5B31A297" w14:textId="77777777" w:rsidR="00BF0494" w:rsidRPr="00DD5809" w:rsidRDefault="00BF0494" w:rsidP="008E2757">
            <w:pPr>
              <w:spacing w:line="240" w:lineRule="auto"/>
              <w:rPr>
                <w:rFonts w:cstheme="minorHAnsi"/>
                <w:sz w:val="22"/>
                <w:szCs w:val="22"/>
              </w:rPr>
            </w:pPr>
            <w:r w:rsidRPr="00DD5809">
              <w:rPr>
                <w:rFonts w:cstheme="minorHAnsi"/>
                <w:sz w:val="22"/>
                <w:szCs w:val="22"/>
              </w:rPr>
              <w:t>Wann</w:t>
            </w:r>
          </w:p>
        </w:tc>
        <w:tc>
          <w:tcPr>
            <w:tcW w:w="1229" w:type="dxa"/>
          </w:tcPr>
          <w:p w14:paraId="1A3750BA"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27</w:t>
            </w:r>
          </w:p>
        </w:tc>
        <w:tc>
          <w:tcPr>
            <w:tcW w:w="810" w:type="dxa"/>
          </w:tcPr>
          <w:p w14:paraId="5720A930"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32</w:t>
            </w:r>
          </w:p>
        </w:tc>
        <w:tc>
          <w:tcPr>
            <w:tcW w:w="1260" w:type="dxa"/>
          </w:tcPr>
          <w:p w14:paraId="1B078A6E"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055D1144" w14:textId="77777777" w:rsidTr="008E2757">
        <w:trPr>
          <w:jc w:val="center"/>
        </w:trPr>
        <w:tc>
          <w:tcPr>
            <w:tcW w:w="536" w:type="dxa"/>
          </w:tcPr>
          <w:p w14:paraId="0A877B77"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0A983BC2"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0D392572" w14:textId="77777777" w:rsidR="00BF0494" w:rsidRPr="00DD5809" w:rsidRDefault="00BF0494" w:rsidP="008E2757">
            <w:pPr>
              <w:spacing w:line="240" w:lineRule="auto"/>
              <w:rPr>
                <w:rFonts w:cstheme="minorHAnsi"/>
                <w:sz w:val="22"/>
                <w:szCs w:val="22"/>
              </w:rPr>
            </w:pPr>
            <w:r w:rsidRPr="00DD5809">
              <w:rPr>
                <w:rFonts w:cstheme="minorHAnsi"/>
                <w:sz w:val="22"/>
                <w:szCs w:val="22"/>
              </w:rPr>
              <w:t>28</w:t>
            </w:r>
          </w:p>
        </w:tc>
        <w:tc>
          <w:tcPr>
            <w:tcW w:w="2551" w:type="dxa"/>
          </w:tcPr>
          <w:p w14:paraId="645E4115" w14:textId="77777777" w:rsidR="00BF0494" w:rsidRPr="00DD5809" w:rsidRDefault="00BF0494" w:rsidP="008E2757">
            <w:pPr>
              <w:spacing w:line="240" w:lineRule="auto"/>
              <w:rPr>
                <w:rFonts w:cstheme="minorHAnsi"/>
                <w:sz w:val="22"/>
                <w:szCs w:val="22"/>
              </w:rPr>
            </w:pPr>
            <w:r w:rsidRPr="00DD5809">
              <w:rPr>
                <w:rFonts w:cstheme="minorHAnsi"/>
                <w:sz w:val="22"/>
                <w:szCs w:val="22"/>
              </w:rPr>
              <w:t>Sam</w:t>
            </w:r>
          </w:p>
        </w:tc>
        <w:tc>
          <w:tcPr>
            <w:tcW w:w="1229" w:type="dxa"/>
          </w:tcPr>
          <w:p w14:paraId="0EF3A517"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61</w:t>
            </w:r>
          </w:p>
        </w:tc>
        <w:tc>
          <w:tcPr>
            <w:tcW w:w="810" w:type="dxa"/>
          </w:tcPr>
          <w:p w14:paraId="34110A65"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73</w:t>
            </w:r>
          </w:p>
        </w:tc>
        <w:tc>
          <w:tcPr>
            <w:tcW w:w="1260" w:type="dxa"/>
          </w:tcPr>
          <w:p w14:paraId="0CC89086"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330AF3F6" w14:textId="77777777" w:rsidTr="008E2757">
        <w:trPr>
          <w:jc w:val="center"/>
        </w:trPr>
        <w:tc>
          <w:tcPr>
            <w:tcW w:w="536" w:type="dxa"/>
          </w:tcPr>
          <w:p w14:paraId="5E6C1419"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734BFE56"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456921BA" w14:textId="77777777" w:rsidR="00BF0494" w:rsidRPr="00DD5809" w:rsidRDefault="00BF0494" w:rsidP="008E2757">
            <w:pPr>
              <w:spacing w:line="240" w:lineRule="auto"/>
              <w:rPr>
                <w:rFonts w:cstheme="minorHAnsi"/>
                <w:sz w:val="22"/>
                <w:szCs w:val="22"/>
              </w:rPr>
            </w:pPr>
            <w:r w:rsidRPr="00DD5809">
              <w:rPr>
                <w:rFonts w:cstheme="minorHAnsi"/>
                <w:sz w:val="22"/>
                <w:szCs w:val="22"/>
              </w:rPr>
              <w:t>29</w:t>
            </w:r>
          </w:p>
        </w:tc>
        <w:tc>
          <w:tcPr>
            <w:tcW w:w="2551" w:type="dxa"/>
          </w:tcPr>
          <w:p w14:paraId="6D3FB967" w14:textId="77777777" w:rsidR="00BF0494" w:rsidRPr="00DD5809" w:rsidRDefault="00BF0494" w:rsidP="008E2757">
            <w:pPr>
              <w:spacing w:line="240" w:lineRule="auto"/>
              <w:rPr>
                <w:rFonts w:cstheme="minorHAnsi"/>
                <w:sz w:val="22"/>
                <w:szCs w:val="22"/>
              </w:rPr>
            </w:pPr>
            <w:r w:rsidRPr="00DD5809">
              <w:rPr>
                <w:rFonts w:cstheme="minorHAnsi"/>
                <w:sz w:val="22"/>
                <w:szCs w:val="22"/>
              </w:rPr>
              <w:t>Mackey</w:t>
            </w:r>
          </w:p>
        </w:tc>
        <w:tc>
          <w:tcPr>
            <w:tcW w:w="1229" w:type="dxa"/>
          </w:tcPr>
          <w:p w14:paraId="40B8A6A5"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160</w:t>
            </w:r>
          </w:p>
        </w:tc>
        <w:tc>
          <w:tcPr>
            <w:tcW w:w="810" w:type="dxa"/>
          </w:tcPr>
          <w:p w14:paraId="06DDD618"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165</w:t>
            </w:r>
          </w:p>
        </w:tc>
        <w:tc>
          <w:tcPr>
            <w:tcW w:w="1260" w:type="dxa"/>
          </w:tcPr>
          <w:p w14:paraId="076B1B82"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6E6B80E8" w14:textId="77777777" w:rsidTr="008E2757">
        <w:trPr>
          <w:jc w:val="center"/>
        </w:trPr>
        <w:tc>
          <w:tcPr>
            <w:tcW w:w="536" w:type="dxa"/>
          </w:tcPr>
          <w:p w14:paraId="463E04E0"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544DDD6A"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4A3415C1" w14:textId="77777777" w:rsidR="00BF0494" w:rsidRPr="00DD5809" w:rsidRDefault="00BF0494" w:rsidP="008E2757">
            <w:pPr>
              <w:spacing w:line="240" w:lineRule="auto"/>
              <w:rPr>
                <w:rFonts w:cstheme="minorHAnsi"/>
                <w:sz w:val="22"/>
                <w:szCs w:val="22"/>
              </w:rPr>
            </w:pPr>
            <w:r w:rsidRPr="00DD5809">
              <w:rPr>
                <w:rFonts w:cstheme="minorHAnsi"/>
                <w:sz w:val="22"/>
                <w:szCs w:val="22"/>
              </w:rPr>
              <w:t>32</w:t>
            </w:r>
          </w:p>
        </w:tc>
        <w:tc>
          <w:tcPr>
            <w:tcW w:w="2551" w:type="dxa"/>
          </w:tcPr>
          <w:p w14:paraId="4B337CAE" w14:textId="77777777" w:rsidR="00BF0494" w:rsidRPr="00DD5809" w:rsidRDefault="00BF0494" w:rsidP="008E2757">
            <w:pPr>
              <w:spacing w:line="240" w:lineRule="auto"/>
              <w:rPr>
                <w:rFonts w:cstheme="minorHAnsi"/>
                <w:sz w:val="22"/>
                <w:szCs w:val="22"/>
              </w:rPr>
            </w:pPr>
            <w:r w:rsidRPr="00DD5809">
              <w:rPr>
                <w:rFonts w:cstheme="minorHAnsi"/>
                <w:sz w:val="22"/>
                <w:szCs w:val="22"/>
              </w:rPr>
              <w:t>Akers</w:t>
            </w:r>
          </w:p>
        </w:tc>
        <w:tc>
          <w:tcPr>
            <w:tcW w:w="1229" w:type="dxa"/>
          </w:tcPr>
          <w:p w14:paraId="11430AD0"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168</w:t>
            </w:r>
          </w:p>
        </w:tc>
        <w:tc>
          <w:tcPr>
            <w:tcW w:w="810" w:type="dxa"/>
          </w:tcPr>
          <w:p w14:paraId="54027ABE"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203</w:t>
            </w:r>
          </w:p>
        </w:tc>
        <w:tc>
          <w:tcPr>
            <w:tcW w:w="1260" w:type="dxa"/>
          </w:tcPr>
          <w:p w14:paraId="7E2BB92A"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3BEEC248" w14:textId="77777777" w:rsidTr="008E2757">
        <w:trPr>
          <w:jc w:val="center"/>
        </w:trPr>
        <w:tc>
          <w:tcPr>
            <w:tcW w:w="536" w:type="dxa"/>
          </w:tcPr>
          <w:p w14:paraId="2D3D3FD7"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21C6E2D0"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65F818E1" w14:textId="77777777" w:rsidR="00BF0494" w:rsidRPr="00DD5809" w:rsidRDefault="00BF0494" w:rsidP="008E2757">
            <w:pPr>
              <w:spacing w:line="240" w:lineRule="auto"/>
              <w:rPr>
                <w:rFonts w:cstheme="minorHAnsi"/>
                <w:sz w:val="22"/>
                <w:szCs w:val="22"/>
              </w:rPr>
            </w:pPr>
            <w:r w:rsidRPr="00DD5809">
              <w:rPr>
                <w:rFonts w:cstheme="minorHAnsi"/>
                <w:sz w:val="22"/>
                <w:szCs w:val="22"/>
              </w:rPr>
              <w:t>33</w:t>
            </w:r>
          </w:p>
        </w:tc>
        <w:tc>
          <w:tcPr>
            <w:tcW w:w="2551" w:type="dxa"/>
          </w:tcPr>
          <w:p w14:paraId="79DF6F57" w14:textId="77777777" w:rsidR="00BF0494" w:rsidRPr="00DD5809" w:rsidRDefault="00BF0494" w:rsidP="008E2757">
            <w:pPr>
              <w:spacing w:line="240" w:lineRule="auto"/>
              <w:rPr>
                <w:rFonts w:cstheme="minorHAnsi"/>
                <w:sz w:val="22"/>
                <w:szCs w:val="22"/>
              </w:rPr>
            </w:pPr>
            <w:r w:rsidRPr="00DD5809">
              <w:rPr>
                <w:rFonts w:cstheme="minorHAnsi"/>
                <w:sz w:val="22"/>
                <w:szCs w:val="22"/>
              </w:rPr>
              <w:t>Troy Adams</w:t>
            </w:r>
          </w:p>
        </w:tc>
        <w:tc>
          <w:tcPr>
            <w:tcW w:w="1229" w:type="dxa"/>
          </w:tcPr>
          <w:p w14:paraId="0BBF4343"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62</w:t>
            </w:r>
          </w:p>
        </w:tc>
        <w:tc>
          <w:tcPr>
            <w:tcW w:w="810" w:type="dxa"/>
          </w:tcPr>
          <w:p w14:paraId="43840F1F"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79</w:t>
            </w:r>
          </w:p>
        </w:tc>
        <w:tc>
          <w:tcPr>
            <w:tcW w:w="1260" w:type="dxa"/>
          </w:tcPr>
          <w:p w14:paraId="3C44F16D"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r w:rsidR="00BF0494" w:rsidRPr="00DD5809" w14:paraId="0D6BCB19" w14:textId="77777777" w:rsidTr="008E2757">
        <w:trPr>
          <w:jc w:val="center"/>
        </w:trPr>
        <w:tc>
          <w:tcPr>
            <w:tcW w:w="536" w:type="dxa"/>
          </w:tcPr>
          <w:p w14:paraId="51A01C45" w14:textId="77777777" w:rsidR="00BF0494" w:rsidRPr="00DD5809" w:rsidRDefault="00BF0494" w:rsidP="008E2757">
            <w:pPr>
              <w:spacing w:line="240" w:lineRule="auto"/>
              <w:rPr>
                <w:rFonts w:cstheme="minorHAnsi"/>
                <w:sz w:val="22"/>
                <w:szCs w:val="22"/>
              </w:rPr>
            </w:pPr>
            <w:r w:rsidRPr="00DD5809">
              <w:rPr>
                <w:rFonts w:cstheme="minorHAnsi"/>
                <w:sz w:val="22"/>
                <w:szCs w:val="22"/>
              </w:rPr>
              <w:t>34</w:t>
            </w:r>
          </w:p>
        </w:tc>
        <w:tc>
          <w:tcPr>
            <w:tcW w:w="630" w:type="dxa"/>
          </w:tcPr>
          <w:p w14:paraId="06697449" w14:textId="77777777" w:rsidR="00BF0494" w:rsidRPr="00DD5809" w:rsidRDefault="00BF0494" w:rsidP="008E2757">
            <w:pPr>
              <w:spacing w:line="240" w:lineRule="auto"/>
              <w:rPr>
                <w:rFonts w:cstheme="minorHAnsi"/>
                <w:sz w:val="22"/>
                <w:szCs w:val="22"/>
              </w:rPr>
            </w:pPr>
            <w:r w:rsidRPr="00DD5809">
              <w:rPr>
                <w:rFonts w:cstheme="minorHAnsi"/>
                <w:sz w:val="22"/>
                <w:szCs w:val="22"/>
              </w:rPr>
              <w:t>Lf</w:t>
            </w:r>
          </w:p>
        </w:tc>
        <w:tc>
          <w:tcPr>
            <w:tcW w:w="630" w:type="dxa"/>
          </w:tcPr>
          <w:p w14:paraId="169ED99B" w14:textId="77777777" w:rsidR="00BF0494" w:rsidRPr="00DD5809" w:rsidRDefault="00BF0494" w:rsidP="008E2757">
            <w:pPr>
              <w:spacing w:line="240" w:lineRule="auto"/>
              <w:rPr>
                <w:rFonts w:cstheme="minorHAnsi"/>
                <w:sz w:val="22"/>
                <w:szCs w:val="22"/>
              </w:rPr>
            </w:pPr>
            <w:r w:rsidRPr="00DD5809">
              <w:rPr>
                <w:rFonts w:cstheme="minorHAnsi"/>
                <w:sz w:val="22"/>
                <w:szCs w:val="22"/>
              </w:rPr>
              <w:t>39</w:t>
            </w:r>
          </w:p>
        </w:tc>
        <w:tc>
          <w:tcPr>
            <w:tcW w:w="2551" w:type="dxa"/>
          </w:tcPr>
          <w:p w14:paraId="670ED4EA" w14:textId="77777777" w:rsidR="00BF0494" w:rsidRPr="00DD5809" w:rsidRDefault="00BF0494" w:rsidP="008E2757">
            <w:pPr>
              <w:spacing w:line="240" w:lineRule="auto"/>
              <w:rPr>
                <w:rFonts w:cstheme="minorHAnsi"/>
                <w:sz w:val="22"/>
                <w:szCs w:val="22"/>
              </w:rPr>
            </w:pPr>
            <w:r w:rsidRPr="00DD5809">
              <w:rPr>
                <w:rFonts w:cstheme="minorHAnsi"/>
                <w:sz w:val="22"/>
                <w:szCs w:val="22"/>
              </w:rPr>
              <w:t>Brewer</w:t>
            </w:r>
          </w:p>
        </w:tc>
        <w:tc>
          <w:tcPr>
            <w:tcW w:w="1229" w:type="dxa"/>
          </w:tcPr>
          <w:p w14:paraId="3F0B0B65"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132</w:t>
            </w:r>
          </w:p>
        </w:tc>
        <w:tc>
          <w:tcPr>
            <w:tcW w:w="810" w:type="dxa"/>
          </w:tcPr>
          <w:p w14:paraId="25C0FB3C" w14:textId="77777777" w:rsidR="00BF0494" w:rsidRPr="00DD5809" w:rsidRDefault="00BF0494" w:rsidP="008E2757">
            <w:pPr>
              <w:spacing w:line="240" w:lineRule="auto"/>
              <w:jc w:val="right"/>
              <w:rPr>
                <w:rFonts w:cstheme="minorHAnsi"/>
                <w:sz w:val="22"/>
                <w:szCs w:val="22"/>
              </w:rPr>
            </w:pPr>
            <w:r w:rsidRPr="00DD5809">
              <w:rPr>
                <w:rFonts w:cstheme="minorHAnsi"/>
                <w:sz w:val="22"/>
                <w:szCs w:val="22"/>
              </w:rPr>
              <w:t>146</w:t>
            </w:r>
          </w:p>
        </w:tc>
        <w:tc>
          <w:tcPr>
            <w:tcW w:w="1260" w:type="dxa"/>
          </w:tcPr>
          <w:p w14:paraId="7772E298" w14:textId="77777777" w:rsidR="00BF0494" w:rsidRPr="00DD5809" w:rsidRDefault="00BF0494" w:rsidP="008E2757">
            <w:pPr>
              <w:spacing w:line="240" w:lineRule="auto"/>
              <w:rPr>
                <w:rFonts w:cstheme="minorHAnsi"/>
                <w:sz w:val="22"/>
                <w:szCs w:val="22"/>
              </w:rPr>
            </w:pPr>
            <w:r w:rsidRPr="00DD5809">
              <w:rPr>
                <w:rFonts w:cstheme="minorHAnsi"/>
                <w:sz w:val="22"/>
                <w:szCs w:val="22"/>
              </w:rPr>
              <w:t>WPA</w:t>
            </w:r>
          </w:p>
        </w:tc>
      </w:tr>
    </w:tbl>
    <w:p w14:paraId="11337E6E" w14:textId="5CD1D11A" w:rsidR="00174A5F" w:rsidRDefault="00174A5F" w:rsidP="00AD0E57">
      <w:pPr>
        <w:ind w:firstLine="720"/>
        <w:rPr>
          <w:rFonts w:ascii="Times New Roman" w:hAnsi="Times New Roman"/>
        </w:rPr>
      </w:pPr>
      <w:r w:rsidRPr="00F02822">
        <w:rPr>
          <w:rFonts w:ascii="Times New Roman" w:hAnsi="Times New Roman"/>
        </w:rPr>
        <w:t xml:space="preserve">Although Newkumet (1940b) defined Fourche Maline sites as black midden sites near creeks or streams, many of the sites are actually set some distance away from the streambed.  </w:t>
      </w:r>
      <w:r w:rsidR="00CF609A">
        <w:rPr>
          <w:rFonts w:ascii="Times New Roman" w:hAnsi="Times New Roman"/>
        </w:rPr>
        <w:t>Wister area</w:t>
      </w:r>
      <w:r w:rsidRPr="00F02822">
        <w:rPr>
          <w:rFonts w:ascii="Times New Roman" w:hAnsi="Times New Roman"/>
        </w:rPr>
        <w:t xml:space="preserve"> Fourche Maline sites have considerably more variability than is often appreciated.</w:t>
      </w:r>
      <w:r>
        <w:rPr>
          <w:rFonts w:ascii="Times New Roman" w:hAnsi="Times New Roman"/>
        </w:rPr>
        <w:t xml:space="preserve">  </w:t>
      </w:r>
      <w:r w:rsidRPr="00F02822">
        <w:rPr>
          <w:rFonts w:ascii="Times New Roman" w:hAnsi="Times New Roman"/>
        </w:rPr>
        <w:t xml:space="preserve">Unfortunately, very little analysis </w:t>
      </w:r>
      <w:r>
        <w:rPr>
          <w:rFonts w:ascii="Times New Roman" w:hAnsi="Times New Roman"/>
        </w:rPr>
        <w:t xml:space="preserve">has been carried out on </w:t>
      </w:r>
      <w:r w:rsidRPr="00F02822">
        <w:rPr>
          <w:rFonts w:ascii="Times New Roman" w:hAnsi="Times New Roman"/>
        </w:rPr>
        <w:t xml:space="preserve">the </w:t>
      </w:r>
      <w:r>
        <w:rPr>
          <w:rFonts w:ascii="Times New Roman" w:hAnsi="Times New Roman"/>
        </w:rPr>
        <w:t>majority of these sites</w:t>
      </w:r>
      <w:r w:rsidRPr="00F02822">
        <w:rPr>
          <w:rFonts w:ascii="Times New Roman" w:hAnsi="Times New Roman"/>
        </w:rPr>
        <w:t xml:space="preserve">.  Exceptions are 34Lt11 McCutchan-McLaughlin, 34Lf11 Scott, 34Lf19 Hooks, </w:t>
      </w:r>
      <w:r>
        <w:rPr>
          <w:rFonts w:ascii="Times New Roman" w:hAnsi="Times New Roman"/>
        </w:rPr>
        <w:t xml:space="preserve">34Lf24 Williams I, </w:t>
      </w:r>
      <w:r w:rsidRPr="00F02822">
        <w:rPr>
          <w:rFonts w:ascii="Times New Roman" w:hAnsi="Times New Roman"/>
        </w:rPr>
        <w:t>34Lf27 Wann, 34Lf28 Sam, 34Lf29</w:t>
      </w:r>
      <w:r>
        <w:rPr>
          <w:rFonts w:ascii="Times New Roman" w:hAnsi="Times New Roman"/>
        </w:rPr>
        <w:t xml:space="preserve"> </w:t>
      </w:r>
      <w:r w:rsidRPr="00F02822">
        <w:rPr>
          <w:rFonts w:ascii="Times New Roman" w:hAnsi="Times New Roman"/>
        </w:rPr>
        <w:t>Mackey, and 34Lf32 Akers, which</w:t>
      </w:r>
      <w:r>
        <w:rPr>
          <w:rFonts w:ascii="Times New Roman" w:hAnsi="Times New Roman"/>
        </w:rPr>
        <w:t xml:space="preserve"> will</w:t>
      </w:r>
      <w:r w:rsidRPr="00F02822">
        <w:rPr>
          <w:rFonts w:ascii="Times New Roman" w:hAnsi="Times New Roman"/>
        </w:rPr>
        <w:t xml:space="preserve"> be discussed in some detail below.</w:t>
      </w:r>
    </w:p>
    <w:p w14:paraId="7294E31F" w14:textId="77777777" w:rsidR="00BF0494" w:rsidRDefault="00BF0494" w:rsidP="007F6BCD">
      <w:pPr>
        <w:pStyle w:val="Heading4"/>
      </w:pPr>
      <w:r>
        <w:t>34Lt11 McCutchan-McLaughlin</w:t>
      </w:r>
    </w:p>
    <w:p w14:paraId="54DA102D" w14:textId="0AD109B1" w:rsidR="00BF0494" w:rsidRPr="00F631E0" w:rsidRDefault="00BF0494" w:rsidP="00BF0494">
      <w:pPr>
        <w:ind w:firstLine="720"/>
        <w:rPr>
          <w:rFonts w:ascii="Times New Roman" w:hAnsi="Times New Roman"/>
        </w:rPr>
      </w:pPr>
      <w:r w:rsidRPr="00F631E0">
        <w:rPr>
          <w:rFonts w:ascii="Times New Roman" w:hAnsi="Times New Roman"/>
        </w:rPr>
        <w:t>The McCutchan-McLaughlin site</w:t>
      </w:r>
      <w:r>
        <w:rPr>
          <w:rFonts w:ascii="Times New Roman" w:hAnsi="Times New Roman"/>
        </w:rPr>
        <w:t xml:space="preserve"> in Latimer County</w:t>
      </w:r>
      <w:r w:rsidRPr="00F631E0">
        <w:rPr>
          <w:rFonts w:ascii="Times New Roman" w:hAnsi="Times New Roman"/>
        </w:rPr>
        <w:t xml:space="preserve"> is the best known and best documented of the many archaeological sites along Fourche Maline Creek.  It has been known to the professional archaeological community since 1965 when avocational archaeologist Dr. Sherman P. Lawton </w:t>
      </w:r>
      <w:r>
        <w:rPr>
          <w:rFonts w:ascii="Times New Roman" w:hAnsi="Times New Roman"/>
        </w:rPr>
        <w:t xml:space="preserve">first </w:t>
      </w:r>
      <w:r w:rsidRPr="00F631E0">
        <w:rPr>
          <w:rFonts w:ascii="Times New Roman" w:hAnsi="Times New Roman"/>
        </w:rPr>
        <w:t>report</w:t>
      </w:r>
      <w:r>
        <w:rPr>
          <w:rFonts w:ascii="Times New Roman" w:hAnsi="Times New Roman"/>
        </w:rPr>
        <w:t>ed</w:t>
      </w:r>
      <w:r w:rsidRPr="00F631E0">
        <w:rPr>
          <w:rFonts w:ascii="Times New Roman" w:hAnsi="Times New Roman"/>
        </w:rPr>
        <w:t xml:space="preserve"> the site (Wyckoff 1976).  The site consists of a low mound with the typical dark organic soils of Fourche Maline sites.   It is located on the east bank of Fourche Maline Creek, on a modern floodplain near the conjunction of Spring and Fourche Maline Creeks, at the foot of Lit</w:t>
      </w:r>
      <w:r w:rsidR="00321BDA">
        <w:rPr>
          <w:rFonts w:ascii="Times New Roman" w:hAnsi="Times New Roman"/>
        </w:rPr>
        <w:t>tle Ridge.  This is the western</w:t>
      </w:r>
      <w:r w:rsidRPr="00F631E0">
        <w:rPr>
          <w:rFonts w:ascii="Times New Roman" w:hAnsi="Times New Roman"/>
        </w:rPr>
        <w:t>most of the</w:t>
      </w:r>
      <w:r>
        <w:rPr>
          <w:rFonts w:ascii="Times New Roman" w:hAnsi="Times New Roman"/>
        </w:rPr>
        <w:t xml:space="preserve"> Fourche Maline sites excavated and the only sit</w:t>
      </w:r>
      <w:r w:rsidR="00FB6D8F">
        <w:rPr>
          <w:rFonts w:ascii="Times New Roman" w:hAnsi="Times New Roman"/>
        </w:rPr>
        <w:t>e included in this study</w:t>
      </w:r>
      <w:r>
        <w:rPr>
          <w:rFonts w:ascii="Times New Roman" w:hAnsi="Times New Roman"/>
        </w:rPr>
        <w:t xml:space="preserve"> not in LeFlore County.</w:t>
      </w:r>
    </w:p>
    <w:p w14:paraId="66C8CB1B" w14:textId="73BF6DC9" w:rsidR="00BF0494" w:rsidRDefault="00BF0494" w:rsidP="001357D7">
      <w:pPr>
        <w:ind w:firstLine="720"/>
        <w:rPr>
          <w:rFonts w:ascii="Times New Roman" w:hAnsi="Times New Roman"/>
        </w:rPr>
      </w:pPr>
      <w:r w:rsidRPr="00F631E0">
        <w:rPr>
          <w:rFonts w:ascii="Times New Roman" w:hAnsi="Times New Roman"/>
        </w:rPr>
        <w:t>Approximately 10% of the mound was excavated by the University of Oklahoma Field Schools in Archaeology, directed by Dr. D. G. Wyck</w:t>
      </w:r>
      <w:r>
        <w:rPr>
          <w:rFonts w:ascii="Times New Roman" w:hAnsi="Times New Roman"/>
        </w:rPr>
        <w:t>off (then Oklahoma State Archeologist)</w:t>
      </w:r>
      <w:r w:rsidRPr="00F631E0">
        <w:rPr>
          <w:rFonts w:ascii="Times New Roman" w:hAnsi="Times New Roman"/>
        </w:rPr>
        <w:t xml:space="preserve"> during the summers of 1976 and 1977.  At the time o</w:t>
      </w:r>
      <w:r>
        <w:rPr>
          <w:rFonts w:ascii="Times New Roman" w:hAnsi="Times New Roman"/>
        </w:rPr>
        <w:t>f excavation, the mound measured 34 m NS and 26 m</w:t>
      </w:r>
      <w:r w:rsidRPr="00F631E0">
        <w:rPr>
          <w:rFonts w:ascii="Times New Roman" w:hAnsi="Times New Roman"/>
        </w:rPr>
        <w:t xml:space="preserve"> EW, although the west side of the mound had been extensively eroded by Fourche Maline Creek (Wyckoff and Woody 1977).  The excavations recovered lithic tools and debitage, as well as plant and animal remains, including mussel shells and carbonized nut fragments.  Also recovered were 32 burials with 48 individuals.  The skeletal material was analyzed by </w:t>
      </w:r>
      <w:r w:rsidR="007A3B37">
        <w:rPr>
          <w:rFonts w:ascii="Times New Roman" w:hAnsi="Times New Roman"/>
        </w:rPr>
        <w:t xml:space="preserve">Mary Lucas </w:t>
      </w:r>
      <w:r w:rsidRPr="00F631E0">
        <w:rPr>
          <w:rFonts w:ascii="Times New Roman" w:hAnsi="Times New Roman"/>
        </w:rPr>
        <w:t>Powell while</w:t>
      </w:r>
      <w:r w:rsidR="007A3B37">
        <w:rPr>
          <w:rFonts w:ascii="Times New Roman" w:hAnsi="Times New Roman"/>
        </w:rPr>
        <w:t xml:space="preserve"> Dan</w:t>
      </w:r>
      <w:r w:rsidRPr="00F631E0">
        <w:rPr>
          <w:rFonts w:ascii="Times New Roman" w:hAnsi="Times New Roman"/>
        </w:rPr>
        <w:t xml:space="preserve"> Rogers focused on the mortuary program (Powell and Rogers 1980).  </w:t>
      </w:r>
      <w:r>
        <w:rPr>
          <w:rFonts w:ascii="Times New Roman" w:hAnsi="Times New Roman"/>
        </w:rPr>
        <w:t xml:space="preserve"> One of the </w:t>
      </w:r>
      <w:r w:rsidR="0099705D">
        <w:rPr>
          <w:rFonts w:ascii="Times New Roman" w:hAnsi="Times New Roman"/>
        </w:rPr>
        <w:t>notable</w:t>
      </w:r>
      <w:r>
        <w:rPr>
          <w:rFonts w:ascii="Times New Roman" w:hAnsi="Times New Roman"/>
        </w:rPr>
        <w:t xml:space="preserve"> features of the site is Burial 6.  As pictured in Figure </w:t>
      </w:r>
      <w:r w:rsidR="00891719">
        <w:rPr>
          <w:rFonts w:ascii="Times New Roman" w:hAnsi="Times New Roman"/>
        </w:rPr>
        <w:t>6</w:t>
      </w:r>
      <w:r>
        <w:rPr>
          <w:rFonts w:ascii="Times New Roman" w:hAnsi="Times New Roman"/>
        </w:rPr>
        <w:t>, the burial consisted of nine individuals, six of them with embedded projectile points (Powell and Rogers 1980).</w:t>
      </w:r>
    </w:p>
    <w:p w14:paraId="5E7BC489" w14:textId="77777777" w:rsidR="00BF0494" w:rsidRDefault="00BF0494" w:rsidP="00BF0494">
      <w:pPr>
        <w:spacing w:line="240" w:lineRule="auto"/>
        <w:ind w:firstLine="720"/>
        <w:rPr>
          <w:rFonts w:ascii="Times New Roman" w:hAnsi="Times New Roman"/>
        </w:rPr>
      </w:pPr>
    </w:p>
    <w:p w14:paraId="4D2FADE3" w14:textId="77777777" w:rsidR="00BF0494" w:rsidRPr="00F631E0" w:rsidRDefault="00BF0494" w:rsidP="00BF0494">
      <w:pPr>
        <w:jc w:val="center"/>
        <w:rPr>
          <w:rFonts w:ascii="Times New Roman" w:hAnsi="Times New Roman"/>
        </w:rPr>
      </w:pPr>
      <w:r>
        <w:rPr>
          <w:rFonts w:ascii="Times New Roman" w:hAnsi="Times New Roman"/>
          <w:noProof/>
          <w:lang w:bidi="ar-SA"/>
        </w:rPr>
        <w:drawing>
          <wp:inline distT="0" distB="0" distL="0" distR="0" wp14:anchorId="10048465" wp14:editId="1857C885">
            <wp:extent cx="4813383" cy="33126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11B6-1small.jpg"/>
                    <pic:cNvPicPr/>
                  </pic:nvPicPr>
                  <pic:blipFill>
                    <a:blip r:embed="rId16">
                      <a:extLst>
                        <a:ext uri="{28A0092B-C50C-407E-A947-70E740481C1C}">
                          <a14:useLocalDpi xmlns:a14="http://schemas.microsoft.com/office/drawing/2010/main" val="0"/>
                        </a:ext>
                      </a:extLst>
                    </a:blip>
                    <a:stretch>
                      <a:fillRect/>
                    </a:stretch>
                  </pic:blipFill>
                  <pic:spPr>
                    <a:xfrm>
                      <a:off x="0" y="0"/>
                      <a:ext cx="4813644" cy="3312814"/>
                    </a:xfrm>
                    <a:prstGeom prst="rect">
                      <a:avLst/>
                    </a:prstGeom>
                  </pic:spPr>
                </pic:pic>
              </a:graphicData>
            </a:graphic>
          </wp:inline>
        </w:drawing>
      </w:r>
    </w:p>
    <w:p w14:paraId="392EA971" w14:textId="77777777" w:rsidR="00BF0494" w:rsidRDefault="00BF0494" w:rsidP="00133F61">
      <w:pPr>
        <w:pStyle w:val="Caption"/>
      </w:pPr>
      <w:bookmarkStart w:id="47" w:name="_Toc261025208"/>
      <w:r>
        <w:t xml:space="preserve">Figure </w:t>
      </w:r>
      <w:fldSimple w:instr=" SEQ Figure \* ARABIC ">
        <w:r w:rsidR="00396EB3">
          <w:rPr>
            <w:noProof/>
          </w:rPr>
          <w:t>6</w:t>
        </w:r>
      </w:fldSimple>
      <w:r>
        <w:t xml:space="preserve"> Burial 6 from the McCutchan-McLaughlin site</w:t>
      </w:r>
      <w:bookmarkEnd w:id="47"/>
    </w:p>
    <w:p w14:paraId="13886B86" w14:textId="77777777" w:rsidR="00174A5F" w:rsidRDefault="00174A5F" w:rsidP="00174A5F"/>
    <w:p w14:paraId="3561DFBB" w14:textId="6E0164FC" w:rsidR="00174A5F" w:rsidRPr="00F631E0" w:rsidRDefault="00174A5F" w:rsidP="00174A5F">
      <w:pPr>
        <w:ind w:firstLine="720"/>
        <w:rPr>
          <w:rFonts w:ascii="Times New Roman" w:hAnsi="Times New Roman"/>
        </w:rPr>
      </w:pPr>
      <w:r w:rsidRPr="00F631E0">
        <w:rPr>
          <w:rFonts w:ascii="Times New Roman" w:hAnsi="Times New Roman"/>
        </w:rPr>
        <w:t xml:space="preserve">At the deepest portion of the mound, two major stratigraphic horizons were discernable.  The upper component (15 cm and above) dates to ~600 </w:t>
      </w:r>
      <w:r>
        <w:rPr>
          <w:rFonts w:ascii="Times New Roman" w:hAnsi="Times New Roman"/>
        </w:rPr>
        <w:t>CE</w:t>
      </w:r>
      <w:r w:rsidRPr="00F631E0">
        <w:rPr>
          <w:rFonts w:ascii="Times New Roman" w:hAnsi="Times New Roman"/>
        </w:rPr>
        <w:t xml:space="preserve"> or later and contains ceramics and arrow points.  A sterile unit indicated that the site was ab</w:t>
      </w:r>
      <w:r>
        <w:rPr>
          <w:rFonts w:ascii="Times New Roman" w:hAnsi="Times New Roman"/>
        </w:rPr>
        <w:t>andon</w:t>
      </w:r>
      <w:r w:rsidRPr="00F631E0">
        <w:rPr>
          <w:rFonts w:ascii="Times New Roman" w:hAnsi="Times New Roman"/>
        </w:rPr>
        <w:t xml:space="preserve">ed for ~ 600 years (Wyckoff and Woody 1977), although recent artifact analysis suggests that the site was not totally abandoned as previously thought (Leith 2006:41).  </w:t>
      </w:r>
      <w:r>
        <w:rPr>
          <w:rFonts w:ascii="Times New Roman" w:hAnsi="Times New Roman"/>
        </w:rPr>
        <w:t>The lower component was</w:t>
      </w:r>
      <w:r w:rsidRPr="00F631E0">
        <w:rPr>
          <w:rFonts w:ascii="Times New Roman" w:hAnsi="Times New Roman"/>
        </w:rPr>
        <w:t xml:space="preserve"> dated</w:t>
      </w:r>
      <w:r>
        <w:rPr>
          <w:rFonts w:ascii="Times New Roman" w:hAnsi="Times New Roman"/>
        </w:rPr>
        <w:t xml:space="preserve"> to</w:t>
      </w:r>
      <w:r w:rsidRPr="00F631E0">
        <w:rPr>
          <w:rFonts w:ascii="Times New Roman" w:hAnsi="Times New Roman"/>
        </w:rPr>
        <w:t xml:space="preserve"> 300 </w:t>
      </w:r>
      <w:r>
        <w:rPr>
          <w:rFonts w:ascii="Times New Roman" w:hAnsi="Times New Roman"/>
        </w:rPr>
        <w:t>BCE</w:t>
      </w:r>
      <w:r w:rsidRPr="00F631E0">
        <w:rPr>
          <w:rFonts w:ascii="Times New Roman" w:hAnsi="Times New Roman"/>
        </w:rPr>
        <w:t xml:space="preserve"> – 35 </w:t>
      </w:r>
      <w:r>
        <w:rPr>
          <w:rFonts w:ascii="Times New Roman" w:hAnsi="Times New Roman"/>
        </w:rPr>
        <w:t>CE</w:t>
      </w:r>
      <w:r w:rsidRPr="00F631E0">
        <w:rPr>
          <w:rFonts w:ascii="Times New Roman" w:hAnsi="Times New Roman"/>
        </w:rPr>
        <w:t xml:space="preserve"> (Wister Phase) and was dominated by large corner-notched projectile points and lacked pottery or arrow points (Galm 1984).  Additional </w:t>
      </w:r>
      <w:r w:rsidR="00321BDA">
        <w:rPr>
          <w:rFonts w:ascii="Times New Roman" w:hAnsi="Times New Roman"/>
        </w:rPr>
        <w:t>radiocarbon dates confirm both</w:t>
      </w:r>
      <w:r w:rsidRPr="00F631E0">
        <w:rPr>
          <w:rFonts w:ascii="Times New Roman" w:hAnsi="Times New Roman"/>
        </w:rPr>
        <w:t xml:space="preserve"> Wister and Fourche Maline occupation</w:t>
      </w:r>
      <w:r w:rsidR="00321BDA">
        <w:rPr>
          <w:rFonts w:ascii="Times New Roman" w:hAnsi="Times New Roman"/>
        </w:rPr>
        <w:t>s</w:t>
      </w:r>
      <w:r w:rsidRPr="00F631E0">
        <w:rPr>
          <w:rFonts w:ascii="Times New Roman" w:hAnsi="Times New Roman"/>
        </w:rPr>
        <w:t xml:space="preserve"> (Baugh 1982, Galm 1984).</w:t>
      </w:r>
    </w:p>
    <w:p w14:paraId="4653E6A1" w14:textId="67E6FAA1" w:rsidR="00D92FF7" w:rsidRDefault="00174A5F" w:rsidP="00174A5F">
      <w:pPr>
        <w:ind w:firstLine="720"/>
        <w:rPr>
          <w:rFonts w:ascii="Times New Roman" w:hAnsi="Times New Roman"/>
        </w:rPr>
      </w:pPr>
      <w:r>
        <w:rPr>
          <w:rFonts w:ascii="Times New Roman" w:hAnsi="Times New Roman"/>
        </w:rPr>
        <w:t>Despite</w:t>
      </w:r>
      <w:r w:rsidRPr="00F631E0">
        <w:rPr>
          <w:rFonts w:ascii="Times New Roman" w:hAnsi="Times New Roman"/>
        </w:rPr>
        <w:t xml:space="preserve"> radiocarbon dates, the burials have proven difficult to associate with upper or lower components due to “the uniformly dark midden matrix at the site” (Powell and Rogers 1980:5).   All of the McCutchan-</w:t>
      </w:r>
      <w:r w:rsidR="005544F1" w:rsidRPr="00F631E0">
        <w:rPr>
          <w:rFonts w:ascii="Times New Roman" w:hAnsi="Times New Roman"/>
        </w:rPr>
        <w:t>McLaughlin</w:t>
      </w:r>
      <w:r w:rsidRPr="00F631E0">
        <w:rPr>
          <w:rFonts w:ascii="Times New Roman" w:hAnsi="Times New Roman"/>
        </w:rPr>
        <w:t xml:space="preserve"> burials have been counted as Fourche Maline in later analyses (Burnett 1990, Rose et al. 1993).</w:t>
      </w:r>
      <w:r>
        <w:rPr>
          <w:rFonts w:ascii="Times New Roman" w:hAnsi="Times New Roman"/>
        </w:rPr>
        <w:t xml:space="preserve"> </w:t>
      </w:r>
      <w:r w:rsidRPr="00F631E0">
        <w:rPr>
          <w:rFonts w:ascii="Times New Roman" w:hAnsi="Times New Roman"/>
        </w:rPr>
        <w:t xml:space="preserve"> The outstanding feature at this site is Burial 6, a mass grave of nine individuals, both adults and children, six </w:t>
      </w:r>
      <w:r>
        <w:rPr>
          <w:rFonts w:ascii="Times New Roman" w:hAnsi="Times New Roman"/>
        </w:rPr>
        <w:t>with</w:t>
      </w:r>
      <w:r w:rsidRPr="00F631E0">
        <w:rPr>
          <w:rFonts w:ascii="Times New Roman" w:hAnsi="Times New Roman"/>
        </w:rPr>
        <w:t xml:space="preserve"> associated dart points of distinctive Ozark chert lodged in bone or body cavities (Powell and Rogers 1980).  Given that Ozark cherts made up less than 1% of the rest of the lithic assemblage, it was suggested that this group </w:t>
      </w:r>
      <w:r>
        <w:rPr>
          <w:rFonts w:ascii="Times New Roman" w:hAnsi="Times New Roman"/>
        </w:rPr>
        <w:t>represented the casualties</w:t>
      </w:r>
      <w:r w:rsidRPr="00F631E0">
        <w:rPr>
          <w:rFonts w:ascii="Times New Roman" w:hAnsi="Times New Roman"/>
        </w:rPr>
        <w:t xml:space="preserve"> of a raiding party from north of the Arkansas River (Powell and Rogers 1980:57).  </w:t>
      </w:r>
    </w:p>
    <w:p w14:paraId="4E6FCA9C" w14:textId="17CF6A53" w:rsidR="00BF0494" w:rsidRDefault="00BF0494" w:rsidP="00BF0494">
      <w:pPr>
        <w:ind w:firstLine="720"/>
        <w:rPr>
          <w:rFonts w:ascii="Times New Roman" w:hAnsi="Times New Roman"/>
        </w:rPr>
      </w:pPr>
      <w:r>
        <w:rPr>
          <w:rFonts w:ascii="Times New Roman" w:hAnsi="Times New Roman"/>
        </w:rPr>
        <w:t>Two M.A. theses</w:t>
      </w:r>
      <w:r w:rsidR="00321BDA">
        <w:rPr>
          <w:rFonts w:ascii="Times New Roman" w:hAnsi="Times New Roman"/>
        </w:rPr>
        <w:t xml:space="preserve"> and a Ph.D. dissertation</w:t>
      </w:r>
      <w:r>
        <w:rPr>
          <w:rFonts w:ascii="Times New Roman" w:hAnsi="Times New Roman"/>
        </w:rPr>
        <w:t xml:space="preserve"> from the University of Oklahoma have been completed on the excavations from McCutchan-McLaughlin.  Cherie Clark (1987) examined the deer remains in order to study subsistence intensification and Luther Leith (2006) looked at subsistence and the origins of agriculture.  Leith also performed remote sensing studies in 2009, and oversaw an off-mound field </w:t>
      </w:r>
      <w:r w:rsidR="005544F1">
        <w:rPr>
          <w:rFonts w:ascii="Times New Roman" w:hAnsi="Times New Roman"/>
        </w:rPr>
        <w:t>excavation that</w:t>
      </w:r>
      <w:r>
        <w:rPr>
          <w:rFonts w:ascii="Times New Roman" w:hAnsi="Times New Roman"/>
        </w:rPr>
        <w:t xml:space="preserve"> uncovered a possible Fourche Maline structure (Leith 2011).</w:t>
      </w:r>
    </w:p>
    <w:p w14:paraId="31BCB41D" w14:textId="128E827B" w:rsidR="00BF0494" w:rsidRPr="00F631E0" w:rsidRDefault="00BF0494" w:rsidP="00BF0494">
      <w:pPr>
        <w:ind w:firstLine="720"/>
        <w:rPr>
          <w:rFonts w:ascii="Times New Roman" w:hAnsi="Times New Roman"/>
        </w:rPr>
      </w:pPr>
      <w:r>
        <w:rPr>
          <w:rFonts w:ascii="Times New Roman" w:hAnsi="Times New Roman"/>
        </w:rPr>
        <w:t xml:space="preserve"> Because this site is so well studied and because it was excavated with modern techniques, including tightly controlled stratigraphic levels as well as soil sample</w:t>
      </w:r>
      <w:r w:rsidR="001357D7">
        <w:rPr>
          <w:rFonts w:ascii="Times New Roman" w:hAnsi="Times New Roman"/>
        </w:rPr>
        <w:t>s</w:t>
      </w:r>
      <w:r>
        <w:rPr>
          <w:rFonts w:ascii="Times New Roman" w:hAnsi="Times New Roman"/>
        </w:rPr>
        <w:t xml:space="preserve"> for flotation, it serves as a useful comparison for other </w:t>
      </w:r>
      <w:r w:rsidR="00CF609A">
        <w:rPr>
          <w:rFonts w:ascii="Times New Roman" w:hAnsi="Times New Roman"/>
        </w:rPr>
        <w:t>Wister area</w:t>
      </w:r>
      <w:r>
        <w:rPr>
          <w:rFonts w:ascii="Times New Roman" w:hAnsi="Times New Roman"/>
        </w:rPr>
        <w:t xml:space="preserve"> Fourche Maline sites.  However it should be kept in mind that </w:t>
      </w:r>
      <w:r w:rsidR="0000405E">
        <w:rPr>
          <w:rFonts w:ascii="Times New Roman" w:hAnsi="Times New Roman"/>
        </w:rPr>
        <w:t xml:space="preserve">because </w:t>
      </w:r>
      <w:r w:rsidR="007B0E9E">
        <w:rPr>
          <w:rFonts w:ascii="Times New Roman" w:hAnsi="Times New Roman"/>
        </w:rPr>
        <w:t>approximately</w:t>
      </w:r>
      <w:r>
        <w:rPr>
          <w:rFonts w:ascii="Times New Roman" w:hAnsi="Times New Roman"/>
        </w:rPr>
        <w:t xml:space="preserve"> 10% of the site was excavated, we do not have a full picture of the McCutchan-McLaughlin site.</w:t>
      </w:r>
    </w:p>
    <w:p w14:paraId="2F569686" w14:textId="77777777" w:rsidR="00BF0494" w:rsidRDefault="00BF0494" w:rsidP="007F6BCD">
      <w:pPr>
        <w:pStyle w:val="Heading4"/>
      </w:pPr>
      <w:r>
        <w:t>34Lf11 Scott</w:t>
      </w:r>
    </w:p>
    <w:p w14:paraId="27D9724A" w14:textId="533F6AC6" w:rsidR="00BF0494" w:rsidRDefault="00BF0494" w:rsidP="00BF0494">
      <w:pPr>
        <w:ind w:firstLine="720"/>
        <w:rPr>
          <w:rFonts w:ascii="Times New Roman" w:hAnsi="Times New Roman"/>
        </w:rPr>
      </w:pPr>
      <w:r w:rsidRPr="00F64D53">
        <w:rPr>
          <w:rFonts w:ascii="Times New Roman" w:hAnsi="Times New Roman"/>
        </w:rPr>
        <w:t>Located about midway through the valley, on the east bank of a major bend in Fourche Maline Creek</w:t>
      </w:r>
      <w:r>
        <w:rPr>
          <w:rFonts w:ascii="Times New Roman" w:hAnsi="Times New Roman"/>
        </w:rPr>
        <w:t>, the Scott site i</w:t>
      </w:r>
      <w:r w:rsidRPr="00F64D53">
        <w:rPr>
          <w:rFonts w:ascii="Times New Roman" w:hAnsi="Times New Roman"/>
        </w:rPr>
        <w:t>s located immediately west of Horseshoe Lake, an old oxbow of the river.  Although prone to seasonal flooding, the site is beyond the slackwaters of Wister Lake (Galm and Flynn 1978).  The site was originally excavated in 1947 and 1948 by Dr. R.E. Bell of the University of Oklahoma (Bell 1953).</w:t>
      </w:r>
      <w:r>
        <w:rPr>
          <w:rFonts w:ascii="Times New Roman" w:hAnsi="Times New Roman"/>
        </w:rPr>
        <w:t xml:space="preserve"> </w:t>
      </w:r>
      <w:r w:rsidR="005B0205">
        <w:rPr>
          <w:rFonts w:ascii="Times New Roman" w:hAnsi="Times New Roman"/>
        </w:rPr>
        <w:t xml:space="preserve"> The site was reexamined in 1976-1978 </w:t>
      </w:r>
      <w:r w:rsidR="007B0E9E">
        <w:rPr>
          <w:rFonts w:ascii="Times New Roman" w:hAnsi="Times New Roman"/>
        </w:rPr>
        <w:t>by the Oklahoma Arch</w:t>
      </w:r>
      <w:r w:rsidRPr="00F64D53">
        <w:rPr>
          <w:rFonts w:ascii="Times New Roman" w:hAnsi="Times New Roman"/>
        </w:rPr>
        <w:t>eological Survey (</w:t>
      </w:r>
      <w:r w:rsidR="0004347C">
        <w:rPr>
          <w:rFonts w:ascii="Times New Roman" w:hAnsi="Times New Roman"/>
        </w:rPr>
        <w:t xml:space="preserve">Galm 1978, </w:t>
      </w:r>
      <w:r w:rsidRPr="00F64D53">
        <w:rPr>
          <w:rFonts w:ascii="Times New Roman" w:hAnsi="Times New Roman"/>
        </w:rPr>
        <w:t>Galm and Flynn 1978).  Radiocarbon dates indicated a middle Archaic occupation with additional occupations in the Fourche Maline and Spiro phas</w:t>
      </w:r>
      <w:r>
        <w:rPr>
          <w:rFonts w:ascii="Times New Roman" w:hAnsi="Times New Roman"/>
        </w:rPr>
        <w:t>es (Galm 1984).</w:t>
      </w:r>
      <w:r w:rsidRPr="00F64D53">
        <w:rPr>
          <w:rFonts w:ascii="Times New Roman" w:hAnsi="Times New Roman"/>
        </w:rPr>
        <w:t xml:space="preserve"> Only abo</w:t>
      </w:r>
      <w:r>
        <w:rPr>
          <w:rFonts w:ascii="Times New Roman" w:hAnsi="Times New Roman"/>
        </w:rPr>
        <w:t>ut 7% of the Scott site was</w:t>
      </w:r>
      <w:r w:rsidRPr="00F64D53">
        <w:rPr>
          <w:rFonts w:ascii="Times New Roman" w:hAnsi="Times New Roman"/>
        </w:rPr>
        <w:t xml:space="preserve"> excavated (Galm and Flynn 1978).</w:t>
      </w:r>
      <w:r w:rsidR="005B0205">
        <w:rPr>
          <w:rFonts w:ascii="Times New Roman" w:hAnsi="Times New Roman"/>
        </w:rPr>
        <w:t xml:space="preserve">  The mound was fairly deep, about 1.8 m, or nearly 6 feet deep (Galm and Flynn 1978).</w:t>
      </w:r>
    </w:p>
    <w:p w14:paraId="5C025207" w14:textId="594F6DF2" w:rsidR="00BF0494" w:rsidRPr="00F64D53" w:rsidRDefault="00BF0494" w:rsidP="00BF0494">
      <w:pPr>
        <w:ind w:firstLine="720"/>
        <w:rPr>
          <w:rFonts w:ascii="Times New Roman" w:hAnsi="Times New Roman"/>
        </w:rPr>
      </w:pPr>
      <w:r w:rsidRPr="00F64D53">
        <w:rPr>
          <w:rFonts w:ascii="Times New Roman" w:hAnsi="Times New Roman"/>
        </w:rPr>
        <w:t>Fif</w:t>
      </w:r>
      <w:r>
        <w:rPr>
          <w:rFonts w:ascii="Times New Roman" w:hAnsi="Times New Roman"/>
        </w:rPr>
        <w:t>teen burials, in poor condition</w:t>
      </w:r>
      <w:r w:rsidRPr="00F64D53">
        <w:rPr>
          <w:rFonts w:ascii="Times New Roman" w:hAnsi="Times New Roman"/>
        </w:rPr>
        <w:t xml:space="preserve"> due to both poor preservation and rodent activity, were excavated by Bell.  Despite the lack of prepared graves, most of the burials were placed in a semi-flexed position, indicating intentional burial.  The skeletons were aged and sexed by H.D. Brighton for an undergraduate class and the results published under Bell’s name (Bell 1953).  An additional ten burials were excavated during the 19</w:t>
      </w:r>
      <w:r>
        <w:rPr>
          <w:rFonts w:ascii="Times New Roman" w:hAnsi="Times New Roman"/>
        </w:rPr>
        <w:t xml:space="preserve">77 excavations (Hammett 1978), but </w:t>
      </w:r>
      <w:r w:rsidRPr="00F64D53">
        <w:rPr>
          <w:rFonts w:ascii="Times New Roman" w:hAnsi="Times New Roman"/>
        </w:rPr>
        <w:t xml:space="preserve">these burials do </w:t>
      </w:r>
      <w:r w:rsidR="0000405E">
        <w:rPr>
          <w:rFonts w:ascii="Times New Roman" w:hAnsi="Times New Roman"/>
        </w:rPr>
        <w:t>not appear to have been analyzed</w:t>
      </w:r>
      <w:r w:rsidRPr="00F64D53">
        <w:rPr>
          <w:rFonts w:ascii="Times New Roman" w:hAnsi="Times New Roman"/>
        </w:rPr>
        <w:t>.</w:t>
      </w:r>
    </w:p>
    <w:p w14:paraId="6011CBE1" w14:textId="77777777" w:rsidR="00BF0494" w:rsidRDefault="00BF0494" w:rsidP="00BF0494">
      <w:pPr>
        <w:ind w:firstLine="720"/>
        <w:rPr>
          <w:rFonts w:ascii="Times New Roman" w:hAnsi="Times New Roman"/>
        </w:rPr>
      </w:pPr>
      <w:r w:rsidRPr="00F64D53">
        <w:rPr>
          <w:rFonts w:ascii="Times New Roman" w:hAnsi="Times New Roman"/>
        </w:rPr>
        <w:t xml:space="preserve">Of the 15 examined individuals, five were determined to be subadults (under </w:t>
      </w:r>
      <w:r>
        <w:rPr>
          <w:rFonts w:ascii="Times New Roman" w:hAnsi="Times New Roman"/>
        </w:rPr>
        <w:t xml:space="preserve">the age of </w:t>
      </w:r>
      <w:r w:rsidRPr="00F64D53">
        <w:rPr>
          <w:rFonts w:ascii="Times New Roman" w:hAnsi="Times New Roman"/>
        </w:rPr>
        <w:t>15</w:t>
      </w:r>
      <w:r>
        <w:rPr>
          <w:rFonts w:ascii="Times New Roman" w:hAnsi="Times New Roman"/>
        </w:rPr>
        <w:t xml:space="preserve"> years) and ten</w:t>
      </w:r>
      <w:r w:rsidRPr="00F64D53">
        <w:rPr>
          <w:rFonts w:ascii="Times New Roman" w:hAnsi="Times New Roman"/>
        </w:rPr>
        <w:t xml:space="preserve"> to be adults</w:t>
      </w:r>
      <w:r>
        <w:rPr>
          <w:rFonts w:ascii="Times New Roman" w:hAnsi="Times New Roman"/>
        </w:rPr>
        <w:t xml:space="preserve"> (Bell 1953:319)</w:t>
      </w:r>
      <w:r w:rsidRPr="00F64D53">
        <w:rPr>
          <w:rFonts w:ascii="Times New Roman" w:hAnsi="Times New Roman"/>
        </w:rPr>
        <w:t>.  All adult skeletons were sexed, as were three of the subadults. It is unclear how much information can be drawn from the Scott site burials.  While the burials have been considered Fourche Maline for analysis (Burnett 1990), they are not confidently associated with any of the radiocarbon dates.  Given that this analysis was completed by an undergraduate (“A discertation (sic) on “The Skeletal Remains from the Scott Site” by Brighton, 1950) who felt confident aging and sexing sk</w:t>
      </w:r>
      <w:r>
        <w:rPr>
          <w:rFonts w:ascii="Times New Roman" w:hAnsi="Times New Roman"/>
        </w:rPr>
        <w:t xml:space="preserve">eletons, </w:t>
      </w:r>
      <w:r w:rsidRPr="00F64D53">
        <w:rPr>
          <w:rFonts w:ascii="Times New Roman" w:hAnsi="Times New Roman"/>
        </w:rPr>
        <w:t>including subadults</w:t>
      </w:r>
      <w:r>
        <w:rPr>
          <w:rFonts w:ascii="Times New Roman" w:hAnsi="Times New Roman"/>
        </w:rPr>
        <w:t>, in very poor condition</w:t>
      </w:r>
      <w:r w:rsidRPr="00F64D53">
        <w:rPr>
          <w:rFonts w:ascii="Times New Roman" w:hAnsi="Times New Roman"/>
        </w:rPr>
        <w:t>, this site is ripe for a reanalysis of the burials.</w:t>
      </w:r>
    </w:p>
    <w:p w14:paraId="3B7F37EE" w14:textId="77777777" w:rsidR="00BF0494" w:rsidRDefault="00BF0494" w:rsidP="007F6BCD">
      <w:pPr>
        <w:pStyle w:val="Heading4"/>
      </w:pPr>
      <w:r>
        <w:t>34Lf15 Redwine</w:t>
      </w:r>
    </w:p>
    <w:p w14:paraId="1A917D34" w14:textId="42F00CA4" w:rsidR="00BF0494" w:rsidRDefault="00BF0494" w:rsidP="00BF0494">
      <w:pPr>
        <w:rPr>
          <w:rFonts w:ascii="Times New Roman" w:hAnsi="Times New Roman"/>
        </w:rPr>
      </w:pPr>
      <w:r>
        <w:rPr>
          <w:rFonts w:ascii="Times New Roman" w:hAnsi="Times New Roman"/>
        </w:rPr>
        <w:tab/>
        <w:t xml:space="preserve">The Redwine site was located on both the north and south bank of Fourche Maline Creek, about one mile west of its conjunction with the Poteau River.  At </w:t>
      </w:r>
      <w:r w:rsidR="007B0E9E">
        <w:rPr>
          <w:rFonts w:ascii="Times New Roman" w:hAnsi="Times New Roman"/>
        </w:rPr>
        <w:t xml:space="preserve">the </w:t>
      </w:r>
      <w:r>
        <w:rPr>
          <w:rFonts w:ascii="Times New Roman" w:hAnsi="Times New Roman"/>
        </w:rPr>
        <w:t>time of excavation, the site had been under cultivation for many years, and had also suffered quite a bit of erosion.  As a result the WPA only worked there for four days, digging test pits and small trenches.  It is not clear how large the mound was at time of excavation or how much of the mound was excavated.  Only six burials were excavated, however Burial 5 consisted of a well-defined pit covered with a thick layer of mussel shells and containing at least 11 bodies.  The site also contained a triple burial.  Neither the collected burial</w:t>
      </w:r>
      <w:r w:rsidR="001357D7">
        <w:rPr>
          <w:rFonts w:ascii="Times New Roman" w:hAnsi="Times New Roman"/>
        </w:rPr>
        <w:t>s</w:t>
      </w:r>
      <w:r>
        <w:rPr>
          <w:rFonts w:ascii="Times New Roman" w:hAnsi="Times New Roman"/>
        </w:rPr>
        <w:t xml:space="preserve"> nor artifacts have been analyzed.</w:t>
      </w:r>
    </w:p>
    <w:p w14:paraId="5A7D0244" w14:textId="77777777" w:rsidR="00BF0494" w:rsidRDefault="00BF0494" w:rsidP="007F6BCD">
      <w:pPr>
        <w:pStyle w:val="Heading4"/>
      </w:pPr>
      <w:r>
        <w:t xml:space="preserve">34Lf17 DeHart II </w:t>
      </w:r>
    </w:p>
    <w:p w14:paraId="08CCC465" w14:textId="5CD2E809" w:rsidR="00BF0494" w:rsidRDefault="00BF0494" w:rsidP="00BF0494">
      <w:pPr>
        <w:rPr>
          <w:rFonts w:ascii="Times New Roman" w:hAnsi="Times New Roman"/>
        </w:rPr>
      </w:pPr>
      <w:r>
        <w:rPr>
          <w:rFonts w:ascii="Times New Roman" w:hAnsi="Times New Roman"/>
        </w:rPr>
        <w:tab/>
        <w:t>DeHart</w:t>
      </w:r>
      <w:r w:rsidR="007A3B37">
        <w:rPr>
          <w:rFonts w:ascii="Times New Roman" w:hAnsi="Times New Roman"/>
        </w:rPr>
        <w:t xml:space="preserve"> </w:t>
      </w:r>
      <w:r>
        <w:rPr>
          <w:rFonts w:ascii="Times New Roman" w:hAnsi="Times New Roman"/>
        </w:rPr>
        <w:t xml:space="preserve">II was excavated in January of 1941 by the WPA.  In addition to 31 human burials and at least 5 dog </w:t>
      </w:r>
      <w:r w:rsidRPr="000E2FD4">
        <w:rPr>
          <w:rFonts w:ascii="Times New Roman" w:hAnsi="Times New Roman"/>
        </w:rPr>
        <w:t xml:space="preserve">burials, </w:t>
      </w:r>
      <w:r>
        <w:rPr>
          <w:rFonts w:ascii="Times New Roman" w:hAnsi="Times New Roman"/>
        </w:rPr>
        <w:t>there were three cache pits, two</w:t>
      </w:r>
      <w:r w:rsidRPr="000E2FD4">
        <w:rPr>
          <w:rFonts w:ascii="Times New Roman" w:hAnsi="Times New Roman"/>
        </w:rPr>
        <w:t xml:space="preserve"> associated with burials</w:t>
      </w:r>
      <w:r>
        <w:rPr>
          <w:rFonts w:ascii="Times New Roman" w:hAnsi="Times New Roman"/>
        </w:rPr>
        <w:t>, and four ash pits, one</w:t>
      </w:r>
      <w:r w:rsidRPr="000E2FD4">
        <w:rPr>
          <w:rFonts w:ascii="Times New Roman" w:hAnsi="Times New Roman"/>
        </w:rPr>
        <w:t xml:space="preserve"> with burned mussel shells</w:t>
      </w:r>
      <w:r>
        <w:rPr>
          <w:rFonts w:ascii="Times New Roman" w:hAnsi="Times New Roman"/>
        </w:rPr>
        <w:t>.</w:t>
      </w:r>
      <w:r w:rsidR="007B0E9E">
        <w:rPr>
          <w:rFonts w:ascii="Times New Roman" w:hAnsi="Times New Roman"/>
        </w:rPr>
        <w:t xml:space="preserve">  A</w:t>
      </w:r>
      <w:r>
        <w:rPr>
          <w:rFonts w:ascii="Times New Roman" w:hAnsi="Times New Roman"/>
        </w:rPr>
        <w:t xml:space="preserve"> WPA summary or quarterly report or specific inf</w:t>
      </w:r>
      <w:r w:rsidR="007B0E9E">
        <w:rPr>
          <w:rFonts w:ascii="Times New Roman" w:hAnsi="Times New Roman"/>
        </w:rPr>
        <w:t>ormation about the mound itself was not found.</w:t>
      </w:r>
    </w:p>
    <w:p w14:paraId="32971A6D" w14:textId="3AEAC47D" w:rsidR="00BF0494" w:rsidRDefault="00BF0494" w:rsidP="00BF0494">
      <w:pPr>
        <w:ind w:firstLine="720"/>
        <w:rPr>
          <w:rFonts w:ascii="Times New Roman" w:hAnsi="Times New Roman"/>
        </w:rPr>
      </w:pPr>
      <w:r>
        <w:rPr>
          <w:rFonts w:ascii="Times New Roman" w:hAnsi="Times New Roman"/>
        </w:rPr>
        <w:t>The artifacts and burials were ana</w:t>
      </w:r>
      <w:r w:rsidR="007A3B37">
        <w:rPr>
          <w:rFonts w:ascii="Times New Roman" w:hAnsi="Times New Roman"/>
        </w:rPr>
        <w:t xml:space="preserve">lyzed by Rain </w:t>
      </w:r>
      <w:r>
        <w:rPr>
          <w:rFonts w:ascii="Times New Roman" w:hAnsi="Times New Roman"/>
        </w:rPr>
        <w:t>Vehik “sometime in the 90s” (S. Vehik, personal communication).  Although this analysis does not appear to have been published, there are summary tables in the files at SNOMNH pertaining to pottery, projectile points, and some paleopathological data.  One chart shows frequency of points and pottery down to 72 inches, suggesting that this was a deep mound (6 feet deep).</w:t>
      </w:r>
    </w:p>
    <w:p w14:paraId="69DDA93A" w14:textId="5B80CBB8" w:rsidR="00BF0494" w:rsidRDefault="00BF0494" w:rsidP="00BF0494">
      <w:pPr>
        <w:ind w:firstLine="720"/>
        <w:rPr>
          <w:rFonts w:ascii="Times New Roman" w:hAnsi="Times New Roman"/>
        </w:rPr>
      </w:pPr>
      <w:r>
        <w:rPr>
          <w:rFonts w:ascii="Times New Roman" w:hAnsi="Times New Roman"/>
        </w:rPr>
        <w:t>Vehik’s tables reported an average cranial index of 74.2 for males and 76.2 for females</w:t>
      </w:r>
      <w:r w:rsidR="007A3B37">
        <w:rPr>
          <w:rFonts w:ascii="Times New Roman" w:hAnsi="Times New Roman"/>
        </w:rPr>
        <w:t xml:space="preserve"> (cranial index is unitless)</w:t>
      </w:r>
      <w:r>
        <w:rPr>
          <w:rFonts w:ascii="Times New Roman" w:hAnsi="Times New Roman"/>
        </w:rPr>
        <w:t>.  Average male height was</w:t>
      </w:r>
      <w:r w:rsidR="0000405E">
        <w:rPr>
          <w:rFonts w:ascii="Times New Roman" w:hAnsi="Times New Roman"/>
        </w:rPr>
        <w:t xml:space="preserve"> reported as</w:t>
      </w:r>
      <w:r>
        <w:rPr>
          <w:rFonts w:ascii="Times New Roman" w:hAnsi="Times New Roman"/>
        </w:rPr>
        <w:t xml:space="preserve"> 169.5</w:t>
      </w:r>
      <w:r w:rsidR="0000405E">
        <w:rPr>
          <w:rFonts w:ascii="Times New Roman" w:hAnsi="Times New Roman"/>
        </w:rPr>
        <w:t xml:space="preserve"> cm</w:t>
      </w:r>
      <w:r>
        <w:rPr>
          <w:rFonts w:ascii="Times New Roman" w:hAnsi="Times New Roman"/>
        </w:rPr>
        <w:t xml:space="preserve"> +/- 3.9 and average female height was 163.7</w:t>
      </w:r>
      <w:r w:rsidR="0000405E">
        <w:rPr>
          <w:rFonts w:ascii="Times New Roman" w:hAnsi="Times New Roman"/>
        </w:rPr>
        <w:t xml:space="preserve"> cm</w:t>
      </w:r>
      <w:r>
        <w:rPr>
          <w:rFonts w:ascii="Times New Roman" w:hAnsi="Times New Roman"/>
        </w:rPr>
        <w:t xml:space="preserve"> +/- 3.9, although there is no indication of which formulae were used for the calculations.  He also reported an average of 1.4 caries per person, although again, no information on how this was assessed or calculated is available.</w:t>
      </w:r>
    </w:p>
    <w:p w14:paraId="77B209E8" w14:textId="77777777" w:rsidR="00BF0494" w:rsidRPr="00FF66EE" w:rsidRDefault="00BF0494" w:rsidP="007F6BCD">
      <w:pPr>
        <w:pStyle w:val="Heading4"/>
      </w:pPr>
      <w:r>
        <w:t>34Lf18 DeHart I</w:t>
      </w:r>
    </w:p>
    <w:p w14:paraId="04330272" w14:textId="1D5A4B49" w:rsidR="00BF0494" w:rsidRPr="000E2FD4" w:rsidRDefault="00BF0494" w:rsidP="00BF0494">
      <w:pPr>
        <w:ind w:firstLine="720"/>
        <w:rPr>
          <w:rFonts w:ascii="Times New Roman" w:hAnsi="Times New Roman"/>
        </w:rPr>
      </w:pPr>
      <w:r>
        <w:rPr>
          <w:rFonts w:ascii="Times New Roman" w:hAnsi="Times New Roman"/>
        </w:rPr>
        <w:t xml:space="preserve">DeHart I was excavated in October and </w:t>
      </w:r>
      <w:r w:rsidR="007B0E9E">
        <w:rPr>
          <w:rFonts w:ascii="Times New Roman" w:hAnsi="Times New Roman"/>
        </w:rPr>
        <w:t xml:space="preserve">November of 1941 by the WPA.  No </w:t>
      </w:r>
      <w:r>
        <w:rPr>
          <w:rFonts w:ascii="Times New Roman" w:hAnsi="Times New Roman"/>
        </w:rPr>
        <w:t>WPA summary or quarterly report or any specific information about the mound itself</w:t>
      </w:r>
      <w:r w:rsidR="007B0E9E">
        <w:rPr>
          <w:rFonts w:ascii="Times New Roman" w:hAnsi="Times New Roman"/>
        </w:rPr>
        <w:t xml:space="preserve"> was found</w:t>
      </w:r>
      <w:r>
        <w:rPr>
          <w:rFonts w:ascii="Times New Roman" w:hAnsi="Times New Roman"/>
        </w:rPr>
        <w:t xml:space="preserve">. </w:t>
      </w:r>
      <w:r w:rsidR="0000405E">
        <w:rPr>
          <w:rFonts w:ascii="Times New Roman" w:hAnsi="Times New Roman"/>
        </w:rPr>
        <w:t xml:space="preserve"> The files at SNOMNH contain excavation sheets, drawings, and </w:t>
      </w:r>
      <w:r>
        <w:rPr>
          <w:rFonts w:ascii="Times New Roman" w:hAnsi="Times New Roman"/>
        </w:rPr>
        <w:t>photo</w:t>
      </w:r>
      <w:r w:rsidR="0000405E">
        <w:rPr>
          <w:rFonts w:ascii="Times New Roman" w:hAnsi="Times New Roman"/>
        </w:rPr>
        <w:t>s</w:t>
      </w:r>
      <w:r>
        <w:rPr>
          <w:rFonts w:ascii="Times New Roman" w:hAnsi="Times New Roman"/>
        </w:rPr>
        <w:t xml:space="preserve"> for 32 burials, and a chart of projectile point types.  The burials and artifacts have not been analyzed.  Despite the paucity of information available, this site is included in the analysis because of the 32 documented burials</w:t>
      </w:r>
      <w:r w:rsidR="001357D7">
        <w:rPr>
          <w:rFonts w:ascii="Times New Roman" w:hAnsi="Times New Roman"/>
        </w:rPr>
        <w:t>.  The burials, along with excavation records and photos, are stored at SNOMNH and await analysis.</w:t>
      </w:r>
    </w:p>
    <w:p w14:paraId="33F177F4" w14:textId="77777777" w:rsidR="00BF0494" w:rsidRDefault="00BF0494" w:rsidP="007F6BCD">
      <w:pPr>
        <w:pStyle w:val="Heading4"/>
      </w:pPr>
      <w:r>
        <w:t>34Lf19 Hooks</w:t>
      </w:r>
    </w:p>
    <w:p w14:paraId="64FEFF47" w14:textId="073FA88F" w:rsidR="001357D7" w:rsidRDefault="00BF0494" w:rsidP="00BF0494">
      <w:pPr>
        <w:rPr>
          <w:rFonts w:ascii="Times New Roman" w:hAnsi="Times New Roman"/>
        </w:rPr>
      </w:pPr>
      <w:r>
        <w:tab/>
      </w:r>
      <w:r w:rsidRPr="00B5322F">
        <w:rPr>
          <w:rFonts w:ascii="Times New Roman" w:hAnsi="Times New Roman"/>
        </w:rPr>
        <w:t xml:space="preserve">The Hooks site, located southwest of Fanshawe, Oklahoma, was excavated by the WPA in 1940.  </w:t>
      </w:r>
      <w:r w:rsidR="001357D7" w:rsidRPr="00B5322F">
        <w:rPr>
          <w:rFonts w:ascii="Times New Roman" w:hAnsi="Times New Roman"/>
        </w:rPr>
        <w:t xml:space="preserve">A single radiocarbon date </w:t>
      </w:r>
      <w:r w:rsidR="001357D7">
        <w:rPr>
          <w:rFonts w:ascii="Times New Roman" w:hAnsi="Times New Roman"/>
        </w:rPr>
        <w:t xml:space="preserve">for </w:t>
      </w:r>
      <w:r w:rsidR="001357D7" w:rsidRPr="00B5322F">
        <w:rPr>
          <w:rFonts w:ascii="Times New Roman" w:hAnsi="Times New Roman"/>
        </w:rPr>
        <w:t>the site comes from bone in Feature A-1 in</w:t>
      </w:r>
      <w:r w:rsidR="001357D7">
        <w:rPr>
          <w:rFonts w:ascii="Times New Roman" w:hAnsi="Times New Roman"/>
        </w:rPr>
        <w:t xml:space="preserve"> level 2 and dates to 1210 +/- </w:t>
      </w:r>
      <w:r w:rsidR="001357D7" w:rsidRPr="00B5322F">
        <w:rPr>
          <w:rFonts w:ascii="Times New Roman" w:hAnsi="Times New Roman"/>
        </w:rPr>
        <w:t>70 BP, or late Woodland (Burns 2007:166).   However artifact analysis suggests occupation</w:t>
      </w:r>
      <w:r w:rsidR="00A51CBC">
        <w:rPr>
          <w:rFonts w:ascii="Times New Roman" w:hAnsi="Times New Roman"/>
        </w:rPr>
        <w:t>s</w:t>
      </w:r>
      <w:r w:rsidR="001357D7" w:rsidRPr="00B5322F">
        <w:rPr>
          <w:rFonts w:ascii="Times New Roman" w:hAnsi="Times New Roman"/>
        </w:rPr>
        <w:t xml:space="preserve"> during the Archaic, Woodland, and Mississippian cultural periods (Burns 2007:169).   Based on point typology, the primary occupation was Middle Archaic through Late Woodland (Burns 2007:170).   </w:t>
      </w:r>
    </w:p>
    <w:p w14:paraId="6758A0AC" w14:textId="64677181" w:rsidR="007B0E9E" w:rsidRDefault="00BF0494" w:rsidP="007B0E9E">
      <w:pPr>
        <w:ind w:firstLine="720"/>
        <w:rPr>
          <w:rFonts w:ascii="Times New Roman" w:hAnsi="Times New Roman"/>
        </w:rPr>
      </w:pPr>
      <w:r w:rsidRPr="00B5322F">
        <w:rPr>
          <w:rFonts w:ascii="Times New Roman" w:hAnsi="Times New Roman"/>
        </w:rPr>
        <w:t xml:space="preserve">The major work </w:t>
      </w:r>
      <w:r w:rsidR="007B0E9E">
        <w:rPr>
          <w:rFonts w:ascii="Times New Roman" w:hAnsi="Times New Roman"/>
        </w:rPr>
        <w:t>on this site to date has been the</w:t>
      </w:r>
      <w:r w:rsidRPr="00B5322F">
        <w:rPr>
          <w:rFonts w:ascii="Times New Roman" w:hAnsi="Times New Roman"/>
        </w:rPr>
        <w:t xml:space="preserve"> M.A. thesis by Cassandra Burns of the University of Tulsa (Burns 2007).  Burns examined the ceramics, chipped stone, ground stone, and faunal remains from the site.  </w:t>
      </w:r>
      <w:r>
        <w:rPr>
          <w:rFonts w:ascii="Times New Roman" w:hAnsi="Times New Roman"/>
        </w:rPr>
        <w:t>Burns noted</w:t>
      </w:r>
      <w:r w:rsidRPr="00B5322F">
        <w:rPr>
          <w:rFonts w:ascii="Times New Roman" w:hAnsi="Times New Roman"/>
        </w:rPr>
        <w:t xml:space="preserve"> the paucity of ground stone artifac</w:t>
      </w:r>
      <w:r>
        <w:rPr>
          <w:rFonts w:ascii="Times New Roman" w:hAnsi="Times New Roman"/>
        </w:rPr>
        <w:t>ts; however it appears from a</w:t>
      </w:r>
      <w:r w:rsidRPr="00B5322F">
        <w:rPr>
          <w:rFonts w:ascii="Times New Roman" w:hAnsi="Times New Roman"/>
        </w:rPr>
        <w:t xml:space="preserve"> WPA excavation photograph</w:t>
      </w:r>
      <w:r w:rsidR="00D92FF7">
        <w:rPr>
          <w:rFonts w:ascii="Times New Roman" w:hAnsi="Times New Roman"/>
        </w:rPr>
        <w:t xml:space="preserve"> (Figure 7</w:t>
      </w:r>
      <w:r>
        <w:rPr>
          <w:rFonts w:ascii="Times New Roman" w:hAnsi="Times New Roman"/>
        </w:rPr>
        <w:t>)</w:t>
      </w:r>
      <w:r w:rsidRPr="00B5322F">
        <w:rPr>
          <w:rFonts w:ascii="Times New Roman" w:hAnsi="Times New Roman"/>
        </w:rPr>
        <w:t xml:space="preserve"> that many ground stone artifacts were </w:t>
      </w:r>
      <w:r>
        <w:rPr>
          <w:rFonts w:ascii="Times New Roman" w:hAnsi="Times New Roman"/>
        </w:rPr>
        <w:t xml:space="preserve">simply </w:t>
      </w:r>
      <w:r w:rsidRPr="00B5322F">
        <w:rPr>
          <w:rFonts w:ascii="Times New Roman" w:hAnsi="Times New Roman"/>
        </w:rPr>
        <w:t>not collected.</w:t>
      </w:r>
      <w:r w:rsidR="007B0E9E">
        <w:rPr>
          <w:rFonts w:ascii="Times New Roman" w:hAnsi="Times New Roman"/>
        </w:rPr>
        <w:t xml:space="preserve">  </w:t>
      </w:r>
      <w:r w:rsidR="007B0E9E" w:rsidRPr="00B5322F">
        <w:rPr>
          <w:rFonts w:ascii="Times New Roman" w:hAnsi="Times New Roman"/>
        </w:rPr>
        <w:t xml:space="preserve">Although Burns was not entirely successful in her goal of refining temporality at Hooks, this </w:t>
      </w:r>
      <w:r w:rsidR="007B0E9E">
        <w:rPr>
          <w:rFonts w:ascii="Times New Roman" w:hAnsi="Times New Roman"/>
        </w:rPr>
        <w:t xml:space="preserve">thesis </w:t>
      </w:r>
      <w:r w:rsidR="007B0E9E" w:rsidRPr="00B5322F">
        <w:rPr>
          <w:rFonts w:ascii="Times New Roman" w:hAnsi="Times New Roman"/>
        </w:rPr>
        <w:t xml:space="preserve">remains </w:t>
      </w:r>
      <w:r w:rsidR="007B0E9E">
        <w:rPr>
          <w:rFonts w:ascii="Times New Roman" w:hAnsi="Times New Roman"/>
        </w:rPr>
        <w:t>one of the more</w:t>
      </w:r>
      <w:r w:rsidR="007B0E9E" w:rsidRPr="00B5322F">
        <w:rPr>
          <w:rFonts w:ascii="Times New Roman" w:hAnsi="Times New Roman"/>
        </w:rPr>
        <w:t xml:space="preserve"> thorough examination</w:t>
      </w:r>
      <w:r w:rsidR="007B0E9E">
        <w:rPr>
          <w:rFonts w:ascii="Times New Roman" w:hAnsi="Times New Roman"/>
        </w:rPr>
        <w:t>s</w:t>
      </w:r>
      <w:r w:rsidR="007B0E9E" w:rsidRPr="00B5322F">
        <w:rPr>
          <w:rFonts w:ascii="Times New Roman" w:hAnsi="Times New Roman"/>
        </w:rPr>
        <w:t xml:space="preserve"> of artifacts from one of the </w:t>
      </w:r>
      <w:r w:rsidR="00CF609A">
        <w:rPr>
          <w:rFonts w:ascii="Times New Roman" w:hAnsi="Times New Roman"/>
        </w:rPr>
        <w:t>Wister area</w:t>
      </w:r>
      <w:r w:rsidR="007B0E9E" w:rsidRPr="00B5322F">
        <w:rPr>
          <w:rFonts w:ascii="Times New Roman" w:hAnsi="Times New Roman"/>
        </w:rPr>
        <w:t xml:space="preserve"> Fourche Maline mounds.  </w:t>
      </w:r>
    </w:p>
    <w:p w14:paraId="388D2C73" w14:textId="1CF7F9D0" w:rsidR="00BF0494" w:rsidRPr="00B5322F" w:rsidRDefault="00174A5F" w:rsidP="00174A5F">
      <w:pPr>
        <w:ind w:firstLine="720"/>
        <w:rPr>
          <w:rFonts w:ascii="Times New Roman" w:hAnsi="Times New Roman"/>
        </w:rPr>
      </w:pPr>
      <w:r>
        <w:rPr>
          <w:rFonts w:ascii="Times New Roman" w:hAnsi="Times New Roman"/>
        </w:rPr>
        <w:t xml:space="preserve">The WPA excavated 80 burials from the Hooks site.  </w:t>
      </w:r>
      <w:r w:rsidRPr="00B5322F">
        <w:rPr>
          <w:rFonts w:ascii="Times New Roman" w:hAnsi="Times New Roman"/>
        </w:rPr>
        <w:t xml:space="preserve">The presence of Williams Plain sherds with </w:t>
      </w:r>
      <w:r>
        <w:rPr>
          <w:rFonts w:ascii="Times New Roman" w:hAnsi="Times New Roman"/>
        </w:rPr>
        <w:t xml:space="preserve">some </w:t>
      </w:r>
      <w:r w:rsidRPr="00B5322F">
        <w:rPr>
          <w:rFonts w:ascii="Times New Roman" w:hAnsi="Times New Roman"/>
        </w:rPr>
        <w:t>burials indicates</w:t>
      </w:r>
      <w:r>
        <w:rPr>
          <w:rFonts w:ascii="Times New Roman" w:hAnsi="Times New Roman"/>
        </w:rPr>
        <w:t xml:space="preserve"> that they are</w:t>
      </w:r>
      <w:r w:rsidRPr="00B5322F">
        <w:rPr>
          <w:rFonts w:ascii="Times New Roman" w:hAnsi="Times New Roman"/>
        </w:rPr>
        <w:t xml:space="preserve"> Fourche Maline phase or later (Burns 2007:171). </w:t>
      </w:r>
      <w:r>
        <w:rPr>
          <w:rFonts w:ascii="Times New Roman" w:hAnsi="Times New Roman"/>
        </w:rPr>
        <w:t xml:space="preserve"> </w:t>
      </w:r>
      <w:r w:rsidRPr="00B5322F">
        <w:rPr>
          <w:rFonts w:ascii="Times New Roman" w:hAnsi="Times New Roman"/>
        </w:rPr>
        <w:t>The 80 burials from Hooks have not been examined.  The burials are housed at SNOMNH</w:t>
      </w:r>
      <w:r>
        <w:rPr>
          <w:rFonts w:ascii="Times New Roman" w:hAnsi="Times New Roman"/>
        </w:rPr>
        <w:t>,</w:t>
      </w:r>
      <w:r w:rsidRPr="00B5322F">
        <w:rPr>
          <w:rFonts w:ascii="Times New Roman" w:hAnsi="Times New Roman"/>
        </w:rPr>
        <w:t xml:space="preserve"> along with the original ADS sheets, excavation drawings and excavation photos, as well as a few “Physical Anthropology Laboratory Inventory Sheets” dated from the 1970s.</w:t>
      </w:r>
      <w:r>
        <w:rPr>
          <w:rFonts w:ascii="Times New Roman" w:hAnsi="Times New Roman"/>
        </w:rPr>
        <w:t xml:space="preserve">  Analysis of these burials would make an excellent M.A. thesis.</w:t>
      </w:r>
    </w:p>
    <w:p w14:paraId="1AEF12F8" w14:textId="77777777" w:rsidR="00BF0494" w:rsidRPr="00B5322F" w:rsidRDefault="00BF0494" w:rsidP="00BF0494">
      <w:pPr>
        <w:jc w:val="center"/>
        <w:rPr>
          <w:rFonts w:ascii="Times New Roman" w:hAnsi="Times New Roman"/>
        </w:rPr>
      </w:pPr>
      <w:r w:rsidRPr="00B5322F">
        <w:rPr>
          <w:rFonts w:ascii="Times New Roman" w:hAnsi="Times New Roman"/>
          <w:noProof/>
          <w:lang w:bidi="ar-SA"/>
        </w:rPr>
        <w:drawing>
          <wp:inline distT="0" distB="0" distL="0" distR="0" wp14:anchorId="7AB46823" wp14:editId="760BEE0A">
            <wp:extent cx="4496196" cy="27045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ks.tiff"/>
                    <pic:cNvPicPr/>
                  </pic:nvPicPr>
                  <pic:blipFill>
                    <a:blip r:embed="rId17">
                      <a:extLst>
                        <a:ext uri="{28A0092B-C50C-407E-A947-70E740481C1C}">
                          <a14:useLocalDpi xmlns:a14="http://schemas.microsoft.com/office/drawing/2010/main" val="0"/>
                        </a:ext>
                      </a:extLst>
                    </a:blip>
                    <a:stretch>
                      <a:fillRect/>
                    </a:stretch>
                  </pic:blipFill>
                  <pic:spPr>
                    <a:xfrm>
                      <a:off x="0" y="0"/>
                      <a:ext cx="4498271" cy="2705819"/>
                    </a:xfrm>
                    <a:prstGeom prst="rect">
                      <a:avLst/>
                    </a:prstGeom>
                  </pic:spPr>
                </pic:pic>
              </a:graphicData>
            </a:graphic>
          </wp:inline>
        </w:drawing>
      </w:r>
    </w:p>
    <w:p w14:paraId="776079F5" w14:textId="11E39EF9" w:rsidR="00BF0494" w:rsidRDefault="00BF0494" w:rsidP="00133F61">
      <w:pPr>
        <w:pStyle w:val="Caption"/>
      </w:pPr>
      <w:bookmarkStart w:id="48" w:name="_Toc261025209"/>
      <w:r>
        <w:t xml:space="preserve">Figure </w:t>
      </w:r>
      <w:fldSimple w:instr=" SEQ Figure \* ARABIC ">
        <w:r w:rsidR="00396EB3">
          <w:rPr>
            <w:noProof/>
          </w:rPr>
          <w:t>7</w:t>
        </w:r>
      </w:fldSimple>
      <w:r>
        <w:t xml:space="preserve"> Manos and metates from the Hooks site</w:t>
      </w:r>
      <w:bookmarkEnd w:id="48"/>
    </w:p>
    <w:p w14:paraId="7220DE4C" w14:textId="77777777" w:rsidR="00D92FF7" w:rsidRDefault="00D92FF7" w:rsidP="00174A5F">
      <w:pPr>
        <w:spacing w:line="240" w:lineRule="auto"/>
        <w:rPr>
          <w:rFonts w:ascii="Times New Roman" w:hAnsi="Times New Roman"/>
        </w:rPr>
      </w:pPr>
    </w:p>
    <w:p w14:paraId="17A7677C" w14:textId="77777777" w:rsidR="00BF0494" w:rsidRDefault="00BF0494" w:rsidP="007F6BCD">
      <w:pPr>
        <w:pStyle w:val="Heading4"/>
      </w:pPr>
      <w:r>
        <w:t>34Lf20 Copeland</w:t>
      </w:r>
    </w:p>
    <w:p w14:paraId="0C39C057" w14:textId="6218140F" w:rsidR="00BF0494" w:rsidRPr="000D3E95" w:rsidRDefault="00BF0494" w:rsidP="00BF0494">
      <w:pPr>
        <w:rPr>
          <w:rFonts w:ascii="Times New Roman" w:hAnsi="Times New Roman"/>
        </w:rPr>
      </w:pPr>
      <w:r>
        <w:tab/>
      </w:r>
      <w:r w:rsidRPr="000D3E95">
        <w:rPr>
          <w:rFonts w:ascii="Times New Roman" w:hAnsi="Times New Roman"/>
        </w:rPr>
        <w:t xml:space="preserve">Copeland was excavated by the WPA in 1941.  It was located on the north side of Fourche Maline Creek, near its junction with Cedar Creek.  The site was a wide, </w:t>
      </w:r>
      <w:r w:rsidR="007A3B37">
        <w:rPr>
          <w:rFonts w:ascii="Times New Roman" w:hAnsi="Times New Roman"/>
        </w:rPr>
        <w:t>circular knoll, measuring 165 feet</w:t>
      </w:r>
      <w:r w:rsidRPr="000D3E95">
        <w:rPr>
          <w:rFonts w:ascii="Times New Roman" w:hAnsi="Times New Roman"/>
        </w:rPr>
        <w:t xml:space="preserve"> EW and 150 NS with a rise of 4 feet in the center at time of excavation.  </w:t>
      </w:r>
      <w:r w:rsidR="005544F1">
        <w:rPr>
          <w:rFonts w:ascii="Times New Roman" w:hAnsi="Times New Roman"/>
        </w:rPr>
        <w:t>Twenty five</w:t>
      </w:r>
      <w:r w:rsidR="007B0E9E">
        <w:rPr>
          <w:rFonts w:ascii="Times New Roman" w:hAnsi="Times New Roman"/>
        </w:rPr>
        <w:t xml:space="preserve"> post molds were determined</w:t>
      </w:r>
      <w:r w:rsidRPr="000D3E95">
        <w:rPr>
          <w:rFonts w:ascii="Times New Roman" w:hAnsi="Times New Roman"/>
        </w:rPr>
        <w:t xml:space="preserve"> to be a house pattern.  </w:t>
      </w:r>
    </w:p>
    <w:p w14:paraId="1E94773D" w14:textId="728487D3" w:rsidR="00BF0494" w:rsidRPr="000D3E95" w:rsidRDefault="00BF0494" w:rsidP="00BF0494">
      <w:pPr>
        <w:rPr>
          <w:rFonts w:ascii="Times New Roman" w:hAnsi="Times New Roman"/>
        </w:rPr>
      </w:pPr>
      <w:r w:rsidRPr="000D3E95">
        <w:rPr>
          <w:rFonts w:ascii="Times New Roman" w:hAnsi="Times New Roman"/>
        </w:rPr>
        <w:tab/>
      </w:r>
      <w:r>
        <w:rPr>
          <w:rFonts w:ascii="Times New Roman" w:hAnsi="Times New Roman"/>
        </w:rPr>
        <w:t xml:space="preserve">Two publications focus on the Copeland site.  Rain Vehik (1989) published a description of a shell-tempered jar from the site, which is interesting for its comparison of shell tempered pottery across several </w:t>
      </w:r>
      <w:r w:rsidR="00CF609A">
        <w:rPr>
          <w:rFonts w:ascii="Times New Roman" w:hAnsi="Times New Roman"/>
        </w:rPr>
        <w:t>Wister area</w:t>
      </w:r>
      <w:r>
        <w:rPr>
          <w:rFonts w:ascii="Times New Roman" w:hAnsi="Times New Roman"/>
        </w:rPr>
        <w:t xml:space="preserve"> Fourche Maline sites.  In addition, </w:t>
      </w:r>
      <w:r w:rsidRPr="000D3E95">
        <w:rPr>
          <w:rFonts w:ascii="Times New Roman" w:hAnsi="Times New Roman"/>
        </w:rPr>
        <w:t xml:space="preserve">Edwin Guilinger (1971) from the University of Oklahoma completed an M.A. thesis </w:t>
      </w:r>
      <w:r>
        <w:rPr>
          <w:rFonts w:ascii="Times New Roman" w:hAnsi="Times New Roman"/>
        </w:rPr>
        <w:t xml:space="preserve">that </w:t>
      </w:r>
      <w:r w:rsidRPr="000D3E95">
        <w:rPr>
          <w:rFonts w:ascii="Times New Roman" w:hAnsi="Times New Roman"/>
        </w:rPr>
        <w:t>examined the artifacts excavated from the Cop</w:t>
      </w:r>
      <w:r>
        <w:rPr>
          <w:rFonts w:ascii="Times New Roman" w:hAnsi="Times New Roman"/>
        </w:rPr>
        <w:t>e</w:t>
      </w:r>
      <w:r w:rsidRPr="000D3E95">
        <w:rPr>
          <w:rFonts w:ascii="Times New Roman" w:hAnsi="Times New Roman"/>
        </w:rPr>
        <w:t xml:space="preserve">land site.  Concentrations of ash were interpreted as hearths.  Pottery sherds </w:t>
      </w:r>
      <w:r w:rsidR="007B0E9E">
        <w:rPr>
          <w:rFonts w:ascii="Times New Roman" w:hAnsi="Times New Roman"/>
        </w:rPr>
        <w:t xml:space="preserve">were determined </w:t>
      </w:r>
      <w:r w:rsidRPr="000D3E95">
        <w:rPr>
          <w:rFonts w:ascii="Times New Roman" w:hAnsi="Times New Roman"/>
        </w:rPr>
        <w:t>to concentrate to the east and south of some of the</w:t>
      </w:r>
      <w:r>
        <w:rPr>
          <w:rFonts w:ascii="Times New Roman" w:hAnsi="Times New Roman"/>
        </w:rPr>
        <w:t>se</w:t>
      </w:r>
      <w:r w:rsidRPr="000D3E95">
        <w:rPr>
          <w:rFonts w:ascii="Times New Roman" w:hAnsi="Times New Roman"/>
        </w:rPr>
        <w:t xml:space="preserve"> “hearths.”  Because ceramics were present in all layers, occupation was </w:t>
      </w:r>
      <w:r w:rsidR="007B0E9E">
        <w:rPr>
          <w:rFonts w:ascii="Times New Roman" w:hAnsi="Times New Roman"/>
        </w:rPr>
        <w:t>assessed as</w:t>
      </w:r>
      <w:r w:rsidRPr="000D3E95">
        <w:rPr>
          <w:rFonts w:ascii="Times New Roman" w:hAnsi="Times New Roman"/>
        </w:rPr>
        <w:t xml:space="preserve"> Fourche Maline and </w:t>
      </w:r>
      <w:r w:rsidR="00A51CBC">
        <w:rPr>
          <w:rFonts w:ascii="Times New Roman" w:hAnsi="Times New Roman"/>
        </w:rPr>
        <w:t>later</w:t>
      </w:r>
      <w:r w:rsidRPr="000D3E95">
        <w:rPr>
          <w:rFonts w:ascii="Times New Roman" w:hAnsi="Times New Roman"/>
        </w:rPr>
        <w:t xml:space="preserve"> periods (Gullinger 1971).</w:t>
      </w:r>
    </w:p>
    <w:p w14:paraId="40AF2A63" w14:textId="77777777" w:rsidR="00BF0494" w:rsidRPr="000D3E95" w:rsidRDefault="00BF0494" w:rsidP="00BF0494">
      <w:pPr>
        <w:ind w:firstLine="720"/>
        <w:rPr>
          <w:rFonts w:ascii="Times New Roman" w:hAnsi="Times New Roman"/>
        </w:rPr>
      </w:pPr>
      <w:r w:rsidRPr="000D3E95">
        <w:rPr>
          <w:rFonts w:ascii="Times New Roman" w:hAnsi="Times New Roman"/>
        </w:rPr>
        <w:t>Guilinger (1971) also attempted a burial analysis based on WPA documentation, but did not examine the burials (skeletons) themselves.  He noted the presence of extra skulls and presumed that they we</w:t>
      </w:r>
      <w:r>
        <w:rPr>
          <w:rFonts w:ascii="Times New Roman" w:hAnsi="Times New Roman"/>
        </w:rPr>
        <w:t>re war trophies.  Because some</w:t>
      </w:r>
      <w:r w:rsidRPr="000D3E95">
        <w:rPr>
          <w:rFonts w:ascii="Times New Roman" w:hAnsi="Times New Roman"/>
        </w:rPr>
        <w:t xml:space="preserve"> burials were oriented towards the north, he suggested that they were aligned with the constellation of the Big Dipper (Copeland 1971:114).  The 78 burials from Cop</w:t>
      </w:r>
      <w:r>
        <w:rPr>
          <w:rFonts w:ascii="Times New Roman" w:hAnsi="Times New Roman"/>
        </w:rPr>
        <w:t>e</w:t>
      </w:r>
      <w:r w:rsidRPr="000D3E95">
        <w:rPr>
          <w:rFonts w:ascii="Times New Roman" w:hAnsi="Times New Roman"/>
        </w:rPr>
        <w:t xml:space="preserve">land, along with ADS sheets, sketches, and photos, are housed at SNOMNH and await bioarchaeological analysis.  </w:t>
      </w:r>
    </w:p>
    <w:p w14:paraId="1AF9FFE5" w14:textId="77777777" w:rsidR="00BF0494" w:rsidRDefault="00BF0494" w:rsidP="007F6BCD">
      <w:pPr>
        <w:pStyle w:val="Heading4"/>
      </w:pPr>
      <w:r>
        <w:t>34Lf24 Williams I</w:t>
      </w:r>
    </w:p>
    <w:p w14:paraId="03DAA533" w14:textId="64AAF4EA" w:rsidR="00BF0494" w:rsidRPr="009856D8" w:rsidRDefault="00BF0494" w:rsidP="00BF0494">
      <w:pPr>
        <w:ind w:firstLine="720"/>
        <w:rPr>
          <w:rFonts w:ascii="Times New Roman" w:hAnsi="Times New Roman"/>
        </w:rPr>
      </w:pPr>
      <w:r w:rsidRPr="009856D8">
        <w:rPr>
          <w:rFonts w:ascii="Times New Roman" w:hAnsi="Times New Roman"/>
        </w:rPr>
        <w:t>Excavated by the WPA in 1940,</w:t>
      </w:r>
      <w:r>
        <w:rPr>
          <w:rFonts w:ascii="Times New Roman" w:hAnsi="Times New Roman"/>
        </w:rPr>
        <w:t xml:space="preserve"> the Williams site was located three</w:t>
      </w:r>
      <w:r w:rsidRPr="009856D8">
        <w:rPr>
          <w:rFonts w:ascii="Times New Roman" w:hAnsi="Times New Roman"/>
        </w:rPr>
        <w:t xml:space="preserve"> miles northeast of Summerfield on the north bank of Fourche Maline Creek, two and a half miles west of its junction wit</w:t>
      </w:r>
      <w:r>
        <w:rPr>
          <w:rFonts w:ascii="Times New Roman" w:hAnsi="Times New Roman"/>
        </w:rPr>
        <w:t>h the Poteau River.  The mound was within a small bend in</w:t>
      </w:r>
      <w:r w:rsidRPr="009856D8">
        <w:rPr>
          <w:rFonts w:ascii="Times New Roman" w:hAnsi="Times New Roman"/>
        </w:rPr>
        <w:t xml:space="preserve"> the creek, on flat fertile bottom land, </w:t>
      </w:r>
      <w:r>
        <w:rPr>
          <w:rFonts w:ascii="Times New Roman" w:hAnsi="Times New Roman"/>
        </w:rPr>
        <w:t xml:space="preserve">about </w:t>
      </w:r>
      <w:r w:rsidRPr="009856D8">
        <w:rPr>
          <w:rFonts w:ascii="Times New Roman" w:hAnsi="Times New Roman"/>
        </w:rPr>
        <w:t xml:space="preserve">fifty yards from the creek channel, </w:t>
      </w:r>
      <w:r>
        <w:rPr>
          <w:rFonts w:ascii="Times New Roman" w:hAnsi="Times New Roman"/>
        </w:rPr>
        <w:t xml:space="preserve">and thus </w:t>
      </w:r>
      <w:r w:rsidRPr="009856D8">
        <w:rPr>
          <w:rFonts w:ascii="Times New Roman" w:hAnsi="Times New Roman"/>
        </w:rPr>
        <w:t>of</w:t>
      </w:r>
      <w:r>
        <w:rPr>
          <w:rFonts w:ascii="Times New Roman" w:hAnsi="Times New Roman"/>
        </w:rPr>
        <w:t>ten subject to complete inundation</w:t>
      </w:r>
      <w:r w:rsidRPr="009856D8">
        <w:rPr>
          <w:rFonts w:ascii="Times New Roman" w:hAnsi="Times New Roman"/>
        </w:rPr>
        <w:t xml:space="preserve">.  The mound was nearly circular in outline, measuring 150 x 130 </w:t>
      </w:r>
      <w:r w:rsidR="005544F1">
        <w:rPr>
          <w:rFonts w:ascii="Times New Roman" w:hAnsi="Times New Roman"/>
        </w:rPr>
        <w:t>feet</w:t>
      </w:r>
      <w:r w:rsidRPr="009856D8">
        <w:rPr>
          <w:rFonts w:ascii="Times New Roman" w:hAnsi="Times New Roman"/>
        </w:rPr>
        <w:t>, with an average center maximum height of four feet above the surrounding level (Newkumet 1940).  The WPA noted evidence of forme</w:t>
      </w:r>
      <w:r>
        <w:rPr>
          <w:rFonts w:ascii="Times New Roman" w:hAnsi="Times New Roman"/>
        </w:rPr>
        <w:t>r excavations by local</w:t>
      </w:r>
      <w:r w:rsidRPr="009856D8">
        <w:rPr>
          <w:rFonts w:ascii="Times New Roman" w:hAnsi="Times New Roman"/>
        </w:rPr>
        <w:t xml:space="preserve"> relic hunters.  They conducted extensive testing of the area around the mound</w:t>
      </w:r>
      <w:r>
        <w:rPr>
          <w:rFonts w:ascii="Times New Roman" w:hAnsi="Times New Roman"/>
        </w:rPr>
        <w:t>,</w:t>
      </w:r>
      <w:r w:rsidRPr="009856D8">
        <w:rPr>
          <w:rFonts w:ascii="Times New Roman" w:hAnsi="Times New Roman"/>
        </w:rPr>
        <w:t xml:space="preserve"> </w:t>
      </w:r>
      <w:r>
        <w:rPr>
          <w:rFonts w:ascii="Times New Roman" w:hAnsi="Times New Roman"/>
        </w:rPr>
        <w:t xml:space="preserve">but found </w:t>
      </w:r>
      <w:r w:rsidRPr="009856D8">
        <w:rPr>
          <w:rFonts w:ascii="Times New Roman" w:hAnsi="Times New Roman"/>
        </w:rPr>
        <w:t xml:space="preserve">no indications of a village site or other features.  </w:t>
      </w:r>
      <w:r>
        <w:rPr>
          <w:rFonts w:ascii="Times New Roman" w:hAnsi="Times New Roman"/>
        </w:rPr>
        <w:t>The mound was completely excavated and the site is now under the waters of Lake Wister.</w:t>
      </w:r>
    </w:p>
    <w:p w14:paraId="7600410F" w14:textId="692CB8C5" w:rsidR="00BF0494" w:rsidRDefault="00BF0494" w:rsidP="00BF0494">
      <w:pPr>
        <w:rPr>
          <w:rFonts w:ascii="Times New Roman" w:hAnsi="Times New Roman"/>
        </w:rPr>
      </w:pPr>
      <w:r w:rsidRPr="009856D8">
        <w:rPr>
          <w:rFonts w:ascii="Times New Roman" w:hAnsi="Times New Roman"/>
        </w:rPr>
        <w:tab/>
      </w:r>
      <w:r>
        <w:rPr>
          <w:rFonts w:ascii="Times New Roman" w:hAnsi="Times New Roman"/>
        </w:rPr>
        <w:t>Williams I is one of the better documented sites in the area.  The WPA excavated in 6” levels, instead of the 12” levels used at all other sites, and many of the artifacts were mapped in place.</w:t>
      </w:r>
      <w:r w:rsidR="00174A5F">
        <w:rPr>
          <w:rFonts w:ascii="Times New Roman" w:hAnsi="Times New Roman"/>
        </w:rPr>
        <w:t xml:space="preserve">  The WPA even produced a burial map (Figure 8).</w:t>
      </w:r>
      <w:r>
        <w:rPr>
          <w:rFonts w:ascii="Times New Roman" w:hAnsi="Times New Roman"/>
        </w:rPr>
        <w:t xml:space="preserve">  Newkumet published an early report in the 1940 edition of the </w:t>
      </w:r>
      <w:r w:rsidRPr="000052F4">
        <w:rPr>
          <w:rFonts w:ascii="Times New Roman" w:hAnsi="Times New Roman"/>
          <w:i/>
        </w:rPr>
        <w:t>Oklahoma Prehistorian</w:t>
      </w:r>
      <w:r w:rsidR="00FB6D8F">
        <w:rPr>
          <w:rFonts w:ascii="Times New Roman" w:hAnsi="Times New Roman"/>
        </w:rPr>
        <w:t xml:space="preserve"> (Newkumet 1940c).</w:t>
      </w:r>
      <w:r>
        <w:rPr>
          <w:rFonts w:ascii="Times New Roman" w:hAnsi="Times New Roman"/>
        </w:rPr>
        <w:t xml:space="preserve">  Two M.A. these</w:t>
      </w:r>
      <w:r w:rsidRPr="009856D8">
        <w:rPr>
          <w:rFonts w:ascii="Times New Roman" w:hAnsi="Times New Roman"/>
        </w:rPr>
        <w:t>s have been completed on the WPA excavations.  Marilee Irvine (1980) of the University of Oklahoma examined the ceramics from the site, and Myra Giesen (1986) from Wich</w:t>
      </w:r>
      <w:r>
        <w:rPr>
          <w:rFonts w:ascii="Times New Roman" w:hAnsi="Times New Roman"/>
        </w:rPr>
        <w:t>ita State University looked at dental attrition and alveolar r</w:t>
      </w:r>
      <w:r w:rsidRPr="009856D8">
        <w:rPr>
          <w:rFonts w:ascii="Times New Roman" w:hAnsi="Times New Roman"/>
        </w:rPr>
        <w:t xml:space="preserve">esorption.  </w:t>
      </w:r>
      <w:r>
        <w:rPr>
          <w:rFonts w:ascii="Times New Roman" w:hAnsi="Times New Roman"/>
        </w:rPr>
        <w:t xml:space="preserve">Additionally Leith (2011) </w:t>
      </w:r>
      <w:r w:rsidR="007B0E9E">
        <w:rPr>
          <w:rFonts w:ascii="Times New Roman" w:hAnsi="Times New Roman"/>
        </w:rPr>
        <w:t>examined</w:t>
      </w:r>
      <w:r>
        <w:rPr>
          <w:rFonts w:ascii="Times New Roman" w:hAnsi="Times New Roman"/>
        </w:rPr>
        <w:t xml:space="preserve"> </w:t>
      </w:r>
      <w:r w:rsidR="00174A5F">
        <w:rPr>
          <w:rFonts w:ascii="Times New Roman" w:hAnsi="Times New Roman"/>
        </w:rPr>
        <w:t xml:space="preserve">pottery and chipped lithics from several non-burial squares.  </w:t>
      </w:r>
      <w:r>
        <w:rPr>
          <w:rFonts w:ascii="Times New Roman" w:hAnsi="Times New Roman"/>
        </w:rPr>
        <w:t>Williams I is the type site for Williams Plain pottery (</w:t>
      </w:r>
      <w:r w:rsidR="005544F1">
        <w:rPr>
          <w:rFonts w:ascii="Times New Roman" w:hAnsi="Times New Roman"/>
        </w:rPr>
        <w:t>Krieger</w:t>
      </w:r>
      <w:r>
        <w:rPr>
          <w:rFonts w:ascii="Times New Roman" w:hAnsi="Times New Roman"/>
        </w:rPr>
        <w:t xml:space="preserve"> 1947, Bell 1980).  The artifacts excavated from Williams I await a complete analysis.</w:t>
      </w:r>
    </w:p>
    <w:p w14:paraId="16D8F90B" w14:textId="77777777" w:rsidR="0099705D" w:rsidRPr="00174A5F" w:rsidRDefault="0099705D" w:rsidP="0099705D">
      <w:pPr>
        <w:ind w:firstLine="720"/>
        <w:rPr>
          <w:rFonts w:ascii="Times New Roman" w:hAnsi="Times New Roman"/>
        </w:rPr>
      </w:pPr>
      <w:r w:rsidRPr="009856D8">
        <w:rPr>
          <w:rFonts w:ascii="Times New Roman" w:hAnsi="Times New Roman"/>
        </w:rPr>
        <w:t>The WPA repor</w:t>
      </w:r>
      <w:r>
        <w:rPr>
          <w:rFonts w:ascii="Times New Roman" w:hAnsi="Times New Roman"/>
        </w:rPr>
        <w:t>ted 122 burials (Newkumet 1940b)</w:t>
      </w:r>
      <w:r w:rsidRPr="009856D8">
        <w:rPr>
          <w:rFonts w:ascii="Times New Roman" w:hAnsi="Times New Roman"/>
        </w:rPr>
        <w:t xml:space="preserve"> and “summary sheets” in the Williams files at SNOMNH indicated that over 150 individuals were recovered from Williams I, including at least 49 subadults.</w:t>
      </w:r>
      <w:r>
        <w:rPr>
          <w:rFonts w:ascii="Times New Roman" w:hAnsi="Times New Roman"/>
        </w:rPr>
        <w:t xml:space="preserve">  The summary sheets are dated from the 1970s.  However the b</w:t>
      </w:r>
      <w:r w:rsidRPr="009856D8">
        <w:rPr>
          <w:rFonts w:ascii="Times New Roman" w:hAnsi="Times New Roman"/>
        </w:rPr>
        <w:t>urials at Williams</w:t>
      </w:r>
      <w:r>
        <w:rPr>
          <w:rFonts w:ascii="Times New Roman" w:hAnsi="Times New Roman"/>
        </w:rPr>
        <w:t xml:space="preserve"> </w:t>
      </w:r>
      <w:r w:rsidRPr="009856D8">
        <w:rPr>
          <w:rFonts w:ascii="Times New Roman" w:hAnsi="Times New Roman"/>
        </w:rPr>
        <w:t>are in need of a bioarchaeological analysis.</w:t>
      </w:r>
      <w:r>
        <w:rPr>
          <w:rFonts w:ascii="Times New Roman" w:hAnsi="Times New Roman"/>
        </w:rPr>
        <w:t xml:space="preserve"> </w:t>
      </w:r>
      <w:r w:rsidRPr="009856D8">
        <w:rPr>
          <w:rFonts w:ascii="Times New Roman" w:hAnsi="Times New Roman"/>
        </w:rPr>
        <w:t xml:space="preserve"> </w:t>
      </w:r>
      <w:r>
        <w:rPr>
          <w:rFonts w:ascii="Times New Roman" w:hAnsi="Times New Roman"/>
        </w:rPr>
        <w:t>Given the better than usual documentation for Williams I, this site should be a priority for future Wister area Fourche Maline analysis.</w:t>
      </w:r>
    </w:p>
    <w:p w14:paraId="12BB7D50" w14:textId="77777777" w:rsidR="00A51CBC" w:rsidRPr="009856D8" w:rsidRDefault="00A51CBC" w:rsidP="00BF0494">
      <w:pPr>
        <w:rPr>
          <w:rFonts w:ascii="Times New Roman" w:hAnsi="Times New Roman"/>
        </w:rPr>
      </w:pPr>
    </w:p>
    <w:p w14:paraId="058AC341" w14:textId="77777777" w:rsidR="00BF0494" w:rsidRPr="009856D8" w:rsidRDefault="00BF0494" w:rsidP="00BF0494">
      <w:pPr>
        <w:jc w:val="center"/>
        <w:rPr>
          <w:rFonts w:ascii="Times New Roman" w:hAnsi="Times New Roman"/>
        </w:rPr>
      </w:pPr>
      <w:r w:rsidRPr="009856D8">
        <w:rPr>
          <w:rFonts w:ascii="Times New Roman" w:hAnsi="Times New Roman"/>
          <w:noProof/>
          <w:lang w:bidi="ar-SA"/>
        </w:rPr>
        <w:drawing>
          <wp:inline distT="0" distB="0" distL="0" distR="0" wp14:anchorId="42B7E20E" wp14:editId="236806A2">
            <wp:extent cx="5136460" cy="46754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liamsburial.bmp"/>
                    <pic:cNvPicPr/>
                  </pic:nvPicPr>
                  <pic:blipFill rotWithShape="1">
                    <a:blip r:embed="rId18">
                      <a:extLst>
                        <a:ext uri="{28A0092B-C50C-407E-A947-70E740481C1C}">
                          <a14:useLocalDpi xmlns:a14="http://schemas.microsoft.com/office/drawing/2010/main" val="0"/>
                        </a:ext>
                      </a:extLst>
                    </a:blip>
                    <a:srcRect b="33497"/>
                    <a:stretch/>
                  </pic:blipFill>
                  <pic:spPr bwMode="auto">
                    <a:xfrm>
                      <a:off x="0" y="0"/>
                      <a:ext cx="5140066" cy="4678696"/>
                    </a:xfrm>
                    <a:prstGeom prst="rect">
                      <a:avLst/>
                    </a:prstGeom>
                    <a:ln>
                      <a:noFill/>
                    </a:ln>
                    <a:extLst>
                      <a:ext uri="{53640926-AAD7-44d8-BBD7-CCE9431645EC}">
                        <a14:shadowObscured xmlns:a14="http://schemas.microsoft.com/office/drawing/2010/main"/>
                      </a:ext>
                    </a:extLst>
                  </pic:spPr>
                </pic:pic>
              </a:graphicData>
            </a:graphic>
          </wp:inline>
        </w:drawing>
      </w:r>
    </w:p>
    <w:p w14:paraId="48579040" w14:textId="0832F8FE" w:rsidR="0099705D" w:rsidRDefault="00BF0494" w:rsidP="00133F61">
      <w:pPr>
        <w:pStyle w:val="Caption"/>
      </w:pPr>
      <w:bookmarkStart w:id="49" w:name="_Toc261025210"/>
      <w:r>
        <w:t xml:space="preserve">Figure </w:t>
      </w:r>
      <w:fldSimple w:instr=" SEQ Figure \* ARABIC ">
        <w:r w:rsidR="00396EB3">
          <w:rPr>
            <w:noProof/>
          </w:rPr>
          <w:t>8</w:t>
        </w:r>
      </w:fldSimple>
      <w:r>
        <w:t xml:space="preserve"> Burial Map for Williams I</w:t>
      </w:r>
      <w:bookmarkEnd w:id="49"/>
    </w:p>
    <w:p w14:paraId="2686E08C" w14:textId="77777777" w:rsidR="007F6BCD" w:rsidRPr="007F6BCD" w:rsidRDefault="007F6BCD" w:rsidP="007F6BCD">
      <w:pPr>
        <w:spacing w:line="240" w:lineRule="auto"/>
      </w:pPr>
    </w:p>
    <w:p w14:paraId="0DF63966" w14:textId="77777777" w:rsidR="00BF0494" w:rsidRDefault="00BF0494" w:rsidP="007F6BCD">
      <w:pPr>
        <w:pStyle w:val="Heading4"/>
      </w:pPr>
      <w:r>
        <w:t>34Lf27 Wann</w:t>
      </w:r>
    </w:p>
    <w:p w14:paraId="7027089A" w14:textId="4557AFBD" w:rsidR="005B0205" w:rsidRDefault="00BF0494" w:rsidP="005B0205">
      <w:pPr>
        <w:ind w:firstLine="720"/>
        <w:rPr>
          <w:rFonts w:ascii="Times New Roman" w:hAnsi="Times New Roman"/>
        </w:rPr>
      </w:pPr>
      <w:r w:rsidRPr="009856D8">
        <w:rPr>
          <w:rFonts w:ascii="Times New Roman" w:hAnsi="Times New Roman"/>
        </w:rPr>
        <w:t>The Wann site was excavated in 1940 by the WPA.  The site is situated on the south bank of Fourche Maline Creek at the confluence of Holson and Fourche Maline Creeks, approximately 3.2 km NE of Summerfield, OK (Galm and Flynn 1978), and is subject to seasonal flooding.  The site was reexamined by Galm and Flynn in 1977-1978.</w:t>
      </w:r>
      <w:r>
        <w:rPr>
          <w:rFonts w:ascii="Times New Roman" w:hAnsi="Times New Roman"/>
        </w:rPr>
        <w:t xml:space="preserve">  </w:t>
      </w:r>
      <w:r w:rsidRPr="009856D8">
        <w:rPr>
          <w:rFonts w:ascii="Times New Roman" w:hAnsi="Times New Roman"/>
        </w:rPr>
        <w:t xml:space="preserve">Radiocarbon dates for </w:t>
      </w:r>
      <w:r w:rsidR="00891719">
        <w:rPr>
          <w:rFonts w:ascii="Times New Roman" w:hAnsi="Times New Roman"/>
        </w:rPr>
        <w:t xml:space="preserve">the </w:t>
      </w:r>
      <w:r w:rsidRPr="009856D8">
        <w:rPr>
          <w:rFonts w:ascii="Times New Roman" w:hAnsi="Times New Roman"/>
        </w:rPr>
        <w:t>Wann</w:t>
      </w:r>
      <w:r w:rsidR="00891719">
        <w:rPr>
          <w:rFonts w:ascii="Times New Roman" w:hAnsi="Times New Roman"/>
        </w:rPr>
        <w:t xml:space="preserve"> site</w:t>
      </w:r>
      <w:r w:rsidRPr="009856D8">
        <w:rPr>
          <w:rFonts w:ascii="Times New Roman" w:hAnsi="Times New Roman"/>
        </w:rPr>
        <w:t xml:space="preserve"> span the Wister, Fourche </w:t>
      </w:r>
      <w:r w:rsidR="00891719">
        <w:rPr>
          <w:rFonts w:ascii="Times New Roman" w:hAnsi="Times New Roman"/>
        </w:rPr>
        <w:t>Maline, and Harlan periods</w:t>
      </w:r>
      <w:r w:rsidRPr="009856D8">
        <w:rPr>
          <w:rFonts w:ascii="Times New Roman" w:hAnsi="Times New Roman"/>
        </w:rPr>
        <w:t>, with the majority of the dates falling into Fourche Maline (Galm 1984:211).  Approximately 62% of the Wann site was excavated.</w:t>
      </w:r>
    </w:p>
    <w:p w14:paraId="0B0ECB78" w14:textId="77777777" w:rsidR="005B0205" w:rsidRDefault="00BF0494" w:rsidP="005B0205">
      <w:pPr>
        <w:ind w:firstLine="720"/>
        <w:rPr>
          <w:rFonts w:ascii="Times New Roman" w:hAnsi="Times New Roman"/>
        </w:rPr>
      </w:pPr>
      <w:r w:rsidRPr="009856D8">
        <w:rPr>
          <w:rFonts w:ascii="Times New Roman" w:hAnsi="Times New Roman"/>
        </w:rPr>
        <w:t xml:space="preserve">The WPA excavated 27 burials with 34 individuals, although only 32 skeletons were located for analysis (McWilliams 1978:105).  The remains were initially examined by Sharrock (1960) and then later more thoroughly analyzed by McWilliams (1978).  During his investigations of the Wister Lake locality in the </w:t>
      </w:r>
      <w:r>
        <w:rPr>
          <w:rFonts w:ascii="Times New Roman" w:hAnsi="Times New Roman"/>
        </w:rPr>
        <w:t>1970</w:t>
      </w:r>
      <w:r w:rsidRPr="009856D8">
        <w:rPr>
          <w:rFonts w:ascii="Times New Roman" w:hAnsi="Times New Roman"/>
        </w:rPr>
        <w:t xml:space="preserve">s Galm (1978) uncovered an additional three burials (two children and one adult).   </w:t>
      </w:r>
    </w:p>
    <w:p w14:paraId="45A38FCA" w14:textId="296BDEF2" w:rsidR="005B0205" w:rsidRDefault="00BF0494" w:rsidP="005B0205">
      <w:pPr>
        <w:ind w:firstLine="720"/>
        <w:rPr>
          <w:rFonts w:ascii="Times New Roman" w:hAnsi="Times New Roman"/>
        </w:rPr>
      </w:pPr>
      <w:r>
        <w:rPr>
          <w:rFonts w:ascii="Times New Roman" w:hAnsi="Times New Roman"/>
        </w:rPr>
        <w:t xml:space="preserve">In addition to </w:t>
      </w:r>
      <w:r w:rsidR="005544F1">
        <w:rPr>
          <w:rFonts w:ascii="Times New Roman" w:hAnsi="Times New Roman"/>
        </w:rPr>
        <w:t>Sharrock</w:t>
      </w:r>
      <w:r>
        <w:rPr>
          <w:rFonts w:ascii="Times New Roman" w:hAnsi="Times New Roman"/>
        </w:rPr>
        <w:t xml:space="preserve"> (1960) and McWilliams (1970), the primary publication regarding the Wann site is Galm and Flynn’s (1978) report.  </w:t>
      </w:r>
      <w:r w:rsidRPr="009856D8">
        <w:rPr>
          <w:rFonts w:ascii="Times New Roman" w:hAnsi="Times New Roman"/>
        </w:rPr>
        <w:t xml:space="preserve">Analyses of Wann contain a couple of notable observations.  The WPA observed that many burials were placed directly over large rocks/boulders that formed the base of the mound, and Galm and Flynn (1978:62) </w:t>
      </w:r>
      <w:r>
        <w:rPr>
          <w:rFonts w:ascii="Times New Roman" w:hAnsi="Times New Roman"/>
        </w:rPr>
        <w:t xml:space="preserve">refer to </w:t>
      </w:r>
      <w:r w:rsidRPr="009856D8">
        <w:rPr>
          <w:rFonts w:ascii="Times New Roman" w:hAnsi="Times New Roman"/>
        </w:rPr>
        <w:t xml:space="preserve">persistent rock features </w:t>
      </w:r>
      <w:r>
        <w:rPr>
          <w:rFonts w:ascii="Times New Roman" w:hAnsi="Times New Roman"/>
        </w:rPr>
        <w:t>“</w:t>
      </w:r>
      <w:r w:rsidRPr="009856D8">
        <w:rPr>
          <w:rFonts w:ascii="Times New Roman" w:hAnsi="Times New Roman"/>
        </w:rPr>
        <w:t xml:space="preserve">with no known purpose.”  Indeed, at </w:t>
      </w:r>
      <w:r>
        <w:rPr>
          <w:rFonts w:ascii="Times New Roman" w:hAnsi="Times New Roman"/>
        </w:rPr>
        <w:t xml:space="preserve">several of the </w:t>
      </w:r>
      <w:r w:rsidR="00CF609A">
        <w:rPr>
          <w:rFonts w:ascii="Times New Roman" w:hAnsi="Times New Roman"/>
        </w:rPr>
        <w:t>Wister area</w:t>
      </w:r>
      <w:r w:rsidRPr="009856D8">
        <w:rPr>
          <w:rFonts w:ascii="Times New Roman" w:hAnsi="Times New Roman"/>
        </w:rPr>
        <w:t xml:space="preserve"> Fourche Maline mounds, the local geology was incorporated into some of the burials.  For instance</w:t>
      </w:r>
      <w:r w:rsidR="00A51CBC">
        <w:rPr>
          <w:rFonts w:ascii="Times New Roman" w:hAnsi="Times New Roman"/>
        </w:rPr>
        <w:t>,</w:t>
      </w:r>
      <w:r w:rsidRPr="009856D8">
        <w:rPr>
          <w:rFonts w:ascii="Times New Roman" w:hAnsi="Times New Roman"/>
        </w:rPr>
        <w:t xml:space="preserve"> </w:t>
      </w:r>
      <w:r>
        <w:rPr>
          <w:rFonts w:ascii="Times New Roman" w:hAnsi="Times New Roman"/>
        </w:rPr>
        <w:t xml:space="preserve">some </w:t>
      </w:r>
      <w:r w:rsidRPr="009856D8">
        <w:rPr>
          <w:rFonts w:ascii="Times New Roman" w:hAnsi="Times New Roman"/>
        </w:rPr>
        <w:t xml:space="preserve">burials were placed such that the head was “pillowed” on bedrock.  Other burials were </w:t>
      </w:r>
      <w:r w:rsidR="00CA7170">
        <w:rPr>
          <w:rFonts w:ascii="Times New Roman" w:hAnsi="Times New Roman"/>
        </w:rPr>
        <w:t>positioned</w:t>
      </w:r>
      <w:r w:rsidRPr="009856D8">
        <w:rPr>
          <w:rFonts w:ascii="Times New Roman" w:hAnsi="Times New Roman"/>
        </w:rPr>
        <w:t xml:space="preserve"> into crevices in the bedrock, and still other burials were covered with large slabs of stone.  Rock features were “evidently a part of a well-defined occupational pattern a</w:t>
      </w:r>
      <w:r>
        <w:rPr>
          <w:rFonts w:ascii="Times New Roman" w:hAnsi="Times New Roman"/>
        </w:rPr>
        <w:t>t midden deposits in the valley</w:t>
      </w:r>
      <w:r w:rsidRPr="009856D8">
        <w:rPr>
          <w:rFonts w:ascii="Times New Roman" w:hAnsi="Times New Roman"/>
        </w:rPr>
        <w:t>” (Galm and Flynn 1978:62).</w:t>
      </w:r>
    </w:p>
    <w:p w14:paraId="6C84ECC4" w14:textId="4832DEDE" w:rsidR="00BF0494" w:rsidRPr="009856D8" w:rsidRDefault="00BF0494" w:rsidP="005B0205">
      <w:pPr>
        <w:ind w:firstLine="720"/>
        <w:rPr>
          <w:rFonts w:ascii="Times New Roman" w:hAnsi="Times New Roman"/>
        </w:rPr>
      </w:pPr>
      <w:r w:rsidRPr="009856D8">
        <w:rPr>
          <w:rFonts w:ascii="Times New Roman" w:hAnsi="Times New Roman"/>
        </w:rPr>
        <w:t xml:space="preserve">Another common feature in all the </w:t>
      </w:r>
      <w:r w:rsidR="00CF609A">
        <w:rPr>
          <w:rFonts w:ascii="Times New Roman" w:hAnsi="Times New Roman"/>
        </w:rPr>
        <w:t>Wister area</w:t>
      </w:r>
      <w:r w:rsidRPr="009856D8">
        <w:rPr>
          <w:rFonts w:ascii="Times New Roman" w:hAnsi="Times New Roman"/>
        </w:rPr>
        <w:t xml:space="preserve"> Fourche Maline </w:t>
      </w:r>
      <w:r w:rsidR="007A3B37">
        <w:rPr>
          <w:rFonts w:ascii="Times New Roman" w:hAnsi="Times New Roman"/>
        </w:rPr>
        <w:t>mounds is</w:t>
      </w:r>
      <w:r w:rsidR="005B0205">
        <w:rPr>
          <w:rFonts w:ascii="Times New Roman" w:hAnsi="Times New Roman"/>
        </w:rPr>
        <w:t xml:space="preserve"> ashy concentrations.</w:t>
      </w:r>
      <w:r w:rsidRPr="009856D8">
        <w:rPr>
          <w:rFonts w:ascii="Times New Roman" w:hAnsi="Times New Roman"/>
        </w:rPr>
        <w:t xml:space="preserve">  Although these have </w:t>
      </w:r>
      <w:r>
        <w:rPr>
          <w:rFonts w:ascii="Times New Roman" w:hAnsi="Times New Roman"/>
        </w:rPr>
        <w:t xml:space="preserve">been </w:t>
      </w:r>
      <w:r w:rsidRPr="009856D8">
        <w:rPr>
          <w:rFonts w:ascii="Times New Roman" w:hAnsi="Times New Roman"/>
        </w:rPr>
        <w:t>interpreted as the remains of hearths, it should be noted th</w:t>
      </w:r>
      <w:r>
        <w:rPr>
          <w:rFonts w:ascii="Times New Roman" w:hAnsi="Times New Roman"/>
        </w:rPr>
        <w:t>at, at Wann, at least, there were</w:t>
      </w:r>
      <w:r w:rsidRPr="009856D8">
        <w:rPr>
          <w:rFonts w:ascii="Times New Roman" w:hAnsi="Times New Roman"/>
        </w:rPr>
        <w:t xml:space="preserve"> “no instances of ashy concentration intercalcated with surrounding matrix or in association with oxidized soil” (Galm and Flynn 1978:50),</w:t>
      </w:r>
      <w:r w:rsidR="005B0205">
        <w:rPr>
          <w:rFonts w:ascii="Times New Roman" w:hAnsi="Times New Roman"/>
        </w:rPr>
        <w:t xml:space="preserve"> which suggests</w:t>
      </w:r>
      <w:r w:rsidRPr="009856D8">
        <w:rPr>
          <w:rFonts w:ascii="Times New Roman" w:hAnsi="Times New Roman"/>
        </w:rPr>
        <w:t xml:space="preserve"> that the ash deposits are secondary deposits rather than </w:t>
      </w:r>
      <w:r w:rsidRPr="009856D8">
        <w:rPr>
          <w:rFonts w:ascii="Times New Roman" w:hAnsi="Times New Roman"/>
          <w:i/>
        </w:rPr>
        <w:t>in situ</w:t>
      </w:r>
      <w:r>
        <w:rPr>
          <w:rFonts w:ascii="Times New Roman" w:hAnsi="Times New Roman"/>
        </w:rPr>
        <w:t xml:space="preserve"> </w:t>
      </w:r>
      <w:r w:rsidR="00CA7170">
        <w:rPr>
          <w:rFonts w:ascii="Times New Roman" w:hAnsi="Times New Roman"/>
        </w:rPr>
        <w:t>cumulative features</w:t>
      </w:r>
      <w:r>
        <w:rPr>
          <w:rFonts w:ascii="Times New Roman" w:hAnsi="Times New Roman"/>
        </w:rPr>
        <w:t>, such as hearths or processing stations.</w:t>
      </w:r>
      <w:r w:rsidR="005B0205">
        <w:rPr>
          <w:rFonts w:ascii="Times New Roman" w:hAnsi="Times New Roman"/>
        </w:rPr>
        <w:t xml:space="preserve">  However Galm interpreted them as former occupation surfaces (Galm 1978:84).</w:t>
      </w:r>
    </w:p>
    <w:p w14:paraId="427C0AEC" w14:textId="77777777" w:rsidR="00BF0494" w:rsidRDefault="00BF0494" w:rsidP="007F6BCD">
      <w:pPr>
        <w:pStyle w:val="Heading4"/>
      </w:pPr>
      <w:r>
        <w:t>34Lf28 Sam</w:t>
      </w:r>
    </w:p>
    <w:p w14:paraId="2BBBD2FB" w14:textId="53103589" w:rsidR="00BF0494" w:rsidRPr="004D1734" w:rsidRDefault="00BF0494" w:rsidP="00BF0494">
      <w:pPr>
        <w:ind w:firstLine="720"/>
        <w:rPr>
          <w:rFonts w:ascii="Times New Roman" w:hAnsi="Times New Roman"/>
        </w:rPr>
      </w:pPr>
      <w:r>
        <w:rPr>
          <w:rFonts w:ascii="Times New Roman" w:hAnsi="Times New Roman"/>
        </w:rPr>
        <w:t>J</w:t>
      </w:r>
      <w:r w:rsidRPr="004D1734">
        <w:rPr>
          <w:rFonts w:ascii="Times New Roman" w:hAnsi="Times New Roman"/>
        </w:rPr>
        <w:t>ust one mile east of the Wann site, at the junction of Holston and Fourche Maline Creeks, the Sam site wa</w:t>
      </w:r>
      <w:r w:rsidR="00891719">
        <w:rPr>
          <w:rFonts w:ascii="Times New Roman" w:hAnsi="Times New Roman"/>
        </w:rPr>
        <w:t>s excavated by the WPA in 1940.</w:t>
      </w:r>
      <w:r w:rsidRPr="004D1734">
        <w:rPr>
          <w:rFonts w:ascii="Times New Roman" w:hAnsi="Times New Roman"/>
        </w:rPr>
        <w:t xml:space="preserve">  At the time of excavation, the mound was a long low ridge</w:t>
      </w:r>
      <w:r>
        <w:rPr>
          <w:rFonts w:ascii="Times New Roman" w:hAnsi="Times New Roman"/>
        </w:rPr>
        <w:t>, elevated</w:t>
      </w:r>
      <w:r w:rsidRPr="004D1734">
        <w:rPr>
          <w:rFonts w:ascii="Times New Roman" w:hAnsi="Times New Roman"/>
        </w:rPr>
        <w:t xml:space="preserve"> at its highest point about 3 feet above the topsoil (Newkumet 1940).  Additio</w:t>
      </w:r>
      <w:r w:rsidR="002A2E7D">
        <w:rPr>
          <w:rFonts w:ascii="Times New Roman" w:hAnsi="Times New Roman"/>
        </w:rPr>
        <w:t>nal testing was completed in 197</w:t>
      </w:r>
      <w:r w:rsidRPr="004D1734">
        <w:rPr>
          <w:rFonts w:ascii="Times New Roman" w:hAnsi="Times New Roman"/>
        </w:rPr>
        <w:t>6-7, but no further work was recommended due to extensive erosion of the original mound and site (Galm 1978:85-88).  The majority (approximately 74%) of the Sam site was excavated.</w:t>
      </w:r>
    </w:p>
    <w:p w14:paraId="5F99B974" w14:textId="20975052" w:rsidR="00BF0494" w:rsidRPr="004D1734" w:rsidRDefault="00BF0494" w:rsidP="00BF0494">
      <w:pPr>
        <w:ind w:firstLine="720"/>
        <w:rPr>
          <w:rFonts w:ascii="Times New Roman" w:hAnsi="Times New Roman"/>
        </w:rPr>
      </w:pPr>
      <w:r>
        <w:rPr>
          <w:rFonts w:ascii="Times New Roman" w:hAnsi="Times New Roman"/>
        </w:rPr>
        <w:t>S</w:t>
      </w:r>
      <w:r w:rsidRPr="004D1734">
        <w:rPr>
          <w:rFonts w:ascii="Times New Roman" w:hAnsi="Times New Roman"/>
        </w:rPr>
        <w:t xml:space="preserve">everal postmolds were </w:t>
      </w:r>
      <w:r>
        <w:rPr>
          <w:rFonts w:ascii="Times New Roman" w:hAnsi="Times New Roman"/>
        </w:rPr>
        <w:t>found on the mound, which is unusual for these sites.  In addition, there were</w:t>
      </w:r>
      <w:r w:rsidRPr="004D1734">
        <w:rPr>
          <w:rFonts w:ascii="Times New Roman" w:hAnsi="Times New Roman"/>
        </w:rPr>
        <w:t xml:space="preserve"> 30 bowl-shaped and flat-bottomed cache pits found extending a few inches to two feet into the subsoil (Newkumet 1940).  Additionally a house pattern was found about 315 feet east of the southeast corner of the main mound, on a ridge (Newkumet 1940).  Proctor’</w:t>
      </w:r>
      <w:r>
        <w:rPr>
          <w:rFonts w:ascii="Times New Roman" w:hAnsi="Times New Roman"/>
        </w:rPr>
        <w:t>s (1957) artifact analysis indicated that</w:t>
      </w:r>
      <w:r w:rsidRPr="004D1734">
        <w:rPr>
          <w:rFonts w:ascii="Times New Roman" w:hAnsi="Times New Roman"/>
        </w:rPr>
        <w:t xml:space="preserve"> the site was occupied during the Wister and Fourche Maline </w:t>
      </w:r>
      <w:r w:rsidR="00CA7170">
        <w:rPr>
          <w:rFonts w:ascii="Times New Roman" w:hAnsi="Times New Roman"/>
        </w:rPr>
        <w:t>continuing</w:t>
      </w:r>
      <w:r w:rsidRPr="004D1734">
        <w:rPr>
          <w:rFonts w:ascii="Times New Roman" w:hAnsi="Times New Roman"/>
        </w:rPr>
        <w:t xml:space="preserve"> up through </w:t>
      </w:r>
      <w:r w:rsidR="00CA7170">
        <w:rPr>
          <w:rFonts w:ascii="Times New Roman" w:hAnsi="Times New Roman"/>
        </w:rPr>
        <w:t>Harlan and Spiro periods</w:t>
      </w:r>
    </w:p>
    <w:p w14:paraId="276C81EA" w14:textId="556776C6" w:rsidR="00BF0494" w:rsidRPr="004D1734" w:rsidRDefault="00BF0494" w:rsidP="00BF0494">
      <w:pPr>
        <w:ind w:firstLine="720"/>
        <w:rPr>
          <w:rFonts w:ascii="Times New Roman" w:hAnsi="Times New Roman"/>
        </w:rPr>
      </w:pPr>
      <w:r w:rsidRPr="004D1734">
        <w:rPr>
          <w:rFonts w:ascii="Times New Roman" w:hAnsi="Times New Roman"/>
        </w:rPr>
        <w:t xml:space="preserve">The WPA reported 61 burials with 70 individuals (Newkumet 1940).  </w:t>
      </w:r>
      <w:r w:rsidR="00A51CBC">
        <w:rPr>
          <w:rFonts w:ascii="Times New Roman" w:hAnsi="Times New Roman"/>
        </w:rPr>
        <w:t>Fifty-</w:t>
      </w:r>
      <w:r>
        <w:rPr>
          <w:rFonts w:ascii="Times New Roman" w:hAnsi="Times New Roman"/>
        </w:rPr>
        <w:t>two burials containing</w:t>
      </w:r>
      <w:r w:rsidRPr="004D1734">
        <w:rPr>
          <w:rFonts w:ascii="Times New Roman" w:hAnsi="Times New Roman"/>
        </w:rPr>
        <w:t xml:space="preserve"> 73 individuals were analyzed by McWilliams (1978).  The burials have not been confidently associated with any </w:t>
      </w:r>
      <w:r>
        <w:rPr>
          <w:rFonts w:ascii="Times New Roman" w:hAnsi="Times New Roman"/>
        </w:rPr>
        <w:t>period,</w:t>
      </w:r>
      <w:r w:rsidRPr="004D1734">
        <w:rPr>
          <w:rFonts w:ascii="Times New Roman" w:hAnsi="Times New Roman"/>
        </w:rPr>
        <w:t xml:space="preserve"> but are usually considered Fourche Maline for analytical purposes (Galm 1984:211).  </w:t>
      </w:r>
    </w:p>
    <w:p w14:paraId="08C0C1A2" w14:textId="77777777" w:rsidR="00BF0494" w:rsidRDefault="00BF0494" w:rsidP="007F6BCD">
      <w:pPr>
        <w:pStyle w:val="Heading4"/>
      </w:pPr>
      <w:r>
        <w:t>34Lf29 Mackey</w:t>
      </w:r>
    </w:p>
    <w:p w14:paraId="1FCF5654" w14:textId="3FC8AC3A" w:rsidR="00BF0494" w:rsidRPr="004D1734" w:rsidRDefault="00BF0494" w:rsidP="00262974">
      <w:pPr>
        <w:ind w:firstLine="720"/>
        <w:rPr>
          <w:rFonts w:ascii="Times New Roman" w:hAnsi="Times New Roman"/>
        </w:rPr>
      </w:pPr>
      <w:r w:rsidRPr="004D1734">
        <w:rPr>
          <w:rFonts w:ascii="Times New Roman" w:hAnsi="Times New Roman"/>
        </w:rPr>
        <w:t xml:space="preserve">The Mackey site was excavated by the WPA in 1940.  It was located on the north bank of a small intermittent streambed about one fourth of a mile east/southeast from Fourche Maline Creek.  The site consisted of a large and deep mound that was “more or less completely excavated,” (Leader 1997:22).  The mound at the Mackey site was unusually deep, about 305 cm (10 ft.).  </w:t>
      </w:r>
      <w:r w:rsidR="00262974" w:rsidRPr="004D1734">
        <w:rPr>
          <w:rFonts w:ascii="Times New Roman" w:hAnsi="Times New Roman"/>
        </w:rPr>
        <w:t xml:space="preserve">About 50 yards north of the site, a square pattern Caddoan house was </w:t>
      </w:r>
      <w:r w:rsidR="00103FB1">
        <w:rPr>
          <w:rFonts w:ascii="Times New Roman" w:hAnsi="Times New Roman"/>
        </w:rPr>
        <w:t xml:space="preserve">uncovered </w:t>
      </w:r>
      <w:r w:rsidR="00262974" w:rsidRPr="004D1734">
        <w:rPr>
          <w:rFonts w:ascii="Times New Roman" w:hAnsi="Times New Roman"/>
        </w:rPr>
        <w:t xml:space="preserve">that was radiocarbon dated to 1490 </w:t>
      </w:r>
      <w:r w:rsidR="00262974">
        <w:rPr>
          <w:rFonts w:ascii="Times New Roman" w:hAnsi="Times New Roman"/>
        </w:rPr>
        <w:t>CE</w:t>
      </w:r>
      <w:r w:rsidR="00262974" w:rsidRPr="004D1734">
        <w:rPr>
          <w:rFonts w:ascii="Times New Roman" w:hAnsi="Times New Roman"/>
        </w:rPr>
        <w:t xml:space="preserve"> (Bell 1980).</w:t>
      </w:r>
      <w:r w:rsidR="00262974">
        <w:rPr>
          <w:rFonts w:ascii="Times New Roman" w:hAnsi="Times New Roman"/>
        </w:rPr>
        <w:t xml:space="preserve">  </w:t>
      </w:r>
      <w:r w:rsidR="00262974" w:rsidRPr="004D1734">
        <w:rPr>
          <w:rFonts w:ascii="Times New Roman" w:hAnsi="Times New Roman"/>
        </w:rPr>
        <w:t>The Mackey site therefore represents a very long occupation, from Early A</w:t>
      </w:r>
      <w:r w:rsidR="00103FB1">
        <w:rPr>
          <w:rFonts w:ascii="Times New Roman" w:hAnsi="Times New Roman"/>
        </w:rPr>
        <w:t>rchaic through the Fort Coffee p</w:t>
      </w:r>
      <w:r w:rsidR="00262974" w:rsidRPr="004D1734">
        <w:rPr>
          <w:rFonts w:ascii="Times New Roman" w:hAnsi="Times New Roman"/>
        </w:rPr>
        <w:t xml:space="preserve">hase (Leader 1997).  </w:t>
      </w:r>
      <w:r w:rsidRPr="004D1734">
        <w:rPr>
          <w:rFonts w:ascii="Times New Roman" w:hAnsi="Times New Roman"/>
        </w:rPr>
        <w:t xml:space="preserve">The site was retested in 1976-77 but only modern debris was found and no further work was recommended (Galm 1978:92). </w:t>
      </w:r>
    </w:p>
    <w:p w14:paraId="702FAA02" w14:textId="39E90890" w:rsidR="00BF0494" w:rsidRPr="004D1734" w:rsidRDefault="00BF0494" w:rsidP="00BF0494">
      <w:pPr>
        <w:ind w:firstLine="720"/>
        <w:rPr>
          <w:rFonts w:ascii="Times New Roman" w:hAnsi="Times New Roman"/>
        </w:rPr>
      </w:pPr>
      <w:r w:rsidRPr="004D1734">
        <w:rPr>
          <w:rFonts w:ascii="Times New Roman" w:hAnsi="Times New Roman"/>
        </w:rPr>
        <w:t xml:space="preserve">Three M.A. theses from the University of Oklahoma have been </w:t>
      </w:r>
      <w:r>
        <w:rPr>
          <w:rFonts w:ascii="Times New Roman" w:hAnsi="Times New Roman"/>
        </w:rPr>
        <w:t>completed on the WPA Mackey excavations</w:t>
      </w:r>
      <w:r w:rsidRPr="004D1734">
        <w:rPr>
          <w:rFonts w:ascii="Times New Roman" w:hAnsi="Times New Roman"/>
        </w:rPr>
        <w:t xml:space="preserve">.  The chipped stone artifacts from </w:t>
      </w:r>
      <w:r w:rsidR="00F71B44">
        <w:rPr>
          <w:rFonts w:ascii="Times New Roman" w:hAnsi="Times New Roman"/>
        </w:rPr>
        <w:t xml:space="preserve">excavation </w:t>
      </w:r>
      <w:r w:rsidRPr="004D1734">
        <w:rPr>
          <w:rFonts w:ascii="Times New Roman" w:hAnsi="Times New Roman"/>
        </w:rPr>
        <w:t xml:space="preserve">squares </w:t>
      </w:r>
      <w:r w:rsidR="00F71B44">
        <w:rPr>
          <w:rFonts w:ascii="Times New Roman" w:hAnsi="Times New Roman"/>
        </w:rPr>
        <w:t xml:space="preserve">without burials </w:t>
      </w:r>
      <w:r w:rsidRPr="004D1734">
        <w:rPr>
          <w:rFonts w:ascii="Times New Roman" w:hAnsi="Times New Roman"/>
        </w:rPr>
        <w:t>were examined by Pam Le</w:t>
      </w:r>
      <w:r>
        <w:rPr>
          <w:rFonts w:ascii="Times New Roman" w:hAnsi="Times New Roman"/>
        </w:rPr>
        <w:t>a</w:t>
      </w:r>
      <w:r w:rsidRPr="004D1734">
        <w:rPr>
          <w:rFonts w:ascii="Times New Roman" w:hAnsi="Times New Roman"/>
        </w:rPr>
        <w:t>der (1997).  In contrast to the McCutchan McLau</w:t>
      </w:r>
      <w:r>
        <w:rPr>
          <w:rFonts w:ascii="Times New Roman" w:hAnsi="Times New Roman"/>
        </w:rPr>
        <w:t>ghlin</w:t>
      </w:r>
      <w:r w:rsidRPr="004D1734">
        <w:rPr>
          <w:rFonts w:ascii="Times New Roman" w:hAnsi="Times New Roman"/>
        </w:rPr>
        <w:t xml:space="preserve"> site (34Lt11), this study found a low, but persistent use of Ozark cherts (about 26%) (Leader 1997:68-73).  A paleodemographic (age and sex) analysis of the recovered burials was completed by Stephanie Burns (1994).  Finally, a partial dental analysis was </w:t>
      </w:r>
      <w:r>
        <w:rPr>
          <w:rFonts w:ascii="Times New Roman" w:hAnsi="Times New Roman"/>
        </w:rPr>
        <w:t>undertaken</w:t>
      </w:r>
      <w:r w:rsidRPr="004D1734">
        <w:rPr>
          <w:rFonts w:ascii="Times New Roman" w:hAnsi="Times New Roman"/>
        </w:rPr>
        <w:t xml:space="preserve"> by Kimberly Bowen (2011).</w:t>
      </w:r>
    </w:p>
    <w:p w14:paraId="6F99F23B" w14:textId="1084154C" w:rsidR="00BF0494" w:rsidRPr="004D1734" w:rsidRDefault="00BF0494" w:rsidP="00DE7702">
      <w:pPr>
        <w:ind w:firstLine="720"/>
        <w:rPr>
          <w:rFonts w:ascii="Times New Roman" w:hAnsi="Times New Roman"/>
        </w:rPr>
      </w:pPr>
      <w:r w:rsidRPr="004D1734">
        <w:rPr>
          <w:rFonts w:ascii="Times New Roman" w:hAnsi="Times New Roman"/>
        </w:rPr>
        <w:t xml:space="preserve">The WPA recovered 160 burials.  Burns’ (1994) analysis found 197 individuals, 100 of which were complete enough for analysis.  Burns separated out </w:t>
      </w:r>
      <w:r>
        <w:rPr>
          <w:rFonts w:ascii="Times New Roman" w:hAnsi="Times New Roman"/>
        </w:rPr>
        <w:t>a “deep” and “shallow” segment</w:t>
      </w:r>
      <w:r w:rsidRPr="004D1734">
        <w:rPr>
          <w:rFonts w:ascii="Times New Roman" w:hAnsi="Times New Roman"/>
        </w:rPr>
        <w:t>, but was unable to assign ages to these levels (Burns 1994:69).</w:t>
      </w:r>
      <w:r w:rsidR="00DE7702">
        <w:rPr>
          <w:rFonts w:ascii="Times New Roman" w:hAnsi="Times New Roman"/>
        </w:rPr>
        <w:t xml:space="preserve">  “Deep” was defined as below 7 feet because no other </w:t>
      </w:r>
      <w:r w:rsidR="00CF609A">
        <w:rPr>
          <w:rFonts w:ascii="Times New Roman" w:hAnsi="Times New Roman"/>
        </w:rPr>
        <w:t>Wister area</w:t>
      </w:r>
      <w:r w:rsidR="00DE7702">
        <w:rPr>
          <w:rFonts w:ascii="Times New Roman" w:hAnsi="Times New Roman"/>
        </w:rPr>
        <w:t xml:space="preserve"> Fourche Maline mound was deeper than 6 feet.</w:t>
      </w:r>
      <w:r w:rsidRPr="004D1734">
        <w:rPr>
          <w:rFonts w:ascii="Times New Roman" w:hAnsi="Times New Roman"/>
        </w:rPr>
        <w:t xml:space="preserve">  The presumption is that the “deep” layer</w:t>
      </w:r>
      <w:r w:rsidR="00DE7702">
        <w:rPr>
          <w:rFonts w:ascii="Times New Roman" w:hAnsi="Times New Roman"/>
        </w:rPr>
        <w:t xml:space="preserve"> corresponded</w:t>
      </w:r>
      <w:r w:rsidRPr="004D1734">
        <w:rPr>
          <w:rFonts w:ascii="Times New Roman" w:hAnsi="Times New Roman"/>
        </w:rPr>
        <w:t xml:space="preserve"> to the pre-ceramic Wister Phase burials</w:t>
      </w:r>
      <w:r w:rsidR="00DE7702">
        <w:rPr>
          <w:rFonts w:ascii="Times New Roman" w:hAnsi="Times New Roman"/>
        </w:rPr>
        <w:t xml:space="preserve"> and that the</w:t>
      </w:r>
      <w:r w:rsidRPr="004D1734">
        <w:rPr>
          <w:rFonts w:ascii="Times New Roman" w:hAnsi="Times New Roman"/>
        </w:rPr>
        <w:t xml:space="preserve"> “shallow” layer to the pottery-bearing Fourche Maline Phase burials.  However several features and artifacts from the Mackey site also correspond to th</w:t>
      </w:r>
      <w:r>
        <w:rPr>
          <w:rFonts w:ascii="Times New Roman" w:hAnsi="Times New Roman"/>
        </w:rPr>
        <w:t xml:space="preserve">e later Harlan and Spiro </w:t>
      </w:r>
      <w:r w:rsidR="00DE7702">
        <w:rPr>
          <w:rFonts w:ascii="Times New Roman" w:hAnsi="Times New Roman"/>
        </w:rPr>
        <w:t>periods</w:t>
      </w:r>
      <w:r w:rsidR="00103FB1">
        <w:rPr>
          <w:rFonts w:ascii="Times New Roman" w:hAnsi="Times New Roman"/>
        </w:rPr>
        <w:t>,</w:t>
      </w:r>
      <w:r w:rsidR="00DE7702">
        <w:rPr>
          <w:rFonts w:ascii="Times New Roman" w:hAnsi="Times New Roman"/>
        </w:rPr>
        <w:t xml:space="preserve"> and the house pattern was determined to be</w:t>
      </w:r>
      <w:r>
        <w:rPr>
          <w:rFonts w:ascii="Times New Roman" w:hAnsi="Times New Roman"/>
        </w:rPr>
        <w:t xml:space="preserve"> Ft. Coffee.</w:t>
      </w:r>
    </w:p>
    <w:p w14:paraId="7FEEA3A9" w14:textId="715FDC39" w:rsidR="00BF0494" w:rsidRPr="004D1734" w:rsidRDefault="00BF0494" w:rsidP="00BF0494">
      <w:pPr>
        <w:ind w:firstLine="720"/>
        <w:rPr>
          <w:rFonts w:ascii="Times New Roman" w:hAnsi="Times New Roman"/>
        </w:rPr>
      </w:pPr>
      <w:r w:rsidRPr="004D1734">
        <w:rPr>
          <w:rFonts w:ascii="Times New Roman" w:hAnsi="Times New Roman"/>
        </w:rPr>
        <w:t xml:space="preserve">Unexpectedly, Mackey had an unusually high male:female ratio, with nearly twice as many adult males as adult females.  The overall ratio is 1.55; it drops to 1.23 in the shallow layer and increases to 1.81 in the deep layer (Burns 1994).  Mackey is also the only </w:t>
      </w:r>
      <w:r w:rsidR="00CF609A">
        <w:rPr>
          <w:rFonts w:ascii="Times New Roman" w:hAnsi="Times New Roman"/>
        </w:rPr>
        <w:t>Wister area</w:t>
      </w:r>
      <w:r w:rsidRPr="004D1734">
        <w:rPr>
          <w:rFonts w:ascii="Times New Roman" w:hAnsi="Times New Roman"/>
        </w:rPr>
        <w:t xml:space="preserve"> site to contain more than one mass burial (where mass is considered &gt;5 individ</w:t>
      </w:r>
      <w:r w:rsidR="00167749">
        <w:rPr>
          <w:rFonts w:ascii="Times New Roman" w:hAnsi="Times New Roman"/>
        </w:rPr>
        <w:t>uals)</w:t>
      </w:r>
      <w:r w:rsidRPr="004D1734">
        <w:rPr>
          <w:rFonts w:ascii="Times New Roman" w:hAnsi="Times New Roman"/>
        </w:rPr>
        <w:t>.</w:t>
      </w:r>
      <w:r>
        <w:rPr>
          <w:rFonts w:ascii="Times New Roman" w:hAnsi="Times New Roman"/>
        </w:rPr>
        <w:t xml:space="preserve">  The burials from Mackey are in need of a complete bioarchaeological analysis.  </w:t>
      </w:r>
    </w:p>
    <w:p w14:paraId="0F3F561E" w14:textId="77777777" w:rsidR="00BF0494" w:rsidRDefault="00BF0494" w:rsidP="007F6BCD">
      <w:pPr>
        <w:pStyle w:val="Heading4"/>
      </w:pPr>
      <w:r>
        <w:t>34Lf33 Adams</w:t>
      </w:r>
    </w:p>
    <w:p w14:paraId="0BD786EE" w14:textId="1A950E25" w:rsidR="00BF0494" w:rsidRPr="00643B26" w:rsidRDefault="00BF0494" w:rsidP="00262974">
      <w:pPr>
        <w:ind w:firstLine="720"/>
        <w:rPr>
          <w:rFonts w:ascii="Times New Roman" w:hAnsi="Times New Roman"/>
        </w:rPr>
      </w:pPr>
      <w:r w:rsidRPr="00643B26">
        <w:rPr>
          <w:rFonts w:ascii="Times New Roman" w:hAnsi="Times New Roman"/>
        </w:rPr>
        <w:t xml:space="preserve">The Adams site was located about one half mile southwest of the Poteau River on a </w:t>
      </w:r>
      <w:r>
        <w:rPr>
          <w:rFonts w:ascii="Times New Roman" w:hAnsi="Times New Roman"/>
        </w:rPr>
        <w:t xml:space="preserve">small, intermittent streambed, </w:t>
      </w:r>
      <w:r w:rsidRPr="00643B26">
        <w:rPr>
          <w:rFonts w:ascii="Times New Roman" w:hAnsi="Times New Roman"/>
        </w:rPr>
        <w:t>about one mile above its junction with Fourche Maline Creek.  The site had been plowed for many years but appeared to have been unmolested by pothunters or commercial diggers.  At time of excavation it was about four feet deep, although Newkumet (1940) thought it</w:t>
      </w:r>
      <w:r w:rsidR="00B920F1">
        <w:rPr>
          <w:rFonts w:ascii="Times New Roman" w:hAnsi="Times New Roman"/>
        </w:rPr>
        <w:t xml:space="preserve"> originally</w:t>
      </w:r>
      <w:r w:rsidRPr="00643B26">
        <w:rPr>
          <w:rFonts w:ascii="Times New Roman" w:hAnsi="Times New Roman"/>
        </w:rPr>
        <w:t xml:space="preserve"> might have been twice as deep.</w:t>
      </w:r>
    </w:p>
    <w:p w14:paraId="566380F0" w14:textId="634C67B9" w:rsidR="00E74AFF" w:rsidRDefault="00BF0494" w:rsidP="00BF0494">
      <w:pPr>
        <w:rPr>
          <w:rFonts w:ascii="Times New Roman" w:hAnsi="Times New Roman"/>
        </w:rPr>
      </w:pPr>
      <w:r w:rsidRPr="00643B26">
        <w:rPr>
          <w:rFonts w:ascii="Times New Roman" w:hAnsi="Times New Roman"/>
        </w:rPr>
        <w:tab/>
      </w:r>
      <w:r w:rsidR="00DE7702">
        <w:rPr>
          <w:rFonts w:ascii="Times New Roman" w:hAnsi="Times New Roman"/>
        </w:rPr>
        <w:t>A</w:t>
      </w:r>
      <w:r w:rsidRPr="00643B26">
        <w:rPr>
          <w:rFonts w:ascii="Times New Roman" w:hAnsi="Times New Roman"/>
        </w:rPr>
        <w:t xml:space="preserve"> brief report in the </w:t>
      </w:r>
      <w:r w:rsidRPr="00643B26">
        <w:rPr>
          <w:rFonts w:ascii="Times New Roman" w:hAnsi="Times New Roman"/>
          <w:i/>
        </w:rPr>
        <w:t>Oklahoma Prehistorian</w:t>
      </w:r>
      <w:r w:rsidR="00DE7702">
        <w:rPr>
          <w:rFonts w:ascii="Times New Roman" w:hAnsi="Times New Roman"/>
        </w:rPr>
        <w:t xml:space="preserve"> (Newkumet 1940)</w:t>
      </w:r>
      <w:r w:rsidRPr="00643B26">
        <w:rPr>
          <w:rFonts w:ascii="Times New Roman" w:hAnsi="Times New Roman"/>
        </w:rPr>
        <w:t xml:space="preserve"> focused on some large bone “awls,” or hair ornaments</w:t>
      </w:r>
      <w:r w:rsidR="00233C05">
        <w:rPr>
          <w:rFonts w:ascii="Times New Roman" w:hAnsi="Times New Roman"/>
        </w:rPr>
        <w:t xml:space="preserve"> appears to have been the</w:t>
      </w:r>
      <w:r w:rsidR="00B920F1">
        <w:rPr>
          <w:rFonts w:ascii="Times New Roman" w:hAnsi="Times New Roman"/>
        </w:rPr>
        <w:t xml:space="preserve"> only</w:t>
      </w:r>
      <w:r w:rsidR="00233C05">
        <w:rPr>
          <w:rFonts w:ascii="Times New Roman" w:hAnsi="Times New Roman"/>
        </w:rPr>
        <w:t xml:space="preserve"> publication to focus on the Adams site</w:t>
      </w:r>
      <w:r w:rsidRPr="00643B26">
        <w:rPr>
          <w:rFonts w:ascii="Times New Roman" w:hAnsi="Times New Roman"/>
        </w:rPr>
        <w:t xml:space="preserve">.  </w:t>
      </w:r>
      <w:r w:rsidR="00E74AFF">
        <w:rPr>
          <w:rFonts w:ascii="Times New Roman" w:hAnsi="Times New Roman"/>
        </w:rPr>
        <w:t>The site was re-surveyed in 1976-78 as part of the “Lf5 Complex” and was recommended for further tested and excavations (Galm 1978:51).  However these excavations do not appear to have been carried out.</w:t>
      </w:r>
    </w:p>
    <w:p w14:paraId="66601D9E" w14:textId="0DED2B56" w:rsidR="00BF0494" w:rsidRDefault="00BF0494" w:rsidP="00E74AFF">
      <w:pPr>
        <w:ind w:firstLine="720"/>
        <w:rPr>
          <w:rFonts w:ascii="Times New Roman" w:hAnsi="Times New Roman"/>
        </w:rPr>
      </w:pPr>
      <w:r w:rsidRPr="00643B26">
        <w:rPr>
          <w:rFonts w:ascii="Times New Roman" w:hAnsi="Times New Roman"/>
        </w:rPr>
        <w:t xml:space="preserve">The WPA excavated 62 burials, including a mass burial with at least 11 individuals piled in a heap, face down (Figure </w:t>
      </w:r>
      <w:r w:rsidR="00891719">
        <w:rPr>
          <w:rFonts w:ascii="Times New Roman" w:hAnsi="Times New Roman"/>
        </w:rPr>
        <w:t>9</w:t>
      </w:r>
      <w:r w:rsidRPr="00643B26">
        <w:rPr>
          <w:rFonts w:ascii="Times New Roman" w:hAnsi="Times New Roman"/>
        </w:rPr>
        <w:t>).</w:t>
      </w:r>
      <w:r>
        <w:rPr>
          <w:rFonts w:ascii="Times New Roman" w:hAnsi="Times New Roman"/>
        </w:rPr>
        <w:t xml:space="preserve">  Face down burials are unusual in the </w:t>
      </w:r>
      <w:r w:rsidR="00CF609A">
        <w:rPr>
          <w:rFonts w:ascii="Times New Roman" w:hAnsi="Times New Roman"/>
        </w:rPr>
        <w:t>Wister area</w:t>
      </w:r>
      <w:r>
        <w:rPr>
          <w:rFonts w:ascii="Times New Roman" w:hAnsi="Times New Roman"/>
        </w:rPr>
        <w:t xml:space="preserve">, and suggest a burial of “other,” </w:t>
      </w:r>
      <w:r w:rsidRPr="00A00300">
        <w:rPr>
          <w:rFonts w:ascii="Times New Roman" w:hAnsi="Times New Roman"/>
        </w:rPr>
        <w:t>where the living buried dead from another group they were actively fighting</w:t>
      </w:r>
      <w:r>
        <w:rPr>
          <w:rFonts w:ascii="Times New Roman" w:hAnsi="Times New Roman"/>
        </w:rPr>
        <w:t xml:space="preserve"> (</w:t>
      </w:r>
      <w:r w:rsidRPr="00A00300">
        <w:rPr>
          <w:rFonts w:ascii="Times New Roman" w:hAnsi="Times New Roman"/>
        </w:rPr>
        <w:t>Komar 2008</w:t>
      </w:r>
      <w:r>
        <w:rPr>
          <w:rFonts w:ascii="Times New Roman" w:hAnsi="Times New Roman"/>
        </w:rPr>
        <w:t>).  “Self” burials</w:t>
      </w:r>
      <w:r w:rsidRPr="00643B26">
        <w:rPr>
          <w:rFonts w:ascii="Times New Roman" w:hAnsi="Times New Roman"/>
        </w:rPr>
        <w:t xml:space="preserve"> </w:t>
      </w:r>
      <w:r>
        <w:rPr>
          <w:rFonts w:ascii="Times New Roman" w:hAnsi="Times New Roman"/>
        </w:rPr>
        <w:t>(</w:t>
      </w:r>
      <w:r w:rsidRPr="00A00300">
        <w:rPr>
          <w:rFonts w:ascii="Times New Roman" w:hAnsi="Times New Roman"/>
        </w:rPr>
        <w:t>where the living</w:t>
      </w:r>
      <w:r>
        <w:rPr>
          <w:rFonts w:ascii="Times New Roman" w:hAnsi="Times New Roman"/>
        </w:rPr>
        <w:t xml:space="preserve"> buried dead of their own</w:t>
      </w:r>
      <w:r w:rsidRPr="00A00300">
        <w:rPr>
          <w:rFonts w:ascii="Times New Roman" w:hAnsi="Times New Roman"/>
        </w:rPr>
        <w:t xml:space="preserve"> group) </w:t>
      </w:r>
      <w:r>
        <w:rPr>
          <w:rFonts w:ascii="Times New Roman" w:hAnsi="Times New Roman"/>
        </w:rPr>
        <w:t>are</w:t>
      </w:r>
      <w:r w:rsidRPr="00A00300">
        <w:rPr>
          <w:rFonts w:ascii="Times New Roman" w:hAnsi="Times New Roman"/>
        </w:rPr>
        <w:t xml:space="preserve"> distinguished by carefully placed</w:t>
      </w:r>
      <w:r>
        <w:rPr>
          <w:rFonts w:ascii="Times New Roman" w:hAnsi="Times New Roman"/>
        </w:rPr>
        <w:t xml:space="preserve"> and spaced individuals, and not </w:t>
      </w:r>
      <w:r w:rsidRPr="00A00300">
        <w:rPr>
          <w:rFonts w:ascii="Times New Roman" w:hAnsi="Times New Roman"/>
        </w:rPr>
        <w:t>piled on top of each other</w:t>
      </w:r>
      <w:r>
        <w:rPr>
          <w:rFonts w:ascii="Times New Roman" w:hAnsi="Times New Roman"/>
        </w:rPr>
        <w:t xml:space="preserve"> (</w:t>
      </w:r>
      <w:r w:rsidRPr="00A00300">
        <w:rPr>
          <w:rFonts w:ascii="Times New Roman" w:hAnsi="Times New Roman"/>
        </w:rPr>
        <w:t>Komar 2008</w:t>
      </w:r>
      <w:r>
        <w:rPr>
          <w:rFonts w:ascii="Times New Roman" w:hAnsi="Times New Roman"/>
        </w:rPr>
        <w:t>).</w:t>
      </w:r>
      <w:r w:rsidRPr="00643B26">
        <w:rPr>
          <w:rFonts w:ascii="Times New Roman" w:hAnsi="Times New Roman"/>
        </w:rPr>
        <w:t xml:space="preserve"> </w:t>
      </w:r>
      <w:r>
        <w:rPr>
          <w:rFonts w:ascii="Times New Roman" w:hAnsi="Times New Roman"/>
        </w:rPr>
        <w:t xml:space="preserve"> </w:t>
      </w:r>
      <w:r w:rsidRPr="00643B26">
        <w:rPr>
          <w:rFonts w:ascii="Times New Roman" w:hAnsi="Times New Roman"/>
        </w:rPr>
        <w:t>T</w:t>
      </w:r>
      <w:r>
        <w:rPr>
          <w:rFonts w:ascii="Times New Roman" w:hAnsi="Times New Roman"/>
        </w:rPr>
        <w:t>he burials have not been studied</w:t>
      </w:r>
      <w:r w:rsidRPr="00643B26">
        <w:rPr>
          <w:rFonts w:ascii="Times New Roman" w:hAnsi="Times New Roman"/>
        </w:rPr>
        <w:t>, and the Adams site would make an excellent thesis or dissertation.</w:t>
      </w:r>
    </w:p>
    <w:p w14:paraId="6245BFE3" w14:textId="77777777" w:rsidR="0099705D" w:rsidRPr="00643B26" w:rsidRDefault="0099705D" w:rsidP="0099705D">
      <w:pPr>
        <w:spacing w:line="240" w:lineRule="auto"/>
        <w:ind w:firstLine="720"/>
        <w:rPr>
          <w:rFonts w:ascii="Times New Roman" w:hAnsi="Times New Roman"/>
        </w:rPr>
      </w:pPr>
    </w:p>
    <w:p w14:paraId="105D2957" w14:textId="77777777" w:rsidR="00BF0494" w:rsidRDefault="00BF0494" w:rsidP="00BF0494">
      <w:r>
        <w:rPr>
          <w:noProof/>
          <w:lang w:bidi="ar-SA"/>
        </w:rPr>
        <w:drawing>
          <wp:inline distT="0" distB="0" distL="0" distR="0" wp14:anchorId="68D33CA1" wp14:editId="0AC9ED25">
            <wp:extent cx="5166360" cy="4016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f33B6small.jpg"/>
                    <pic:cNvPicPr/>
                  </pic:nvPicPr>
                  <pic:blipFill>
                    <a:blip r:embed="rId19">
                      <a:extLst>
                        <a:ext uri="{28A0092B-C50C-407E-A947-70E740481C1C}">
                          <a14:useLocalDpi xmlns:a14="http://schemas.microsoft.com/office/drawing/2010/main" val="0"/>
                        </a:ext>
                      </a:extLst>
                    </a:blip>
                    <a:stretch>
                      <a:fillRect/>
                    </a:stretch>
                  </pic:blipFill>
                  <pic:spPr>
                    <a:xfrm>
                      <a:off x="0" y="0"/>
                      <a:ext cx="5166360" cy="4016375"/>
                    </a:xfrm>
                    <a:prstGeom prst="rect">
                      <a:avLst/>
                    </a:prstGeom>
                  </pic:spPr>
                </pic:pic>
              </a:graphicData>
            </a:graphic>
          </wp:inline>
        </w:drawing>
      </w:r>
    </w:p>
    <w:p w14:paraId="473EB99D" w14:textId="33C90442" w:rsidR="00262974" w:rsidRDefault="00BF0494" w:rsidP="00133F61">
      <w:pPr>
        <w:pStyle w:val="Caption"/>
      </w:pPr>
      <w:bookmarkStart w:id="50" w:name="_Toc261025211"/>
      <w:r>
        <w:t xml:space="preserve">Figure </w:t>
      </w:r>
      <w:fldSimple w:instr=" SEQ Figure \* ARABIC ">
        <w:r w:rsidR="00396EB3">
          <w:rPr>
            <w:noProof/>
          </w:rPr>
          <w:t>9</w:t>
        </w:r>
      </w:fldSimple>
      <w:r>
        <w:t xml:space="preserve"> Mass Burial from the Adams site</w:t>
      </w:r>
      <w:bookmarkEnd w:id="50"/>
    </w:p>
    <w:p w14:paraId="0C6A16D5" w14:textId="77777777" w:rsidR="00174A5F" w:rsidRPr="00174A5F" w:rsidRDefault="00174A5F" w:rsidP="00174A5F"/>
    <w:p w14:paraId="008AE725" w14:textId="7DE7F8BF" w:rsidR="00BF0494" w:rsidRDefault="00BF0494" w:rsidP="007F6BCD">
      <w:pPr>
        <w:pStyle w:val="Heading4"/>
      </w:pPr>
      <w:r>
        <w:t>34Lf39</w:t>
      </w:r>
      <w:r w:rsidR="00262974">
        <w:t xml:space="preserve"> </w:t>
      </w:r>
      <w:r>
        <w:t>Brewer</w:t>
      </w:r>
    </w:p>
    <w:p w14:paraId="6BD228B7" w14:textId="23347064" w:rsidR="00BF0494" w:rsidRPr="007D5A55" w:rsidRDefault="00BF0494" w:rsidP="00BF0494">
      <w:pPr>
        <w:ind w:firstLine="720"/>
        <w:rPr>
          <w:rFonts w:ascii="Times New Roman" w:hAnsi="Times New Roman"/>
        </w:rPr>
      </w:pPr>
      <w:r w:rsidRPr="007D5A55">
        <w:rPr>
          <w:rFonts w:ascii="Times New Roman" w:hAnsi="Times New Roman"/>
        </w:rPr>
        <w:t>The Brewer site was a large black “midden” located on the southern slope of a ridge almost 20 f</w:t>
      </w:r>
      <w:r>
        <w:rPr>
          <w:rFonts w:ascii="Times New Roman" w:hAnsi="Times New Roman"/>
        </w:rPr>
        <w:t>ee</w:t>
      </w:r>
      <w:r w:rsidRPr="007D5A55">
        <w:rPr>
          <w:rFonts w:ascii="Times New Roman" w:hAnsi="Times New Roman"/>
        </w:rPr>
        <w:t>t above the bed of a small creek that emptied into the Poteau River.  It lay in heavily wooded terrain that was subject to periodic overflows from the river.  At the time of excavation, the top of the ridge had a</w:t>
      </w:r>
      <w:r w:rsidR="00787D31">
        <w:rPr>
          <w:rFonts w:ascii="Times New Roman" w:hAnsi="Times New Roman"/>
        </w:rPr>
        <w:t xml:space="preserve"> large, recently abandoned coal</w:t>
      </w:r>
      <w:r w:rsidRPr="007D5A55">
        <w:rPr>
          <w:rFonts w:ascii="Times New Roman" w:hAnsi="Times New Roman"/>
        </w:rPr>
        <w:t>mine, with a generator plant of the Oklahoma Gas a</w:t>
      </w:r>
      <w:r>
        <w:rPr>
          <w:rFonts w:ascii="Times New Roman" w:hAnsi="Times New Roman"/>
        </w:rPr>
        <w:t>nd Electric Company.  The mound</w:t>
      </w:r>
      <w:r w:rsidRPr="007D5A55">
        <w:rPr>
          <w:rFonts w:ascii="Times New Roman" w:hAnsi="Times New Roman"/>
        </w:rPr>
        <w:t xml:space="preserve"> had been prospected by a professional pot hunter from Poteau who found several burials and artifacts before the land owner requested that he desist.  The mound was large but indefinite in outline, and a part of the southern portion had collapsed into the creek. </w:t>
      </w:r>
    </w:p>
    <w:p w14:paraId="7870F01C" w14:textId="77777777" w:rsidR="00BF0494" w:rsidRDefault="00BF0494" w:rsidP="00BF0494">
      <w:pPr>
        <w:ind w:firstLine="720"/>
        <w:rPr>
          <w:rFonts w:ascii="Times New Roman" w:hAnsi="Times New Roman"/>
        </w:rPr>
      </w:pPr>
      <w:r w:rsidRPr="007D5A55">
        <w:rPr>
          <w:rFonts w:ascii="Times New Roman" w:hAnsi="Times New Roman"/>
        </w:rPr>
        <w:t>The WPA excavated 132 human burials as well as 9 dog burials and 8 ash pits.</w:t>
      </w:r>
      <w:r>
        <w:rPr>
          <w:rFonts w:ascii="Times New Roman" w:hAnsi="Times New Roman"/>
        </w:rPr>
        <w:t xml:space="preserve">  Burial 116 consisted of a mass grave with at least 11 individuals.  Neither the burials nor the artifacts have been analyzed.</w:t>
      </w:r>
      <w:r w:rsidRPr="007D5A55">
        <w:rPr>
          <w:rFonts w:ascii="Times New Roman" w:hAnsi="Times New Roman"/>
        </w:rPr>
        <w:t xml:space="preserve"> </w:t>
      </w:r>
      <w:r>
        <w:rPr>
          <w:rFonts w:ascii="Times New Roman" w:hAnsi="Times New Roman"/>
        </w:rPr>
        <w:t xml:space="preserve"> </w:t>
      </w:r>
      <w:r w:rsidRPr="007D5A55">
        <w:rPr>
          <w:rFonts w:ascii="Times New Roman" w:hAnsi="Times New Roman"/>
        </w:rPr>
        <w:t>The only publication appears to be a Quarterly Report from the 4</w:t>
      </w:r>
      <w:r w:rsidRPr="007D5A55">
        <w:rPr>
          <w:rFonts w:ascii="Times New Roman" w:hAnsi="Times New Roman"/>
          <w:vertAlign w:val="superscript"/>
        </w:rPr>
        <w:t>th</w:t>
      </w:r>
      <w:r w:rsidRPr="007D5A55">
        <w:rPr>
          <w:rFonts w:ascii="Times New Roman" w:hAnsi="Times New Roman"/>
        </w:rPr>
        <w:t xml:space="preserve"> Quarter of 1941, presumably written by Newkumet.</w:t>
      </w:r>
    </w:p>
    <w:p w14:paraId="066267A0" w14:textId="77777777" w:rsidR="00DE7702" w:rsidRDefault="00DE7702" w:rsidP="007F6BCD">
      <w:pPr>
        <w:pStyle w:val="Heading4"/>
      </w:pPr>
      <w:r>
        <w:t>34Lf32 Akers</w:t>
      </w:r>
    </w:p>
    <w:p w14:paraId="082E0B44" w14:textId="35B90D73" w:rsidR="00DE7702" w:rsidRPr="004D1734" w:rsidRDefault="00DE7702" w:rsidP="00DE7702">
      <w:pPr>
        <w:rPr>
          <w:rFonts w:ascii="Times New Roman" w:hAnsi="Times New Roman"/>
        </w:rPr>
      </w:pPr>
      <w:r>
        <w:tab/>
      </w:r>
      <w:r w:rsidRPr="004D1734">
        <w:rPr>
          <w:rFonts w:ascii="Times New Roman" w:hAnsi="Times New Roman"/>
        </w:rPr>
        <w:t>The Akers site (occasionally and erroneously called Akins in some reports) is the most</w:t>
      </w:r>
      <w:r>
        <w:rPr>
          <w:rFonts w:ascii="Times New Roman" w:hAnsi="Times New Roman"/>
        </w:rPr>
        <w:t xml:space="preserve"> eastern Fourche Maline mound</w:t>
      </w:r>
      <w:r w:rsidR="00B920F1">
        <w:rPr>
          <w:rFonts w:ascii="Times New Roman" w:hAnsi="Times New Roman"/>
        </w:rPr>
        <w:t xml:space="preserve"> excavated, and was located by</w:t>
      </w:r>
      <w:r w:rsidRPr="004D1734">
        <w:rPr>
          <w:rFonts w:ascii="Times New Roman" w:hAnsi="Times New Roman"/>
        </w:rPr>
        <w:t xml:space="preserve"> the Poteau River near the junction with Fourche Maline Creek.  Excavated in 1940 by the WPA, this site is now permanently under water </w:t>
      </w:r>
      <w:r>
        <w:rPr>
          <w:rFonts w:ascii="Times New Roman" w:hAnsi="Times New Roman"/>
        </w:rPr>
        <w:t>following</w:t>
      </w:r>
      <w:r w:rsidRPr="004D1734">
        <w:rPr>
          <w:rFonts w:ascii="Times New Roman" w:hAnsi="Times New Roman"/>
        </w:rPr>
        <w:t xml:space="preserve"> flooding of Wister Reservoir.  At time of excavation, </w:t>
      </w:r>
      <w:r>
        <w:rPr>
          <w:rFonts w:ascii="Times New Roman" w:hAnsi="Times New Roman"/>
        </w:rPr>
        <w:t>the mound was large but shallow</w:t>
      </w:r>
      <w:r w:rsidRPr="004D1734">
        <w:rPr>
          <w:rFonts w:ascii="Times New Roman" w:hAnsi="Times New Roman"/>
        </w:rPr>
        <w:t xml:space="preserve"> and elliptical in shape with maximum dimension of 285 </w:t>
      </w:r>
      <w:r w:rsidR="005544F1">
        <w:rPr>
          <w:rFonts w:ascii="Times New Roman" w:hAnsi="Times New Roman"/>
        </w:rPr>
        <w:t>feet</w:t>
      </w:r>
      <w:r w:rsidRPr="004D1734">
        <w:rPr>
          <w:rFonts w:ascii="Times New Roman" w:hAnsi="Times New Roman"/>
        </w:rPr>
        <w:t xml:space="preserve"> (EW) x 140 </w:t>
      </w:r>
      <w:r w:rsidR="005544F1">
        <w:rPr>
          <w:rFonts w:ascii="Times New Roman" w:hAnsi="Times New Roman"/>
        </w:rPr>
        <w:t>feet</w:t>
      </w:r>
      <w:r w:rsidRPr="004D1734">
        <w:rPr>
          <w:rFonts w:ascii="Times New Roman" w:hAnsi="Times New Roman"/>
        </w:rPr>
        <w:t xml:space="preserve"> (NS).  The maximu</w:t>
      </w:r>
      <w:r>
        <w:rPr>
          <w:rFonts w:ascii="Times New Roman" w:hAnsi="Times New Roman"/>
        </w:rPr>
        <w:t>m thickness was only 40 inches</w:t>
      </w:r>
      <w:r w:rsidRPr="004D1734">
        <w:rPr>
          <w:rFonts w:ascii="Times New Roman" w:hAnsi="Times New Roman"/>
        </w:rPr>
        <w:t xml:space="preserve"> and consisted of “rich, black loam” resting on yellow clay subsoil that included large sandstone rocks and boulders (Newkumet 1941b).  The WPA appears to have excavated 100% of the mound, recovering over 200 individuals in the process.</w:t>
      </w:r>
      <w:r>
        <w:rPr>
          <w:rFonts w:ascii="Times New Roman" w:hAnsi="Times New Roman"/>
        </w:rPr>
        <w:t xml:space="preserve"> </w:t>
      </w:r>
    </w:p>
    <w:p w14:paraId="6972F4A3" w14:textId="629CB8F2" w:rsidR="00DE7702" w:rsidRDefault="00DE7702" w:rsidP="00DE7702">
      <w:pPr>
        <w:rPr>
          <w:rFonts w:ascii="Times New Roman" w:hAnsi="Times New Roman"/>
        </w:rPr>
      </w:pPr>
      <w:r w:rsidRPr="004D1734">
        <w:rPr>
          <w:rFonts w:ascii="Times New Roman" w:hAnsi="Times New Roman"/>
        </w:rPr>
        <w:tab/>
      </w:r>
      <w:r>
        <w:rPr>
          <w:rFonts w:ascii="Times New Roman" w:hAnsi="Times New Roman"/>
        </w:rPr>
        <w:t>This is one of the larger sites</w:t>
      </w:r>
      <w:r w:rsidRPr="004D1734">
        <w:rPr>
          <w:rFonts w:ascii="Times New Roman" w:hAnsi="Times New Roman"/>
        </w:rPr>
        <w:t xml:space="preserve"> and was completely, or nearly completely</w:t>
      </w:r>
      <w:r w:rsidR="007A3B37">
        <w:rPr>
          <w:rFonts w:ascii="Times New Roman" w:hAnsi="Times New Roman"/>
        </w:rPr>
        <w:t>,</w:t>
      </w:r>
      <w:r w:rsidRPr="004D1734">
        <w:rPr>
          <w:rFonts w:ascii="Times New Roman" w:hAnsi="Times New Roman"/>
        </w:rPr>
        <w:t xml:space="preserve"> excavated by the WPA in 1941.</w:t>
      </w:r>
      <w:r>
        <w:rPr>
          <w:rFonts w:ascii="Times New Roman" w:hAnsi="Times New Roman"/>
        </w:rPr>
        <w:t xml:space="preserve">  It is now one of the better studied of the </w:t>
      </w:r>
      <w:r w:rsidR="00CF609A">
        <w:rPr>
          <w:rFonts w:ascii="Times New Roman" w:hAnsi="Times New Roman"/>
        </w:rPr>
        <w:t>Wister area</w:t>
      </w:r>
      <w:r>
        <w:rPr>
          <w:rFonts w:ascii="Times New Roman" w:hAnsi="Times New Roman"/>
        </w:rPr>
        <w:t xml:space="preserve"> Fourche Maline sites</w:t>
      </w:r>
      <w:r w:rsidRPr="004D1734">
        <w:rPr>
          <w:rFonts w:ascii="Times New Roman" w:hAnsi="Times New Roman"/>
        </w:rPr>
        <w:t xml:space="preserve"> </w:t>
      </w:r>
      <w:r>
        <w:rPr>
          <w:rFonts w:ascii="Times New Roman" w:hAnsi="Times New Roman"/>
        </w:rPr>
        <w:t>as two recent</w:t>
      </w:r>
      <w:r w:rsidRPr="004D1734">
        <w:rPr>
          <w:rFonts w:ascii="Times New Roman" w:hAnsi="Times New Roman"/>
        </w:rPr>
        <w:t xml:space="preserve"> M.A. theses from the University of Oklahoma have been c</w:t>
      </w:r>
      <w:r>
        <w:rPr>
          <w:rFonts w:ascii="Times New Roman" w:hAnsi="Times New Roman"/>
        </w:rPr>
        <w:t>ompleted on the WPA excavations from Akers.</w:t>
      </w:r>
      <w:r w:rsidRPr="004D1734">
        <w:rPr>
          <w:rFonts w:ascii="Times New Roman" w:hAnsi="Times New Roman"/>
        </w:rPr>
        <w:t xml:space="preserve">  Rachel Fauchier (2009) examined burial asso</w:t>
      </w:r>
      <w:r>
        <w:rPr>
          <w:rFonts w:ascii="Times New Roman" w:hAnsi="Times New Roman"/>
        </w:rPr>
        <w:t xml:space="preserve">ciations and I completed a paleodemographic analysis </w:t>
      </w:r>
      <w:r w:rsidRPr="004D1734">
        <w:rPr>
          <w:rFonts w:ascii="Times New Roman" w:hAnsi="Times New Roman"/>
        </w:rPr>
        <w:t>(</w:t>
      </w:r>
      <w:r>
        <w:rPr>
          <w:rFonts w:ascii="Times New Roman" w:hAnsi="Times New Roman"/>
        </w:rPr>
        <w:t xml:space="preserve">in </w:t>
      </w:r>
      <w:r w:rsidRPr="004D1734">
        <w:rPr>
          <w:rFonts w:ascii="Times New Roman" w:hAnsi="Times New Roman"/>
        </w:rPr>
        <w:t xml:space="preserve">Rowe 2009).  Further skeletal analysis </w:t>
      </w:r>
      <w:r>
        <w:rPr>
          <w:rFonts w:ascii="Times New Roman" w:hAnsi="Times New Roman"/>
        </w:rPr>
        <w:t>was undertaken for this dissertation</w:t>
      </w:r>
      <w:r w:rsidRPr="004D1734">
        <w:rPr>
          <w:rFonts w:ascii="Times New Roman" w:hAnsi="Times New Roman"/>
        </w:rPr>
        <w:t xml:space="preserve">.  Although not reported here, lithic, faunal, and dental analyses are </w:t>
      </w:r>
      <w:r>
        <w:rPr>
          <w:rFonts w:ascii="Times New Roman" w:hAnsi="Times New Roman"/>
        </w:rPr>
        <w:t>in progress and will be reported at a later date</w:t>
      </w:r>
      <w:r w:rsidRPr="004D1734">
        <w:rPr>
          <w:rFonts w:ascii="Times New Roman" w:hAnsi="Times New Roman"/>
        </w:rPr>
        <w:t>.</w:t>
      </w:r>
    </w:p>
    <w:p w14:paraId="0EC067FF" w14:textId="5E1B129F" w:rsidR="00DE7702" w:rsidRDefault="00DE7702" w:rsidP="00174A5F">
      <w:pPr>
        <w:ind w:firstLine="720"/>
        <w:rPr>
          <w:rFonts w:ascii="Times New Roman" w:hAnsi="Times New Roman"/>
        </w:rPr>
      </w:pPr>
      <w:r>
        <w:rPr>
          <w:rFonts w:ascii="Times New Roman" w:hAnsi="Times New Roman"/>
        </w:rPr>
        <w:t xml:space="preserve">Three radiocarbon dates indicate a very long occupation at Akers.  Two dates taken from shell-tempered pottery fragments indicate calibrated radiocarbon dates of 1290 </w:t>
      </w:r>
      <w:r w:rsidR="00AE6769">
        <w:rPr>
          <w:rFonts w:ascii="Times New Roman" w:hAnsi="Times New Roman"/>
        </w:rPr>
        <w:t>and 1300 (CE)</w:t>
      </w:r>
      <w:r>
        <w:rPr>
          <w:rFonts w:ascii="Times New Roman" w:hAnsi="Times New Roman"/>
        </w:rPr>
        <w:t xml:space="preserve"> (Fauchier 2009:70).  For this study, a third sample was sent, taken from a large ash concentration, which returned a calibrated date of 2780 +/- 30 BP, or 840 BCE.  At least two more anomalies from Akers are worth mentioning.  </w:t>
      </w:r>
      <w:r w:rsidR="005544F1">
        <w:rPr>
          <w:rFonts w:ascii="Times New Roman" w:hAnsi="Times New Roman"/>
        </w:rPr>
        <w:t xml:space="preserve">First, many more adult females than adult males were buried at Akers - nearly a 1:2 male:female ratio (Rowe 2009).  </w:t>
      </w:r>
      <w:r>
        <w:rPr>
          <w:rFonts w:ascii="Times New Roman" w:hAnsi="Times New Roman"/>
        </w:rPr>
        <w:t>This is opposite ratio of what was found at nearby Mackey.  Secondly, the paleopathology of the subadults from Akers revealed unexpectedly high rates of cribra orbitalia, moderate rates of periostitis, and low rates of porotic hyperostosis (Rowe 2009), which were interpreted as evidence for scurvy.</w:t>
      </w:r>
    </w:p>
    <w:p w14:paraId="1FB862AD" w14:textId="6766192B" w:rsidR="00BF0494" w:rsidRDefault="00CF609A" w:rsidP="009C5432">
      <w:pPr>
        <w:pStyle w:val="Heading3"/>
      </w:pPr>
      <w:bookmarkStart w:id="51" w:name="_Toc261025862"/>
      <w:r>
        <w:t>Wister area</w:t>
      </w:r>
      <w:r w:rsidR="00BF0494">
        <w:t xml:space="preserve"> Fourche Maline Sites not in the study</w:t>
      </w:r>
      <w:bookmarkEnd w:id="51"/>
    </w:p>
    <w:p w14:paraId="7FAE4E1A" w14:textId="08C6D3AB" w:rsidR="00BF0494" w:rsidRDefault="00BF0494" w:rsidP="00BF0494">
      <w:pPr>
        <w:rPr>
          <w:rFonts w:ascii="Times New Roman" w:hAnsi="Times New Roman"/>
        </w:rPr>
      </w:pPr>
      <w:r>
        <w:rPr>
          <w:rFonts w:ascii="Times New Roman" w:hAnsi="Times New Roman"/>
        </w:rPr>
        <w:tab/>
        <w:t xml:space="preserve">The WPA excavated several more </w:t>
      </w:r>
      <w:r w:rsidR="00CF609A">
        <w:rPr>
          <w:rFonts w:ascii="Times New Roman" w:hAnsi="Times New Roman"/>
        </w:rPr>
        <w:t>Wister area</w:t>
      </w:r>
      <w:r>
        <w:rPr>
          <w:rFonts w:ascii="Times New Roman" w:hAnsi="Times New Roman"/>
        </w:rPr>
        <w:t xml:space="preserve"> Fourche Maline sites </w:t>
      </w:r>
      <w:r w:rsidR="00787D31">
        <w:rPr>
          <w:rFonts w:ascii="Times New Roman" w:hAnsi="Times New Roman"/>
        </w:rPr>
        <w:t xml:space="preserve">with burials that </w:t>
      </w:r>
      <w:r>
        <w:rPr>
          <w:rFonts w:ascii="Times New Roman" w:hAnsi="Times New Roman"/>
        </w:rPr>
        <w:t>were not in</w:t>
      </w:r>
      <w:r w:rsidR="00D92FF7">
        <w:rPr>
          <w:rFonts w:ascii="Times New Roman" w:hAnsi="Times New Roman"/>
        </w:rPr>
        <w:t>cluded in this study (Table 3</w:t>
      </w:r>
      <w:r>
        <w:rPr>
          <w:rFonts w:ascii="Times New Roman" w:hAnsi="Times New Roman"/>
        </w:rPr>
        <w:t>).  Although none of these sites have published analyses or summaries completed, that alone was not enough to disqualify them from this study.</w:t>
      </w:r>
    </w:p>
    <w:p w14:paraId="5CF731AE" w14:textId="77777777" w:rsidR="00BF0494" w:rsidRDefault="00BF0494" w:rsidP="00BF0494">
      <w:pPr>
        <w:ind w:firstLine="720"/>
        <w:rPr>
          <w:rFonts w:ascii="Times New Roman" w:hAnsi="Times New Roman"/>
        </w:rPr>
      </w:pPr>
      <w:r>
        <w:rPr>
          <w:rFonts w:ascii="Times New Roman" w:hAnsi="Times New Roman"/>
        </w:rPr>
        <w:t>Helfin (34Lf14), Connor (34Lf21), and Smith (34Lf23) were lacking photographic documentation on most of the burials, which meant they could not be included in the archival study of group burials (see Chapter 5).  Peck (34Lf21), Williams II (34Lf21), and Monroe I (34Lf26) had 15 or fewer excavated burials and thus were not included.</w:t>
      </w:r>
    </w:p>
    <w:p w14:paraId="1239D254" w14:textId="419E0444" w:rsidR="00BF0494" w:rsidRDefault="00BF0494" w:rsidP="00133F61">
      <w:pPr>
        <w:pStyle w:val="Caption"/>
      </w:pPr>
      <w:bookmarkStart w:id="52" w:name="_Toc257898729"/>
      <w:bookmarkStart w:id="53" w:name="_Toc261025231"/>
      <w:r>
        <w:t xml:space="preserve">Table </w:t>
      </w:r>
      <w:fldSimple w:instr=" SEQ Table \* ARABIC ">
        <w:r w:rsidR="00396EB3">
          <w:rPr>
            <w:noProof/>
          </w:rPr>
          <w:t>3</w:t>
        </w:r>
      </w:fldSimple>
      <w:r>
        <w:t xml:space="preserve"> </w:t>
      </w:r>
      <w:r w:rsidR="00CF609A">
        <w:t>Wister area</w:t>
      </w:r>
      <w:r>
        <w:t xml:space="preserve"> Fourche Maline sites not included in study</w:t>
      </w:r>
      <w:bookmarkEnd w:id="52"/>
      <w:bookmarkEnd w:id="53"/>
    </w:p>
    <w:p w14:paraId="4F46AC7E" w14:textId="77777777" w:rsidR="00BF0494" w:rsidRPr="00DD5809" w:rsidRDefault="00BF0494" w:rsidP="00BF0494">
      <w:pPr>
        <w:spacing w:line="240" w:lineRule="auto"/>
      </w:pPr>
    </w:p>
    <w:tbl>
      <w:tblPr>
        <w:tblStyle w:val="TableGrid"/>
        <w:tblW w:w="6879" w:type="dxa"/>
        <w:jc w:val="center"/>
        <w:tblInd w:w="-663" w:type="dxa"/>
        <w:tblLayout w:type="fixed"/>
        <w:tblLook w:val="04A0" w:firstRow="1" w:lastRow="0" w:firstColumn="1" w:lastColumn="0" w:noHBand="0" w:noVBand="1"/>
      </w:tblPr>
      <w:tblGrid>
        <w:gridCol w:w="1440"/>
        <w:gridCol w:w="489"/>
        <w:gridCol w:w="630"/>
        <w:gridCol w:w="630"/>
        <w:gridCol w:w="1350"/>
        <w:gridCol w:w="1260"/>
        <w:gridCol w:w="1080"/>
      </w:tblGrid>
      <w:tr w:rsidR="00D92FF7" w:rsidRPr="00F02822" w14:paraId="5D8B892D" w14:textId="77777777" w:rsidTr="00D92FF7">
        <w:trPr>
          <w:jc w:val="center"/>
        </w:trPr>
        <w:tc>
          <w:tcPr>
            <w:tcW w:w="1440" w:type="dxa"/>
          </w:tcPr>
          <w:p w14:paraId="65543EA7" w14:textId="77777777" w:rsidR="00BF0494" w:rsidRPr="00F02822" w:rsidRDefault="00BF0494" w:rsidP="008E2757">
            <w:pPr>
              <w:spacing w:line="240" w:lineRule="auto"/>
              <w:jc w:val="center"/>
              <w:rPr>
                <w:b/>
              </w:rPr>
            </w:pPr>
            <w:r w:rsidRPr="00F02822">
              <w:rPr>
                <w:b/>
              </w:rPr>
              <w:t>WPA</w:t>
            </w:r>
          </w:p>
          <w:p w14:paraId="6BF4878C" w14:textId="77777777" w:rsidR="00BF0494" w:rsidRPr="00F02822" w:rsidRDefault="00BF0494" w:rsidP="008E2757">
            <w:pPr>
              <w:spacing w:line="240" w:lineRule="auto"/>
              <w:jc w:val="center"/>
              <w:rPr>
                <w:b/>
              </w:rPr>
            </w:pPr>
            <w:r w:rsidRPr="00F02822">
              <w:rPr>
                <w:b/>
              </w:rPr>
              <w:t>Designation</w:t>
            </w:r>
          </w:p>
        </w:tc>
        <w:tc>
          <w:tcPr>
            <w:tcW w:w="489" w:type="dxa"/>
          </w:tcPr>
          <w:p w14:paraId="1F0101DE" w14:textId="77777777" w:rsidR="00BF0494" w:rsidRPr="00F02822" w:rsidRDefault="00BF0494" w:rsidP="008E2757">
            <w:pPr>
              <w:spacing w:line="240" w:lineRule="auto"/>
              <w:jc w:val="center"/>
              <w:rPr>
                <w:b/>
              </w:rPr>
            </w:pPr>
            <w:r w:rsidRPr="00F02822">
              <w:rPr>
                <w:b/>
              </w:rPr>
              <w:t>34</w:t>
            </w:r>
          </w:p>
        </w:tc>
        <w:tc>
          <w:tcPr>
            <w:tcW w:w="630" w:type="dxa"/>
          </w:tcPr>
          <w:p w14:paraId="04B16CCE" w14:textId="77777777" w:rsidR="00BF0494" w:rsidRPr="00F02822" w:rsidRDefault="00BF0494" w:rsidP="008E2757">
            <w:pPr>
              <w:spacing w:line="240" w:lineRule="auto"/>
              <w:jc w:val="center"/>
              <w:rPr>
                <w:b/>
              </w:rPr>
            </w:pPr>
            <w:r w:rsidRPr="00F02822">
              <w:rPr>
                <w:b/>
              </w:rPr>
              <w:t>Co.</w:t>
            </w:r>
          </w:p>
        </w:tc>
        <w:tc>
          <w:tcPr>
            <w:tcW w:w="630" w:type="dxa"/>
          </w:tcPr>
          <w:p w14:paraId="25A7D56F" w14:textId="77777777" w:rsidR="00BF0494" w:rsidRPr="00F02822" w:rsidRDefault="00BF0494" w:rsidP="008E2757">
            <w:pPr>
              <w:spacing w:line="240" w:lineRule="auto"/>
              <w:jc w:val="center"/>
              <w:rPr>
                <w:b/>
              </w:rPr>
            </w:pPr>
            <w:r w:rsidRPr="00F02822">
              <w:rPr>
                <w:b/>
              </w:rPr>
              <w:t>Site</w:t>
            </w:r>
          </w:p>
          <w:p w14:paraId="32B3B873" w14:textId="77777777" w:rsidR="00BF0494" w:rsidRPr="00F02822" w:rsidRDefault="00BF0494" w:rsidP="008E2757">
            <w:pPr>
              <w:spacing w:line="240" w:lineRule="auto"/>
              <w:jc w:val="center"/>
              <w:rPr>
                <w:b/>
              </w:rPr>
            </w:pPr>
            <w:r w:rsidRPr="00F02822">
              <w:rPr>
                <w:b/>
              </w:rPr>
              <w:t>#</w:t>
            </w:r>
          </w:p>
        </w:tc>
        <w:tc>
          <w:tcPr>
            <w:tcW w:w="1350" w:type="dxa"/>
          </w:tcPr>
          <w:p w14:paraId="33B7E54D" w14:textId="77777777" w:rsidR="00BF0494" w:rsidRPr="00F02822" w:rsidRDefault="00BF0494" w:rsidP="008E2757">
            <w:pPr>
              <w:spacing w:line="240" w:lineRule="auto"/>
              <w:jc w:val="center"/>
              <w:rPr>
                <w:b/>
              </w:rPr>
            </w:pPr>
            <w:r w:rsidRPr="00F02822">
              <w:rPr>
                <w:b/>
              </w:rPr>
              <w:t>Site Name</w:t>
            </w:r>
          </w:p>
        </w:tc>
        <w:tc>
          <w:tcPr>
            <w:tcW w:w="1260" w:type="dxa"/>
          </w:tcPr>
          <w:p w14:paraId="30E4866D" w14:textId="77777777" w:rsidR="00BF0494" w:rsidRPr="00F02822" w:rsidRDefault="00BF0494" w:rsidP="008E2757">
            <w:pPr>
              <w:spacing w:line="240" w:lineRule="auto"/>
              <w:jc w:val="center"/>
              <w:rPr>
                <w:b/>
              </w:rPr>
            </w:pPr>
            <w:r w:rsidRPr="00F02822">
              <w:rPr>
                <w:b/>
              </w:rPr>
              <w:t>Burials Excavated</w:t>
            </w:r>
          </w:p>
        </w:tc>
        <w:tc>
          <w:tcPr>
            <w:tcW w:w="1080" w:type="dxa"/>
          </w:tcPr>
          <w:p w14:paraId="4A05DA11" w14:textId="77777777" w:rsidR="00BF0494" w:rsidRPr="00F02822" w:rsidRDefault="00BF0494" w:rsidP="008E2757">
            <w:pPr>
              <w:spacing w:line="240" w:lineRule="auto"/>
            </w:pPr>
            <w:r w:rsidRPr="00F02822">
              <w:t>Excavator</w:t>
            </w:r>
          </w:p>
        </w:tc>
      </w:tr>
      <w:tr w:rsidR="00D92FF7" w:rsidRPr="00F02822" w14:paraId="08A302F9" w14:textId="77777777" w:rsidTr="00D92FF7">
        <w:trPr>
          <w:jc w:val="center"/>
        </w:trPr>
        <w:tc>
          <w:tcPr>
            <w:tcW w:w="1440" w:type="dxa"/>
          </w:tcPr>
          <w:p w14:paraId="4D1A7CBB" w14:textId="77777777" w:rsidR="00BF0494" w:rsidRPr="00F02822" w:rsidRDefault="00BF0494" w:rsidP="008E2757">
            <w:pPr>
              <w:spacing w:line="240" w:lineRule="auto"/>
            </w:pPr>
            <w:r>
              <w:t>He I</w:t>
            </w:r>
          </w:p>
        </w:tc>
        <w:tc>
          <w:tcPr>
            <w:tcW w:w="489" w:type="dxa"/>
          </w:tcPr>
          <w:p w14:paraId="0C2FF5AB" w14:textId="77777777" w:rsidR="00BF0494" w:rsidRPr="00F02822" w:rsidRDefault="00BF0494" w:rsidP="008E2757">
            <w:pPr>
              <w:spacing w:line="240" w:lineRule="auto"/>
              <w:ind w:left="-281" w:firstLine="281"/>
            </w:pPr>
            <w:r w:rsidRPr="00F02822">
              <w:t>34</w:t>
            </w:r>
          </w:p>
        </w:tc>
        <w:tc>
          <w:tcPr>
            <w:tcW w:w="630" w:type="dxa"/>
          </w:tcPr>
          <w:p w14:paraId="26F04B88" w14:textId="77777777" w:rsidR="00BF0494" w:rsidRPr="00F02822" w:rsidRDefault="00BF0494" w:rsidP="008E2757">
            <w:pPr>
              <w:spacing w:line="240" w:lineRule="auto"/>
            </w:pPr>
            <w:r w:rsidRPr="00F02822">
              <w:t>Lf</w:t>
            </w:r>
          </w:p>
        </w:tc>
        <w:tc>
          <w:tcPr>
            <w:tcW w:w="630" w:type="dxa"/>
          </w:tcPr>
          <w:p w14:paraId="6B8E72E6" w14:textId="77777777" w:rsidR="00BF0494" w:rsidRPr="00F02822" w:rsidRDefault="00BF0494" w:rsidP="008E2757">
            <w:pPr>
              <w:spacing w:line="240" w:lineRule="auto"/>
            </w:pPr>
            <w:r w:rsidRPr="00F02822">
              <w:t>14</w:t>
            </w:r>
          </w:p>
        </w:tc>
        <w:tc>
          <w:tcPr>
            <w:tcW w:w="1350" w:type="dxa"/>
          </w:tcPr>
          <w:p w14:paraId="52DAE13B" w14:textId="77777777" w:rsidR="00BF0494" w:rsidRPr="00F02822" w:rsidRDefault="00BF0494" w:rsidP="008E2757">
            <w:pPr>
              <w:spacing w:line="240" w:lineRule="auto"/>
            </w:pPr>
            <w:r w:rsidRPr="00F02822">
              <w:t>Heflin</w:t>
            </w:r>
          </w:p>
        </w:tc>
        <w:tc>
          <w:tcPr>
            <w:tcW w:w="1260" w:type="dxa"/>
          </w:tcPr>
          <w:p w14:paraId="31FF820E" w14:textId="77777777" w:rsidR="00BF0494" w:rsidRPr="00F02822" w:rsidRDefault="00BF0494" w:rsidP="008E2757">
            <w:pPr>
              <w:spacing w:line="240" w:lineRule="auto"/>
              <w:jc w:val="right"/>
            </w:pPr>
            <w:r>
              <w:t>44</w:t>
            </w:r>
          </w:p>
        </w:tc>
        <w:tc>
          <w:tcPr>
            <w:tcW w:w="1080" w:type="dxa"/>
          </w:tcPr>
          <w:p w14:paraId="322D22F6" w14:textId="77777777" w:rsidR="00BF0494" w:rsidRPr="00F02822" w:rsidRDefault="00BF0494" w:rsidP="008E2757">
            <w:pPr>
              <w:spacing w:line="240" w:lineRule="auto"/>
            </w:pPr>
            <w:r>
              <w:t>WPA</w:t>
            </w:r>
          </w:p>
        </w:tc>
      </w:tr>
      <w:tr w:rsidR="00D92FF7" w:rsidRPr="00F02822" w14:paraId="0CFE0414" w14:textId="77777777" w:rsidTr="00D92FF7">
        <w:trPr>
          <w:jc w:val="center"/>
        </w:trPr>
        <w:tc>
          <w:tcPr>
            <w:tcW w:w="1440" w:type="dxa"/>
          </w:tcPr>
          <w:p w14:paraId="70B5C87F" w14:textId="77777777" w:rsidR="00BF0494" w:rsidRPr="00F02822" w:rsidRDefault="00BF0494" w:rsidP="008E2757">
            <w:pPr>
              <w:spacing w:line="240" w:lineRule="auto"/>
            </w:pPr>
            <w:r>
              <w:t>Go I</w:t>
            </w:r>
          </w:p>
        </w:tc>
        <w:tc>
          <w:tcPr>
            <w:tcW w:w="489" w:type="dxa"/>
          </w:tcPr>
          <w:p w14:paraId="08D99944" w14:textId="77777777" w:rsidR="00BF0494" w:rsidRPr="00F02822" w:rsidRDefault="00BF0494" w:rsidP="008E2757">
            <w:pPr>
              <w:spacing w:line="240" w:lineRule="auto"/>
            </w:pPr>
            <w:r w:rsidRPr="00F02822">
              <w:t>34</w:t>
            </w:r>
          </w:p>
        </w:tc>
        <w:tc>
          <w:tcPr>
            <w:tcW w:w="630" w:type="dxa"/>
          </w:tcPr>
          <w:p w14:paraId="1ED97330" w14:textId="77777777" w:rsidR="00BF0494" w:rsidRPr="00F02822" w:rsidRDefault="00BF0494" w:rsidP="008E2757">
            <w:pPr>
              <w:spacing w:line="240" w:lineRule="auto"/>
            </w:pPr>
            <w:r w:rsidRPr="00F02822">
              <w:t>Lf</w:t>
            </w:r>
          </w:p>
        </w:tc>
        <w:tc>
          <w:tcPr>
            <w:tcW w:w="630" w:type="dxa"/>
          </w:tcPr>
          <w:p w14:paraId="1724B5BB" w14:textId="77777777" w:rsidR="00BF0494" w:rsidRPr="00F02822" w:rsidRDefault="00BF0494" w:rsidP="008E2757">
            <w:pPr>
              <w:spacing w:line="240" w:lineRule="auto"/>
            </w:pPr>
            <w:r w:rsidRPr="00F02822">
              <w:t>21</w:t>
            </w:r>
          </w:p>
        </w:tc>
        <w:tc>
          <w:tcPr>
            <w:tcW w:w="1350" w:type="dxa"/>
          </w:tcPr>
          <w:p w14:paraId="765C90BC" w14:textId="77777777" w:rsidR="00BF0494" w:rsidRPr="00F02822" w:rsidRDefault="00BF0494" w:rsidP="008E2757">
            <w:pPr>
              <w:spacing w:line="240" w:lineRule="auto"/>
            </w:pPr>
            <w:r w:rsidRPr="00F02822">
              <w:t>Conner</w:t>
            </w:r>
          </w:p>
        </w:tc>
        <w:tc>
          <w:tcPr>
            <w:tcW w:w="1260" w:type="dxa"/>
          </w:tcPr>
          <w:p w14:paraId="58297947" w14:textId="77777777" w:rsidR="00BF0494" w:rsidRPr="00F02822" w:rsidRDefault="00BF0494" w:rsidP="008E2757">
            <w:pPr>
              <w:spacing w:line="240" w:lineRule="auto"/>
              <w:jc w:val="right"/>
            </w:pPr>
            <w:r>
              <w:t>35</w:t>
            </w:r>
          </w:p>
        </w:tc>
        <w:tc>
          <w:tcPr>
            <w:tcW w:w="1080" w:type="dxa"/>
          </w:tcPr>
          <w:p w14:paraId="4A1E71BC" w14:textId="77777777" w:rsidR="00BF0494" w:rsidRPr="00F02822" w:rsidRDefault="00BF0494" w:rsidP="008E2757">
            <w:pPr>
              <w:spacing w:line="240" w:lineRule="auto"/>
            </w:pPr>
            <w:r>
              <w:t>WPA</w:t>
            </w:r>
          </w:p>
        </w:tc>
      </w:tr>
      <w:tr w:rsidR="00D92FF7" w:rsidRPr="00F02822" w14:paraId="2062933A" w14:textId="77777777" w:rsidTr="00D92FF7">
        <w:trPr>
          <w:jc w:val="center"/>
        </w:trPr>
        <w:tc>
          <w:tcPr>
            <w:tcW w:w="1440" w:type="dxa"/>
          </w:tcPr>
          <w:p w14:paraId="07EF3163" w14:textId="77777777" w:rsidR="00BF0494" w:rsidRPr="00F02822" w:rsidRDefault="00BF0494" w:rsidP="008E2757">
            <w:pPr>
              <w:spacing w:line="240" w:lineRule="auto"/>
            </w:pPr>
            <w:r>
              <w:t>Sm I</w:t>
            </w:r>
          </w:p>
        </w:tc>
        <w:tc>
          <w:tcPr>
            <w:tcW w:w="489" w:type="dxa"/>
          </w:tcPr>
          <w:p w14:paraId="7E464654" w14:textId="77777777" w:rsidR="00BF0494" w:rsidRPr="00F02822" w:rsidRDefault="00BF0494" w:rsidP="008E2757">
            <w:pPr>
              <w:spacing w:line="240" w:lineRule="auto"/>
            </w:pPr>
            <w:r w:rsidRPr="00F02822">
              <w:t>34</w:t>
            </w:r>
          </w:p>
        </w:tc>
        <w:tc>
          <w:tcPr>
            <w:tcW w:w="630" w:type="dxa"/>
          </w:tcPr>
          <w:p w14:paraId="6904FA87" w14:textId="77777777" w:rsidR="00BF0494" w:rsidRPr="00F02822" w:rsidRDefault="00BF0494" w:rsidP="008E2757">
            <w:pPr>
              <w:spacing w:line="240" w:lineRule="auto"/>
            </w:pPr>
            <w:r w:rsidRPr="00F02822">
              <w:t>Lf</w:t>
            </w:r>
          </w:p>
        </w:tc>
        <w:tc>
          <w:tcPr>
            <w:tcW w:w="630" w:type="dxa"/>
          </w:tcPr>
          <w:p w14:paraId="7F0BEA2D" w14:textId="77777777" w:rsidR="00BF0494" w:rsidRPr="00F02822" w:rsidRDefault="00BF0494" w:rsidP="008E2757">
            <w:pPr>
              <w:spacing w:line="240" w:lineRule="auto"/>
            </w:pPr>
            <w:r w:rsidRPr="00F02822">
              <w:t>23</w:t>
            </w:r>
          </w:p>
        </w:tc>
        <w:tc>
          <w:tcPr>
            <w:tcW w:w="1350" w:type="dxa"/>
          </w:tcPr>
          <w:p w14:paraId="0723B816" w14:textId="77777777" w:rsidR="00BF0494" w:rsidRPr="00F02822" w:rsidRDefault="00BF0494" w:rsidP="008E2757">
            <w:pPr>
              <w:spacing w:line="240" w:lineRule="auto"/>
            </w:pPr>
            <w:r w:rsidRPr="00F02822">
              <w:t>Smith</w:t>
            </w:r>
          </w:p>
        </w:tc>
        <w:tc>
          <w:tcPr>
            <w:tcW w:w="1260" w:type="dxa"/>
          </w:tcPr>
          <w:p w14:paraId="0059E1AA" w14:textId="77777777" w:rsidR="00BF0494" w:rsidRPr="00F02822" w:rsidRDefault="00BF0494" w:rsidP="008E2757">
            <w:pPr>
              <w:spacing w:line="240" w:lineRule="auto"/>
              <w:jc w:val="right"/>
            </w:pPr>
            <w:r>
              <w:t>28</w:t>
            </w:r>
          </w:p>
        </w:tc>
        <w:tc>
          <w:tcPr>
            <w:tcW w:w="1080" w:type="dxa"/>
          </w:tcPr>
          <w:p w14:paraId="1332D6AE" w14:textId="77777777" w:rsidR="00BF0494" w:rsidRPr="00F02822" w:rsidRDefault="00BF0494" w:rsidP="008E2757">
            <w:pPr>
              <w:spacing w:line="240" w:lineRule="auto"/>
            </w:pPr>
            <w:r>
              <w:t>WPA</w:t>
            </w:r>
          </w:p>
        </w:tc>
      </w:tr>
      <w:tr w:rsidR="00D92FF7" w:rsidRPr="00F02822" w14:paraId="503C36C3" w14:textId="77777777" w:rsidTr="00D92FF7">
        <w:trPr>
          <w:jc w:val="center"/>
        </w:trPr>
        <w:tc>
          <w:tcPr>
            <w:tcW w:w="1440" w:type="dxa"/>
          </w:tcPr>
          <w:p w14:paraId="00B6DAE4" w14:textId="77777777" w:rsidR="00BF0494" w:rsidRPr="00F02822" w:rsidRDefault="00BF0494" w:rsidP="008E2757">
            <w:pPr>
              <w:spacing w:line="240" w:lineRule="auto"/>
            </w:pPr>
            <w:r>
              <w:t>Pk I</w:t>
            </w:r>
          </w:p>
        </w:tc>
        <w:tc>
          <w:tcPr>
            <w:tcW w:w="489" w:type="dxa"/>
          </w:tcPr>
          <w:p w14:paraId="01F81913" w14:textId="77777777" w:rsidR="00BF0494" w:rsidRPr="00F02822" w:rsidRDefault="00BF0494" w:rsidP="008E2757">
            <w:pPr>
              <w:spacing w:line="240" w:lineRule="auto"/>
            </w:pPr>
            <w:r w:rsidRPr="00F02822">
              <w:t>34</w:t>
            </w:r>
          </w:p>
        </w:tc>
        <w:tc>
          <w:tcPr>
            <w:tcW w:w="630" w:type="dxa"/>
          </w:tcPr>
          <w:p w14:paraId="25E6A2E1" w14:textId="77777777" w:rsidR="00BF0494" w:rsidRPr="00F02822" w:rsidRDefault="00BF0494" w:rsidP="008E2757">
            <w:pPr>
              <w:spacing w:line="240" w:lineRule="auto"/>
            </w:pPr>
            <w:r w:rsidRPr="00F02822">
              <w:t>Lf</w:t>
            </w:r>
          </w:p>
        </w:tc>
        <w:tc>
          <w:tcPr>
            <w:tcW w:w="630" w:type="dxa"/>
          </w:tcPr>
          <w:p w14:paraId="1C0360D3" w14:textId="77777777" w:rsidR="00BF0494" w:rsidRPr="00F02822" w:rsidRDefault="00BF0494" w:rsidP="008E2757">
            <w:pPr>
              <w:spacing w:line="240" w:lineRule="auto"/>
            </w:pPr>
            <w:r w:rsidRPr="00F02822">
              <w:t>22</w:t>
            </w:r>
          </w:p>
        </w:tc>
        <w:tc>
          <w:tcPr>
            <w:tcW w:w="1350" w:type="dxa"/>
          </w:tcPr>
          <w:p w14:paraId="48A649FE" w14:textId="77777777" w:rsidR="00BF0494" w:rsidRPr="00F02822" w:rsidRDefault="00BF0494" w:rsidP="008E2757">
            <w:pPr>
              <w:spacing w:line="240" w:lineRule="auto"/>
            </w:pPr>
            <w:r w:rsidRPr="00F02822">
              <w:t>Peck</w:t>
            </w:r>
          </w:p>
        </w:tc>
        <w:tc>
          <w:tcPr>
            <w:tcW w:w="1260" w:type="dxa"/>
          </w:tcPr>
          <w:p w14:paraId="2E717479" w14:textId="77777777" w:rsidR="00BF0494" w:rsidRPr="00F02822" w:rsidRDefault="00BF0494" w:rsidP="008E2757">
            <w:pPr>
              <w:spacing w:line="240" w:lineRule="auto"/>
              <w:jc w:val="right"/>
            </w:pPr>
            <w:r>
              <w:t>8</w:t>
            </w:r>
          </w:p>
        </w:tc>
        <w:tc>
          <w:tcPr>
            <w:tcW w:w="1080" w:type="dxa"/>
          </w:tcPr>
          <w:p w14:paraId="518E03FF" w14:textId="77777777" w:rsidR="00BF0494" w:rsidRPr="00F02822" w:rsidRDefault="00BF0494" w:rsidP="008E2757">
            <w:pPr>
              <w:spacing w:line="240" w:lineRule="auto"/>
            </w:pPr>
            <w:r>
              <w:t>WPA</w:t>
            </w:r>
          </w:p>
        </w:tc>
      </w:tr>
      <w:tr w:rsidR="00D92FF7" w:rsidRPr="00F02822" w14:paraId="0E9FA6E9" w14:textId="77777777" w:rsidTr="00D92FF7">
        <w:trPr>
          <w:jc w:val="center"/>
        </w:trPr>
        <w:tc>
          <w:tcPr>
            <w:tcW w:w="1440" w:type="dxa"/>
          </w:tcPr>
          <w:p w14:paraId="310DAA9C" w14:textId="77777777" w:rsidR="00BF0494" w:rsidRPr="00F02822" w:rsidRDefault="00BF0494" w:rsidP="008E2757">
            <w:pPr>
              <w:spacing w:line="240" w:lineRule="auto"/>
            </w:pPr>
            <w:r w:rsidRPr="00F02822">
              <w:t>Wi II</w:t>
            </w:r>
          </w:p>
        </w:tc>
        <w:tc>
          <w:tcPr>
            <w:tcW w:w="489" w:type="dxa"/>
          </w:tcPr>
          <w:p w14:paraId="7456FF5B" w14:textId="77777777" w:rsidR="00BF0494" w:rsidRPr="00F02822" w:rsidRDefault="00BF0494" w:rsidP="008E2757">
            <w:pPr>
              <w:spacing w:line="240" w:lineRule="auto"/>
            </w:pPr>
            <w:r w:rsidRPr="00F02822">
              <w:t>34</w:t>
            </w:r>
          </w:p>
        </w:tc>
        <w:tc>
          <w:tcPr>
            <w:tcW w:w="630" w:type="dxa"/>
          </w:tcPr>
          <w:p w14:paraId="488F3A59" w14:textId="77777777" w:rsidR="00BF0494" w:rsidRPr="00F02822" w:rsidRDefault="00BF0494" w:rsidP="008E2757">
            <w:pPr>
              <w:spacing w:line="240" w:lineRule="auto"/>
            </w:pPr>
            <w:r w:rsidRPr="00F02822">
              <w:t>Lf</w:t>
            </w:r>
          </w:p>
        </w:tc>
        <w:tc>
          <w:tcPr>
            <w:tcW w:w="630" w:type="dxa"/>
          </w:tcPr>
          <w:p w14:paraId="39BE3E93" w14:textId="77777777" w:rsidR="00BF0494" w:rsidRPr="00F02822" w:rsidRDefault="00BF0494" w:rsidP="008E2757">
            <w:pPr>
              <w:spacing w:line="240" w:lineRule="auto"/>
            </w:pPr>
            <w:r w:rsidRPr="00F02822">
              <w:t>25</w:t>
            </w:r>
          </w:p>
        </w:tc>
        <w:tc>
          <w:tcPr>
            <w:tcW w:w="1350" w:type="dxa"/>
          </w:tcPr>
          <w:p w14:paraId="527369DD" w14:textId="77777777" w:rsidR="00BF0494" w:rsidRPr="00F02822" w:rsidRDefault="00BF0494" w:rsidP="008E2757">
            <w:pPr>
              <w:spacing w:line="240" w:lineRule="auto"/>
            </w:pPr>
            <w:r w:rsidRPr="00F02822">
              <w:t>Williams II</w:t>
            </w:r>
          </w:p>
        </w:tc>
        <w:tc>
          <w:tcPr>
            <w:tcW w:w="1260" w:type="dxa"/>
          </w:tcPr>
          <w:p w14:paraId="30B122AC" w14:textId="77777777" w:rsidR="00BF0494" w:rsidRPr="00F02822" w:rsidRDefault="00BF0494" w:rsidP="008E2757">
            <w:pPr>
              <w:spacing w:line="240" w:lineRule="auto"/>
              <w:jc w:val="right"/>
            </w:pPr>
            <w:r w:rsidRPr="00F02822">
              <w:t>15</w:t>
            </w:r>
          </w:p>
        </w:tc>
        <w:tc>
          <w:tcPr>
            <w:tcW w:w="1080" w:type="dxa"/>
          </w:tcPr>
          <w:p w14:paraId="168BDCBB" w14:textId="77777777" w:rsidR="00BF0494" w:rsidRPr="00F02822" w:rsidRDefault="00BF0494" w:rsidP="008E2757">
            <w:pPr>
              <w:spacing w:line="240" w:lineRule="auto"/>
            </w:pPr>
            <w:r w:rsidRPr="00F02822">
              <w:t>WPA</w:t>
            </w:r>
          </w:p>
        </w:tc>
      </w:tr>
      <w:tr w:rsidR="00D92FF7" w:rsidRPr="00F02822" w14:paraId="73C5576A" w14:textId="77777777" w:rsidTr="00D92FF7">
        <w:trPr>
          <w:jc w:val="center"/>
        </w:trPr>
        <w:tc>
          <w:tcPr>
            <w:tcW w:w="1440" w:type="dxa"/>
          </w:tcPr>
          <w:p w14:paraId="1DD2FC3B" w14:textId="77777777" w:rsidR="00BF0494" w:rsidRPr="00F02822" w:rsidRDefault="00BF0494" w:rsidP="008E2757">
            <w:pPr>
              <w:spacing w:line="240" w:lineRule="auto"/>
            </w:pPr>
            <w:r>
              <w:t>Mn I</w:t>
            </w:r>
          </w:p>
        </w:tc>
        <w:tc>
          <w:tcPr>
            <w:tcW w:w="489" w:type="dxa"/>
          </w:tcPr>
          <w:p w14:paraId="42233721" w14:textId="77777777" w:rsidR="00BF0494" w:rsidRPr="00F02822" w:rsidRDefault="00BF0494" w:rsidP="008E2757">
            <w:pPr>
              <w:spacing w:line="240" w:lineRule="auto"/>
            </w:pPr>
            <w:r w:rsidRPr="00F02822">
              <w:t>34</w:t>
            </w:r>
          </w:p>
        </w:tc>
        <w:tc>
          <w:tcPr>
            <w:tcW w:w="630" w:type="dxa"/>
          </w:tcPr>
          <w:p w14:paraId="5C06C2B4" w14:textId="77777777" w:rsidR="00BF0494" w:rsidRPr="00F02822" w:rsidRDefault="00BF0494" w:rsidP="008E2757">
            <w:pPr>
              <w:spacing w:line="240" w:lineRule="auto"/>
            </w:pPr>
            <w:r w:rsidRPr="00F02822">
              <w:t>Lf</w:t>
            </w:r>
          </w:p>
        </w:tc>
        <w:tc>
          <w:tcPr>
            <w:tcW w:w="630" w:type="dxa"/>
          </w:tcPr>
          <w:p w14:paraId="0A686BCE" w14:textId="77777777" w:rsidR="00BF0494" w:rsidRPr="00F02822" w:rsidRDefault="00BF0494" w:rsidP="008E2757">
            <w:pPr>
              <w:spacing w:line="240" w:lineRule="auto"/>
            </w:pPr>
            <w:r w:rsidRPr="00F02822">
              <w:t>26</w:t>
            </w:r>
          </w:p>
        </w:tc>
        <w:tc>
          <w:tcPr>
            <w:tcW w:w="1350" w:type="dxa"/>
          </w:tcPr>
          <w:p w14:paraId="62FC6D57" w14:textId="77777777" w:rsidR="00BF0494" w:rsidRPr="00F02822" w:rsidRDefault="00BF0494" w:rsidP="008E2757">
            <w:pPr>
              <w:spacing w:line="240" w:lineRule="auto"/>
            </w:pPr>
            <w:r w:rsidRPr="00F02822">
              <w:t>Monroe I</w:t>
            </w:r>
          </w:p>
        </w:tc>
        <w:tc>
          <w:tcPr>
            <w:tcW w:w="1260" w:type="dxa"/>
          </w:tcPr>
          <w:p w14:paraId="08FB8298" w14:textId="77777777" w:rsidR="00BF0494" w:rsidRPr="00F02822" w:rsidRDefault="00BF0494" w:rsidP="008E2757">
            <w:pPr>
              <w:spacing w:line="240" w:lineRule="auto"/>
              <w:jc w:val="right"/>
            </w:pPr>
            <w:r>
              <w:t>8</w:t>
            </w:r>
          </w:p>
        </w:tc>
        <w:tc>
          <w:tcPr>
            <w:tcW w:w="1080" w:type="dxa"/>
          </w:tcPr>
          <w:p w14:paraId="33CDA87B" w14:textId="77777777" w:rsidR="00BF0494" w:rsidRPr="00F02822" w:rsidRDefault="00BF0494" w:rsidP="008E2757">
            <w:pPr>
              <w:spacing w:line="240" w:lineRule="auto"/>
            </w:pPr>
            <w:r>
              <w:t>WPA</w:t>
            </w:r>
          </w:p>
        </w:tc>
      </w:tr>
    </w:tbl>
    <w:p w14:paraId="74B76A73" w14:textId="77777777" w:rsidR="00BF0494" w:rsidRDefault="00BF0494" w:rsidP="00BF0494">
      <w:pPr>
        <w:rPr>
          <w:rFonts w:ascii="Times New Roman" w:hAnsi="Times New Roman"/>
        </w:rPr>
      </w:pPr>
    </w:p>
    <w:p w14:paraId="3B7BC22D" w14:textId="33F142F7" w:rsidR="00BF0494" w:rsidRPr="004D1734" w:rsidRDefault="00BF0494" w:rsidP="00BF0494">
      <w:pPr>
        <w:ind w:firstLine="720"/>
        <w:rPr>
          <w:rFonts w:ascii="Times New Roman" w:hAnsi="Times New Roman"/>
        </w:rPr>
      </w:pPr>
      <w:r>
        <w:rPr>
          <w:rFonts w:ascii="Times New Roman" w:hAnsi="Times New Roman"/>
        </w:rPr>
        <w:t>Additionally, it is unclear if the Peck site is actually Fourche Maline.  There is no summary or Quarterly report available and the site does not appear to have been analyzed.  The ADS sheets indicate that 8 burials were excavated and there are photos for most of these burials.  However the ADS sheets also reference Mound 1, Mound 2, Mound 3, and Mound 4, so it is unclear what type of site Peck actually was.  If a multi-mound site, then it would be a Harlan or Spiro period site instead of Fourche Maline.  Due</w:t>
      </w:r>
      <w:r w:rsidR="00233C05">
        <w:rPr>
          <w:rFonts w:ascii="Times New Roman" w:hAnsi="Times New Roman"/>
        </w:rPr>
        <w:t xml:space="preserve"> to</w:t>
      </w:r>
      <w:r>
        <w:rPr>
          <w:rFonts w:ascii="Times New Roman" w:hAnsi="Times New Roman"/>
        </w:rPr>
        <w:t xml:space="preserve"> this </w:t>
      </w:r>
      <w:r w:rsidR="00787D31">
        <w:rPr>
          <w:rFonts w:ascii="Times New Roman" w:hAnsi="Times New Roman"/>
        </w:rPr>
        <w:t xml:space="preserve">additional </w:t>
      </w:r>
      <w:r>
        <w:rPr>
          <w:rFonts w:ascii="Times New Roman" w:hAnsi="Times New Roman"/>
        </w:rPr>
        <w:t>ambiguity, it is not included in the analysis.</w:t>
      </w:r>
    </w:p>
    <w:p w14:paraId="15D510B1" w14:textId="06BC9AC9" w:rsidR="00BF0494" w:rsidRDefault="00BF0494" w:rsidP="009C5432">
      <w:pPr>
        <w:pStyle w:val="Heading3"/>
      </w:pPr>
      <w:bookmarkStart w:id="54" w:name="_Toc261025863"/>
      <w:r>
        <w:t xml:space="preserve">Previous bioarchaeology in the </w:t>
      </w:r>
      <w:r w:rsidR="00CF609A">
        <w:t>Wister area</w:t>
      </w:r>
      <w:bookmarkEnd w:id="54"/>
    </w:p>
    <w:p w14:paraId="29EE0FB3" w14:textId="0484A3C8" w:rsidR="00BF0494" w:rsidRDefault="00BF0494" w:rsidP="00BF0494">
      <w:pPr>
        <w:ind w:firstLine="720"/>
        <w:rPr>
          <w:rFonts w:ascii="Times New Roman" w:hAnsi="Times New Roman"/>
        </w:rPr>
      </w:pPr>
      <w:r w:rsidRPr="008B108E">
        <w:rPr>
          <w:rFonts w:ascii="Times New Roman" w:hAnsi="Times New Roman"/>
        </w:rPr>
        <w:t xml:space="preserve">Only a few of these sites have any </w:t>
      </w:r>
      <w:r w:rsidR="00233C05">
        <w:rPr>
          <w:rFonts w:ascii="Times New Roman" w:hAnsi="Times New Roman"/>
        </w:rPr>
        <w:t>skeletal biology</w:t>
      </w:r>
      <w:r w:rsidRPr="008B108E">
        <w:rPr>
          <w:rFonts w:ascii="Times New Roman" w:hAnsi="Times New Roman"/>
        </w:rPr>
        <w:t xml:space="preserve"> or paleodemography </w:t>
      </w:r>
      <w:r w:rsidR="00891719">
        <w:rPr>
          <w:rFonts w:ascii="Times New Roman" w:hAnsi="Times New Roman"/>
        </w:rPr>
        <w:t xml:space="preserve">completed, as listed in Table </w:t>
      </w:r>
      <w:r>
        <w:rPr>
          <w:rFonts w:ascii="Times New Roman" w:hAnsi="Times New Roman"/>
        </w:rPr>
        <w:t>4</w:t>
      </w:r>
      <w:r w:rsidRPr="008B108E">
        <w:rPr>
          <w:rFonts w:ascii="Times New Roman" w:hAnsi="Times New Roman"/>
        </w:rPr>
        <w:t>.  Previous studies (McWilliams 1970, Powell and</w:t>
      </w:r>
      <w:r>
        <w:rPr>
          <w:rFonts w:ascii="Times New Roman" w:hAnsi="Times New Roman"/>
        </w:rPr>
        <w:t xml:space="preserve"> Rogers 1980, Rose et al. 1983)</w:t>
      </w:r>
      <w:r w:rsidRPr="008B108E">
        <w:rPr>
          <w:rFonts w:ascii="Times New Roman" w:hAnsi="Times New Roman"/>
        </w:rPr>
        <w:t xml:space="preserve"> based on non-metric traits of the skull, which are though</w:t>
      </w:r>
      <w:r>
        <w:rPr>
          <w:rFonts w:ascii="Times New Roman" w:hAnsi="Times New Roman"/>
        </w:rPr>
        <w:t>t</w:t>
      </w:r>
      <w:r w:rsidRPr="008B108E">
        <w:rPr>
          <w:rFonts w:ascii="Times New Roman" w:hAnsi="Times New Roman"/>
        </w:rPr>
        <w:t xml:space="preserve"> to be genetically controlled and thus indicate biological relatedness, have concluded that the </w:t>
      </w:r>
      <w:r w:rsidR="00CF609A">
        <w:rPr>
          <w:rFonts w:ascii="Times New Roman" w:hAnsi="Times New Roman"/>
        </w:rPr>
        <w:t>Wister area</w:t>
      </w:r>
      <w:r w:rsidRPr="008B108E">
        <w:rPr>
          <w:rFonts w:ascii="Times New Roman" w:hAnsi="Times New Roman"/>
        </w:rPr>
        <w:t xml:space="preserve"> sites of Sam (34Lf28), Wann (34Lf27), and McCutchan-McLaughlin (34Lt11) shared a common genetic heritage and could be viewed as </w:t>
      </w:r>
      <w:r w:rsidR="00233C05">
        <w:rPr>
          <w:rFonts w:ascii="Times New Roman" w:hAnsi="Times New Roman"/>
        </w:rPr>
        <w:t xml:space="preserve">a </w:t>
      </w:r>
      <w:r w:rsidRPr="008B108E">
        <w:rPr>
          <w:rFonts w:ascii="Times New Roman" w:hAnsi="Times New Roman"/>
        </w:rPr>
        <w:t xml:space="preserve">single breeding population.  This conclusion of a common gene pool allows for assumptions of common resistance and susceptibility to disease processes and allows </w:t>
      </w:r>
      <w:r w:rsidR="00233C05">
        <w:rPr>
          <w:rFonts w:ascii="Times New Roman" w:hAnsi="Times New Roman"/>
        </w:rPr>
        <w:t xml:space="preserve">for </w:t>
      </w:r>
      <w:r w:rsidRPr="008B108E">
        <w:rPr>
          <w:rFonts w:ascii="Times New Roman" w:hAnsi="Times New Roman"/>
        </w:rPr>
        <w:t>intra-valley paleopatho</w:t>
      </w:r>
      <w:r w:rsidR="00233C05">
        <w:rPr>
          <w:rFonts w:ascii="Times New Roman" w:hAnsi="Times New Roman"/>
        </w:rPr>
        <w:t>log</w:t>
      </w:r>
      <w:r w:rsidR="00875ECA">
        <w:rPr>
          <w:rFonts w:ascii="Times New Roman" w:hAnsi="Times New Roman"/>
        </w:rPr>
        <w:t>ical comparisons</w:t>
      </w:r>
      <w:r w:rsidR="00233C05">
        <w:rPr>
          <w:rFonts w:ascii="Times New Roman" w:hAnsi="Times New Roman"/>
        </w:rPr>
        <w:t xml:space="preserve">.  </w:t>
      </w:r>
      <w:r w:rsidRPr="008B108E">
        <w:rPr>
          <w:rFonts w:ascii="Times New Roman" w:hAnsi="Times New Roman"/>
        </w:rPr>
        <w:t>Additionally, because the sites are geogra</w:t>
      </w:r>
      <w:r w:rsidR="00B920F1">
        <w:rPr>
          <w:rFonts w:ascii="Times New Roman" w:hAnsi="Times New Roman"/>
        </w:rPr>
        <w:t>phically close and all</w:t>
      </w:r>
      <w:r w:rsidRPr="008B108E">
        <w:rPr>
          <w:rFonts w:ascii="Times New Roman" w:hAnsi="Times New Roman"/>
        </w:rPr>
        <w:t xml:space="preserve"> with</w:t>
      </w:r>
      <w:r>
        <w:rPr>
          <w:rFonts w:ascii="Times New Roman" w:hAnsi="Times New Roman"/>
        </w:rPr>
        <w:t>in</w:t>
      </w:r>
      <w:r w:rsidRPr="008B108E">
        <w:rPr>
          <w:rFonts w:ascii="Times New Roman" w:hAnsi="Times New Roman"/>
        </w:rPr>
        <w:t xml:space="preserve"> the same valley of the Ouachita Mountains, they share similar ecological constraints</w:t>
      </w:r>
      <w:r>
        <w:rPr>
          <w:rFonts w:ascii="Times New Roman" w:hAnsi="Times New Roman"/>
        </w:rPr>
        <w:t xml:space="preserve"> and resources,</w:t>
      </w:r>
      <w:r w:rsidRPr="008B108E">
        <w:rPr>
          <w:rFonts w:ascii="Times New Roman" w:hAnsi="Times New Roman"/>
        </w:rPr>
        <w:t xml:space="preserve"> as well as presumably similar cultural attributes, strengthening comparisons (Rose et al. 1999).</w:t>
      </w:r>
    </w:p>
    <w:p w14:paraId="3860C015" w14:textId="77777777" w:rsidR="00B920F1" w:rsidRDefault="00B920F1" w:rsidP="00B920F1">
      <w:pPr>
        <w:spacing w:line="240" w:lineRule="auto"/>
        <w:rPr>
          <w:rFonts w:ascii="Times New Roman" w:hAnsi="Times New Roman"/>
        </w:rPr>
      </w:pPr>
    </w:p>
    <w:p w14:paraId="3525D27C" w14:textId="3D73A743" w:rsidR="00BF0494" w:rsidRDefault="00BF0494" w:rsidP="00133F61">
      <w:pPr>
        <w:pStyle w:val="Caption"/>
      </w:pPr>
      <w:bookmarkStart w:id="55" w:name="_Toc257898730"/>
      <w:bookmarkStart w:id="56" w:name="_Toc261025232"/>
      <w:r>
        <w:t xml:space="preserve">Table </w:t>
      </w:r>
      <w:fldSimple w:instr=" SEQ Table \* ARABIC ">
        <w:r w:rsidR="00396EB3">
          <w:rPr>
            <w:noProof/>
          </w:rPr>
          <w:t>4</w:t>
        </w:r>
      </w:fldSimple>
      <w:r>
        <w:t xml:space="preserve"> </w:t>
      </w:r>
      <w:r w:rsidR="00CF609A">
        <w:t>Wister area</w:t>
      </w:r>
      <w:r>
        <w:t xml:space="preserve"> Fourche Maline sites with skeletal analysis</w:t>
      </w:r>
      <w:bookmarkEnd w:id="55"/>
      <w:bookmarkEnd w:id="56"/>
    </w:p>
    <w:p w14:paraId="0708A482" w14:textId="77777777" w:rsidR="00BF0494" w:rsidRPr="00D35B5A" w:rsidRDefault="00BF0494" w:rsidP="00BF0494">
      <w:pPr>
        <w:spacing w:line="240" w:lineRule="auto"/>
      </w:pPr>
    </w:p>
    <w:tbl>
      <w:tblPr>
        <w:tblW w:w="0" w:type="auto"/>
        <w:jc w:val="center"/>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
        <w:gridCol w:w="2970"/>
        <w:gridCol w:w="3384"/>
      </w:tblGrid>
      <w:tr w:rsidR="00BF0494" w:rsidRPr="008B108E" w14:paraId="2BD4A088" w14:textId="77777777" w:rsidTr="008E2757">
        <w:trPr>
          <w:jc w:val="center"/>
        </w:trPr>
        <w:tc>
          <w:tcPr>
            <w:tcW w:w="999" w:type="dxa"/>
          </w:tcPr>
          <w:p w14:paraId="719BD150" w14:textId="77777777" w:rsidR="00BF0494" w:rsidRPr="008B108E" w:rsidRDefault="00BF0494" w:rsidP="008E2757">
            <w:pPr>
              <w:pStyle w:val="n"/>
              <w:rPr>
                <w:b/>
              </w:rPr>
            </w:pPr>
            <w:r w:rsidRPr="008B108E">
              <w:rPr>
                <w:b/>
              </w:rPr>
              <w:t>Site</w:t>
            </w:r>
          </w:p>
        </w:tc>
        <w:tc>
          <w:tcPr>
            <w:tcW w:w="2970" w:type="dxa"/>
          </w:tcPr>
          <w:p w14:paraId="01B9CBD9" w14:textId="77777777" w:rsidR="00BF0494" w:rsidRPr="008B108E" w:rsidRDefault="00BF0494" w:rsidP="008E2757">
            <w:pPr>
              <w:pStyle w:val="n"/>
              <w:rPr>
                <w:b/>
              </w:rPr>
            </w:pPr>
            <w:r w:rsidRPr="008B108E">
              <w:rPr>
                <w:b/>
              </w:rPr>
              <w:t>Site Name</w:t>
            </w:r>
          </w:p>
        </w:tc>
        <w:tc>
          <w:tcPr>
            <w:tcW w:w="3384" w:type="dxa"/>
          </w:tcPr>
          <w:p w14:paraId="4FCDF8F5" w14:textId="77777777" w:rsidR="00BF0494" w:rsidRPr="008B108E" w:rsidRDefault="00BF0494" w:rsidP="008E2757">
            <w:pPr>
              <w:pStyle w:val="n"/>
              <w:rPr>
                <w:b/>
              </w:rPr>
            </w:pPr>
            <w:r w:rsidRPr="008B108E">
              <w:rPr>
                <w:b/>
              </w:rPr>
              <w:t>References</w:t>
            </w:r>
          </w:p>
        </w:tc>
      </w:tr>
      <w:tr w:rsidR="00BF0494" w:rsidRPr="008B108E" w14:paraId="54A7DB55" w14:textId="77777777" w:rsidTr="008E2757">
        <w:trPr>
          <w:jc w:val="center"/>
        </w:trPr>
        <w:tc>
          <w:tcPr>
            <w:tcW w:w="999" w:type="dxa"/>
          </w:tcPr>
          <w:p w14:paraId="171F3D80" w14:textId="77777777" w:rsidR="00BF0494" w:rsidRPr="008B108E" w:rsidRDefault="00BF0494" w:rsidP="008E2757">
            <w:pPr>
              <w:pStyle w:val="n"/>
              <w:jc w:val="left"/>
            </w:pPr>
            <w:r w:rsidRPr="008B108E">
              <w:t>34Lt11</w:t>
            </w:r>
          </w:p>
        </w:tc>
        <w:tc>
          <w:tcPr>
            <w:tcW w:w="2970" w:type="dxa"/>
          </w:tcPr>
          <w:p w14:paraId="248724E7" w14:textId="77777777" w:rsidR="00BF0494" w:rsidRPr="008B108E" w:rsidRDefault="00BF0494" w:rsidP="008E2757">
            <w:pPr>
              <w:pStyle w:val="n"/>
              <w:jc w:val="left"/>
            </w:pPr>
            <w:r w:rsidRPr="008B108E">
              <w:t>McCutchan-McLaughlin</w:t>
            </w:r>
          </w:p>
        </w:tc>
        <w:tc>
          <w:tcPr>
            <w:tcW w:w="3384" w:type="dxa"/>
          </w:tcPr>
          <w:p w14:paraId="6F9F7DBE" w14:textId="77777777" w:rsidR="00BF0494" w:rsidRPr="008B108E" w:rsidRDefault="00BF0494" w:rsidP="008E2757">
            <w:pPr>
              <w:pStyle w:val="n"/>
              <w:jc w:val="left"/>
            </w:pPr>
            <w:r w:rsidRPr="008B108E">
              <w:t>Powell and Rogers 1980</w:t>
            </w:r>
          </w:p>
        </w:tc>
      </w:tr>
      <w:tr w:rsidR="00BF0494" w:rsidRPr="008B108E" w14:paraId="3F28404E" w14:textId="77777777" w:rsidTr="008E2757">
        <w:trPr>
          <w:jc w:val="center"/>
        </w:trPr>
        <w:tc>
          <w:tcPr>
            <w:tcW w:w="999" w:type="dxa"/>
          </w:tcPr>
          <w:p w14:paraId="469628B7" w14:textId="77777777" w:rsidR="00BF0494" w:rsidRPr="008B108E" w:rsidRDefault="00BF0494" w:rsidP="008E2757">
            <w:pPr>
              <w:pStyle w:val="n"/>
              <w:jc w:val="left"/>
            </w:pPr>
            <w:r w:rsidRPr="008B108E">
              <w:t>34Lf11</w:t>
            </w:r>
            <w:r w:rsidRPr="008B108E">
              <w:tab/>
            </w:r>
          </w:p>
        </w:tc>
        <w:tc>
          <w:tcPr>
            <w:tcW w:w="2970" w:type="dxa"/>
          </w:tcPr>
          <w:p w14:paraId="09A4D059" w14:textId="77777777" w:rsidR="00BF0494" w:rsidRPr="008B108E" w:rsidRDefault="00BF0494" w:rsidP="008E2757">
            <w:pPr>
              <w:pStyle w:val="n"/>
              <w:jc w:val="left"/>
            </w:pPr>
            <w:r w:rsidRPr="008B108E">
              <w:t>Scott</w:t>
            </w:r>
          </w:p>
        </w:tc>
        <w:tc>
          <w:tcPr>
            <w:tcW w:w="3384" w:type="dxa"/>
          </w:tcPr>
          <w:p w14:paraId="12D98DF9" w14:textId="77777777" w:rsidR="00BF0494" w:rsidRPr="008B108E" w:rsidRDefault="00BF0494" w:rsidP="008E2757">
            <w:pPr>
              <w:pStyle w:val="n"/>
              <w:jc w:val="left"/>
            </w:pPr>
            <w:r w:rsidRPr="008B108E">
              <w:t>Bell 1953</w:t>
            </w:r>
          </w:p>
        </w:tc>
      </w:tr>
      <w:tr w:rsidR="00BF0494" w:rsidRPr="008B108E" w14:paraId="0858126D" w14:textId="77777777" w:rsidTr="008E2757">
        <w:trPr>
          <w:jc w:val="center"/>
        </w:trPr>
        <w:tc>
          <w:tcPr>
            <w:tcW w:w="999" w:type="dxa"/>
          </w:tcPr>
          <w:p w14:paraId="0637C8AE" w14:textId="77777777" w:rsidR="00BF0494" w:rsidRPr="008B108E" w:rsidRDefault="00BF0494" w:rsidP="008E2757">
            <w:pPr>
              <w:pStyle w:val="n"/>
              <w:jc w:val="left"/>
            </w:pPr>
            <w:r w:rsidRPr="008B108E">
              <w:t>34Lf17</w:t>
            </w:r>
          </w:p>
        </w:tc>
        <w:tc>
          <w:tcPr>
            <w:tcW w:w="2970" w:type="dxa"/>
          </w:tcPr>
          <w:p w14:paraId="251A749C" w14:textId="77777777" w:rsidR="00BF0494" w:rsidRPr="008B108E" w:rsidRDefault="00BF0494" w:rsidP="008E2757">
            <w:pPr>
              <w:pStyle w:val="n"/>
              <w:jc w:val="left"/>
            </w:pPr>
            <w:r w:rsidRPr="008B108E">
              <w:t>DeHart II</w:t>
            </w:r>
          </w:p>
        </w:tc>
        <w:tc>
          <w:tcPr>
            <w:tcW w:w="3384" w:type="dxa"/>
          </w:tcPr>
          <w:p w14:paraId="02F83D66" w14:textId="77777777" w:rsidR="00BF0494" w:rsidRPr="008B108E" w:rsidRDefault="00BF0494" w:rsidP="008E2757">
            <w:pPr>
              <w:pStyle w:val="n"/>
              <w:jc w:val="left"/>
            </w:pPr>
            <w:r>
              <w:t>Unpublished summary data</w:t>
            </w:r>
            <w:r w:rsidRPr="008B108E">
              <w:t>*</w:t>
            </w:r>
          </w:p>
        </w:tc>
      </w:tr>
      <w:tr w:rsidR="00BF0494" w:rsidRPr="008B108E" w14:paraId="39DA2B49" w14:textId="77777777" w:rsidTr="008E2757">
        <w:trPr>
          <w:jc w:val="center"/>
        </w:trPr>
        <w:tc>
          <w:tcPr>
            <w:tcW w:w="999" w:type="dxa"/>
          </w:tcPr>
          <w:p w14:paraId="35C7A50F" w14:textId="77777777" w:rsidR="00BF0494" w:rsidRPr="008B108E" w:rsidRDefault="00BF0494" w:rsidP="008E2757">
            <w:pPr>
              <w:pStyle w:val="n"/>
              <w:jc w:val="left"/>
            </w:pPr>
            <w:r w:rsidRPr="008B108E">
              <w:t>34Lf27</w:t>
            </w:r>
            <w:r w:rsidRPr="008B108E">
              <w:tab/>
            </w:r>
            <w:r w:rsidRPr="008B108E">
              <w:tab/>
            </w:r>
          </w:p>
        </w:tc>
        <w:tc>
          <w:tcPr>
            <w:tcW w:w="2970" w:type="dxa"/>
          </w:tcPr>
          <w:p w14:paraId="47140988" w14:textId="77777777" w:rsidR="00BF0494" w:rsidRPr="008B108E" w:rsidRDefault="00BF0494" w:rsidP="008E2757">
            <w:pPr>
              <w:pStyle w:val="n"/>
              <w:jc w:val="left"/>
            </w:pPr>
            <w:r w:rsidRPr="008B108E">
              <w:t>Wann</w:t>
            </w:r>
          </w:p>
        </w:tc>
        <w:tc>
          <w:tcPr>
            <w:tcW w:w="3384" w:type="dxa"/>
          </w:tcPr>
          <w:p w14:paraId="66BE6FD5" w14:textId="77777777" w:rsidR="00BF0494" w:rsidRPr="008B108E" w:rsidRDefault="00BF0494" w:rsidP="008E2757">
            <w:pPr>
              <w:pStyle w:val="n"/>
              <w:jc w:val="left"/>
            </w:pPr>
            <w:r w:rsidRPr="008B108E">
              <w:t>Sharrock 1960</w:t>
            </w:r>
          </w:p>
          <w:p w14:paraId="32D53EE2" w14:textId="77777777" w:rsidR="00BF0494" w:rsidRPr="008B108E" w:rsidRDefault="00BF0494" w:rsidP="008E2757">
            <w:pPr>
              <w:pStyle w:val="n"/>
              <w:jc w:val="left"/>
            </w:pPr>
            <w:r w:rsidRPr="008B108E">
              <w:t>McWilliams 1970</w:t>
            </w:r>
          </w:p>
        </w:tc>
      </w:tr>
      <w:tr w:rsidR="00BF0494" w:rsidRPr="008B108E" w14:paraId="14AD51BD" w14:textId="77777777" w:rsidTr="008E2757">
        <w:trPr>
          <w:jc w:val="center"/>
        </w:trPr>
        <w:tc>
          <w:tcPr>
            <w:tcW w:w="999" w:type="dxa"/>
          </w:tcPr>
          <w:p w14:paraId="01BB586E" w14:textId="77777777" w:rsidR="00BF0494" w:rsidRPr="008B108E" w:rsidRDefault="00BF0494" w:rsidP="008E2757">
            <w:pPr>
              <w:pStyle w:val="n"/>
              <w:jc w:val="left"/>
            </w:pPr>
            <w:r w:rsidRPr="008B108E">
              <w:t>34Lf28</w:t>
            </w:r>
            <w:r w:rsidRPr="008B108E">
              <w:tab/>
            </w:r>
          </w:p>
        </w:tc>
        <w:tc>
          <w:tcPr>
            <w:tcW w:w="2970" w:type="dxa"/>
          </w:tcPr>
          <w:p w14:paraId="0B3C1D53" w14:textId="77777777" w:rsidR="00BF0494" w:rsidRPr="008B108E" w:rsidRDefault="00BF0494" w:rsidP="008E2757">
            <w:pPr>
              <w:pStyle w:val="n"/>
              <w:jc w:val="left"/>
            </w:pPr>
            <w:r w:rsidRPr="008B108E">
              <w:t>Sam</w:t>
            </w:r>
          </w:p>
        </w:tc>
        <w:tc>
          <w:tcPr>
            <w:tcW w:w="3384" w:type="dxa"/>
          </w:tcPr>
          <w:p w14:paraId="1C3DB6D3" w14:textId="77777777" w:rsidR="00BF0494" w:rsidRPr="008B108E" w:rsidRDefault="00BF0494" w:rsidP="008E2757">
            <w:pPr>
              <w:pStyle w:val="n"/>
              <w:jc w:val="left"/>
            </w:pPr>
            <w:r w:rsidRPr="008B108E">
              <w:t>Proctor 1957</w:t>
            </w:r>
          </w:p>
          <w:p w14:paraId="069B7392" w14:textId="77777777" w:rsidR="00BF0494" w:rsidRPr="008B108E" w:rsidRDefault="00BF0494" w:rsidP="008E2757">
            <w:pPr>
              <w:pStyle w:val="n"/>
              <w:jc w:val="left"/>
            </w:pPr>
            <w:r w:rsidRPr="008B108E">
              <w:t>McWilliams 1970</w:t>
            </w:r>
          </w:p>
        </w:tc>
      </w:tr>
      <w:tr w:rsidR="00BF0494" w:rsidRPr="008B108E" w14:paraId="7331C7BE" w14:textId="77777777" w:rsidTr="008E2757">
        <w:trPr>
          <w:jc w:val="center"/>
        </w:trPr>
        <w:tc>
          <w:tcPr>
            <w:tcW w:w="999" w:type="dxa"/>
          </w:tcPr>
          <w:p w14:paraId="58258980" w14:textId="77777777" w:rsidR="00BF0494" w:rsidRPr="008B108E" w:rsidRDefault="00BF0494" w:rsidP="008E2757">
            <w:pPr>
              <w:pStyle w:val="n"/>
              <w:jc w:val="left"/>
            </w:pPr>
            <w:r w:rsidRPr="008B108E">
              <w:t>34Lf29</w:t>
            </w:r>
          </w:p>
        </w:tc>
        <w:tc>
          <w:tcPr>
            <w:tcW w:w="2970" w:type="dxa"/>
          </w:tcPr>
          <w:p w14:paraId="3318E0C9" w14:textId="77777777" w:rsidR="00BF0494" w:rsidRPr="008B108E" w:rsidRDefault="00BF0494" w:rsidP="008E2757">
            <w:pPr>
              <w:pStyle w:val="n"/>
              <w:jc w:val="left"/>
            </w:pPr>
            <w:r w:rsidRPr="008B108E">
              <w:t>Mackey</w:t>
            </w:r>
          </w:p>
        </w:tc>
        <w:tc>
          <w:tcPr>
            <w:tcW w:w="3384" w:type="dxa"/>
          </w:tcPr>
          <w:p w14:paraId="5C7442C1" w14:textId="77777777" w:rsidR="00BF0494" w:rsidRPr="008B108E" w:rsidRDefault="00BF0494" w:rsidP="008E2757">
            <w:pPr>
              <w:pStyle w:val="n"/>
              <w:jc w:val="left"/>
            </w:pPr>
            <w:r w:rsidRPr="008B108E">
              <w:t>Burns 1994</w:t>
            </w:r>
          </w:p>
        </w:tc>
      </w:tr>
      <w:tr w:rsidR="00BF0494" w:rsidRPr="008B108E" w14:paraId="16918310" w14:textId="77777777" w:rsidTr="008E2757">
        <w:trPr>
          <w:jc w:val="center"/>
        </w:trPr>
        <w:tc>
          <w:tcPr>
            <w:tcW w:w="999" w:type="dxa"/>
          </w:tcPr>
          <w:p w14:paraId="57C8B7DD" w14:textId="77777777" w:rsidR="00BF0494" w:rsidRPr="008B108E" w:rsidRDefault="00BF0494" w:rsidP="008E2757">
            <w:pPr>
              <w:pStyle w:val="n"/>
              <w:jc w:val="left"/>
            </w:pPr>
            <w:r w:rsidRPr="008B108E">
              <w:t>34Lf32</w:t>
            </w:r>
          </w:p>
        </w:tc>
        <w:tc>
          <w:tcPr>
            <w:tcW w:w="2970" w:type="dxa"/>
          </w:tcPr>
          <w:p w14:paraId="4A426C3B" w14:textId="77777777" w:rsidR="00BF0494" w:rsidRPr="008B108E" w:rsidRDefault="00BF0494" w:rsidP="008E2757">
            <w:pPr>
              <w:pStyle w:val="n"/>
              <w:jc w:val="left"/>
            </w:pPr>
            <w:r w:rsidRPr="008B108E">
              <w:t>Akers</w:t>
            </w:r>
          </w:p>
        </w:tc>
        <w:tc>
          <w:tcPr>
            <w:tcW w:w="3384" w:type="dxa"/>
          </w:tcPr>
          <w:p w14:paraId="713EF031" w14:textId="77777777" w:rsidR="00BF0494" w:rsidRPr="008B108E" w:rsidRDefault="00BF0494" w:rsidP="008E2757">
            <w:pPr>
              <w:pStyle w:val="n"/>
              <w:jc w:val="left"/>
            </w:pPr>
            <w:r w:rsidRPr="008B108E">
              <w:t>Rowe 2009</w:t>
            </w:r>
          </w:p>
        </w:tc>
      </w:tr>
    </w:tbl>
    <w:p w14:paraId="675DA8A5" w14:textId="77777777" w:rsidR="00BF0494" w:rsidRDefault="00BF0494" w:rsidP="00BF0494">
      <w:pPr>
        <w:pStyle w:val="n"/>
        <w:jc w:val="left"/>
        <w:rPr>
          <w:sz w:val="20"/>
          <w:szCs w:val="20"/>
        </w:rPr>
      </w:pPr>
    </w:p>
    <w:p w14:paraId="0F1BA5C0" w14:textId="37005CFF" w:rsidR="00BF0494" w:rsidRPr="00D35B5A" w:rsidRDefault="00BF0494" w:rsidP="00133F61">
      <w:pPr>
        <w:pStyle w:val="Caption"/>
      </w:pPr>
      <w:r w:rsidRPr="00D35B5A">
        <w:t xml:space="preserve">*The burials from the DeHart II site were examined by students during a class taught by Dr. R. Vehik “sometime in the </w:t>
      </w:r>
      <w:r w:rsidR="005544F1">
        <w:t>90</w:t>
      </w:r>
      <w:r w:rsidR="005544F1" w:rsidRPr="00D35B5A">
        <w:t>s</w:t>
      </w:r>
      <w:r w:rsidRPr="00D35B5A">
        <w:t>” (Dr. S. Vehik, personal communication).</w:t>
      </w:r>
    </w:p>
    <w:p w14:paraId="32B26821" w14:textId="77777777" w:rsidR="00BF0494" w:rsidRPr="00AD13CF" w:rsidRDefault="00BF0494" w:rsidP="00BF0494">
      <w:pPr>
        <w:spacing w:line="240" w:lineRule="auto"/>
      </w:pPr>
    </w:p>
    <w:p w14:paraId="4A0E4179" w14:textId="77777777" w:rsidR="00D92FF7" w:rsidRDefault="00D92FF7" w:rsidP="00D92FF7">
      <w:pPr>
        <w:spacing w:line="240" w:lineRule="auto"/>
        <w:ind w:firstLine="720"/>
        <w:rPr>
          <w:rFonts w:ascii="Times New Roman" w:hAnsi="Times New Roman"/>
        </w:rPr>
      </w:pPr>
    </w:p>
    <w:p w14:paraId="0852D310" w14:textId="217C0E2C" w:rsidR="00D92FF7" w:rsidRDefault="00D92FF7" w:rsidP="00D92FF7">
      <w:pPr>
        <w:ind w:firstLine="720"/>
        <w:rPr>
          <w:rFonts w:ascii="Times New Roman" w:hAnsi="Times New Roman"/>
        </w:rPr>
      </w:pPr>
      <w:r w:rsidRPr="008B108E">
        <w:rPr>
          <w:rFonts w:ascii="Times New Roman" w:hAnsi="Times New Roman"/>
        </w:rPr>
        <w:t xml:space="preserve">A dissenting opinion on the validity of </w:t>
      </w:r>
      <w:r w:rsidR="00CF609A">
        <w:rPr>
          <w:rFonts w:ascii="Times New Roman" w:hAnsi="Times New Roman"/>
        </w:rPr>
        <w:t>Wister area</w:t>
      </w:r>
      <w:r w:rsidRPr="008B108E">
        <w:rPr>
          <w:rFonts w:ascii="Times New Roman" w:hAnsi="Times New Roman"/>
        </w:rPr>
        <w:t xml:space="preserve"> Fourche Maline </w:t>
      </w:r>
      <w:r>
        <w:rPr>
          <w:rFonts w:ascii="Times New Roman" w:hAnsi="Times New Roman"/>
        </w:rPr>
        <w:t xml:space="preserve">bioarchaeological data </w:t>
      </w:r>
      <w:r w:rsidRPr="008B108E">
        <w:rPr>
          <w:rFonts w:ascii="Times New Roman" w:hAnsi="Times New Roman"/>
        </w:rPr>
        <w:t>come</w:t>
      </w:r>
      <w:r>
        <w:rPr>
          <w:rFonts w:ascii="Times New Roman" w:hAnsi="Times New Roman"/>
        </w:rPr>
        <w:t>s</w:t>
      </w:r>
      <w:r w:rsidRPr="008B108E">
        <w:rPr>
          <w:rFonts w:ascii="Times New Roman" w:hAnsi="Times New Roman"/>
        </w:rPr>
        <w:t xml:space="preserve"> from Schambach who claims that comparisons of Fourche Maline site populations are “nonsensical” (Schambach 2002:103).  His objections are based on the probability that the burials from these sites may range from the Archaic to Mississippian.  This is a valid criticism</w:t>
      </w:r>
      <w:r>
        <w:rPr>
          <w:rFonts w:ascii="Times New Roman" w:hAnsi="Times New Roman"/>
        </w:rPr>
        <w:t>,</w:t>
      </w:r>
      <w:r w:rsidRPr="008B108E">
        <w:rPr>
          <w:rFonts w:ascii="Times New Roman" w:hAnsi="Times New Roman"/>
        </w:rPr>
        <w:t xml:space="preserve"> as some of these sites were indeed inhabited for very long time spans.  </w:t>
      </w:r>
      <w:r>
        <w:rPr>
          <w:rFonts w:ascii="Times New Roman" w:hAnsi="Times New Roman"/>
        </w:rPr>
        <w:t>Scham</w:t>
      </w:r>
      <w:r w:rsidR="00010D0A">
        <w:rPr>
          <w:rFonts w:ascii="Times New Roman" w:hAnsi="Times New Roman"/>
        </w:rPr>
        <w:t xml:space="preserve">bach is also convinced that a </w:t>
      </w:r>
      <w:r>
        <w:rPr>
          <w:rFonts w:ascii="Times New Roman" w:hAnsi="Times New Roman"/>
        </w:rPr>
        <w:t>migrating group, possibly ancestral Tunica, made their way into the Arkansas (and possibly Wister) Valley, displacing or assimilating resident populations (</w:t>
      </w:r>
      <w:r w:rsidRPr="008D4072">
        <w:rPr>
          <w:rFonts w:ascii="Times New Roman" w:hAnsi="Times New Roman"/>
        </w:rPr>
        <w:t>Schambach 1990)</w:t>
      </w:r>
      <w:r>
        <w:rPr>
          <w:rFonts w:ascii="Times New Roman" w:hAnsi="Times New Roman"/>
        </w:rPr>
        <w:t xml:space="preserve"> and making later populations significantly different.  This is a rather extraordinary supposition that requires </w:t>
      </w:r>
      <w:r w:rsidR="00233C05">
        <w:rPr>
          <w:rFonts w:ascii="Times New Roman" w:hAnsi="Times New Roman"/>
        </w:rPr>
        <w:t>extensive corroborating</w:t>
      </w:r>
      <w:r>
        <w:rPr>
          <w:rFonts w:ascii="Times New Roman" w:hAnsi="Times New Roman"/>
        </w:rPr>
        <w:t xml:space="preserve"> evidence.  The far more parsimonious explanation, as Rogers </w:t>
      </w:r>
      <w:r w:rsidRPr="008D4072">
        <w:rPr>
          <w:rFonts w:ascii="Times New Roman" w:hAnsi="Times New Roman"/>
        </w:rPr>
        <w:t>(1991) points</w:t>
      </w:r>
      <w:r>
        <w:rPr>
          <w:rFonts w:ascii="Times New Roman" w:hAnsi="Times New Roman"/>
        </w:rPr>
        <w:t xml:space="preserve"> out, is the status quo explanation of </w:t>
      </w:r>
      <w:r w:rsidRPr="008D4072">
        <w:rPr>
          <w:rFonts w:ascii="Times New Roman" w:hAnsi="Times New Roman"/>
          <w:i/>
        </w:rPr>
        <w:t>in situ</w:t>
      </w:r>
      <w:r>
        <w:rPr>
          <w:rFonts w:ascii="Times New Roman" w:hAnsi="Times New Roman"/>
        </w:rPr>
        <w:t xml:space="preserve"> cultural development.</w:t>
      </w:r>
    </w:p>
    <w:p w14:paraId="0151885E" w14:textId="77777777" w:rsidR="00BF0494" w:rsidRPr="008B108E" w:rsidRDefault="00BF0494" w:rsidP="00BF0494">
      <w:pPr>
        <w:ind w:firstLine="720"/>
        <w:rPr>
          <w:rFonts w:ascii="Times New Roman" w:hAnsi="Times New Roman"/>
        </w:rPr>
      </w:pPr>
      <w:r>
        <w:rPr>
          <w:rFonts w:ascii="Times New Roman" w:hAnsi="Times New Roman"/>
        </w:rPr>
        <w:t>As this chapter has extensively detailed, t</w:t>
      </w:r>
      <w:r w:rsidRPr="008B108E">
        <w:rPr>
          <w:rFonts w:ascii="Times New Roman" w:hAnsi="Times New Roman"/>
        </w:rPr>
        <w:t>hese</w:t>
      </w:r>
      <w:r>
        <w:rPr>
          <w:rFonts w:ascii="Times New Roman" w:hAnsi="Times New Roman"/>
        </w:rPr>
        <w:t xml:space="preserve"> Fourche Maline black mound</w:t>
      </w:r>
      <w:r w:rsidRPr="008B108E">
        <w:rPr>
          <w:rFonts w:ascii="Times New Roman" w:hAnsi="Times New Roman"/>
        </w:rPr>
        <w:t xml:space="preserve"> sites have long been recognized as forming a natural cluster both geographically and culturally (material assemblages).  </w:t>
      </w:r>
      <w:r>
        <w:rPr>
          <w:rFonts w:ascii="Times New Roman" w:hAnsi="Times New Roman"/>
        </w:rPr>
        <w:t>While some of</w:t>
      </w:r>
      <w:r w:rsidRPr="008B108E">
        <w:rPr>
          <w:rFonts w:ascii="Times New Roman" w:hAnsi="Times New Roman"/>
        </w:rPr>
        <w:t xml:space="preserve"> these sites </w:t>
      </w:r>
      <w:r>
        <w:rPr>
          <w:rFonts w:ascii="Times New Roman" w:hAnsi="Times New Roman"/>
        </w:rPr>
        <w:t xml:space="preserve">do </w:t>
      </w:r>
      <w:r w:rsidRPr="008B108E">
        <w:rPr>
          <w:rFonts w:ascii="Times New Roman" w:hAnsi="Times New Roman"/>
        </w:rPr>
        <w:t>contain a mix of Wiste</w:t>
      </w:r>
      <w:r>
        <w:rPr>
          <w:rFonts w:ascii="Times New Roman" w:hAnsi="Times New Roman"/>
        </w:rPr>
        <w:t>r and Fourche Maline period</w:t>
      </w:r>
      <w:r w:rsidRPr="008B108E">
        <w:rPr>
          <w:rFonts w:ascii="Times New Roman" w:hAnsi="Times New Roman"/>
        </w:rPr>
        <w:t xml:space="preserve"> spannin</w:t>
      </w:r>
      <w:r>
        <w:rPr>
          <w:rFonts w:ascii="Times New Roman" w:hAnsi="Times New Roman"/>
        </w:rPr>
        <w:t>g a very long time period, the inhabitants of the valley</w:t>
      </w:r>
      <w:r w:rsidRPr="008B108E">
        <w:rPr>
          <w:rFonts w:ascii="Times New Roman" w:hAnsi="Times New Roman"/>
        </w:rPr>
        <w:t xml:space="preserve"> nevertheless followed a similar way of life, one where agriculture was presumably not a major source of caloric intake.</w:t>
      </w:r>
      <w:r>
        <w:rPr>
          <w:rFonts w:ascii="Times New Roman" w:hAnsi="Times New Roman"/>
        </w:rPr>
        <w:t xml:space="preserve">  Additionally, the stable artifact assemblages, which have proven so recalcitrant to temporal fine-tuning, support the idea of a very stable population.  </w:t>
      </w:r>
      <w:r w:rsidRPr="008B108E">
        <w:rPr>
          <w:rFonts w:ascii="Times New Roman" w:hAnsi="Times New Roman"/>
        </w:rPr>
        <w:t>Thus inter-site comparisons do have validity.</w:t>
      </w:r>
    </w:p>
    <w:p w14:paraId="201BD90F" w14:textId="650F9996" w:rsidR="00BF0494" w:rsidRDefault="00CF609A" w:rsidP="0084747F">
      <w:pPr>
        <w:ind w:firstLine="720"/>
        <w:rPr>
          <w:rFonts w:ascii="Times New Roman" w:hAnsi="Times New Roman"/>
        </w:rPr>
      </w:pPr>
      <w:r>
        <w:rPr>
          <w:rFonts w:ascii="Times New Roman" w:hAnsi="Times New Roman"/>
        </w:rPr>
        <w:t>Wister area</w:t>
      </w:r>
      <w:r w:rsidR="00BF0494" w:rsidRPr="008B108E">
        <w:rPr>
          <w:rFonts w:ascii="Times New Roman" w:hAnsi="Times New Roman"/>
        </w:rPr>
        <w:t xml:space="preserve"> sites are the largest body of Woodland era data in the Trans-Mississippi south (Early 2004).  </w:t>
      </w:r>
      <w:r w:rsidR="00D92FF7">
        <w:rPr>
          <w:rFonts w:ascii="Times New Roman" w:hAnsi="Times New Roman"/>
        </w:rPr>
        <w:t>Previous work (see Table 4</w:t>
      </w:r>
      <w:r w:rsidR="00BF0494">
        <w:rPr>
          <w:rFonts w:ascii="Times New Roman" w:hAnsi="Times New Roman"/>
        </w:rPr>
        <w:t>)</w:t>
      </w:r>
      <w:r w:rsidR="00BF0494" w:rsidRPr="008B108E">
        <w:rPr>
          <w:rFonts w:ascii="Times New Roman" w:hAnsi="Times New Roman"/>
        </w:rPr>
        <w:t xml:space="preserve"> cast</w:t>
      </w:r>
      <w:r w:rsidR="00BF0494">
        <w:rPr>
          <w:rFonts w:ascii="Times New Roman" w:hAnsi="Times New Roman"/>
        </w:rPr>
        <w:t>s</w:t>
      </w:r>
      <w:r w:rsidR="00BF0494" w:rsidRPr="008B108E">
        <w:rPr>
          <w:rFonts w:ascii="Times New Roman" w:hAnsi="Times New Roman"/>
        </w:rPr>
        <w:t xml:space="preserve"> these populations as well-adapted populations consuming a “nutritionally adequate diet that maintained a satisfactory lev</w:t>
      </w:r>
      <w:r w:rsidR="00233C05">
        <w:rPr>
          <w:rFonts w:ascii="Times New Roman" w:hAnsi="Times New Roman"/>
        </w:rPr>
        <w:t>el of health” (Early 2004:561).</w:t>
      </w:r>
      <w:r w:rsidR="00BF0494" w:rsidRPr="008B108E">
        <w:rPr>
          <w:rFonts w:ascii="Times New Roman" w:hAnsi="Times New Roman"/>
        </w:rPr>
        <w:t xml:space="preserve">  This interpretation is in keeping with modern theories about pre-agricultural societies.   This </w:t>
      </w:r>
      <w:r w:rsidR="00BF0494">
        <w:rPr>
          <w:rFonts w:ascii="Times New Roman" w:hAnsi="Times New Roman"/>
        </w:rPr>
        <w:t>research,</w:t>
      </w:r>
      <w:r w:rsidR="00BF0494" w:rsidRPr="008B108E">
        <w:rPr>
          <w:rFonts w:ascii="Times New Roman" w:hAnsi="Times New Roman"/>
        </w:rPr>
        <w:t xml:space="preserve"> however</w:t>
      </w:r>
      <w:r w:rsidR="00BF0494">
        <w:rPr>
          <w:rFonts w:ascii="Times New Roman" w:hAnsi="Times New Roman"/>
        </w:rPr>
        <w:t>,</w:t>
      </w:r>
      <w:r w:rsidR="00BF0494" w:rsidRPr="008B108E">
        <w:rPr>
          <w:rFonts w:ascii="Times New Roman" w:hAnsi="Times New Roman"/>
        </w:rPr>
        <w:t xml:space="preserve"> challenges that view with </w:t>
      </w:r>
      <w:r w:rsidR="00BF0494">
        <w:rPr>
          <w:rFonts w:ascii="Times New Roman" w:hAnsi="Times New Roman"/>
        </w:rPr>
        <w:t>data that supports</w:t>
      </w:r>
      <w:r w:rsidR="00BF0494" w:rsidRPr="008B108E">
        <w:rPr>
          <w:rFonts w:ascii="Times New Roman" w:hAnsi="Times New Roman"/>
        </w:rPr>
        <w:t xml:space="preserve"> intergeneration</w:t>
      </w:r>
      <w:r w:rsidR="00BF0494">
        <w:rPr>
          <w:rFonts w:ascii="Times New Roman" w:hAnsi="Times New Roman"/>
        </w:rPr>
        <w:t>al</w:t>
      </w:r>
      <w:r w:rsidR="00BF0494" w:rsidRPr="008B108E">
        <w:rPr>
          <w:rFonts w:ascii="Times New Roman" w:hAnsi="Times New Roman"/>
        </w:rPr>
        <w:t xml:space="preserve"> nutritional stress and widespread conflict.  Rates of conflict, violence, and nutritional status may have varied considerably in the </w:t>
      </w:r>
      <w:r>
        <w:rPr>
          <w:rFonts w:ascii="Times New Roman" w:hAnsi="Times New Roman"/>
        </w:rPr>
        <w:t>Wister area</w:t>
      </w:r>
      <w:r w:rsidR="00BF0494" w:rsidRPr="008B108E">
        <w:rPr>
          <w:rFonts w:ascii="Times New Roman" w:hAnsi="Times New Roman"/>
        </w:rPr>
        <w:t xml:space="preserve"> Fourche Maline and the following ch</w:t>
      </w:r>
      <w:r w:rsidR="00BF0494">
        <w:rPr>
          <w:rFonts w:ascii="Times New Roman" w:hAnsi="Times New Roman"/>
        </w:rPr>
        <w:t>apters explore these variations</w:t>
      </w:r>
      <w:r w:rsidR="00BF0494" w:rsidRPr="008B108E">
        <w:rPr>
          <w:rFonts w:ascii="Times New Roman" w:hAnsi="Times New Roman"/>
        </w:rPr>
        <w:t>.</w:t>
      </w:r>
    </w:p>
    <w:p w14:paraId="2E8B75AC" w14:textId="42108DB3" w:rsidR="00933C62" w:rsidRDefault="00933C62">
      <w:pPr>
        <w:spacing w:line="240" w:lineRule="auto"/>
        <w:rPr>
          <w:rFonts w:ascii="Times New Roman" w:hAnsi="Times New Roman"/>
          <w:b/>
          <w:bCs/>
          <w:sz w:val="28"/>
          <w:szCs w:val="32"/>
        </w:rPr>
      </w:pPr>
      <w:r>
        <w:rPr>
          <w:rFonts w:ascii="Times New Roman" w:hAnsi="Times New Roman"/>
        </w:rPr>
        <w:br w:type="page"/>
      </w:r>
    </w:p>
    <w:p w14:paraId="1313A1A9" w14:textId="77777777" w:rsidR="00933C62" w:rsidRDefault="00933C62" w:rsidP="007F6BCD">
      <w:pPr>
        <w:pStyle w:val="Heading1"/>
        <w:spacing w:line="276" w:lineRule="auto"/>
      </w:pPr>
      <w:bookmarkStart w:id="57" w:name="_Toc261025864"/>
      <w:r w:rsidRPr="00056F82">
        <w:t xml:space="preserve">Chapter </w:t>
      </w:r>
      <w:r>
        <w:t>4: Skeletal Trauma and Nutritional Status</w:t>
      </w:r>
      <w:bookmarkEnd w:id="57"/>
    </w:p>
    <w:p w14:paraId="732D7E66" w14:textId="77777777" w:rsidR="00933C62" w:rsidRDefault="00933C62" w:rsidP="007F6BCD">
      <w:pPr>
        <w:pStyle w:val="Heading1"/>
        <w:spacing w:line="276" w:lineRule="auto"/>
      </w:pPr>
      <w:r>
        <w:t xml:space="preserve"> </w:t>
      </w:r>
      <w:bookmarkStart w:id="58" w:name="_Toc261025865"/>
      <w:r>
        <w:t>from the Akers Site</w:t>
      </w:r>
      <w:r w:rsidRPr="00056F82">
        <w:t xml:space="preserve"> </w:t>
      </w:r>
      <w:r>
        <w:t>(34Lf32)</w:t>
      </w:r>
      <w:bookmarkEnd w:id="58"/>
    </w:p>
    <w:p w14:paraId="570DCE10" w14:textId="77777777" w:rsidR="007F6BCD" w:rsidRPr="007F6BCD" w:rsidRDefault="007F6BCD" w:rsidP="007F6BCD">
      <w:pPr>
        <w:spacing w:line="240" w:lineRule="auto"/>
      </w:pPr>
    </w:p>
    <w:p w14:paraId="3356FD20" w14:textId="77777777" w:rsidR="00933C62" w:rsidRPr="00266741" w:rsidRDefault="00933C62" w:rsidP="00933C62">
      <w:pPr>
        <w:ind w:firstLine="720"/>
        <w:rPr>
          <w:rFonts w:ascii="Times New Roman" w:hAnsi="Times New Roman"/>
        </w:rPr>
      </w:pPr>
      <w:r>
        <w:rPr>
          <w:rFonts w:ascii="Times New Roman" w:hAnsi="Times New Roman"/>
        </w:rPr>
        <w:t>This project was</w:t>
      </w:r>
      <w:r w:rsidRPr="00266741">
        <w:rPr>
          <w:rFonts w:ascii="Times New Roman" w:hAnsi="Times New Roman"/>
        </w:rPr>
        <w:t xml:space="preserve"> first conceived as a general study of the paleopathology of the individuals at the Akers site (34Lf32).  However it soon became clear that skeletal trauma was an outstanding feature of the Akers burials and</w:t>
      </w:r>
      <w:r>
        <w:rPr>
          <w:rFonts w:ascii="Times New Roman" w:hAnsi="Times New Roman"/>
        </w:rPr>
        <w:t xml:space="preserve"> that</w:t>
      </w:r>
      <w:r w:rsidRPr="00266741">
        <w:rPr>
          <w:rFonts w:ascii="Times New Roman" w:hAnsi="Times New Roman"/>
        </w:rPr>
        <w:t xml:space="preserve"> any examination needed to seriously consider the role of conflict in the lives of those buried at Akers.   </w:t>
      </w:r>
      <w:r>
        <w:rPr>
          <w:rFonts w:ascii="Times New Roman" w:hAnsi="Times New Roman"/>
        </w:rPr>
        <w:t>In addition to skeletal trauma affecting individual burials</w:t>
      </w:r>
      <w:r w:rsidRPr="00266741">
        <w:rPr>
          <w:rFonts w:ascii="Times New Roman" w:hAnsi="Times New Roman"/>
        </w:rPr>
        <w:t>, Akers has a mass burial of 11 individuals, as well as multiple group burials (</w:t>
      </w:r>
      <w:r>
        <w:rPr>
          <w:rFonts w:ascii="Times New Roman" w:hAnsi="Times New Roman"/>
        </w:rPr>
        <w:t>discussed</w:t>
      </w:r>
      <w:r w:rsidRPr="00266741">
        <w:rPr>
          <w:rFonts w:ascii="Times New Roman" w:hAnsi="Times New Roman"/>
        </w:rPr>
        <w:t xml:space="preserve"> in the following chapter).  </w:t>
      </w:r>
    </w:p>
    <w:p w14:paraId="2B398806" w14:textId="77777777" w:rsidR="00933C62" w:rsidRDefault="00933C62" w:rsidP="00933C62">
      <w:pPr>
        <w:pStyle w:val="BodyTextIndent"/>
        <w:rPr>
          <w:szCs w:val="24"/>
        </w:rPr>
      </w:pPr>
      <w:r w:rsidRPr="00266741">
        <w:rPr>
          <w:szCs w:val="24"/>
        </w:rPr>
        <w:t xml:space="preserve">This chapter will detail the skeletal evidence for conflict </w:t>
      </w:r>
      <w:r>
        <w:rPr>
          <w:szCs w:val="24"/>
        </w:rPr>
        <w:t>at the Akers site.  First, cases</w:t>
      </w:r>
      <w:r w:rsidRPr="00266741">
        <w:rPr>
          <w:szCs w:val="24"/>
        </w:rPr>
        <w:t xml:space="preserve"> of skeletal trauma</w:t>
      </w:r>
      <w:r>
        <w:rPr>
          <w:szCs w:val="24"/>
        </w:rPr>
        <w:t xml:space="preserve"> are examined</w:t>
      </w:r>
      <w:r w:rsidRPr="00266741">
        <w:rPr>
          <w:szCs w:val="24"/>
        </w:rPr>
        <w:t>, including fractures and projectile point wounds, divided into cranial, upper limbs, and lower limbs, with particular attention to male/female</w:t>
      </w:r>
      <w:r>
        <w:rPr>
          <w:szCs w:val="24"/>
        </w:rPr>
        <w:t xml:space="preserve"> and age</w:t>
      </w:r>
      <w:r w:rsidRPr="00266741">
        <w:rPr>
          <w:szCs w:val="24"/>
        </w:rPr>
        <w:t xml:space="preserve"> differences.</w:t>
      </w:r>
      <w:r>
        <w:rPr>
          <w:szCs w:val="24"/>
        </w:rPr>
        <w:t xml:space="preserve"> </w:t>
      </w:r>
      <w:r w:rsidRPr="00266741">
        <w:rPr>
          <w:szCs w:val="24"/>
        </w:rPr>
        <w:t xml:space="preserve"> </w:t>
      </w:r>
      <w:r>
        <w:rPr>
          <w:szCs w:val="24"/>
        </w:rPr>
        <w:t>Finally, the</w:t>
      </w:r>
      <w:r w:rsidRPr="00266741">
        <w:rPr>
          <w:szCs w:val="24"/>
        </w:rPr>
        <w:t xml:space="preserve"> nutritional statu</w:t>
      </w:r>
      <w:r>
        <w:rPr>
          <w:szCs w:val="24"/>
        </w:rPr>
        <w:t>s of the adults buried at Akers is considered.  The chapter concludes with a summary and discussion.</w:t>
      </w:r>
    </w:p>
    <w:p w14:paraId="59240806" w14:textId="77777777" w:rsidR="00933C62" w:rsidRPr="00266741" w:rsidRDefault="00933C62" w:rsidP="00CB4ED0">
      <w:pPr>
        <w:pStyle w:val="Heading2"/>
      </w:pPr>
      <w:bookmarkStart w:id="59" w:name="_Toc261025866"/>
      <w:r>
        <w:t>Methods and Materials</w:t>
      </w:r>
      <w:bookmarkEnd w:id="59"/>
      <w:r w:rsidRPr="00266741">
        <w:t xml:space="preserve">  </w:t>
      </w:r>
    </w:p>
    <w:p w14:paraId="5654B0B6" w14:textId="77777777" w:rsidR="00933C62" w:rsidRDefault="00933C62" w:rsidP="00933C62">
      <w:pPr>
        <w:ind w:firstLine="720"/>
        <w:rPr>
          <w:rFonts w:ascii="Times New Roman" w:hAnsi="Times New Roman"/>
        </w:rPr>
      </w:pPr>
      <w:r w:rsidRPr="00266741">
        <w:rPr>
          <w:rFonts w:ascii="Times New Roman" w:hAnsi="Times New Roman"/>
        </w:rPr>
        <w:t>As described in greater detail in Chapter 3, the Akers site (34Lf32) was excavated in 1941</w:t>
      </w:r>
      <w:r>
        <w:rPr>
          <w:rFonts w:ascii="Times New Roman" w:hAnsi="Times New Roman"/>
        </w:rPr>
        <w:t xml:space="preserve"> by the WPA.  It is the eastern</w:t>
      </w:r>
      <w:r w:rsidRPr="00266741">
        <w:rPr>
          <w:rFonts w:ascii="Times New Roman" w:hAnsi="Times New Roman"/>
        </w:rPr>
        <w:t xml:space="preserve">most Fourche Maline mound in the </w:t>
      </w:r>
      <w:r>
        <w:rPr>
          <w:rFonts w:ascii="Times New Roman" w:hAnsi="Times New Roman"/>
        </w:rPr>
        <w:t>Wister area</w:t>
      </w:r>
      <w:r w:rsidRPr="00266741">
        <w:rPr>
          <w:rFonts w:ascii="Times New Roman" w:hAnsi="Times New Roman"/>
        </w:rPr>
        <w:t xml:space="preserve">.  Unlike most of the other </w:t>
      </w:r>
      <w:r>
        <w:rPr>
          <w:rFonts w:ascii="Times New Roman" w:hAnsi="Times New Roman"/>
        </w:rPr>
        <w:t>Wister area</w:t>
      </w:r>
      <w:r w:rsidRPr="00266741">
        <w:rPr>
          <w:rFonts w:ascii="Times New Roman" w:hAnsi="Times New Roman"/>
        </w:rPr>
        <w:t xml:space="preserve"> Fourche Maline sites, the mound was completely excavated, and over 200 individuals were recovered, making it an ideal candidate for </w:t>
      </w:r>
      <w:r>
        <w:rPr>
          <w:rFonts w:ascii="Times New Roman" w:hAnsi="Times New Roman"/>
        </w:rPr>
        <w:t>an in-depth</w:t>
      </w:r>
      <w:r w:rsidRPr="00266741">
        <w:rPr>
          <w:rFonts w:ascii="Times New Roman" w:hAnsi="Times New Roman"/>
        </w:rPr>
        <w:t xml:space="preserve"> study.</w:t>
      </w:r>
    </w:p>
    <w:p w14:paraId="0A0C0A7D" w14:textId="77777777" w:rsidR="00933C62" w:rsidRDefault="00933C62" w:rsidP="00933C62">
      <w:pPr>
        <w:widowControl w:val="0"/>
        <w:autoSpaceDE w:val="0"/>
        <w:autoSpaceDN w:val="0"/>
        <w:adjustRightInd w:val="0"/>
        <w:ind w:firstLine="720"/>
        <w:rPr>
          <w:rFonts w:ascii="Times New Roman" w:hAnsi="Times New Roman"/>
        </w:rPr>
      </w:pPr>
      <w:r w:rsidRPr="00266741">
        <w:rPr>
          <w:rFonts w:ascii="Times New Roman" w:hAnsi="Times New Roman"/>
        </w:rPr>
        <w:t xml:space="preserve">The skeletal remains were </w:t>
      </w:r>
      <w:r>
        <w:rPr>
          <w:rFonts w:ascii="Times New Roman" w:hAnsi="Times New Roman"/>
        </w:rPr>
        <w:t>re</w:t>
      </w:r>
      <w:r w:rsidRPr="00266741">
        <w:rPr>
          <w:rFonts w:ascii="Times New Roman" w:hAnsi="Times New Roman"/>
        </w:rPr>
        <w:t xml:space="preserve">examined visually and under magnification of up to 40x using a binocular dissecting microscope.  Additional imaging was via the macro lens of a 3.3 megapixel DSC-F505V Sony digital camera.  While modern forensic post-mortem examination begins with fluoroscopy or radiography (Kimmerle and Baraybar 2008:22), access to such technology was not available for this study.  </w:t>
      </w:r>
    </w:p>
    <w:p w14:paraId="0AFB251F" w14:textId="77777777" w:rsidR="00933C62" w:rsidRDefault="00933C62" w:rsidP="009C5432">
      <w:pPr>
        <w:pStyle w:val="Heading3"/>
      </w:pPr>
      <w:bookmarkStart w:id="60" w:name="_Toc261025867"/>
      <w:r>
        <w:t>Prevalence rates</w:t>
      </w:r>
      <w:bookmarkEnd w:id="60"/>
    </w:p>
    <w:p w14:paraId="5FCBC338" w14:textId="77777777" w:rsidR="00933C62" w:rsidRDefault="00933C62" w:rsidP="00933C62">
      <w:pPr>
        <w:ind w:firstLine="720"/>
        <w:rPr>
          <w:rFonts w:ascii="Times New Roman" w:hAnsi="Times New Roman"/>
        </w:rPr>
      </w:pPr>
      <w:r w:rsidRPr="00817A35">
        <w:rPr>
          <w:rFonts w:ascii="Times New Roman" w:hAnsi="Times New Roman"/>
        </w:rPr>
        <w:t>In modern clinical literature, the frequency of a condition (e.g.</w:t>
      </w:r>
      <w:r>
        <w:rPr>
          <w:rFonts w:ascii="Times New Roman" w:hAnsi="Times New Roman"/>
        </w:rPr>
        <w:t xml:space="preserve"> disease, bone fracture, etc.) </w:t>
      </w:r>
      <w:r w:rsidRPr="00817A35">
        <w:rPr>
          <w:rFonts w:ascii="Times New Roman" w:hAnsi="Times New Roman"/>
        </w:rPr>
        <w:t xml:space="preserve">is usually presented as incidence data, which is the number of new cases of a certain condition in a </w:t>
      </w:r>
      <w:r>
        <w:rPr>
          <w:rFonts w:ascii="Times New Roman" w:hAnsi="Times New Roman"/>
        </w:rPr>
        <w:t xml:space="preserve">defined </w:t>
      </w:r>
      <w:r w:rsidRPr="00817A35">
        <w:rPr>
          <w:rFonts w:ascii="Times New Roman" w:hAnsi="Times New Roman"/>
        </w:rPr>
        <w:t xml:space="preserve">population over a </w:t>
      </w:r>
      <w:r>
        <w:rPr>
          <w:rFonts w:ascii="Times New Roman" w:hAnsi="Times New Roman"/>
        </w:rPr>
        <w:t>given</w:t>
      </w:r>
      <w:r w:rsidRPr="00817A35">
        <w:rPr>
          <w:rFonts w:ascii="Times New Roman" w:hAnsi="Times New Roman"/>
        </w:rPr>
        <w:t xml:space="preserve"> period of time.   Because this type of temporal control is usually lacking in skeletal samples, the frequency of pathological conditions are thus reported as prevalence rates (Lovell 2008).  Prevalence data is reported in percentages and is calculated by the formula n/N x 100, where n is the number of affected individuals or elements and N is the number of observable individuals or elements (Lowell 2008:349).  </w:t>
      </w:r>
    </w:p>
    <w:p w14:paraId="270D1496" w14:textId="77777777" w:rsidR="00933C62" w:rsidRDefault="00933C62" w:rsidP="00933C62">
      <w:pPr>
        <w:ind w:firstLine="720"/>
        <w:rPr>
          <w:rFonts w:ascii="Times New Roman" w:hAnsi="Times New Roman"/>
        </w:rPr>
      </w:pPr>
      <w:r>
        <w:rPr>
          <w:rFonts w:ascii="Times New Roman" w:hAnsi="Times New Roman"/>
        </w:rPr>
        <w:t>In this work</w:t>
      </w:r>
      <w:r w:rsidRPr="00817A35">
        <w:rPr>
          <w:rFonts w:ascii="Times New Roman" w:hAnsi="Times New Roman"/>
        </w:rPr>
        <w:t xml:space="preserve">, prevalence rates refer to </w:t>
      </w:r>
      <w:r>
        <w:rPr>
          <w:rFonts w:ascii="Times New Roman" w:hAnsi="Times New Roman"/>
        </w:rPr>
        <w:t xml:space="preserve">either the number of affected elements (bone) divided by the number of observable elements or </w:t>
      </w:r>
      <w:r w:rsidRPr="00817A35">
        <w:rPr>
          <w:rFonts w:ascii="Times New Roman" w:hAnsi="Times New Roman"/>
        </w:rPr>
        <w:t>the number of affected individuals divided by the num</w:t>
      </w:r>
      <w:r>
        <w:rPr>
          <w:rFonts w:ascii="Times New Roman" w:hAnsi="Times New Roman"/>
        </w:rPr>
        <w:t>ber of observable individuals.  In each instance, a clear definition will be provided.</w:t>
      </w:r>
    </w:p>
    <w:p w14:paraId="3BDB7EC8" w14:textId="77777777" w:rsidR="00933C62" w:rsidRDefault="00933C62" w:rsidP="009C5432">
      <w:pPr>
        <w:pStyle w:val="Heading3"/>
      </w:pPr>
      <w:bookmarkStart w:id="61" w:name="_Toc261025868"/>
      <w:r>
        <w:t>The Akers burial population</w:t>
      </w:r>
      <w:bookmarkEnd w:id="61"/>
    </w:p>
    <w:p w14:paraId="6E9B92A6" w14:textId="77777777" w:rsidR="00933C62" w:rsidRDefault="00933C62" w:rsidP="00933C62">
      <w:pPr>
        <w:ind w:firstLine="720"/>
        <w:rPr>
          <w:rFonts w:ascii="Times New Roman" w:hAnsi="Times New Roman"/>
        </w:rPr>
      </w:pPr>
      <w:r w:rsidRPr="000E633C">
        <w:rPr>
          <w:rFonts w:ascii="Times New Roman" w:hAnsi="Times New Roman"/>
        </w:rPr>
        <w:t>The WPA reported that they excavated 168 burials containing 204 individuals, including 11 children (Newkumet 1941b).  My thesis identified a minimum of 227 individuals, including 33 subadults (Rowe 2009:50).  Standard methods of aging and sexing the remains are detailed in Rowe 2009 and will not be repeated here.  Of the 222 analyzed individuals from the Akers site, 55, or 33% of the population, were too poorly preserved to assign even large age categories.  Due to their siz</w:t>
      </w:r>
      <w:r>
        <w:rPr>
          <w:rFonts w:ascii="Times New Roman" w:hAnsi="Times New Roman"/>
        </w:rPr>
        <w:t>e and general robusticity these</w:t>
      </w:r>
      <w:r w:rsidRPr="000E633C">
        <w:rPr>
          <w:rFonts w:ascii="Times New Roman" w:hAnsi="Times New Roman"/>
        </w:rPr>
        <w:t xml:space="preserve"> individuals are assumed to be adult.  The remaining 167 individuals were placed in relatively large age categories for statistical analysis.  Subadults were 20% of the burial population, young adults 22%, middle adults 39%, and older adults 19%.   The untransformed</w:t>
      </w:r>
      <w:r>
        <w:rPr>
          <w:rFonts w:ascii="Times New Roman" w:hAnsi="Times New Roman"/>
        </w:rPr>
        <w:t xml:space="preserve"> age distribution</w:t>
      </w:r>
      <w:r w:rsidRPr="000E633C">
        <w:rPr>
          <w:rFonts w:ascii="Times New Roman" w:hAnsi="Times New Roman"/>
        </w:rPr>
        <w:t xml:space="preserve"> data is shown in Table</w:t>
      </w:r>
      <w:r>
        <w:rPr>
          <w:rFonts w:ascii="Times New Roman" w:hAnsi="Times New Roman"/>
        </w:rPr>
        <w:t xml:space="preserve"> 5</w:t>
      </w:r>
      <w:r w:rsidRPr="000E633C">
        <w:rPr>
          <w:rFonts w:ascii="Times New Roman" w:hAnsi="Times New Roman"/>
        </w:rPr>
        <w:t>.</w:t>
      </w:r>
    </w:p>
    <w:p w14:paraId="6155DBE5" w14:textId="77777777" w:rsidR="00933C62" w:rsidRPr="00D754AB" w:rsidRDefault="00933C62" w:rsidP="00133F61">
      <w:pPr>
        <w:pStyle w:val="Caption"/>
      </w:pPr>
      <w:bookmarkStart w:id="62" w:name="_Toc261025233"/>
      <w:r>
        <w:t xml:space="preserve">Table </w:t>
      </w:r>
      <w:fldSimple w:instr=" SEQ Table \* ARABIC ">
        <w:r w:rsidR="00396EB3">
          <w:rPr>
            <w:noProof/>
          </w:rPr>
          <w:t>5</w:t>
        </w:r>
      </w:fldSimple>
      <w:r>
        <w:t xml:space="preserve">  Akers age distribution, adapted from Rowe 2009</w:t>
      </w:r>
      <w:bookmarkEnd w:id="62"/>
    </w:p>
    <w:p w14:paraId="35E1C81E" w14:textId="77777777" w:rsidR="00933C62" w:rsidRDefault="00933C62" w:rsidP="00133F61">
      <w:pPr>
        <w:pStyle w:val="Caption"/>
      </w:pPr>
    </w:p>
    <w:tbl>
      <w:tblPr>
        <w:tblW w:w="0" w:type="auto"/>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8"/>
        <w:gridCol w:w="1500"/>
        <w:gridCol w:w="624"/>
        <w:gridCol w:w="576"/>
      </w:tblGrid>
      <w:tr w:rsidR="00933C62" w:rsidRPr="000E633C" w14:paraId="287C30D3" w14:textId="77777777" w:rsidTr="006E6C4E">
        <w:trPr>
          <w:jc w:val="center"/>
        </w:trPr>
        <w:tc>
          <w:tcPr>
            <w:tcW w:w="1608" w:type="dxa"/>
          </w:tcPr>
          <w:p w14:paraId="31C6FE44" w14:textId="77777777" w:rsidR="00933C62" w:rsidRPr="000E633C" w:rsidRDefault="00933C62" w:rsidP="006E6C4E">
            <w:pPr>
              <w:spacing w:line="240" w:lineRule="auto"/>
              <w:jc w:val="center"/>
              <w:rPr>
                <w:rFonts w:ascii="Times New Roman" w:hAnsi="Times New Roman"/>
                <w:b/>
              </w:rPr>
            </w:pPr>
          </w:p>
        </w:tc>
        <w:tc>
          <w:tcPr>
            <w:tcW w:w="1500" w:type="dxa"/>
          </w:tcPr>
          <w:p w14:paraId="3A15489A" w14:textId="77777777" w:rsidR="00933C62" w:rsidRPr="000E633C" w:rsidRDefault="00933C62" w:rsidP="006E6C4E">
            <w:pPr>
              <w:spacing w:line="240" w:lineRule="auto"/>
              <w:jc w:val="center"/>
              <w:rPr>
                <w:rFonts w:ascii="Times New Roman" w:hAnsi="Times New Roman"/>
                <w:b/>
              </w:rPr>
            </w:pPr>
            <w:r w:rsidRPr="000E633C">
              <w:rPr>
                <w:rFonts w:ascii="Times New Roman" w:hAnsi="Times New Roman"/>
                <w:b/>
              </w:rPr>
              <w:t>Age Range</w:t>
            </w:r>
          </w:p>
        </w:tc>
        <w:tc>
          <w:tcPr>
            <w:tcW w:w="624" w:type="dxa"/>
          </w:tcPr>
          <w:p w14:paraId="5D8F03E0" w14:textId="77777777" w:rsidR="00933C62" w:rsidRPr="000E633C" w:rsidRDefault="00933C62" w:rsidP="006E6C4E">
            <w:pPr>
              <w:spacing w:line="240" w:lineRule="auto"/>
              <w:jc w:val="center"/>
              <w:rPr>
                <w:rFonts w:ascii="Times New Roman" w:hAnsi="Times New Roman"/>
                <w:b/>
              </w:rPr>
            </w:pPr>
            <w:r w:rsidRPr="000E633C">
              <w:rPr>
                <w:rFonts w:ascii="Times New Roman" w:hAnsi="Times New Roman"/>
                <w:b/>
              </w:rPr>
              <w:t>N</w:t>
            </w:r>
          </w:p>
        </w:tc>
        <w:tc>
          <w:tcPr>
            <w:tcW w:w="493" w:type="dxa"/>
          </w:tcPr>
          <w:p w14:paraId="52949099" w14:textId="77777777" w:rsidR="00933C62" w:rsidRPr="000E633C" w:rsidRDefault="00933C62" w:rsidP="006E6C4E">
            <w:pPr>
              <w:spacing w:line="240" w:lineRule="auto"/>
              <w:jc w:val="center"/>
              <w:rPr>
                <w:rFonts w:ascii="Times New Roman" w:hAnsi="Times New Roman"/>
                <w:b/>
                <w:i/>
              </w:rPr>
            </w:pPr>
            <w:r w:rsidRPr="000E633C">
              <w:rPr>
                <w:rFonts w:ascii="Times New Roman" w:hAnsi="Times New Roman"/>
                <w:b/>
                <w:i/>
              </w:rPr>
              <w:t>f</w:t>
            </w:r>
          </w:p>
        </w:tc>
      </w:tr>
      <w:tr w:rsidR="00933C62" w:rsidRPr="000E633C" w14:paraId="30438D46" w14:textId="77777777" w:rsidTr="006E6C4E">
        <w:trPr>
          <w:jc w:val="center"/>
        </w:trPr>
        <w:tc>
          <w:tcPr>
            <w:tcW w:w="1608" w:type="dxa"/>
          </w:tcPr>
          <w:p w14:paraId="3F69D011" w14:textId="77777777" w:rsidR="00933C62" w:rsidRPr="000E633C" w:rsidRDefault="00933C62" w:rsidP="006E6C4E">
            <w:pPr>
              <w:spacing w:line="240" w:lineRule="auto"/>
              <w:rPr>
                <w:rFonts w:ascii="Times New Roman" w:hAnsi="Times New Roman"/>
                <w:b/>
              </w:rPr>
            </w:pPr>
            <w:r w:rsidRPr="000E633C">
              <w:rPr>
                <w:rFonts w:ascii="Times New Roman" w:hAnsi="Times New Roman"/>
                <w:b/>
              </w:rPr>
              <w:t>Subadult</w:t>
            </w:r>
          </w:p>
        </w:tc>
        <w:tc>
          <w:tcPr>
            <w:tcW w:w="1500" w:type="dxa"/>
          </w:tcPr>
          <w:p w14:paraId="595FE59B"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0-15 years</w:t>
            </w:r>
          </w:p>
        </w:tc>
        <w:tc>
          <w:tcPr>
            <w:tcW w:w="624" w:type="dxa"/>
          </w:tcPr>
          <w:p w14:paraId="4EF84572"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33</w:t>
            </w:r>
          </w:p>
        </w:tc>
        <w:tc>
          <w:tcPr>
            <w:tcW w:w="493" w:type="dxa"/>
          </w:tcPr>
          <w:p w14:paraId="258D13F6"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20</w:t>
            </w:r>
          </w:p>
        </w:tc>
      </w:tr>
      <w:tr w:rsidR="00933C62" w:rsidRPr="000E633C" w14:paraId="46E34737" w14:textId="77777777" w:rsidTr="006E6C4E">
        <w:trPr>
          <w:jc w:val="center"/>
        </w:trPr>
        <w:tc>
          <w:tcPr>
            <w:tcW w:w="1608" w:type="dxa"/>
          </w:tcPr>
          <w:p w14:paraId="2A8F8628" w14:textId="77777777" w:rsidR="00933C62" w:rsidRPr="000E633C" w:rsidRDefault="00933C62" w:rsidP="006E6C4E">
            <w:pPr>
              <w:spacing w:line="240" w:lineRule="auto"/>
              <w:rPr>
                <w:rFonts w:ascii="Times New Roman" w:hAnsi="Times New Roman"/>
                <w:b/>
              </w:rPr>
            </w:pPr>
            <w:r w:rsidRPr="000E633C">
              <w:rPr>
                <w:rFonts w:ascii="Times New Roman" w:hAnsi="Times New Roman"/>
                <w:b/>
              </w:rPr>
              <w:t>Young Adult</w:t>
            </w:r>
          </w:p>
        </w:tc>
        <w:tc>
          <w:tcPr>
            <w:tcW w:w="1500" w:type="dxa"/>
          </w:tcPr>
          <w:p w14:paraId="5F1A6A32"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16-29 years</w:t>
            </w:r>
          </w:p>
        </w:tc>
        <w:tc>
          <w:tcPr>
            <w:tcW w:w="624" w:type="dxa"/>
          </w:tcPr>
          <w:p w14:paraId="1368ECD0"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37</w:t>
            </w:r>
          </w:p>
        </w:tc>
        <w:tc>
          <w:tcPr>
            <w:tcW w:w="493" w:type="dxa"/>
          </w:tcPr>
          <w:p w14:paraId="3B51A993"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22</w:t>
            </w:r>
          </w:p>
        </w:tc>
      </w:tr>
      <w:tr w:rsidR="00933C62" w:rsidRPr="000E633C" w14:paraId="0EAEF5A7" w14:textId="77777777" w:rsidTr="006E6C4E">
        <w:trPr>
          <w:jc w:val="center"/>
        </w:trPr>
        <w:tc>
          <w:tcPr>
            <w:tcW w:w="1608" w:type="dxa"/>
          </w:tcPr>
          <w:p w14:paraId="182FE884" w14:textId="77777777" w:rsidR="00933C62" w:rsidRPr="000E633C" w:rsidRDefault="00933C62" w:rsidP="006E6C4E">
            <w:pPr>
              <w:spacing w:line="240" w:lineRule="auto"/>
              <w:rPr>
                <w:rFonts w:ascii="Times New Roman" w:hAnsi="Times New Roman"/>
                <w:b/>
              </w:rPr>
            </w:pPr>
            <w:r w:rsidRPr="000E633C">
              <w:rPr>
                <w:rFonts w:ascii="Times New Roman" w:hAnsi="Times New Roman"/>
                <w:b/>
              </w:rPr>
              <w:t>Middle Adult</w:t>
            </w:r>
          </w:p>
        </w:tc>
        <w:tc>
          <w:tcPr>
            <w:tcW w:w="1500" w:type="dxa"/>
          </w:tcPr>
          <w:p w14:paraId="00F7DA23"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30-49 years</w:t>
            </w:r>
          </w:p>
        </w:tc>
        <w:tc>
          <w:tcPr>
            <w:tcW w:w="624" w:type="dxa"/>
          </w:tcPr>
          <w:p w14:paraId="3F781D73"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65</w:t>
            </w:r>
          </w:p>
        </w:tc>
        <w:tc>
          <w:tcPr>
            <w:tcW w:w="493" w:type="dxa"/>
          </w:tcPr>
          <w:p w14:paraId="7E0E891C"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39</w:t>
            </w:r>
          </w:p>
        </w:tc>
      </w:tr>
      <w:tr w:rsidR="00933C62" w:rsidRPr="000E633C" w14:paraId="75117607" w14:textId="77777777" w:rsidTr="006E6C4E">
        <w:trPr>
          <w:jc w:val="center"/>
        </w:trPr>
        <w:tc>
          <w:tcPr>
            <w:tcW w:w="1608" w:type="dxa"/>
          </w:tcPr>
          <w:p w14:paraId="6912D285" w14:textId="77777777" w:rsidR="00933C62" w:rsidRPr="000E633C" w:rsidRDefault="00933C62" w:rsidP="006E6C4E">
            <w:pPr>
              <w:spacing w:line="240" w:lineRule="auto"/>
              <w:rPr>
                <w:rFonts w:ascii="Times New Roman" w:hAnsi="Times New Roman"/>
                <w:b/>
              </w:rPr>
            </w:pPr>
            <w:r w:rsidRPr="000E633C">
              <w:rPr>
                <w:rFonts w:ascii="Times New Roman" w:hAnsi="Times New Roman"/>
                <w:b/>
              </w:rPr>
              <w:t>Old Adult</w:t>
            </w:r>
          </w:p>
        </w:tc>
        <w:tc>
          <w:tcPr>
            <w:tcW w:w="1500" w:type="dxa"/>
          </w:tcPr>
          <w:p w14:paraId="122323C4"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50+ years</w:t>
            </w:r>
          </w:p>
        </w:tc>
        <w:tc>
          <w:tcPr>
            <w:tcW w:w="624" w:type="dxa"/>
          </w:tcPr>
          <w:p w14:paraId="691FDBCF"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32</w:t>
            </w:r>
          </w:p>
        </w:tc>
        <w:tc>
          <w:tcPr>
            <w:tcW w:w="493" w:type="dxa"/>
          </w:tcPr>
          <w:p w14:paraId="06408A97"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19</w:t>
            </w:r>
          </w:p>
        </w:tc>
      </w:tr>
      <w:tr w:rsidR="00933C62" w:rsidRPr="000E633C" w14:paraId="79328279" w14:textId="77777777" w:rsidTr="006E6C4E">
        <w:trPr>
          <w:jc w:val="center"/>
        </w:trPr>
        <w:tc>
          <w:tcPr>
            <w:tcW w:w="1608" w:type="dxa"/>
          </w:tcPr>
          <w:p w14:paraId="39E9ED12" w14:textId="77777777" w:rsidR="00933C62" w:rsidRPr="000E633C" w:rsidRDefault="00933C62" w:rsidP="006E6C4E">
            <w:pPr>
              <w:spacing w:line="240" w:lineRule="auto"/>
              <w:jc w:val="center"/>
              <w:rPr>
                <w:rFonts w:ascii="Times New Roman" w:hAnsi="Times New Roman"/>
                <w:b/>
              </w:rPr>
            </w:pPr>
          </w:p>
        </w:tc>
        <w:tc>
          <w:tcPr>
            <w:tcW w:w="1500" w:type="dxa"/>
          </w:tcPr>
          <w:p w14:paraId="5E388F33" w14:textId="77777777" w:rsidR="00933C62" w:rsidRPr="000E633C" w:rsidRDefault="00933C62" w:rsidP="006E6C4E">
            <w:pPr>
              <w:spacing w:line="240" w:lineRule="auto"/>
              <w:jc w:val="center"/>
              <w:rPr>
                <w:rFonts w:ascii="Times New Roman" w:hAnsi="Times New Roman"/>
                <w:b/>
              </w:rPr>
            </w:pPr>
            <w:r w:rsidRPr="000E633C">
              <w:rPr>
                <w:rFonts w:ascii="Times New Roman" w:hAnsi="Times New Roman"/>
                <w:b/>
              </w:rPr>
              <w:t>Total</w:t>
            </w:r>
          </w:p>
        </w:tc>
        <w:tc>
          <w:tcPr>
            <w:tcW w:w="624" w:type="dxa"/>
          </w:tcPr>
          <w:p w14:paraId="3ADA7231" w14:textId="77777777" w:rsidR="00933C62" w:rsidRPr="000E633C" w:rsidRDefault="00933C62" w:rsidP="006E6C4E">
            <w:pPr>
              <w:spacing w:line="240" w:lineRule="auto"/>
              <w:jc w:val="right"/>
              <w:rPr>
                <w:rFonts w:ascii="Times New Roman" w:hAnsi="Times New Roman"/>
                <w:b/>
              </w:rPr>
            </w:pPr>
            <w:r w:rsidRPr="000E633C">
              <w:rPr>
                <w:rFonts w:ascii="Times New Roman" w:hAnsi="Times New Roman"/>
                <w:b/>
              </w:rPr>
              <w:t>167</w:t>
            </w:r>
          </w:p>
        </w:tc>
        <w:tc>
          <w:tcPr>
            <w:tcW w:w="493" w:type="dxa"/>
          </w:tcPr>
          <w:p w14:paraId="695B9365" w14:textId="77777777" w:rsidR="00933C62" w:rsidRPr="000E633C" w:rsidRDefault="00933C62" w:rsidP="006E6C4E">
            <w:pPr>
              <w:spacing w:line="240" w:lineRule="auto"/>
              <w:jc w:val="right"/>
              <w:rPr>
                <w:rFonts w:ascii="Times New Roman" w:hAnsi="Times New Roman"/>
                <w:b/>
              </w:rPr>
            </w:pPr>
            <w:r w:rsidRPr="000E633C">
              <w:rPr>
                <w:rFonts w:ascii="Times New Roman" w:hAnsi="Times New Roman"/>
                <w:b/>
              </w:rPr>
              <w:t>100</w:t>
            </w:r>
          </w:p>
        </w:tc>
      </w:tr>
    </w:tbl>
    <w:p w14:paraId="21C454AB" w14:textId="77777777" w:rsidR="00933C62" w:rsidRDefault="00933C62" w:rsidP="00933C62">
      <w:pPr>
        <w:spacing w:line="240" w:lineRule="auto"/>
        <w:ind w:firstLine="720"/>
      </w:pPr>
    </w:p>
    <w:p w14:paraId="03F0EF94" w14:textId="77777777" w:rsidR="00933C62" w:rsidRDefault="00933C62" w:rsidP="00933C62">
      <w:pPr>
        <w:spacing w:line="240" w:lineRule="auto"/>
        <w:ind w:firstLine="720"/>
        <w:outlineLvl w:val="0"/>
        <w:rPr>
          <w:rFonts w:ascii="Times New Roman" w:hAnsi="Times New Roman"/>
        </w:rPr>
      </w:pPr>
    </w:p>
    <w:p w14:paraId="6D452603" w14:textId="2823674A" w:rsidR="00933C62" w:rsidRPr="00B15D41" w:rsidRDefault="00933C62" w:rsidP="00D70C0E">
      <w:pPr>
        <w:ind w:firstLine="720"/>
        <w:outlineLvl w:val="0"/>
        <w:rPr>
          <w:rFonts w:ascii="Times New Roman" w:hAnsi="Times New Roman"/>
        </w:rPr>
      </w:pPr>
      <w:r w:rsidRPr="000E633C">
        <w:rPr>
          <w:rFonts w:ascii="Times New Roman" w:hAnsi="Times New Roman"/>
        </w:rPr>
        <w:t xml:space="preserve">One of the more unusual aspects of the burials from the Akers site was the unequal sex ratio (Rowe 2009).  Although 23% of the adults were too fragmented or fragmentary for confident sex assignment, the remaining adults </w:t>
      </w:r>
      <w:r>
        <w:rPr>
          <w:rFonts w:ascii="Times New Roman" w:hAnsi="Times New Roman"/>
        </w:rPr>
        <w:t>had</w:t>
      </w:r>
      <w:r w:rsidRPr="000E633C">
        <w:rPr>
          <w:rFonts w:ascii="Times New Roman" w:hAnsi="Times New Roman"/>
        </w:rPr>
        <w:t xml:space="preserve"> a preponderance of adult females.  There were 90 adult females to 53 adult males</w:t>
      </w:r>
      <w:r>
        <w:rPr>
          <w:rFonts w:ascii="Times New Roman" w:hAnsi="Times New Roman"/>
        </w:rPr>
        <w:t xml:space="preserve"> (Table 6</w:t>
      </w:r>
      <w:r w:rsidRPr="000E633C">
        <w:rPr>
          <w:rFonts w:ascii="Times New Roman" w:hAnsi="Times New Roman"/>
        </w:rPr>
        <w:t xml:space="preserve">), giving a </w:t>
      </w:r>
      <w:r w:rsidR="005544F1">
        <w:rPr>
          <w:rFonts w:ascii="Times New Roman" w:hAnsi="Times New Roman"/>
        </w:rPr>
        <w:t>male:f</w:t>
      </w:r>
      <w:r w:rsidR="005544F1" w:rsidRPr="000E633C">
        <w:rPr>
          <w:rFonts w:ascii="Times New Roman" w:hAnsi="Times New Roman"/>
        </w:rPr>
        <w:t>emale</w:t>
      </w:r>
      <w:r w:rsidRPr="000E633C">
        <w:rPr>
          <w:rFonts w:ascii="Times New Roman" w:hAnsi="Times New Roman"/>
        </w:rPr>
        <w:t xml:space="preserve"> Ratio of .6</w:t>
      </w:r>
      <w:r>
        <w:rPr>
          <w:rFonts w:ascii="Times New Roman" w:hAnsi="Times New Roman"/>
        </w:rPr>
        <w:t>, instead of the expected ratio of close to 1</w:t>
      </w:r>
      <w:r w:rsidRPr="000E633C">
        <w:rPr>
          <w:rFonts w:ascii="Times New Roman" w:hAnsi="Times New Roman"/>
        </w:rPr>
        <w:t>.  As the Akers mound was more or less completely excavated, it is unlikely that the excavators overlooked a section where the “missing” males were interred.  Given the larger, more robust bone structure of adult males, it is also unlikely that the individuals too poorly preserved for sex determination were disproportionately male.  The sex ratio of 0.6 should be taken as an accurate reflection of the burial population from the Akers site.</w:t>
      </w:r>
    </w:p>
    <w:p w14:paraId="10D03A7A" w14:textId="77777777" w:rsidR="00933C62" w:rsidRDefault="00933C62" w:rsidP="00133F61">
      <w:pPr>
        <w:pStyle w:val="Caption"/>
      </w:pPr>
      <w:bookmarkStart w:id="63" w:name="_Toc261025234"/>
      <w:r>
        <w:t xml:space="preserve">Table </w:t>
      </w:r>
      <w:fldSimple w:instr=" SEQ Table \* ARABIC ">
        <w:r w:rsidR="00396EB3">
          <w:rPr>
            <w:noProof/>
          </w:rPr>
          <w:t>6</w:t>
        </w:r>
      </w:fldSimple>
      <w:r>
        <w:t xml:space="preserve">  Adult male and female counts, adapted from Rowe 2009</w:t>
      </w:r>
      <w:bookmarkEnd w:id="63"/>
    </w:p>
    <w:p w14:paraId="1F6017B0" w14:textId="77777777" w:rsidR="00933C62" w:rsidRDefault="00933C62" w:rsidP="00133F61">
      <w:pPr>
        <w:pStyle w:val="Cap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3"/>
        <w:gridCol w:w="888"/>
      </w:tblGrid>
      <w:tr w:rsidR="00933C62" w:rsidRPr="000E633C" w14:paraId="20523B5A" w14:textId="77777777" w:rsidTr="006E6C4E">
        <w:trPr>
          <w:jc w:val="center"/>
        </w:trPr>
        <w:tc>
          <w:tcPr>
            <w:tcW w:w="1683" w:type="dxa"/>
          </w:tcPr>
          <w:p w14:paraId="44798BB6" w14:textId="77777777" w:rsidR="00933C62" w:rsidRPr="00A04328" w:rsidRDefault="00933C62" w:rsidP="006E6C4E">
            <w:pPr>
              <w:spacing w:line="240" w:lineRule="auto"/>
              <w:jc w:val="center"/>
              <w:rPr>
                <w:rFonts w:ascii="Times New Roman" w:hAnsi="Times New Roman"/>
                <w:b/>
              </w:rPr>
            </w:pPr>
            <w:r w:rsidRPr="00A04328">
              <w:rPr>
                <w:rFonts w:ascii="Times New Roman" w:hAnsi="Times New Roman"/>
                <w:b/>
              </w:rPr>
              <w:t>Sex</w:t>
            </w:r>
          </w:p>
        </w:tc>
        <w:tc>
          <w:tcPr>
            <w:tcW w:w="888" w:type="dxa"/>
          </w:tcPr>
          <w:p w14:paraId="05F1979E" w14:textId="77777777" w:rsidR="00933C62" w:rsidRPr="000E633C" w:rsidRDefault="00933C62" w:rsidP="006E6C4E">
            <w:pPr>
              <w:spacing w:line="240" w:lineRule="auto"/>
              <w:jc w:val="center"/>
              <w:rPr>
                <w:rFonts w:ascii="Times New Roman" w:hAnsi="Times New Roman"/>
                <w:b/>
              </w:rPr>
            </w:pPr>
            <w:r>
              <w:rPr>
                <w:rFonts w:ascii="Times New Roman" w:hAnsi="Times New Roman"/>
                <w:b/>
              </w:rPr>
              <w:t>n</w:t>
            </w:r>
          </w:p>
        </w:tc>
      </w:tr>
      <w:tr w:rsidR="00933C62" w:rsidRPr="000E633C" w14:paraId="7919358D" w14:textId="77777777" w:rsidTr="006E6C4E">
        <w:trPr>
          <w:jc w:val="center"/>
        </w:trPr>
        <w:tc>
          <w:tcPr>
            <w:tcW w:w="1683" w:type="dxa"/>
          </w:tcPr>
          <w:p w14:paraId="0DBBB2F5" w14:textId="77777777" w:rsidR="00933C62" w:rsidRPr="000E633C" w:rsidRDefault="00933C62" w:rsidP="006E6C4E">
            <w:pPr>
              <w:spacing w:line="240" w:lineRule="auto"/>
              <w:rPr>
                <w:rFonts w:ascii="Times New Roman" w:hAnsi="Times New Roman"/>
                <w:b/>
              </w:rPr>
            </w:pPr>
            <w:r w:rsidRPr="000E633C">
              <w:rPr>
                <w:rFonts w:ascii="Times New Roman" w:hAnsi="Times New Roman"/>
                <w:b/>
              </w:rPr>
              <w:t>Male</w:t>
            </w:r>
          </w:p>
        </w:tc>
        <w:tc>
          <w:tcPr>
            <w:tcW w:w="888" w:type="dxa"/>
          </w:tcPr>
          <w:p w14:paraId="74CD0A83"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53</w:t>
            </w:r>
          </w:p>
        </w:tc>
      </w:tr>
      <w:tr w:rsidR="00933C62" w:rsidRPr="000E633C" w14:paraId="5098E9CD" w14:textId="77777777" w:rsidTr="006E6C4E">
        <w:trPr>
          <w:jc w:val="center"/>
        </w:trPr>
        <w:tc>
          <w:tcPr>
            <w:tcW w:w="1683" w:type="dxa"/>
          </w:tcPr>
          <w:p w14:paraId="57286D10" w14:textId="77777777" w:rsidR="00933C62" w:rsidRPr="000E633C" w:rsidRDefault="00933C62" w:rsidP="006E6C4E">
            <w:pPr>
              <w:spacing w:line="240" w:lineRule="auto"/>
              <w:rPr>
                <w:rFonts w:ascii="Times New Roman" w:hAnsi="Times New Roman"/>
                <w:b/>
              </w:rPr>
            </w:pPr>
            <w:r w:rsidRPr="000E633C">
              <w:rPr>
                <w:rFonts w:ascii="Times New Roman" w:hAnsi="Times New Roman"/>
                <w:b/>
              </w:rPr>
              <w:t>Female</w:t>
            </w:r>
          </w:p>
        </w:tc>
        <w:tc>
          <w:tcPr>
            <w:tcW w:w="888" w:type="dxa"/>
          </w:tcPr>
          <w:p w14:paraId="44ECEEFB"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90</w:t>
            </w:r>
          </w:p>
        </w:tc>
      </w:tr>
      <w:tr w:rsidR="00933C62" w:rsidRPr="000E633C" w14:paraId="787713FF" w14:textId="77777777" w:rsidTr="006E6C4E">
        <w:trPr>
          <w:jc w:val="center"/>
        </w:trPr>
        <w:tc>
          <w:tcPr>
            <w:tcW w:w="1683" w:type="dxa"/>
          </w:tcPr>
          <w:p w14:paraId="154E366A" w14:textId="77777777" w:rsidR="00933C62" w:rsidRPr="000E633C" w:rsidRDefault="00933C62" w:rsidP="006E6C4E">
            <w:pPr>
              <w:spacing w:line="240" w:lineRule="auto"/>
              <w:rPr>
                <w:rFonts w:ascii="Times New Roman" w:hAnsi="Times New Roman"/>
                <w:b/>
              </w:rPr>
            </w:pPr>
            <w:r>
              <w:rPr>
                <w:rFonts w:ascii="Times New Roman" w:hAnsi="Times New Roman"/>
                <w:b/>
              </w:rPr>
              <w:t>Indeterminate</w:t>
            </w:r>
          </w:p>
        </w:tc>
        <w:tc>
          <w:tcPr>
            <w:tcW w:w="888" w:type="dxa"/>
          </w:tcPr>
          <w:p w14:paraId="748A4B49"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43</w:t>
            </w:r>
          </w:p>
        </w:tc>
      </w:tr>
      <w:tr w:rsidR="00933C62" w:rsidRPr="000E633C" w14:paraId="794210F3" w14:textId="77777777" w:rsidTr="006E6C4E">
        <w:trPr>
          <w:jc w:val="center"/>
        </w:trPr>
        <w:tc>
          <w:tcPr>
            <w:tcW w:w="1683" w:type="dxa"/>
          </w:tcPr>
          <w:p w14:paraId="0B470DCF" w14:textId="77777777" w:rsidR="00933C62" w:rsidRPr="000E633C" w:rsidRDefault="00933C62" w:rsidP="006E6C4E">
            <w:pPr>
              <w:spacing w:line="240" w:lineRule="auto"/>
              <w:rPr>
                <w:rFonts w:ascii="Times New Roman" w:hAnsi="Times New Roman"/>
                <w:b/>
              </w:rPr>
            </w:pPr>
            <w:r w:rsidRPr="000E633C">
              <w:rPr>
                <w:rFonts w:ascii="Times New Roman" w:hAnsi="Times New Roman"/>
                <w:b/>
              </w:rPr>
              <w:t>Total</w:t>
            </w:r>
          </w:p>
        </w:tc>
        <w:tc>
          <w:tcPr>
            <w:tcW w:w="888" w:type="dxa"/>
          </w:tcPr>
          <w:p w14:paraId="3FE96E87" w14:textId="77777777" w:rsidR="00933C62" w:rsidRPr="000E633C" w:rsidRDefault="00933C62" w:rsidP="006E6C4E">
            <w:pPr>
              <w:spacing w:line="240" w:lineRule="auto"/>
              <w:jc w:val="right"/>
              <w:rPr>
                <w:rFonts w:ascii="Times New Roman" w:hAnsi="Times New Roman"/>
              </w:rPr>
            </w:pPr>
            <w:r w:rsidRPr="000E633C">
              <w:rPr>
                <w:rFonts w:ascii="Times New Roman" w:hAnsi="Times New Roman"/>
              </w:rPr>
              <w:t>186</w:t>
            </w:r>
          </w:p>
        </w:tc>
      </w:tr>
    </w:tbl>
    <w:p w14:paraId="7691274C" w14:textId="77777777" w:rsidR="00933C62" w:rsidRDefault="00933C62" w:rsidP="007F6BCD">
      <w:pPr>
        <w:spacing w:line="240" w:lineRule="auto"/>
        <w:rPr>
          <w:rFonts w:ascii="Times New Roman" w:hAnsi="Times New Roman"/>
        </w:rPr>
      </w:pPr>
    </w:p>
    <w:p w14:paraId="399D738A" w14:textId="77777777" w:rsidR="00933C62" w:rsidRDefault="00933C62" w:rsidP="009C5432">
      <w:pPr>
        <w:pStyle w:val="Heading3"/>
      </w:pPr>
      <w:bookmarkStart w:id="64" w:name="_Toc261025869"/>
      <w:r>
        <w:t>The Current Study Subsample</w:t>
      </w:r>
      <w:bookmarkEnd w:id="64"/>
    </w:p>
    <w:p w14:paraId="68664262" w14:textId="77777777" w:rsidR="00933C62" w:rsidRDefault="00933C62" w:rsidP="00874944">
      <w:pPr>
        <w:ind w:firstLine="720"/>
        <w:rPr>
          <w:rFonts w:ascii="Times New Roman" w:hAnsi="Times New Roman"/>
        </w:rPr>
      </w:pPr>
      <w:r>
        <w:rPr>
          <w:rFonts w:ascii="Times New Roman" w:hAnsi="Times New Roman"/>
        </w:rPr>
        <w:t xml:space="preserve">The condition and completeness of the skeletal remains from the Akers site varied enormously.  </w:t>
      </w:r>
      <w:r w:rsidRPr="00266741">
        <w:rPr>
          <w:rFonts w:ascii="Times New Roman" w:hAnsi="Times New Roman"/>
        </w:rPr>
        <w:t>Due to poor preservation and/or excavator error, very few vertebrae or ribs were collected.  As a result, the vertebra</w:t>
      </w:r>
      <w:r>
        <w:rPr>
          <w:rFonts w:ascii="Times New Roman" w:hAnsi="Times New Roman"/>
        </w:rPr>
        <w:t>e and ribs were not analyzed</w:t>
      </w:r>
      <w:r w:rsidRPr="00266741">
        <w:rPr>
          <w:rFonts w:ascii="Times New Roman" w:hAnsi="Times New Roman"/>
        </w:rPr>
        <w:t xml:space="preserve"> in this study.  Similarly, few hand or wrist bones are in the collection, and these were not analyzed.  There were more feet and ankle bones, and, when available,</w:t>
      </w:r>
      <w:r>
        <w:rPr>
          <w:rFonts w:ascii="Times New Roman" w:hAnsi="Times New Roman"/>
        </w:rPr>
        <w:t xml:space="preserve"> the talus and calcaneus were</w:t>
      </w:r>
      <w:r w:rsidRPr="00266741">
        <w:rPr>
          <w:rFonts w:ascii="Times New Roman" w:hAnsi="Times New Roman"/>
        </w:rPr>
        <w:t xml:space="preserve"> included in </w:t>
      </w:r>
      <w:r>
        <w:rPr>
          <w:rFonts w:ascii="Times New Roman" w:hAnsi="Times New Roman"/>
        </w:rPr>
        <w:t xml:space="preserve">the </w:t>
      </w:r>
      <w:r w:rsidRPr="00266741">
        <w:rPr>
          <w:rFonts w:ascii="Times New Roman" w:hAnsi="Times New Roman"/>
        </w:rPr>
        <w:t>analysis.</w:t>
      </w:r>
      <w:r>
        <w:rPr>
          <w:rFonts w:ascii="Times New Roman" w:hAnsi="Times New Roman"/>
        </w:rPr>
        <w:t xml:space="preserve"> </w:t>
      </w:r>
      <w:r w:rsidRPr="00266741">
        <w:rPr>
          <w:rFonts w:ascii="Times New Roman" w:hAnsi="Times New Roman"/>
        </w:rPr>
        <w:t xml:space="preserve"> Dental analysis</w:t>
      </w:r>
      <w:r>
        <w:rPr>
          <w:rFonts w:ascii="Times New Roman" w:hAnsi="Times New Roman"/>
        </w:rPr>
        <w:t xml:space="preserve"> is currently underway and will be reported at a later date.</w:t>
      </w:r>
      <w:r w:rsidRPr="00266741">
        <w:rPr>
          <w:rFonts w:ascii="Times New Roman" w:hAnsi="Times New Roman"/>
        </w:rPr>
        <w:t xml:space="preserve"> Paleopathology of the subadults </w:t>
      </w:r>
      <w:r>
        <w:rPr>
          <w:rFonts w:ascii="Times New Roman" w:hAnsi="Times New Roman"/>
        </w:rPr>
        <w:t xml:space="preserve">has been previously reported </w:t>
      </w:r>
      <w:r w:rsidRPr="00266741">
        <w:rPr>
          <w:rFonts w:ascii="Times New Roman" w:hAnsi="Times New Roman"/>
        </w:rPr>
        <w:t>in Rowe 2009.</w:t>
      </w:r>
      <w:r>
        <w:rPr>
          <w:rFonts w:ascii="Times New Roman" w:hAnsi="Times New Roman"/>
        </w:rPr>
        <w:t xml:space="preserve">  Other paleopathological  conditions not reported in this research will be reported under separate cover at a later date.</w:t>
      </w:r>
    </w:p>
    <w:p w14:paraId="360D8DDB" w14:textId="77777777" w:rsidR="00933C62" w:rsidRDefault="00933C62" w:rsidP="00933C62">
      <w:pPr>
        <w:ind w:firstLine="720"/>
        <w:rPr>
          <w:rFonts w:ascii="Times New Roman" w:hAnsi="Times New Roman"/>
        </w:rPr>
      </w:pPr>
      <w:r>
        <w:rPr>
          <w:rFonts w:ascii="Times New Roman" w:hAnsi="Times New Roman"/>
        </w:rPr>
        <w:t xml:space="preserve">Not all the individuals that were aged and sexed for the 2009 study were used in the current study.  Due to the incomplete nature of most of the skeletons, three broad regions were evaluated:  the crania, the upper limbs, and the lower limbs.  </w:t>
      </w:r>
      <w:r w:rsidRPr="00266741">
        <w:rPr>
          <w:rFonts w:ascii="Times New Roman" w:hAnsi="Times New Roman"/>
        </w:rPr>
        <w:t xml:space="preserve">In order for an individual to be included in the study, at least 50% of the </w:t>
      </w:r>
      <w:r>
        <w:rPr>
          <w:rFonts w:ascii="Times New Roman" w:hAnsi="Times New Roman"/>
        </w:rPr>
        <w:t>region under consideration had to be</w:t>
      </w:r>
      <w:r w:rsidRPr="00266741">
        <w:rPr>
          <w:rFonts w:ascii="Times New Roman" w:hAnsi="Times New Roman"/>
        </w:rPr>
        <w:t xml:space="preserve"> available and in good condition for examination.  One hundred eighteen of the best-preserved adult individuals </w:t>
      </w:r>
      <w:r>
        <w:rPr>
          <w:rFonts w:ascii="Times New Roman" w:hAnsi="Times New Roman"/>
        </w:rPr>
        <w:t>met the</w:t>
      </w:r>
      <w:r w:rsidRPr="00266741">
        <w:rPr>
          <w:rFonts w:ascii="Times New Roman" w:hAnsi="Times New Roman"/>
        </w:rPr>
        <w:t>s</w:t>
      </w:r>
      <w:r>
        <w:rPr>
          <w:rFonts w:ascii="Times New Roman" w:hAnsi="Times New Roman"/>
        </w:rPr>
        <w:t>e</w:t>
      </w:r>
      <w:r w:rsidRPr="00266741">
        <w:rPr>
          <w:rFonts w:ascii="Times New Roman" w:hAnsi="Times New Roman"/>
        </w:rPr>
        <w:t xml:space="preserve"> criteria and underwent paleopathological analysis beyond previous aging and sexing (</w:t>
      </w:r>
      <w:r>
        <w:rPr>
          <w:rFonts w:ascii="Times New Roman" w:hAnsi="Times New Roman"/>
        </w:rPr>
        <w:t xml:space="preserve">reported in </w:t>
      </w:r>
      <w:r w:rsidRPr="00266741">
        <w:rPr>
          <w:rFonts w:ascii="Times New Roman" w:hAnsi="Times New Roman"/>
        </w:rPr>
        <w:t>Rowe 2009)</w:t>
      </w:r>
      <w:r>
        <w:rPr>
          <w:rFonts w:ascii="Times New Roman" w:hAnsi="Times New Roman"/>
        </w:rPr>
        <w:t>.</w:t>
      </w:r>
    </w:p>
    <w:p w14:paraId="4107E5BF" w14:textId="77777777" w:rsidR="00933C62" w:rsidRPr="00266741" w:rsidRDefault="00933C62" w:rsidP="009C5432">
      <w:pPr>
        <w:pStyle w:val="Heading3"/>
      </w:pPr>
      <w:bookmarkStart w:id="65" w:name="_Toc261025870"/>
      <w:r>
        <w:t>Age and Sex of the Study Population</w:t>
      </w:r>
      <w:bookmarkEnd w:id="65"/>
    </w:p>
    <w:p w14:paraId="6705AC66" w14:textId="77777777" w:rsidR="00933C62" w:rsidRDefault="00933C62" w:rsidP="00933C62">
      <w:pPr>
        <w:ind w:firstLine="720"/>
        <w:rPr>
          <w:rFonts w:ascii="Times New Roman" w:hAnsi="Times New Roman"/>
        </w:rPr>
      </w:pPr>
      <w:r w:rsidRPr="00266741">
        <w:rPr>
          <w:rFonts w:ascii="Times New Roman" w:hAnsi="Times New Roman"/>
        </w:rPr>
        <w:t>All of the 118 individuals included in this study are aged as “Adult” (minimum 15 years skeletally).   Due to general poor preservation and the inherent inaccuracies of aging adult skeletons, age categories a</w:t>
      </w:r>
      <w:r>
        <w:rPr>
          <w:rFonts w:ascii="Times New Roman" w:hAnsi="Times New Roman"/>
        </w:rPr>
        <w:t>re reported in very broad terms.  Very Young Adults (VYA) are 15-19 years, Young Adults (YA) are 20-35 years, Middle Adults (MA) are 35-50 years, and Old Adults (OA) are 50+ years</w:t>
      </w:r>
      <w:r w:rsidRPr="00266741">
        <w:rPr>
          <w:rFonts w:ascii="Times New Roman" w:hAnsi="Times New Roman"/>
        </w:rPr>
        <w:t>.</w:t>
      </w:r>
      <w:r>
        <w:rPr>
          <w:rFonts w:ascii="Times New Roman" w:hAnsi="Times New Roman"/>
        </w:rPr>
        <w:t xml:space="preserve">  Due to the small number of very young adults, for most of the analyses that follow, this group is collapsed into the young adult group.  The untransformed age distribution data is presented in Table 7.</w:t>
      </w:r>
    </w:p>
    <w:p w14:paraId="5FB3A0FD" w14:textId="77777777" w:rsidR="00933C62" w:rsidRPr="00266741" w:rsidRDefault="00933C62" w:rsidP="00933C62">
      <w:pPr>
        <w:spacing w:line="240" w:lineRule="auto"/>
        <w:rPr>
          <w:rFonts w:ascii="Times New Roman" w:hAnsi="Times New Roman"/>
        </w:rPr>
      </w:pPr>
    </w:p>
    <w:p w14:paraId="0934053F" w14:textId="77777777" w:rsidR="00933C62" w:rsidRDefault="00933C62" w:rsidP="00133F61">
      <w:pPr>
        <w:pStyle w:val="Caption"/>
      </w:pPr>
      <w:bookmarkStart w:id="66" w:name="_Toc261025235"/>
      <w:r>
        <w:t xml:space="preserve">Table </w:t>
      </w:r>
      <w:fldSimple w:instr=" SEQ Table \* ARABIC ">
        <w:r w:rsidR="00396EB3">
          <w:rPr>
            <w:noProof/>
          </w:rPr>
          <w:t>7</w:t>
        </w:r>
      </w:fldSimple>
      <w:r>
        <w:t xml:space="preserve">  Age ranges of the study sample</w:t>
      </w:r>
      <w:bookmarkEnd w:id="66"/>
    </w:p>
    <w:p w14:paraId="2BB9F49D" w14:textId="77777777" w:rsidR="00933C62" w:rsidRPr="00266741" w:rsidRDefault="00933C62" w:rsidP="00133F61">
      <w:pPr>
        <w:pStyle w:val="Caption"/>
      </w:pPr>
    </w:p>
    <w:tbl>
      <w:tblPr>
        <w:tblStyle w:val="TableGrid"/>
        <w:tblW w:w="0" w:type="auto"/>
        <w:jc w:val="center"/>
        <w:tblInd w:w="-1214" w:type="dxa"/>
        <w:tblLook w:val="04A0" w:firstRow="1" w:lastRow="0" w:firstColumn="1" w:lastColumn="0" w:noHBand="0" w:noVBand="1"/>
      </w:tblPr>
      <w:tblGrid>
        <w:gridCol w:w="4103"/>
        <w:gridCol w:w="576"/>
        <w:gridCol w:w="636"/>
      </w:tblGrid>
      <w:tr w:rsidR="00933C62" w:rsidRPr="00B15D41" w14:paraId="74B5A0EE" w14:textId="77777777" w:rsidTr="006E6C4E">
        <w:trPr>
          <w:jc w:val="center"/>
        </w:trPr>
        <w:tc>
          <w:tcPr>
            <w:tcW w:w="4103" w:type="dxa"/>
          </w:tcPr>
          <w:p w14:paraId="17EA03C1" w14:textId="77777777" w:rsidR="00933C62" w:rsidRPr="00B15D41" w:rsidRDefault="00933C62" w:rsidP="006E6C4E">
            <w:pPr>
              <w:spacing w:line="240" w:lineRule="auto"/>
              <w:jc w:val="center"/>
              <w:rPr>
                <w:b/>
                <w:sz w:val="24"/>
                <w:szCs w:val="24"/>
              </w:rPr>
            </w:pPr>
            <w:r w:rsidRPr="00B15D41">
              <w:rPr>
                <w:b/>
                <w:sz w:val="24"/>
                <w:szCs w:val="24"/>
              </w:rPr>
              <w:t>Age Categories</w:t>
            </w:r>
          </w:p>
        </w:tc>
        <w:tc>
          <w:tcPr>
            <w:tcW w:w="576" w:type="dxa"/>
          </w:tcPr>
          <w:p w14:paraId="079EB8FE" w14:textId="77777777" w:rsidR="00933C62" w:rsidRPr="00B15D41" w:rsidRDefault="00933C62" w:rsidP="006E6C4E">
            <w:pPr>
              <w:spacing w:line="240" w:lineRule="auto"/>
              <w:jc w:val="center"/>
              <w:rPr>
                <w:b/>
                <w:sz w:val="24"/>
                <w:szCs w:val="24"/>
              </w:rPr>
            </w:pPr>
            <w:r w:rsidRPr="00B15D41">
              <w:rPr>
                <w:b/>
                <w:sz w:val="24"/>
                <w:szCs w:val="24"/>
              </w:rPr>
              <w:t>n</w:t>
            </w:r>
          </w:p>
        </w:tc>
        <w:tc>
          <w:tcPr>
            <w:tcW w:w="636" w:type="dxa"/>
          </w:tcPr>
          <w:p w14:paraId="6F2B8C63" w14:textId="77777777" w:rsidR="00933C62" w:rsidRPr="00B15D41" w:rsidRDefault="00933C62" w:rsidP="006E6C4E">
            <w:pPr>
              <w:spacing w:line="240" w:lineRule="auto"/>
              <w:jc w:val="center"/>
              <w:rPr>
                <w:b/>
                <w:i/>
                <w:sz w:val="24"/>
                <w:szCs w:val="24"/>
              </w:rPr>
            </w:pPr>
            <w:r w:rsidRPr="00B15D41">
              <w:rPr>
                <w:b/>
                <w:i/>
                <w:sz w:val="24"/>
                <w:szCs w:val="24"/>
              </w:rPr>
              <w:t>f</w:t>
            </w:r>
          </w:p>
        </w:tc>
      </w:tr>
      <w:tr w:rsidR="00933C62" w:rsidRPr="00B15D41" w14:paraId="634E2BE6" w14:textId="77777777" w:rsidTr="006E6C4E">
        <w:trPr>
          <w:jc w:val="center"/>
        </w:trPr>
        <w:tc>
          <w:tcPr>
            <w:tcW w:w="4103" w:type="dxa"/>
          </w:tcPr>
          <w:p w14:paraId="76EBCB1C" w14:textId="77777777" w:rsidR="00933C62" w:rsidRPr="00B15D41" w:rsidRDefault="00933C62" w:rsidP="006E6C4E">
            <w:pPr>
              <w:spacing w:line="240" w:lineRule="auto"/>
              <w:rPr>
                <w:sz w:val="24"/>
                <w:szCs w:val="24"/>
              </w:rPr>
            </w:pPr>
            <w:r w:rsidRPr="00B15D41">
              <w:rPr>
                <w:sz w:val="24"/>
                <w:szCs w:val="24"/>
              </w:rPr>
              <w:t>VYA = Very young adult 15 - 19 years</w:t>
            </w:r>
          </w:p>
        </w:tc>
        <w:tc>
          <w:tcPr>
            <w:tcW w:w="576" w:type="dxa"/>
          </w:tcPr>
          <w:p w14:paraId="4EDBECBA" w14:textId="77777777" w:rsidR="00933C62" w:rsidRPr="00B15D41" w:rsidRDefault="00933C62" w:rsidP="006E6C4E">
            <w:pPr>
              <w:spacing w:line="240" w:lineRule="auto"/>
              <w:jc w:val="right"/>
              <w:rPr>
                <w:sz w:val="24"/>
                <w:szCs w:val="24"/>
              </w:rPr>
            </w:pPr>
            <w:r w:rsidRPr="00B15D41">
              <w:rPr>
                <w:sz w:val="24"/>
                <w:szCs w:val="24"/>
              </w:rPr>
              <w:t>5</w:t>
            </w:r>
          </w:p>
        </w:tc>
        <w:tc>
          <w:tcPr>
            <w:tcW w:w="636" w:type="dxa"/>
          </w:tcPr>
          <w:p w14:paraId="661589A3" w14:textId="77777777" w:rsidR="00933C62" w:rsidRPr="00B15D41" w:rsidRDefault="00933C62" w:rsidP="006E6C4E">
            <w:pPr>
              <w:spacing w:line="240" w:lineRule="auto"/>
              <w:jc w:val="right"/>
              <w:rPr>
                <w:sz w:val="24"/>
                <w:szCs w:val="24"/>
              </w:rPr>
            </w:pPr>
            <w:r w:rsidRPr="00B15D41">
              <w:rPr>
                <w:sz w:val="24"/>
                <w:szCs w:val="24"/>
              </w:rPr>
              <w:t>.04</w:t>
            </w:r>
          </w:p>
        </w:tc>
      </w:tr>
      <w:tr w:rsidR="00933C62" w:rsidRPr="00B15D41" w14:paraId="73AB53F3" w14:textId="77777777" w:rsidTr="006E6C4E">
        <w:trPr>
          <w:jc w:val="center"/>
        </w:trPr>
        <w:tc>
          <w:tcPr>
            <w:tcW w:w="4103" w:type="dxa"/>
          </w:tcPr>
          <w:p w14:paraId="48F6EFCB" w14:textId="77777777" w:rsidR="00933C62" w:rsidRPr="00B15D41" w:rsidRDefault="00933C62" w:rsidP="006E6C4E">
            <w:pPr>
              <w:spacing w:line="240" w:lineRule="auto"/>
              <w:rPr>
                <w:sz w:val="24"/>
                <w:szCs w:val="24"/>
              </w:rPr>
            </w:pPr>
            <w:r>
              <w:rPr>
                <w:sz w:val="24"/>
                <w:szCs w:val="24"/>
              </w:rPr>
              <w:t xml:space="preserve">YA = </w:t>
            </w:r>
            <w:r w:rsidRPr="00B15D41">
              <w:rPr>
                <w:sz w:val="24"/>
                <w:szCs w:val="24"/>
              </w:rPr>
              <w:t>Young adult 20 – 35 years</w:t>
            </w:r>
          </w:p>
        </w:tc>
        <w:tc>
          <w:tcPr>
            <w:tcW w:w="576" w:type="dxa"/>
          </w:tcPr>
          <w:p w14:paraId="445A2566" w14:textId="77777777" w:rsidR="00933C62" w:rsidRPr="00B15D41" w:rsidRDefault="00933C62" w:rsidP="006E6C4E">
            <w:pPr>
              <w:spacing w:line="240" w:lineRule="auto"/>
              <w:jc w:val="right"/>
              <w:rPr>
                <w:sz w:val="24"/>
                <w:szCs w:val="24"/>
              </w:rPr>
            </w:pPr>
            <w:r w:rsidRPr="00B15D41">
              <w:rPr>
                <w:sz w:val="24"/>
                <w:szCs w:val="24"/>
              </w:rPr>
              <w:t>38</w:t>
            </w:r>
          </w:p>
        </w:tc>
        <w:tc>
          <w:tcPr>
            <w:tcW w:w="636" w:type="dxa"/>
          </w:tcPr>
          <w:p w14:paraId="51598E0C" w14:textId="77777777" w:rsidR="00933C62" w:rsidRPr="00B15D41" w:rsidRDefault="00933C62" w:rsidP="006E6C4E">
            <w:pPr>
              <w:spacing w:line="240" w:lineRule="auto"/>
              <w:jc w:val="right"/>
              <w:rPr>
                <w:sz w:val="24"/>
                <w:szCs w:val="24"/>
              </w:rPr>
            </w:pPr>
            <w:r w:rsidRPr="00B15D41">
              <w:rPr>
                <w:sz w:val="24"/>
                <w:szCs w:val="24"/>
              </w:rPr>
              <w:t>.32</w:t>
            </w:r>
          </w:p>
        </w:tc>
      </w:tr>
      <w:tr w:rsidR="00933C62" w:rsidRPr="00B15D41" w14:paraId="7FAA1331" w14:textId="77777777" w:rsidTr="006E6C4E">
        <w:trPr>
          <w:jc w:val="center"/>
        </w:trPr>
        <w:tc>
          <w:tcPr>
            <w:tcW w:w="4103" w:type="dxa"/>
          </w:tcPr>
          <w:p w14:paraId="0EC07935" w14:textId="77777777" w:rsidR="00933C62" w:rsidRPr="00B15D41" w:rsidRDefault="00933C62" w:rsidP="006E6C4E">
            <w:pPr>
              <w:spacing w:line="240" w:lineRule="auto"/>
              <w:rPr>
                <w:sz w:val="24"/>
                <w:szCs w:val="24"/>
              </w:rPr>
            </w:pPr>
            <w:r>
              <w:rPr>
                <w:sz w:val="24"/>
                <w:szCs w:val="24"/>
              </w:rPr>
              <w:t xml:space="preserve">MA = </w:t>
            </w:r>
            <w:r w:rsidRPr="00B15D41">
              <w:rPr>
                <w:sz w:val="24"/>
                <w:szCs w:val="24"/>
              </w:rPr>
              <w:t>Middle adult 35 – 50 years</w:t>
            </w:r>
          </w:p>
        </w:tc>
        <w:tc>
          <w:tcPr>
            <w:tcW w:w="576" w:type="dxa"/>
          </w:tcPr>
          <w:p w14:paraId="08F69756" w14:textId="77777777" w:rsidR="00933C62" w:rsidRPr="00B15D41" w:rsidRDefault="00933C62" w:rsidP="006E6C4E">
            <w:pPr>
              <w:spacing w:line="240" w:lineRule="auto"/>
              <w:jc w:val="right"/>
              <w:rPr>
                <w:sz w:val="24"/>
                <w:szCs w:val="24"/>
              </w:rPr>
            </w:pPr>
            <w:r w:rsidRPr="00B15D41">
              <w:rPr>
                <w:sz w:val="24"/>
                <w:szCs w:val="24"/>
              </w:rPr>
              <w:t>53</w:t>
            </w:r>
          </w:p>
        </w:tc>
        <w:tc>
          <w:tcPr>
            <w:tcW w:w="636" w:type="dxa"/>
          </w:tcPr>
          <w:p w14:paraId="771870BE" w14:textId="77777777" w:rsidR="00933C62" w:rsidRPr="00B15D41" w:rsidRDefault="00933C62" w:rsidP="006E6C4E">
            <w:pPr>
              <w:spacing w:line="240" w:lineRule="auto"/>
              <w:jc w:val="right"/>
              <w:rPr>
                <w:sz w:val="24"/>
                <w:szCs w:val="24"/>
              </w:rPr>
            </w:pPr>
            <w:r w:rsidRPr="00B15D41">
              <w:rPr>
                <w:sz w:val="24"/>
                <w:szCs w:val="24"/>
              </w:rPr>
              <w:t>.45</w:t>
            </w:r>
          </w:p>
        </w:tc>
      </w:tr>
      <w:tr w:rsidR="00933C62" w:rsidRPr="00B15D41" w14:paraId="59F1B0A8" w14:textId="77777777" w:rsidTr="006E6C4E">
        <w:trPr>
          <w:jc w:val="center"/>
        </w:trPr>
        <w:tc>
          <w:tcPr>
            <w:tcW w:w="4103" w:type="dxa"/>
          </w:tcPr>
          <w:p w14:paraId="3AAF4DD7" w14:textId="77777777" w:rsidR="00933C62" w:rsidRPr="00B15D41" w:rsidRDefault="00933C62" w:rsidP="006E6C4E">
            <w:pPr>
              <w:spacing w:line="240" w:lineRule="auto"/>
              <w:rPr>
                <w:sz w:val="24"/>
                <w:szCs w:val="24"/>
              </w:rPr>
            </w:pPr>
            <w:r>
              <w:rPr>
                <w:sz w:val="24"/>
                <w:szCs w:val="24"/>
              </w:rPr>
              <w:t xml:space="preserve">OA = </w:t>
            </w:r>
            <w:r w:rsidRPr="00B15D41">
              <w:rPr>
                <w:sz w:val="24"/>
                <w:szCs w:val="24"/>
              </w:rPr>
              <w:t>Old Adult – 50+ years</w:t>
            </w:r>
          </w:p>
        </w:tc>
        <w:tc>
          <w:tcPr>
            <w:tcW w:w="576" w:type="dxa"/>
          </w:tcPr>
          <w:p w14:paraId="724A0180" w14:textId="77777777" w:rsidR="00933C62" w:rsidRPr="00B15D41" w:rsidRDefault="00933C62" w:rsidP="006E6C4E">
            <w:pPr>
              <w:spacing w:line="240" w:lineRule="auto"/>
              <w:jc w:val="right"/>
              <w:rPr>
                <w:sz w:val="24"/>
                <w:szCs w:val="24"/>
              </w:rPr>
            </w:pPr>
            <w:r w:rsidRPr="00B15D41">
              <w:rPr>
                <w:sz w:val="24"/>
                <w:szCs w:val="24"/>
              </w:rPr>
              <w:t>22</w:t>
            </w:r>
          </w:p>
        </w:tc>
        <w:tc>
          <w:tcPr>
            <w:tcW w:w="636" w:type="dxa"/>
          </w:tcPr>
          <w:p w14:paraId="1C2887E2" w14:textId="77777777" w:rsidR="00933C62" w:rsidRPr="00B15D41" w:rsidRDefault="00933C62" w:rsidP="006E6C4E">
            <w:pPr>
              <w:spacing w:line="240" w:lineRule="auto"/>
              <w:jc w:val="right"/>
              <w:rPr>
                <w:sz w:val="24"/>
                <w:szCs w:val="24"/>
              </w:rPr>
            </w:pPr>
            <w:r w:rsidRPr="00B15D41">
              <w:rPr>
                <w:sz w:val="24"/>
                <w:szCs w:val="24"/>
              </w:rPr>
              <w:t>.19</w:t>
            </w:r>
          </w:p>
        </w:tc>
      </w:tr>
      <w:tr w:rsidR="00933C62" w:rsidRPr="00B15D41" w14:paraId="7176266A" w14:textId="77777777" w:rsidTr="006E6C4E">
        <w:trPr>
          <w:jc w:val="center"/>
        </w:trPr>
        <w:tc>
          <w:tcPr>
            <w:tcW w:w="4103" w:type="dxa"/>
          </w:tcPr>
          <w:p w14:paraId="281308C8" w14:textId="77777777" w:rsidR="00933C62" w:rsidRPr="00B15D41" w:rsidRDefault="00933C62" w:rsidP="006E6C4E">
            <w:pPr>
              <w:spacing w:line="240" w:lineRule="auto"/>
              <w:jc w:val="right"/>
              <w:rPr>
                <w:b/>
                <w:sz w:val="24"/>
                <w:szCs w:val="24"/>
              </w:rPr>
            </w:pPr>
            <w:r w:rsidRPr="00B15D41">
              <w:rPr>
                <w:b/>
                <w:sz w:val="24"/>
                <w:szCs w:val="24"/>
              </w:rPr>
              <w:t>Total</w:t>
            </w:r>
          </w:p>
        </w:tc>
        <w:tc>
          <w:tcPr>
            <w:tcW w:w="576" w:type="dxa"/>
          </w:tcPr>
          <w:p w14:paraId="7D449BC5" w14:textId="77777777" w:rsidR="00933C62" w:rsidRPr="00B15D41" w:rsidRDefault="00933C62" w:rsidP="006E6C4E">
            <w:pPr>
              <w:spacing w:line="240" w:lineRule="auto"/>
              <w:jc w:val="right"/>
              <w:rPr>
                <w:sz w:val="24"/>
                <w:szCs w:val="24"/>
              </w:rPr>
            </w:pPr>
            <w:r w:rsidRPr="00B15D41">
              <w:rPr>
                <w:sz w:val="24"/>
                <w:szCs w:val="24"/>
              </w:rPr>
              <w:t>118</w:t>
            </w:r>
          </w:p>
        </w:tc>
        <w:tc>
          <w:tcPr>
            <w:tcW w:w="636" w:type="dxa"/>
          </w:tcPr>
          <w:p w14:paraId="4C18E0D5" w14:textId="77777777" w:rsidR="00933C62" w:rsidRPr="00B15D41" w:rsidRDefault="00933C62" w:rsidP="006E6C4E">
            <w:pPr>
              <w:spacing w:line="240" w:lineRule="auto"/>
              <w:jc w:val="right"/>
              <w:rPr>
                <w:sz w:val="24"/>
                <w:szCs w:val="24"/>
              </w:rPr>
            </w:pPr>
            <w:r w:rsidRPr="00B15D41">
              <w:rPr>
                <w:sz w:val="24"/>
                <w:szCs w:val="24"/>
              </w:rPr>
              <w:t>1.00</w:t>
            </w:r>
          </w:p>
        </w:tc>
      </w:tr>
    </w:tbl>
    <w:p w14:paraId="5CACA4F2" w14:textId="77777777" w:rsidR="00933C62" w:rsidRPr="00266741" w:rsidRDefault="00933C62" w:rsidP="00933C62">
      <w:pPr>
        <w:spacing w:line="240" w:lineRule="auto"/>
        <w:rPr>
          <w:rFonts w:ascii="Times New Roman" w:hAnsi="Times New Roman"/>
        </w:rPr>
      </w:pPr>
    </w:p>
    <w:p w14:paraId="6640BC3E" w14:textId="77777777" w:rsidR="00933C62" w:rsidRDefault="00933C62" w:rsidP="00933C62">
      <w:pPr>
        <w:spacing w:line="240" w:lineRule="auto"/>
        <w:ind w:firstLine="720"/>
        <w:rPr>
          <w:rFonts w:ascii="Times New Roman" w:hAnsi="Times New Roman"/>
        </w:rPr>
      </w:pPr>
    </w:p>
    <w:p w14:paraId="145C831B" w14:textId="1F3C3704" w:rsidR="00933C62" w:rsidRDefault="00933C62" w:rsidP="00D70C0E">
      <w:pPr>
        <w:ind w:firstLine="720"/>
        <w:rPr>
          <w:rFonts w:ascii="Times New Roman" w:hAnsi="Times New Roman"/>
        </w:rPr>
      </w:pPr>
      <w:r>
        <w:rPr>
          <w:rFonts w:ascii="Times New Roman" w:hAnsi="Times New Roman"/>
        </w:rPr>
        <w:t>Although c</w:t>
      </w:r>
      <w:r w:rsidRPr="00266741">
        <w:rPr>
          <w:rFonts w:ascii="Times New Roman" w:hAnsi="Times New Roman"/>
        </w:rPr>
        <w:t>onsiderably more adult females than</w:t>
      </w:r>
      <w:r>
        <w:rPr>
          <w:rFonts w:ascii="Times New Roman" w:hAnsi="Times New Roman"/>
        </w:rPr>
        <w:t xml:space="preserve"> adult</w:t>
      </w:r>
      <w:r w:rsidRPr="00266741">
        <w:rPr>
          <w:rFonts w:ascii="Times New Roman" w:hAnsi="Times New Roman"/>
        </w:rPr>
        <w:t xml:space="preserve"> males were</w:t>
      </w:r>
      <w:r>
        <w:rPr>
          <w:rFonts w:ascii="Times New Roman" w:hAnsi="Times New Roman"/>
        </w:rPr>
        <w:t xml:space="preserve"> recovered from the Akers site (as discussed above), </w:t>
      </w:r>
      <w:r w:rsidRPr="00266741">
        <w:rPr>
          <w:rFonts w:ascii="Times New Roman" w:hAnsi="Times New Roman"/>
        </w:rPr>
        <w:t xml:space="preserve">the ratio in this study subsample is somewhat more equal.  Only the best preserved individuals were included in this study, and this skews the subsample towards larger and more robust skeletons which tend to be male.  As shown in Table </w:t>
      </w:r>
      <w:r>
        <w:rPr>
          <w:rFonts w:ascii="Times New Roman" w:hAnsi="Times New Roman"/>
        </w:rPr>
        <w:t>8</w:t>
      </w:r>
      <w:r w:rsidRPr="00266741">
        <w:rPr>
          <w:rFonts w:ascii="Times New Roman" w:hAnsi="Times New Roman"/>
        </w:rPr>
        <w:t>, 67 Females and Probable Females and 51 Males and Probable males (M/F = .76)</w:t>
      </w:r>
      <w:r>
        <w:rPr>
          <w:rFonts w:ascii="Times New Roman" w:hAnsi="Times New Roman"/>
        </w:rPr>
        <w:t xml:space="preserve"> were</w:t>
      </w:r>
      <w:r w:rsidRPr="00266741">
        <w:rPr>
          <w:rFonts w:ascii="Times New Roman" w:hAnsi="Times New Roman"/>
        </w:rPr>
        <w:t xml:space="preserve"> included in the study.  Age at death survival rates by sex for the entire sample were reported in Rowe 2009 and will not be repeated here.  </w:t>
      </w:r>
    </w:p>
    <w:p w14:paraId="64175D95" w14:textId="77777777" w:rsidR="00D70C0E" w:rsidRPr="00D70C0E" w:rsidRDefault="00D70C0E" w:rsidP="00D70C0E">
      <w:pPr>
        <w:spacing w:line="240" w:lineRule="auto"/>
        <w:ind w:firstLine="720"/>
        <w:rPr>
          <w:rFonts w:ascii="Times New Roman" w:hAnsi="Times New Roman"/>
        </w:rPr>
      </w:pPr>
    </w:p>
    <w:p w14:paraId="3C1E58C2" w14:textId="77777777" w:rsidR="00933C62" w:rsidRDefault="00933C62" w:rsidP="00133F61">
      <w:pPr>
        <w:pStyle w:val="Caption"/>
      </w:pPr>
      <w:bookmarkStart w:id="67" w:name="_Toc261025236"/>
      <w:r>
        <w:t xml:space="preserve">Table </w:t>
      </w:r>
      <w:fldSimple w:instr=" SEQ Table \* ARABIC ">
        <w:r w:rsidR="00396EB3">
          <w:rPr>
            <w:noProof/>
          </w:rPr>
          <w:t>8</w:t>
        </w:r>
      </w:fldSimple>
      <w:r>
        <w:t xml:space="preserve">  Adult male and female counts of the study sample</w:t>
      </w:r>
      <w:bookmarkEnd w:id="67"/>
    </w:p>
    <w:p w14:paraId="733FDBEC" w14:textId="77777777" w:rsidR="00933C62" w:rsidRPr="00266741" w:rsidRDefault="00933C62" w:rsidP="00133F61">
      <w:pPr>
        <w:pStyle w:val="Caption"/>
      </w:pPr>
    </w:p>
    <w:tbl>
      <w:tblPr>
        <w:tblStyle w:val="TableGrid"/>
        <w:tblW w:w="0" w:type="auto"/>
        <w:jc w:val="center"/>
        <w:tblInd w:w="299" w:type="dxa"/>
        <w:tblLook w:val="04A0" w:firstRow="1" w:lastRow="0" w:firstColumn="1" w:lastColumn="0" w:noHBand="0" w:noVBand="1"/>
      </w:tblPr>
      <w:tblGrid>
        <w:gridCol w:w="662"/>
        <w:gridCol w:w="566"/>
        <w:gridCol w:w="1260"/>
        <w:gridCol w:w="612"/>
        <w:gridCol w:w="764"/>
      </w:tblGrid>
      <w:tr w:rsidR="00933C62" w:rsidRPr="00B413CD" w14:paraId="382111CC" w14:textId="77777777" w:rsidTr="006E6C4E">
        <w:trPr>
          <w:jc w:val="center"/>
        </w:trPr>
        <w:tc>
          <w:tcPr>
            <w:tcW w:w="662" w:type="dxa"/>
          </w:tcPr>
          <w:p w14:paraId="73E4D794" w14:textId="77777777" w:rsidR="00933C62" w:rsidRPr="00B413CD" w:rsidRDefault="00933C62" w:rsidP="006E6C4E">
            <w:pPr>
              <w:spacing w:line="240" w:lineRule="auto"/>
              <w:jc w:val="center"/>
              <w:rPr>
                <w:b/>
                <w:sz w:val="24"/>
              </w:rPr>
            </w:pPr>
            <w:r w:rsidRPr="00B413CD">
              <w:rPr>
                <w:b/>
                <w:sz w:val="24"/>
              </w:rPr>
              <w:t>Sex</w:t>
            </w:r>
          </w:p>
        </w:tc>
        <w:tc>
          <w:tcPr>
            <w:tcW w:w="566" w:type="dxa"/>
          </w:tcPr>
          <w:p w14:paraId="2D2F49DE" w14:textId="77777777" w:rsidR="00933C62" w:rsidRPr="00B413CD" w:rsidRDefault="00933C62" w:rsidP="006E6C4E">
            <w:pPr>
              <w:spacing w:line="240" w:lineRule="auto"/>
              <w:jc w:val="center"/>
              <w:rPr>
                <w:b/>
                <w:sz w:val="24"/>
              </w:rPr>
            </w:pPr>
            <w:r>
              <w:rPr>
                <w:b/>
                <w:sz w:val="24"/>
              </w:rPr>
              <w:t>n</w:t>
            </w:r>
          </w:p>
        </w:tc>
        <w:tc>
          <w:tcPr>
            <w:tcW w:w="1260" w:type="dxa"/>
          </w:tcPr>
          <w:p w14:paraId="0A31A24B" w14:textId="77777777" w:rsidR="00933C62" w:rsidRPr="00B413CD" w:rsidRDefault="00933C62" w:rsidP="006E6C4E">
            <w:pPr>
              <w:spacing w:line="240" w:lineRule="auto"/>
              <w:jc w:val="center"/>
              <w:rPr>
                <w:b/>
                <w:sz w:val="24"/>
              </w:rPr>
            </w:pPr>
            <w:r w:rsidRPr="00B413CD">
              <w:rPr>
                <w:b/>
                <w:sz w:val="24"/>
              </w:rPr>
              <w:t>Collapsed Sex</w:t>
            </w:r>
          </w:p>
        </w:tc>
        <w:tc>
          <w:tcPr>
            <w:tcW w:w="612" w:type="dxa"/>
          </w:tcPr>
          <w:p w14:paraId="2D2BC627" w14:textId="77777777" w:rsidR="00933C62" w:rsidRPr="00B413CD" w:rsidRDefault="00933C62" w:rsidP="006E6C4E">
            <w:pPr>
              <w:spacing w:line="240" w:lineRule="auto"/>
              <w:jc w:val="center"/>
              <w:rPr>
                <w:b/>
                <w:sz w:val="24"/>
              </w:rPr>
            </w:pPr>
            <w:r w:rsidRPr="00B413CD">
              <w:rPr>
                <w:b/>
                <w:sz w:val="24"/>
              </w:rPr>
              <w:t>N</w:t>
            </w:r>
          </w:p>
        </w:tc>
        <w:tc>
          <w:tcPr>
            <w:tcW w:w="764" w:type="dxa"/>
          </w:tcPr>
          <w:p w14:paraId="035D94C6" w14:textId="77777777" w:rsidR="00933C62" w:rsidRPr="00B413CD" w:rsidRDefault="00933C62" w:rsidP="006E6C4E">
            <w:pPr>
              <w:spacing w:line="240" w:lineRule="auto"/>
              <w:jc w:val="center"/>
              <w:rPr>
                <w:b/>
                <w:i/>
                <w:sz w:val="24"/>
              </w:rPr>
            </w:pPr>
            <w:r w:rsidRPr="00B413CD">
              <w:rPr>
                <w:b/>
                <w:i/>
                <w:sz w:val="24"/>
              </w:rPr>
              <w:t>f</w:t>
            </w:r>
          </w:p>
        </w:tc>
      </w:tr>
      <w:tr w:rsidR="00933C62" w:rsidRPr="00B413CD" w14:paraId="5CCF991A" w14:textId="77777777" w:rsidTr="006E6C4E">
        <w:trPr>
          <w:jc w:val="center"/>
        </w:trPr>
        <w:tc>
          <w:tcPr>
            <w:tcW w:w="662" w:type="dxa"/>
          </w:tcPr>
          <w:p w14:paraId="67B49CD8" w14:textId="77777777" w:rsidR="00933C62" w:rsidRPr="00B413CD" w:rsidRDefault="00933C62" w:rsidP="006E6C4E">
            <w:pPr>
              <w:spacing w:line="240" w:lineRule="auto"/>
              <w:rPr>
                <w:sz w:val="24"/>
              </w:rPr>
            </w:pPr>
            <w:r w:rsidRPr="00B413CD">
              <w:rPr>
                <w:sz w:val="24"/>
              </w:rPr>
              <w:t>M</w:t>
            </w:r>
          </w:p>
        </w:tc>
        <w:tc>
          <w:tcPr>
            <w:tcW w:w="566" w:type="dxa"/>
          </w:tcPr>
          <w:p w14:paraId="16F1ED3A" w14:textId="77777777" w:rsidR="00933C62" w:rsidRPr="00B413CD" w:rsidRDefault="00933C62" w:rsidP="006E6C4E">
            <w:pPr>
              <w:spacing w:line="240" w:lineRule="auto"/>
              <w:jc w:val="right"/>
              <w:rPr>
                <w:sz w:val="24"/>
              </w:rPr>
            </w:pPr>
            <w:r w:rsidRPr="00B413CD">
              <w:rPr>
                <w:sz w:val="24"/>
              </w:rPr>
              <w:t>19</w:t>
            </w:r>
          </w:p>
        </w:tc>
        <w:tc>
          <w:tcPr>
            <w:tcW w:w="1260" w:type="dxa"/>
            <w:vMerge w:val="restart"/>
          </w:tcPr>
          <w:p w14:paraId="5A268CFB" w14:textId="77777777" w:rsidR="00933C62" w:rsidRPr="00B413CD" w:rsidRDefault="00933C62" w:rsidP="006E6C4E">
            <w:pPr>
              <w:spacing w:line="240" w:lineRule="auto"/>
              <w:jc w:val="center"/>
              <w:rPr>
                <w:sz w:val="24"/>
              </w:rPr>
            </w:pPr>
            <w:r w:rsidRPr="00B413CD">
              <w:rPr>
                <w:sz w:val="24"/>
              </w:rPr>
              <w:t>M</w:t>
            </w:r>
          </w:p>
        </w:tc>
        <w:tc>
          <w:tcPr>
            <w:tcW w:w="612" w:type="dxa"/>
            <w:vMerge w:val="restart"/>
          </w:tcPr>
          <w:p w14:paraId="13FB5AE5" w14:textId="77777777" w:rsidR="00933C62" w:rsidRPr="00B413CD" w:rsidRDefault="00933C62" w:rsidP="006E6C4E">
            <w:pPr>
              <w:spacing w:line="240" w:lineRule="auto"/>
              <w:jc w:val="right"/>
              <w:rPr>
                <w:sz w:val="24"/>
              </w:rPr>
            </w:pPr>
            <w:r w:rsidRPr="00B413CD">
              <w:rPr>
                <w:sz w:val="24"/>
              </w:rPr>
              <w:t>51</w:t>
            </w:r>
          </w:p>
        </w:tc>
        <w:tc>
          <w:tcPr>
            <w:tcW w:w="764" w:type="dxa"/>
            <w:vMerge w:val="restart"/>
          </w:tcPr>
          <w:p w14:paraId="2CDAB146" w14:textId="77777777" w:rsidR="00933C62" w:rsidRPr="00B413CD" w:rsidRDefault="00933C62" w:rsidP="006E6C4E">
            <w:pPr>
              <w:spacing w:line="240" w:lineRule="auto"/>
              <w:jc w:val="right"/>
              <w:rPr>
                <w:sz w:val="24"/>
              </w:rPr>
            </w:pPr>
            <w:r w:rsidRPr="00B413CD">
              <w:rPr>
                <w:sz w:val="24"/>
              </w:rPr>
              <w:t>.43</w:t>
            </w:r>
          </w:p>
        </w:tc>
      </w:tr>
      <w:tr w:rsidR="00933C62" w:rsidRPr="00B413CD" w14:paraId="22574BF9" w14:textId="77777777" w:rsidTr="006E6C4E">
        <w:trPr>
          <w:jc w:val="center"/>
        </w:trPr>
        <w:tc>
          <w:tcPr>
            <w:tcW w:w="662" w:type="dxa"/>
          </w:tcPr>
          <w:p w14:paraId="23317003" w14:textId="77777777" w:rsidR="00933C62" w:rsidRPr="00B413CD" w:rsidRDefault="00933C62" w:rsidP="006E6C4E">
            <w:pPr>
              <w:spacing w:line="240" w:lineRule="auto"/>
              <w:rPr>
                <w:sz w:val="24"/>
              </w:rPr>
            </w:pPr>
            <w:r w:rsidRPr="00B413CD">
              <w:rPr>
                <w:sz w:val="24"/>
              </w:rPr>
              <w:t>M?</w:t>
            </w:r>
          </w:p>
        </w:tc>
        <w:tc>
          <w:tcPr>
            <w:tcW w:w="566" w:type="dxa"/>
          </w:tcPr>
          <w:p w14:paraId="3AA2D657" w14:textId="77777777" w:rsidR="00933C62" w:rsidRPr="00B413CD" w:rsidRDefault="00933C62" w:rsidP="006E6C4E">
            <w:pPr>
              <w:spacing w:line="240" w:lineRule="auto"/>
              <w:jc w:val="right"/>
              <w:rPr>
                <w:sz w:val="24"/>
              </w:rPr>
            </w:pPr>
            <w:r w:rsidRPr="00B413CD">
              <w:rPr>
                <w:sz w:val="24"/>
              </w:rPr>
              <w:t>32</w:t>
            </w:r>
          </w:p>
        </w:tc>
        <w:tc>
          <w:tcPr>
            <w:tcW w:w="1260" w:type="dxa"/>
            <w:vMerge/>
          </w:tcPr>
          <w:p w14:paraId="1405AABD" w14:textId="77777777" w:rsidR="00933C62" w:rsidRPr="00B413CD" w:rsidRDefault="00933C62" w:rsidP="006E6C4E">
            <w:pPr>
              <w:spacing w:line="240" w:lineRule="auto"/>
              <w:jc w:val="center"/>
              <w:rPr>
                <w:sz w:val="24"/>
              </w:rPr>
            </w:pPr>
          </w:p>
        </w:tc>
        <w:tc>
          <w:tcPr>
            <w:tcW w:w="612" w:type="dxa"/>
            <w:vMerge/>
          </w:tcPr>
          <w:p w14:paraId="3873D40D" w14:textId="77777777" w:rsidR="00933C62" w:rsidRPr="00B413CD" w:rsidRDefault="00933C62" w:rsidP="006E6C4E">
            <w:pPr>
              <w:spacing w:line="240" w:lineRule="auto"/>
              <w:jc w:val="right"/>
              <w:rPr>
                <w:sz w:val="24"/>
              </w:rPr>
            </w:pPr>
          </w:p>
        </w:tc>
        <w:tc>
          <w:tcPr>
            <w:tcW w:w="764" w:type="dxa"/>
            <w:vMerge/>
          </w:tcPr>
          <w:p w14:paraId="4E9AC3D3" w14:textId="77777777" w:rsidR="00933C62" w:rsidRPr="00B413CD" w:rsidRDefault="00933C62" w:rsidP="006E6C4E">
            <w:pPr>
              <w:spacing w:line="240" w:lineRule="auto"/>
              <w:jc w:val="right"/>
              <w:rPr>
                <w:sz w:val="24"/>
              </w:rPr>
            </w:pPr>
          </w:p>
        </w:tc>
      </w:tr>
      <w:tr w:rsidR="00933C62" w:rsidRPr="00B413CD" w14:paraId="1296E44B" w14:textId="77777777" w:rsidTr="006E6C4E">
        <w:trPr>
          <w:jc w:val="center"/>
        </w:trPr>
        <w:tc>
          <w:tcPr>
            <w:tcW w:w="662" w:type="dxa"/>
          </w:tcPr>
          <w:p w14:paraId="0A0A4C87" w14:textId="77777777" w:rsidR="00933C62" w:rsidRPr="00B413CD" w:rsidRDefault="00933C62" w:rsidP="006E6C4E">
            <w:pPr>
              <w:spacing w:line="240" w:lineRule="auto"/>
              <w:rPr>
                <w:sz w:val="24"/>
              </w:rPr>
            </w:pPr>
            <w:r w:rsidRPr="00B413CD">
              <w:rPr>
                <w:sz w:val="24"/>
              </w:rPr>
              <w:t>F</w:t>
            </w:r>
          </w:p>
        </w:tc>
        <w:tc>
          <w:tcPr>
            <w:tcW w:w="566" w:type="dxa"/>
          </w:tcPr>
          <w:p w14:paraId="48268BF1" w14:textId="77777777" w:rsidR="00933C62" w:rsidRPr="00B413CD" w:rsidRDefault="00933C62" w:rsidP="006E6C4E">
            <w:pPr>
              <w:spacing w:line="240" w:lineRule="auto"/>
              <w:jc w:val="right"/>
              <w:rPr>
                <w:sz w:val="24"/>
              </w:rPr>
            </w:pPr>
            <w:r w:rsidRPr="00B413CD">
              <w:rPr>
                <w:sz w:val="24"/>
              </w:rPr>
              <w:t>40</w:t>
            </w:r>
          </w:p>
        </w:tc>
        <w:tc>
          <w:tcPr>
            <w:tcW w:w="1260" w:type="dxa"/>
            <w:vMerge w:val="restart"/>
          </w:tcPr>
          <w:p w14:paraId="09D37F89" w14:textId="77777777" w:rsidR="00933C62" w:rsidRPr="00B413CD" w:rsidRDefault="00933C62" w:rsidP="006E6C4E">
            <w:pPr>
              <w:spacing w:line="240" w:lineRule="auto"/>
              <w:jc w:val="center"/>
              <w:rPr>
                <w:sz w:val="24"/>
              </w:rPr>
            </w:pPr>
            <w:r w:rsidRPr="00B413CD">
              <w:rPr>
                <w:sz w:val="24"/>
              </w:rPr>
              <w:t>F</w:t>
            </w:r>
          </w:p>
        </w:tc>
        <w:tc>
          <w:tcPr>
            <w:tcW w:w="612" w:type="dxa"/>
            <w:vMerge w:val="restart"/>
          </w:tcPr>
          <w:p w14:paraId="11D05C3A" w14:textId="77777777" w:rsidR="00933C62" w:rsidRPr="00B413CD" w:rsidRDefault="00933C62" w:rsidP="006E6C4E">
            <w:pPr>
              <w:spacing w:line="240" w:lineRule="auto"/>
              <w:jc w:val="right"/>
              <w:rPr>
                <w:sz w:val="24"/>
              </w:rPr>
            </w:pPr>
            <w:r w:rsidRPr="00B413CD">
              <w:rPr>
                <w:sz w:val="24"/>
              </w:rPr>
              <w:t>67</w:t>
            </w:r>
          </w:p>
        </w:tc>
        <w:tc>
          <w:tcPr>
            <w:tcW w:w="764" w:type="dxa"/>
            <w:vMerge w:val="restart"/>
          </w:tcPr>
          <w:p w14:paraId="016ECC0E" w14:textId="77777777" w:rsidR="00933C62" w:rsidRPr="00B413CD" w:rsidRDefault="00933C62" w:rsidP="006E6C4E">
            <w:pPr>
              <w:spacing w:line="240" w:lineRule="auto"/>
              <w:jc w:val="right"/>
              <w:rPr>
                <w:sz w:val="24"/>
              </w:rPr>
            </w:pPr>
            <w:r w:rsidRPr="00B413CD">
              <w:rPr>
                <w:sz w:val="24"/>
              </w:rPr>
              <w:t>.57</w:t>
            </w:r>
          </w:p>
        </w:tc>
      </w:tr>
      <w:tr w:rsidR="00933C62" w:rsidRPr="00B413CD" w14:paraId="7C80F08A" w14:textId="77777777" w:rsidTr="006E6C4E">
        <w:trPr>
          <w:jc w:val="center"/>
        </w:trPr>
        <w:tc>
          <w:tcPr>
            <w:tcW w:w="662" w:type="dxa"/>
          </w:tcPr>
          <w:p w14:paraId="41C0D55B" w14:textId="77777777" w:rsidR="00933C62" w:rsidRPr="00B413CD" w:rsidRDefault="00933C62" w:rsidP="006E6C4E">
            <w:pPr>
              <w:spacing w:line="240" w:lineRule="auto"/>
              <w:rPr>
                <w:sz w:val="24"/>
              </w:rPr>
            </w:pPr>
            <w:r w:rsidRPr="00B413CD">
              <w:rPr>
                <w:sz w:val="24"/>
              </w:rPr>
              <w:t>F?</w:t>
            </w:r>
          </w:p>
        </w:tc>
        <w:tc>
          <w:tcPr>
            <w:tcW w:w="566" w:type="dxa"/>
          </w:tcPr>
          <w:p w14:paraId="1DC5EDAC" w14:textId="77777777" w:rsidR="00933C62" w:rsidRPr="00B413CD" w:rsidRDefault="00933C62" w:rsidP="006E6C4E">
            <w:pPr>
              <w:spacing w:line="240" w:lineRule="auto"/>
              <w:jc w:val="right"/>
              <w:rPr>
                <w:sz w:val="24"/>
              </w:rPr>
            </w:pPr>
            <w:r w:rsidRPr="00B413CD">
              <w:rPr>
                <w:sz w:val="24"/>
              </w:rPr>
              <w:t>27</w:t>
            </w:r>
          </w:p>
        </w:tc>
        <w:tc>
          <w:tcPr>
            <w:tcW w:w="1260" w:type="dxa"/>
            <w:vMerge/>
          </w:tcPr>
          <w:p w14:paraId="4D3BA6F7" w14:textId="77777777" w:rsidR="00933C62" w:rsidRPr="00B413CD" w:rsidRDefault="00933C62" w:rsidP="006E6C4E">
            <w:pPr>
              <w:spacing w:line="240" w:lineRule="auto"/>
              <w:rPr>
                <w:sz w:val="24"/>
              </w:rPr>
            </w:pPr>
          </w:p>
        </w:tc>
        <w:tc>
          <w:tcPr>
            <w:tcW w:w="612" w:type="dxa"/>
            <w:vMerge/>
          </w:tcPr>
          <w:p w14:paraId="04813683" w14:textId="77777777" w:rsidR="00933C62" w:rsidRPr="00B413CD" w:rsidRDefault="00933C62" w:rsidP="006E6C4E">
            <w:pPr>
              <w:spacing w:line="240" w:lineRule="auto"/>
              <w:jc w:val="right"/>
              <w:rPr>
                <w:sz w:val="24"/>
              </w:rPr>
            </w:pPr>
          </w:p>
        </w:tc>
        <w:tc>
          <w:tcPr>
            <w:tcW w:w="764" w:type="dxa"/>
            <w:vMerge/>
          </w:tcPr>
          <w:p w14:paraId="6C14FED4" w14:textId="77777777" w:rsidR="00933C62" w:rsidRPr="00B413CD" w:rsidRDefault="00933C62" w:rsidP="006E6C4E">
            <w:pPr>
              <w:spacing w:line="240" w:lineRule="auto"/>
              <w:jc w:val="right"/>
              <w:rPr>
                <w:sz w:val="24"/>
              </w:rPr>
            </w:pPr>
          </w:p>
        </w:tc>
      </w:tr>
      <w:tr w:rsidR="00933C62" w:rsidRPr="00B413CD" w14:paraId="2E1C1A18" w14:textId="77777777" w:rsidTr="006E6C4E">
        <w:trPr>
          <w:jc w:val="center"/>
        </w:trPr>
        <w:tc>
          <w:tcPr>
            <w:tcW w:w="2488" w:type="dxa"/>
            <w:gridSpan w:val="3"/>
          </w:tcPr>
          <w:p w14:paraId="7998E321" w14:textId="77777777" w:rsidR="00933C62" w:rsidRPr="00B413CD" w:rsidRDefault="00933C62" w:rsidP="006E6C4E">
            <w:pPr>
              <w:spacing w:line="240" w:lineRule="auto"/>
              <w:jc w:val="right"/>
              <w:rPr>
                <w:sz w:val="24"/>
              </w:rPr>
            </w:pPr>
            <w:r>
              <w:rPr>
                <w:sz w:val="24"/>
              </w:rPr>
              <w:t>Total</w:t>
            </w:r>
          </w:p>
        </w:tc>
        <w:tc>
          <w:tcPr>
            <w:tcW w:w="612" w:type="dxa"/>
          </w:tcPr>
          <w:p w14:paraId="794E52B5" w14:textId="77777777" w:rsidR="00933C62" w:rsidRPr="00B413CD" w:rsidRDefault="00933C62" w:rsidP="006E6C4E">
            <w:pPr>
              <w:spacing w:line="240" w:lineRule="auto"/>
              <w:jc w:val="right"/>
              <w:rPr>
                <w:b/>
                <w:sz w:val="24"/>
              </w:rPr>
            </w:pPr>
            <w:r w:rsidRPr="00B413CD">
              <w:rPr>
                <w:b/>
                <w:sz w:val="24"/>
              </w:rPr>
              <w:t>118</w:t>
            </w:r>
          </w:p>
        </w:tc>
        <w:tc>
          <w:tcPr>
            <w:tcW w:w="764" w:type="dxa"/>
          </w:tcPr>
          <w:p w14:paraId="4CC7F558" w14:textId="77777777" w:rsidR="00933C62" w:rsidRPr="00B413CD" w:rsidRDefault="00933C62" w:rsidP="006E6C4E">
            <w:pPr>
              <w:spacing w:line="240" w:lineRule="auto"/>
              <w:jc w:val="right"/>
              <w:rPr>
                <w:sz w:val="24"/>
              </w:rPr>
            </w:pPr>
            <w:r w:rsidRPr="00B413CD">
              <w:rPr>
                <w:sz w:val="24"/>
              </w:rPr>
              <w:t>1.00</w:t>
            </w:r>
          </w:p>
        </w:tc>
      </w:tr>
    </w:tbl>
    <w:p w14:paraId="0721DE7E" w14:textId="77777777" w:rsidR="00933C62" w:rsidRDefault="00933C62" w:rsidP="00933C62">
      <w:pPr>
        <w:ind w:firstLine="720"/>
        <w:rPr>
          <w:rFonts w:ascii="Times New Roman" w:hAnsi="Times New Roman"/>
        </w:rPr>
      </w:pPr>
    </w:p>
    <w:p w14:paraId="39613E19" w14:textId="77777777" w:rsidR="00933C62" w:rsidRDefault="00933C62" w:rsidP="00933C62">
      <w:pPr>
        <w:ind w:firstLine="720"/>
        <w:rPr>
          <w:rFonts w:ascii="Times New Roman" w:hAnsi="Times New Roman"/>
        </w:rPr>
      </w:pPr>
      <w:r>
        <w:rPr>
          <w:rFonts w:ascii="Times New Roman" w:hAnsi="Times New Roman"/>
        </w:rPr>
        <w:t>In summary, 118 of the best preserved adult individuals from the Akers site were used in this study.  Only individuals that could be confidently aged and sexed were selected.  These individuals underwent further paleopathological analysis.  For ease of reporting and discussion, the results will be reported in three sections:  skeletal trauma, inflammatory lesions, and nutritional status.  In each of these sections, the results are further presented broken down by anatomical region: crania, upper limbs, and lower limbs.  All of the results reported in this chapter refer only to burials excavated from the Akers site.</w:t>
      </w:r>
    </w:p>
    <w:p w14:paraId="6F6E01C1" w14:textId="77777777" w:rsidR="00D70C0E" w:rsidRDefault="00D70C0E" w:rsidP="00D70C0E">
      <w:pPr>
        <w:spacing w:line="240" w:lineRule="auto"/>
        <w:ind w:firstLine="720"/>
        <w:rPr>
          <w:rFonts w:ascii="Times New Roman" w:hAnsi="Times New Roman"/>
        </w:rPr>
      </w:pPr>
    </w:p>
    <w:p w14:paraId="62981301" w14:textId="77777777" w:rsidR="00933C62" w:rsidRPr="00AD3B3C" w:rsidRDefault="00933C62" w:rsidP="00CB4ED0">
      <w:pPr>
        <w:pStyle w:val="Heading2"/>
      </w:pPr>
      <w:bookmarkStart w:id="68" w:name="_Toc261025871"/>
      <w:r w:rsidRPr="002A0C69">
        <w:t>Skeletal Trauma</w:t>
      </w:r>
      <w:r>
        <w:t xml:space="preserve"> at the Akers Site</w:t>
      </w:r>
      <w:bookmarkEnd w:id="68"/>
    </w:p>
    <w:p w14:paraId="7F1E09F7" w14:textId="77777777" w:rsidR="00933C62" w:rsidRDefault="00933C62" w:rsidP="00933C62">
      <w:pPr>
        <w:ind w:firstLine="720"/>
        <w:rPr>
          <w:rFonts w:ascii="Times New Roman" w:hAnsi="Times New Roman"/>
        </w:rPr>
      </w:pPr>
      <w:r>
        <w:rPr>
          <w:rFonts w:ascii="Times New Roman" w:hAnsi="Times New Roman"/>
        </w:rPr>
        <w:t>This section</w:t>
      </w:r>
      <w:r w:rsidRPr="00266741">
        <w:rPr>
          <w:rFonts w:ascii="Times New Roman" w:hAnsi="Times New Roman"/>
        </w:rPr>
        <w:t xml:space="preserve"> concentrates on the discontinuities of bone caused by accidental or intentional trauma to long bones that result in what is commonly called a “broken bone,” as well as projectile wounds. </w:t>
      </w:r>
      <w:r>
        <w:rPr>
          <w:rFonts w:ascii="Times New Roman" w:hAnsi="Times New Roman"/>
        </w:rPr>
        <w:t xml:space="preserve"> Fracture rates in a population reflect both accidental and intentional injury.  Modern clinical studies tell us that age and sex are strong determinants for many fracture patterns.  Fractures patterns must therefore be interpreted carefully.</w:t>
      </w:r>
    </w:p>
    <w:p w14:paraId="3E714B8E" w14:textId="77777777" w:rsidR="00933C62" w:rsidRPr="00AD3B3C" w:rsidRDefault="00933C62" w:rsidP="009C5432">
      <w:pPr>
        <w:pStyle w:val="Heading3"/>
      </w:pPr>
      <w:bookmarkStart w:id="69" w:name="_Toc261025872"/>
      <w:r w:rsidRPr="002A0C69">
        <w:t>Results</w:t>
      </w:r>
      <w:bookmarkEnd w:id="69"/>
    </w:p>
    <w:p w14:paraId="1B6C661F" w14:textId="77777777" w:rsidR="00933C62" w:rsidRPr="00266741" w:rsidRDefault="00933C62" w:rsidP="00933C62">
      <w:pPr>
        <w:rPr>
          <w:rFonts w:ascii="Times New Roman" w:hAnsi="Times New Roman"/>
        </w:rPr>
      </w:pPr>
      <w:r w:rsidRPr="002A0C69">
        <w:tab/>
      </w:r>
      <w:r w:rsidRPr="00266741">
        <w:rPr>
          <w:rFonts w:ascii="Times New Roman" w:hAnsi="Times New Roman"/>
        </w:rPr>
        <w:t xml:space="preserve">For ease of reporting and discussion, skeletal trauma results will be discussed </w:t>
      </w:r>
      <w:r>
        <w:rPr>
          <w:rFonts w:ascii="Times New Roman" w:hAnsi="Times New Roman"/>
        </w:rPr>
        <w:t>by anatomical section</w:t>
      </w:r>
      <w:r w:rsidRPr="00266741">
        <w:rPr>
          <w:rFonts w:ascii="Times New Roman" w:hAnsi="Times New Roman"/>
        </w:rPr>
        <w:t>:  crania, upper limbs, and lower limbs.</w:t>
      </w:r>
      <w:r>
        <w:rPr>
          <w:rFonts w:ascii="Times New Roman" w:hAnsi="Times New Roman"/>
        </w:rPr>
        <w:t xml:space="preserve">  Fractures are coded as peri-mortem (no healing or bone grown noted), healing (active bone growth or callus formation present), or healed (the fracture remnant can be seen, but bone is smooth and remodeled without active bone growth).  No skeletal trauma was noted for subadults (Rowe 2009).</w:t>
      </w:r>
    </w:p>
    <w:p w14:paraId="28967D71" w14:textId="77777777" w:rsidR="00933C62" w:rsidRPr="00266741" w:rsidRDefault="00933C62" w:rsidP="007F6BCD">
      <w:pPr>
        <w:pStyle w:val="Heading4"/>
      </w:pPr>
      <w:r w:rsidRPr="00266741">
        <w:t>Cranial Trauma</w:t>
      </w:r>
    </w:p>
    <w:p w14:paraId="30572B26" w14:textId="77777777" w:rsidR="00933C62" w:rsidRPr="00266741" w:rsidRDefault="00933C62" w:rsidP="00933C62">
      <w:pPr>
        <w:rPr>
          <w:rFonts w:ascii="Times New Roman" w:hAnsi="Times New Roman"/>
        </w:rPr>
      </w:pPr>
      <w:r w:rsidRPr="00266741">
        <w:rPr>
          <w:rFonts w:ascii="Times New Roman" w:hAnsi="Times New Roman"/>
        </w:rPr>
        <w:tab/>
        <w:t xml:space="preserve">The majority of the crania from Akers </w:t>
      </w:r>
      <w:r>
        <w:rPr>
          <w:rFonts w:ascii="Times New Roman" w:hAnsi="Times New Roman"/>
        </w:rPr>
        <w:t>exhibited cultural modification (formerly referred to as cranial deformation)</w:t>
      </w:r>
      <w:r w:rsidRPr="00266741">
        <w:rPr>
          <w:rFonts w:ascii="Times New Roman" w:hAnsi="Times New Roman"/>
        </w:rPr>
        <w:t>.  Due to the high percentage of modified crania, it was not possible to exclude these crania from analysis.  Because multiple types of modification we</w:t>
      </w:r>
      <w:r>
        <w:rPr>
          <w:rFonts w:ascii="Times New Roman" w:hAnsi="Times New Roman"/>
        </w:rPr>
        <w:t>re observed</w:t>
      </w:r>
      <w:r w:rsidRPr="00266741">
        <w:rPr>
          <w:rFonts w:ascii="Times New Roman" w:hAnsi="Times New Roman"/>
        </w:rPr>
        <w:t>, a separate study</w:t>
      </w:r>
      <w:r>
        <w:rPr>
          <w:rFonts w:ascii="Times New Roman" w:hAnsi="Times New Roman"/>
        </w:rPr>
        <w:t>, to be published at a later date,</w:t>
      </w:r>
      <w:r w:rsidRPr="00266741">
        <w:rPr>
          <w:rFonts w:ascii="Times New Roman" w:hAnsi="Times New Roman"/>
        </w:rPr>
        <w:t xml:space="preserve"> will consider </w:t>
      </w:r>
      <w:r>
        <w:rPr>
          <w:rFonts w:ascii="Times New Roman" w:hAnsi="Times New Roman"/>
        </w:rPr>
        <w:t xml:space="preserve">the types of </w:t>
      </w:r>
      <w:r w:rsidRPr="00266741">
        <w:rPr>
          <w:rFonts w:ascii="Times New Roman" w:hAnsi="Times New Roman"/>
        </w:rPr>
        <w:t>cranial modification</w:t>
      </w:r>
      <w:r>
        <w:rPr>
          <w:rFonts w:ascii="Times New Roman" w:hAnsi="Times New Roman"/>
        </w:rPr>
        <w:t>s and their implications</w:t>
      </w:r>
      <w:r w:rsidRPr="00266741">
        <w:rPr>
          <w:rFonts w:ascii="Times New Roman" w:hAnsi="Times New Roman"/>
        </w:rPr>
        <w:t xml:space="preserve"> at Akers.</w:t>
      </w:r>
    </w:p>
    <w:p w14:paraId="1B1F1524" w14:textId="77777777" w:rsidR="00933C62" w:rsidRPr="00266741" w:rsidRDefault="00933C62" w:rsidP="00933C62">
      <w:pPr>
        <w:ind w:firstLine="720"/>
        <w:rPr>
          <w:rFonts w:ascii="Times New Roman" w:hAnsi="Times New Roman"/>
        </w:rPr>
      </w:pPr>
      <w:r w:rsidRPr="00266741">
        <w:rPr>
          <w:rFonts w:ascii="Times New Roman" w:hAnsi="Times New Roman"/>
        </w:rPr>
        <w:t xml:space="preserve">Due to both preservation issues and excavation damage, most crania were missing both their maxilla as well </w:t>
      </w:r>
      <w:r>
        <w:rPr>
          <w:rFonts w:ascii="Times New Roman" w:hAnsi="Times New Roman"/>
        </w:rPr>
        <w:t xml:space="preserve">as </w:t>
      </w:r>
      <w:r w:rsidRPr="00266741">
        <w:rPr>
          <w:rFonts w:ascii="Times New Roman" w:hAnsi="Times New Roman"/>
        </w:rPr>
        <w:t>the basicrania.  It was therefore unfortunately</w:t>
      </w:r>
      <w:r>
        <w:rPr>
          <w:rFonts w:ascii="Times New Roman" w:hAnsi="Times New Roman"/>
        </w:rPr>
        <w:t xml:space="preserve"> im</w:t>
      </w:r>
      <w:r w:rsidRPr="00266741">
        <w:rPr>
          <w:rFonts w:ascii="Times New Roman" w:hAnsi="Times New Roman"/>
        </w:rPr>
        <w:t>possible to detail facial fractures.  This section thus concentrates on</w:t>
      </w:r>
      <w:r>
        <w:rPr>
          <w:rFonts w:ascii="Times New Roman" w:hAnsi="Times New Roman"/>
        </w:rPr>
        <w:t xml:space="preserve"> trauma to the calvaria.  A total of 90 adult individuals (40 male and 50 female) had at least 50% of their calvarium available for study and were included in the cranial analysis.</w:t>
      </w:r>
    </w:p>
    <w:p w14:paraId="127AD2BC" w14:textId="77777777" w:rsidR="00933C62" w:rsidRDefault="00933C62" w:rsidP="00933C62">
      <w:pPr>
        <w:ind w:firstLine="720"/>
        <w:rPr>
          <w:rFonts w:ascii="Times New Roman" w:hAnsi="Times New Roman"/>
        </w:rPr>
      </w:pPr>
      <w:r w:rsidRPr="00266741">
        <w:rPr>
          <w:rFonts w:ascii="Times New Roman" w:hAnsi="Times New Roman"/>
        </w:rPr>
        <w:t xml:space="preserve">A total of 21 </w:t>
      </w:r>
      <w:r>
        <w:rPr>
          <w:rFonts w:ascii="Times New Roman" w:hAnsi="Times New Roman"/>
        </w:rPr>
        <w:t xml:space="preserve">traumatic </w:t>
      </w:r>
      <w:r w:rsidRPr="00266741">
        <w:rPr>
          <w:rFonts w:ascii="Times New Roman" w:hAnsi="Times New Roman"/>
        </w:rPr>
        <w:t>wounds to the calvarium affecting 18 individuals were observed</w:t>
      </w:r>
      <w:r>
        <w:rPr>
          <w:rFonts w:ascii="Times New Roman" w:hAnsi="Times New Roman"/>
        </w:rPr>
        <w:t xml:space="preserve"> (listed in Table 9)</w:t>
      </w:r>
      <w:r w:rsidRPr="00266741">
        <w:rPr>
          <w:rFonts w:ascii="Times New Roman" w:hAnsi="Times New Roman"/>
        </w:rPr>
        <w:t>.</w:t>
      </w:r>
      <w:r>
        <w:rPr>
          <w:rFonts w:ascii="Times New Roman" w:hAnsi="Times New Roman"/>
        </w:rPr>
        <w:t xml:space="preserve">  Both blunt force trauma (BFT) and sharp force trauma (SFT) wounds were observed.</w:t>
      </w:r>
      <w:r w:rsidRPr="00266741">
        <w:rPr>
          <w:rFonts w:ascii="Times New Roman" w:hAnsi="Times New Roman"/>
        </w:rPr>
        <w:t xml:space="preserve">  The majority of the </w:t>
      </w:r>
      <w:r>
        <w:rPr>
          <w:rFonts w:ascii="Times New Roman" w:hAnsi="Times New Roman"/>
        </w:rPr>
        <w:t xml:space="preserve">cranial </w:t>
      </w:r>
      <w:r w:rsidRPr="00266741">
        <w:rPr>
          <w:rFonts w:ascii="Times New Roman" w:hAnsi="Times New Roman"/>
        </w:rPr>
        <w:t>wounds were depressed fractures in various stages of healing</w:t>
      </w:r>
      <w:r>
        <w:rPr>
          <w:rFonts w:ascii="Times New Roman" w:hAnsi="Times New Roman"/>
        </w:rPr>
        <w:t>.  Depressed fractures to the skull are usually</w:t>
      </w:r>
      <w:r w:rsidRPr="00266741">
        <w:rPr>
          <w:rFonts w:ascii="Times New Roman" w:hAnsi="Times New Roman"/>
        </w:rPr>
        <w:t xml:space="preserve"> ca</w:t>
      </w:r>
      <w:r>
        <w:rPr>
          <w:rFonts w:ascii="Times New Roman" w:hAnsi="Times New Roman"/>
        </w:rPr>
        <w:t>u</w:t>
      </w:r>
      <w:r w:rsidRPr="00266741">
        <w:rPr>
          <w:rFonts w:ascii="Times New Roman" w:hAnsi="Times New Roman"/>
        </w:rPr>
        <w:t>sed by blunt force trauma</w:t>
      </w:r>
      <w:r>
        <w:rPr>
          <w:rFonts w:ascii="Times New Roman" w:hAnsi="Times New Roman"/>
        </w:rPr>
        <w:t xml:space="preserve"> (Ortner 2003:121)</w:t>
      </w:r>
      <w:r w:rsidRPr="00266741">
        <w:rPr>
          <w:rFonts w:ascii="Times New Roman" w:hAnsi="Times New Roman"/>
        </w:rPr>
        <w:t>.  Also present were wounds caused by sharp force trauma in the form of projectile point wounds and cut marks.</w:t>
      </w:r>
      <w:r>
        <w:rPr>
          <w:rFonts w:ascii="Times New Roman" w:hAnsi="Times New Roman"/>
        </w:rPr>
        <w:t xml:space="preserve">  Table 9 presents trauma to the calvarium by age group (VYA = very young adult 15-19 years; YA = young adult 20-35 years; MA = middle adult 35-50 years; OA = old adult, 50+ years), sex, bone, type of trauma (blunt force trauma or sharp force trauma), shape of the wound, and stage of healing.  Male cranial injuries are grouped before female cranial injuries.</w:t>
      </w:r>
    </w:p>
    <w:p w14:paraId="0CF322CF" w14:textId="77777777" w:rsidR="00933C62" w:rsidRDefault="00933C62" w:rsidP="00933C62">
      <w:pPr>
        <w:spacing w:line="240" w:lineRule="auto"/>
        <w:rPr>
          <w:rFonts w:ascii="Times New Roman" w:hAnsi="Times New Roman"/>
        </w:rPr>
      </w:pPr>
    </w:p>
    <w:p w14:paraId="668B0EA0" w14:textId="77777777" w:rsidR="00933C62" w:rsidRDefault="00933C62" w:rsidP="00133F61">
      <w:pPr>
        <w:pStyle w:val="Caption"/>
      </w:pPr>
      <w:bookmarkStart w:id="70" w:name="_Toc261025237"/>
      <w:r>
        <w:t xml:space="preserve">Table </w:t>
      </w:r>
      <w:fldSimple w:instr=" SEQ Table \* ARABIC ">
        <w:r w:rsidR="00396EB3">
          <w:rPr>
            <w:noProof/>
          </w:rPr>
          <w:t>9</w:t>
        </w:r>
      </w:fldSimple>
      <w:r>
        <w:t xml:space="preserve">  Cranial trauma by age, sex, bone, trauma type, shape, and stage of healing</w:t>
      </w:r>
      <w:bookmarkEnd w:id="70"/>
    </w:p>
    <w:p w14:paraId="7FBD0F80" w14:textId="77777777" w:rsidR="00933C62" w:rsidRPr="00394ACC" w:rsidRDefault="00933C62" w:rsidP="00933C62">
      <w:pPr>
        <w:spacing w:line="240" w:lineRule="auto"/>
      </w:pPr>
    </w:p>
    <w:tbl>
      <w:tblPr>
        <w:tblStyle w:val="TableGrid"/>
        <w:tblW w:w="8190" w:type="dxa"/>
        <w:jc w:val="center"/>
        <w:tblLayout w:type="fixed"/>
        <w:tblLook w:val="04A0" w:firstRow="1" w:lastRow="0" w:firstColumn="1" w:lastColumn="0" w:noHBand="0" w:noVBand="1"/>
      </w:tblPr>
      <w:tblGrid>
        <w:gridCol w:w="567"/>
        <w:gridCol w:w="270"/>
        <w:gridCol w:w="720"/>
        <w:gridCol w:w="540"/>
        <w:gridCol w:w="1800"/>
        <w:gridCol w:w="1890"/>
        <w:gridCol w:w="990"/>
        <w:gridCol w:w="1413"/>
      </w:tblGrid>
      <w:tr w:rsidR="00933C62" w:rsidRPr="00266741" w14:paraId="1203C9C9" w14:textId="77777777" w:rsidTr="006E6C4E">
        <w:trPr>
          <w:jc w:val="center"/>
        </w:trPr>
        <w:tc>
          <w:tcPr>
            <w:tcW w:w="837" w:type="dxa"/>
            <w:gridSpan w:val="2"/>
          </w:tcPr>
          <w:p w14:paraId="1308999D" w14:textId="77777777" w:rsidR="00933C62" w:rsidRPr="00266741" w:rsidRDefault="00933C62" w:rsidP="006E6C4E">
            <w:pPr>
              <w:spacing w:line="240" w:lineRule="auto"/>
              <w:jc w:val="center"/>
              <w:rPr>
                <w:b/>
              </w:rPr>
            </w:pPr>
            <w:r w:rsidRPr="00266741">
              <w:rPr>
                <w:b/>
              </w:rPr>
              <w:t>Burial</w:t>
            </w:r>
          </w:p>
        </w:tc>
        <w:tc>
          <w:tcPr>
            <w:tcW w:w="720" w:type="dxa"/>
          </w:tcPr>
          <w:p w14:paraId="4BF9D61B" w14:textId="77777777" w:rsidR="00933C62" w:rsidRPr="00266741" w:rsidRDefault="00933C62" w:rsidP="006E6C4E">
            <w:pPr>
              <w:spacing w:line="240" w:lineRule="auto"/>
              <w:jc w:val="center"/>
              <w:rPr>
                <w:b/>
              </w:rPr>
            </w:pPr>
            <w:r w:rsidRPr="00266741">
              <w:rPr>
                <w:b/>
              </w:rPr>
              <w:t>Age</w:t>
            </w:r>
          </w:p>
        </w:tc>
        <w:tc>
          <w:tcPr>
            <w:tcW w:w="540" w:type="dxa"/>
          </w:tcPr>
          <w:p w14:paraId="4A979AE1" w14:textId="77777777" w:rsidR="00933C62" w:rsidRPr="00266741" w:rsidRDefault="00933C62" w:rsidP="006E6C4E">
            <w:pPr>
              <w:spacing w:line="240" w:lineRule="auto"/>
              <w:jc w:val="center"/>
              <w:rPr>
                <w:b/>
              </w:rPr>
            </w:pPr>
            <w:r w:rsidRPr="00266741">
              <w:rPr>
                <w:b/>
              </w:rPr>
              <w:t>Sex</w:t>
            </w:r>
          </w:p>
        </w:tc>
        <w:tc>
          <w:tcPr>
            <w:tcW w:w="1800" w:type="dxa"/>
          </w:tcPr>
          <w:p w14:paraId="351D981C" w14:textId="77777777" w:rsidR="00933C62" w:rsidRPr="00266741" w:rsidRDefault="00933C62" w:rsidP="006E6C4E">
            <w:pPr>
              <w:spacing w:line="240" w:lineRule="auto"/>
              <w:jc w:val="center"/>
              <w:rPr>
                <w:b/>
              </w:rPr>
            </w:pPr>
            <w:r w:rsidRPr="00266741">
              <w:rPr>
                <w:b/>
              </w:rPr>
              <w:t>Bone</w:t>
            </w:r>
          </w:p>
        </w:tc>
        <w:tc>
          <w:tcPr>
            <w:tcW w:w="1890" w:type="dxa"/>
          </w:tcPr>
          <w:p w14:paraId="4B613300" w14:textId="77777777" w:rsidR="00933C62" w:rsidRPr="00266741" w:rsidRDefault="00933C62" w:rsidP="006E6C4E">
            <w:pPr>
              <w:spacing w:line="240" w:lineRule="auto"/>
              <w:jc w:val="center"/>
              <w:rPr>
                <w:b/>
              </w:rPr>
            </w:pPr>
            <w:r>
              <w:rPr>
                <w:b/>
              </w:rPr>
              <w:t>Trauma Type</w:t>
            </w:r>
          </w:p>
        </w:tc>
        <w:tc>
          <w:tcPr>
            <w:tcW w:w="990" w:type="dxa"/>
          </w:tcPr>
          <w:p w14:paraId="6AEE761E" w14:textId="77777777" w:rsidR="00933C62" w:rsidRPr="00266741" w:rsidRDefault="00933C62" w:rsidP="006E6C4E">
            <w:pPr>
              <w:spacing w:line="240" w:lineRule="auto"/>
              <w:jc w:val="center"/>
              <w:rPr>
                <w:b/>
              </w:rPr>
            </w:pPr>
            <w:r w:rsidRPr="00266741">
              <w:rPr>
                <w:b/>
              </w:rPr>
              <w:t>Shape</w:t>
            </w:r>
          </w:p>
        </w:tc>
        <w:tc>
          <w:tcPr>
            <w:tcW w:w="1413" w:type="dxa"/>
          </w:tcPr>
          <w:p w14:paraId="5936450C" w14:textId="77777777" w:rsidR="00933C62" w:rsidRPr="00266741" w:rsidRDefault="00933C62" w:rsidP="006E6C4E">
            <w:pPr>
              <w:spacing w:line="240" w:lineRule="auto"/>
              <w:jc w:val="center"/>
              <w:rPr>
                <w:b/>
              </w:rPr>
            </w:pPr>
            <w:r w:rsidRPr="00266741">
              <w:rPr>
                <w:b/>
              </w:rPr>
              <w:t>Status</w:t>
            </w:r>
          </w:p>
        </w:tc>
      </w:tr>
      <w:tr w:rsidR="00933C62" w:rsidRPr="00266741" w14:paraId="0C143219" w14:textId="77777777" w:rsidTr="006E6C4E">
        <w:trPr>
          <w:jc w:val="center"/>
        </w:trPr>
        <w:tc>
          <w:tcPr>
            <w:tcW w:w="567" w:type="dxa"/>
          </w:tcPr>
          <w:p w14:paraId="3660D121" w14:textId="77777777" w:rsidR="00933C62" w:rsidRPr="00266741" w:rsidRDefault="00933C62" w:rsidP="006E6C4E">
            <w:pPr>
              <w:spacing w:line="240" w:lineRule="auto"/>
              <w:jc w:val="right"/>
            </w:pPr>
            <w:r w:rsidRPr="00266741">
              <w:t>9</w:t>
            </w:r>
          </w:p>
        </w:tc>
        <w:tc>
          <w:tcPr>
            <w:tcW w:w="270" w:type="dxa"/>
          </w:tcPr>
          <w:p w14:paraId="3B439FCD" w14:textId="77777777" w:rsidR="00933C62" w:rsidRPr="00266741" w:rsidRDefault="00933C62" w:rsidP="006E6C4E">
            <w:pPr>
              <w:spacing w:line="240" w:lineRule="auto"/>
              <w:jc w:val="both"/>
            </w:pPr>
            <w:r w:rsidRPr="00266741">
              <w:t>A</w:t>
            </w:r>
          </w:p>
        </w:tc>
        <w:tc>
          <w:tcPr>
            <w:tcW w:w="720" w:type="dxa"/>
          </w:tcPr>
          <w:p w14:paraId="2C5659E2" w14:textId="77777777" w:rsidR="00933C62" w:rsidRPr="00266741" w:rsidRDefault="00933C62" w:rsidP="006E6C4E">
            <w:pPr>
              <w:spacing w:line="240" w:lineRule="auto"/>
              <w:jc w:val="right"/>
            </w:pPr>
            <w:r w:rsidRPr="00266741">
              <w:t>MA</w:t>
            </w:r>
          </w:p>
        </w:tc>
        <w:tc>
          <w:tcPr>
            <w:tcW w:w="540" w:type="dxa"/>
          </w:tcPr>
          <w:p w14:paraId="07C307D9" w14:textId="77777777" w:rsidR="00933C62" w:rsidRPr="00266741" w:rsidRDefault="00933C62" w:rsidP="006E6C4E">
            <w:pPr>
              <w:spacing w:line="240" w:lineRule="auto"/>
            </w:pPr>
            <w:r w:rsidRPr="00266741">
              <w:t>M</w:t>
            </w:r>
          </w:p>
        </w:tc>
        <w:tc>
          <w:tcPr>
            <w:tcW w:w="1800" w:type="dxa"/>
          </w:tcPr>
          <w:p w14:paraId="6010D404" w14:textId="77777777" w:rsidR="00933C62" w:rsidRPr="00266741" w:rsidRDefault="00933C62" w:rsidP="006E6C4E">
            <w:pPr>
              <w:spacing w:line="240" w:lineRule="auto"/>
            </w:pPr>
            <w:r w:rsidRPr="00266741">
              <w:t>L frontal</w:t>
            </w:r>
          </w:p>
        </w:tc>
        <w:tc>
          <w:tcPr>
            <w:tcW w:w="1890" w:type="dxa"/>
          </w:tcPr>
          <w:p w14:paraId="00A28289" w14:textId="77777777" w:rsidR="00933C62" w:rsidRPr="00266741" w:rsidRDefault="00933C62" w:rsidP="006E6C4E">
            <w:pPr>
              <w:spacing w:line="240" w:lineRule="auto"/>
            </w:pPr>
            <w:r>
              <w:t>BFT</w:t>
            </w:r>
          </w:p>
        </w:tc>
        <w:tc>
          <w:tcPr>
            <w:tcW w:w="990" w:type="dxa"/>
          </w:tcPr>
          <w:p w14:paraId="75767684" w14:textId="77777777" w:rsidR="00933C62" w:rsidRPr="00266741" w:rsidRDefault="00933C62" w:rsidP="006E6C4E">
            <w:pPr>
              <w:spacing w:line="240" w:lineRule="auto"/>
            </w:pPr>
            <w:r w:rsidRPr="00266741">
              <w:t xml:space="preserve">Point </w:t>
            </w:r>
          </w:p>
        </w:tc>
        <w:tc>
          <w:tcPr>
            <w:tcW w:w="1413" w:type="dxa"/>
          </w:tcPr>
          <w:p w14:paraId="5CADA15C" w14:textId="77777777" w:rsidR="00933C62" w:rsidRPr="00266741" w:rsidRDefault="00933C62" w:rsidP="006E6C4E">
            <w:pPr>
              <w:spacing w:line="240" w:lineRule="auto"/>
            </w:pPr>
            <w:r>
              <w:t>Healed</w:t>
            </w:r>
          </w:p>
        </w:tc>
      </w:tr>
      <w:tr w:rsidR="00933C62" w:rsidRPr="00266741" w14:paraId="5A5F82E8" w14:textId="77777777" w:rsidTr="006E6C4E">
        <w:trPr>
          <w:jc w:val="center"/>
        </w:trPr>
        <w:tc>
          <w:tcPr>
            <w:tcW w:w="567" w:type="dxa"/>
          </w:tcPr>
          <w:p w14:paraId="7DD29D3B" w14:textId="77777777" w:rsidR="00933C62" w:rsidRPr="00266741" w:rsidRDefault="00933C62" w:rsidP="006E6C4E">
            <w:pPr>
              <w:spacing w:line="240" w:lineRule="auto"/>
              <w:jc w:val="right"/>
            </w:pPr>
            <w:r w:rsidRPr="00266741">
              <w:t>12</w:t>
            </w:r>
          </w:p>
        </w:tc>
        <w:tc>
          <w:tcPr>
            <w:tcW w:w="270" w:type="dxa"/>
          </w:tcPr>
          <w:p w14:paraId="13E6CA76" w14:textId="77777777" w:rsidR="00933C62" w:rsidRPr="00266741" w:rsidRDefault="00933C62" w:rsidP="006E6C4E">
            <w:pPr>
              <w:spacing w:line="240" w:lineRule="auto"/>
              <w:jc w:val="both"/>
            </w:pPr>
            <w:r w:rsidRPr="00266741">
              <w:t>B</w:t>
            </w:r>
          </w:p>
        </w:tc>
        <w:tc>
          <w:tcPr>
            <w:tcW w:w="720" w:type="dxa"/>
          </w:tcPr>
          <w:p w14:paraId="17F1C53F" w14:textId="77777777" w:rsidR="00933C62" w:rsidRPr="00266741" w:rsidRDefault="00933C62" w:rsidP="006E6C4E">
            <w:pPr>
              <w:spacing w:line="240" w:lineRule="auto"/>
              <w:jc w:val="right"/>
            </w:pPr>
            <w:r w:rsidRPr="00266741">
              <w:t>YA</w:t>
            </w:r>
          </w:p>
        </w:tc>
        <w:tc>
          <w:tcPr>
            <w:tcW w:w="540" w:type="dxa"/>
          </w:tcPr>
          <w:p w14:paraId="3128B417" w14:textId="77777777" w:rsidR="00933C62" w:rsidRPr="00266741" w:rsidRDefault="00933C62" w:rsidP="006E6C4E">
            <w:pPr>
              <w:spacing w:line="240" w:lineRule="auto"/>
            </w:pPr>
            <w:r w:rsidRPr="00266741">
              <w:t>M?</w:t>
            </w:r>
          </w:p>
        </w:tc>
        <w:tc>
          <w:tcPr>
            <w:tcW w:w="1800" w:type="dxa"/>
          </w:tcPr>
          <w:p w14:paraId="0191A4A9" w14:textId="77777777" w:rsidR="00933C62" w:rsidRPr="00266741" w:rsidRDefault="00933C62" w:rsidP="006E6C4E">
            <w:pPr>
              <w:spacing w:line="240" w:lineRule="auto"/>
            </w:pPr>
            <w:r w:rsidRPr="00266741">
              <w:t>L frontal</w:t>
            </w:r>
          </w:p>
        </w:tc>
        <w:tc>
          <w:tcPr>
            <w:tcW w:w="1890" w:type="dxa"/>
          </w:tcPr>
          <w:p w14:paraId="4B6693C0" w14:textId="77777777" w:rsidR="00933C62" w:rsidRPr="00266741" w:rsidRDefault="00933C62" w:rsidP="006E6C4E">
            <w:pPr>
              <w:spacing w:line="240" w:lineRule="auto"/>
            </w:pPr>
            <w:r>
              <w:t>BFT</w:t>
            </w:r>
          </w:p>
        </w:tc>
        <w:tc>
          <w:tcPr>
            <w:tcW w:w="990" w:type="dxa"/>
          </w:tcPr>
          <w:p w14:paraId="393F1AF9" w14:textId="77777777" w:rsidR="00933C62" w:rsidRPr="00266741" w:rsidRDefault="00933C62" w:rsidP="006E6C4E">
            <w:pPr>
              <w:spacing w:line="240" w:lineRule="auto"/>
            </w:pPr>
            <w:r w:rsidRPr="00266741">
              <w:t>Round</w:t>
            </w:r>
          </w:p>
        </w:tc>
        <w:tc>
          <w:tcPr>
            <w:tcW w:w="1413" w:type="dxa"/>
          </w:tcPr>
          <w:p w14:paraId="44FA88D1" w14:textId="77777777" w:rsidR="00933C62" w:rsidRPr="00266741" w:rsidRDefault="00933C62" w:rsidP="006E6C4E">
            <w:pPr>
              <w:spacing w:line="240" w:lineRule="auto"/>
            </w:pPr>
            <w:r w:rsidRPr="00266741">
              <w:t>Peri-mortem</w:t>
            </w:r>
          </w:p>
        </w:tc>
      </w:tr>
      <w:tr w:rsidR="00933C62" w:rsidRPr="00266741" w14:paraId="4DAB2A6F" w14:textId="77777777" w:rsidTr="006E6C4E">
        <w:trPr>
          <w:jc w:val="center"/>
        </w:trPr>
        <w:tc>
          <w:tcPr>
            <w:tcW w:w="567" w:type="dxa"/>
          </w:tcPr>
          <w:p w14:paraId="1D2DD4FA" w14:textId="77777777" w:rsidR="00933C62" w:rsidRPr="00266741" w:rsidRDefault="00933C62" w:rsidP="006E6C4E">
            <w:pPr>
              <w:spacing w:line="240" w:lineRule="auto"/>
              <w:jc w:val="right"/>
            </w:pPr>
            <w:r w:rsidRPr="00266741">
              <w:t>72</w:t>
            </w:r>
          </w:p>
        </w:tc>
        <w:tc>
          <w:tcPr>
            <w:tcW w:w="270" w:type="dxa"/>
          </w:tcPr>
          <w:p w14:paraId="0250345F" w14:textId="77777777" w:rsidR="00933C62" w:rsidRPr="00266741" w:rsidRDefault="00933C62" w:rsidP="006E6C4E">
            <w:pPr>
              <w:spacing w:line="240" w:lineRule="auto"/>
              <w:jc w:val="both"/>
            </w:pPr>
          </w:p>
        </w:tc>
        <w:tc>
          <w:tcPr>
            <w:tcW w:w="720" w:type="dxa"/>
          </w:tcPr>
          <w:p w14:paraId="59F5C0CE" w14:textId="77777777" w:rsidR="00933C62" w:rsidRPr="00266741" w:rsidRDefault="00933C62" w:rsidP="006E6C4E">
            <w:pPr>
              <w:spacing w:line="240" w:lineRule="auto"/>
              <w:jc w:val="right"/>
            </w:pPr>
            <w:r w:rsidRPr="00266741">
              <w:t>YA</w:t>
            </w:r>
          </w:p>
        </w:tc>
        <w:tc>
          <w:tcPr>
            <w:tcW w:w="540" w:type="dxa"/>
          </w:tcPr>
          <w:p w14:paraId="43F283B1" w14:textId="77777777" w:rsidR="00933C62" w:rsidRPr="00266741" w:rsidRDefault="00933C62" w:rsidP="006E6C4E">
            <w:pPr>
              <w:spacing w:line="240" w:lineRule="auto"/>
            </w:pPr>
            <w:r w:rsidRPr="00266741">
              <w:t>M</w:t>
            </w:r>
          </w:p>
        </w:tc>
        <w:tc>
          <w:tcPr>
            <w:tcW w:w="1800" w:type="dxa"/>
          </w:tcPr>
          <w:p w14:paraId="49B2FA83" w14:textId="77777777" w:rsidR="00933C62" w:rsidRPr="00266741" w:rsidRDefault="00933C62" w:rsidP="006E6C4E">
            <w:pPr>
              <w:spacing w:line="240" w:lineRule="auto"/>
            </w:pPr>
            <w:r w:rsidRPr="00266741">
              <w:t>Frontal/glabella</w:t>
            </w:r>
          </w:p>
        </w:tc>
        <w:tc>
          <w:tcPr>
            <w:tcW w:w="1890" w:type="dxa"/>
          </w:tcPr>
          <w:p w14:paraId="72414BED" w14:textId="77777777" w:rsidR="00933C62" w:rsidRPr="00266741" w:rsidRDefault="00933C62" w:rsidP="006E6C4E">
            <w:pPr>
              <w:spacing w:line="240" w:lineRule="auto"/>
            </w:pPr>
            <w:r>
              <w:t>BFT</w:t>
            </w:r>
          </w:p>
        </w:tc>
        <w:tc>
          <w:tcPr>
            <w:tcW w:w="990" w:type="dxa"/>
          </w:tcPr>
          <w:p w14:paraId="4E0AC938" w14:textId="77777777" w:rsidR="00933C62" w:rsidRPr="00266741" w:rsidRDefault="00933C62" w:rsidP="006E6C4E">
            <w:pPr>
              <w:spacing w:line="240" w:lineRule="auto"/>
            </w:pPr>
            <w:r w:rsidRPr="00266741">
              <w:t>Round</w:t>
            </w:r>
          </w:p>
        </w:tc>
        <w:tc>
          <w:tcPr>
            <w:tcW w:w="1413" w:type="dxa"/>
          </w:tcPr>
          <w:p w14:paraId="0ED64895" w14:textId="77777777" w:rsidR="00933C62" w:rsidRPr="00266741" w:rsidRDefault="00933C62" w:rsidP="006E6C4E">
            <w:pPr>
              <w:spacing w:line="240" w:lineRule="auto"/>
            </w:pPr>
            <w:r w:rsidRPr="00266741">
              <w:t>Healing</w:t>
            </w:r>
          </w:p>
        </w:tc>
      </w:tr>
      <w:tr w:rsidR="00933C62" w:rsidRPr="00266741" w14:paraId="57A65E80" w14:textId="77777777" w:rsidTr="006E6C4E">
        <w:trPr>
          <w:jc w:val="center"/>
        </w:trPr>
        <w:tc>
          <w:tcPr>
            <w:tcW w:w="567" w:type="dxa"/>
          </w:tcPr>
          <w:p w14:paraId="3A87C7E8" w14:textId="77777777" w:rsidR="00933C62" w:rsidRPr="00266741" w:rsidRDefault="00933C62" w:rsidP="006E6C4E">
            <w:pPr>
              <w:spacing w:line="240" w:lineRule="auto"/>
              <w:jc w:val="right"/>
            </w:pPr>
            <w:r w:rsidRPr="00266741">
              <w:t>97</w:t>
            </w:r>
          </w:p>
        </w:tc>
        <w:tc>
          <w:tcPr>
            <w:tcW w:w="270" w:type="dxa"/>
          </w:tcPr>
          <w:p w14:paraId="060CD21F" w14:textId="77777777" w:rsidR="00933C62" w:rsidRPr="00266741" w:rsidRDefault="00933C62" w:rsidP="006E6C4E">
            <w:pPr>
              <w:spacing w:line="240" w:lineRule="auto"/>
              <w:jc w:val="both"/>
            </w:pPr>
          </w:p>
        </w:tc>
        <w:tc>
          <w:tcPr>
            <w:tcW w:w="720" w:type="dxa"/>
          </w:tcPr>
          <w:p w14:paraId="34E5A3A3" w14:textId="77777777" w:rsidR="00933C62" w:rsidRPr="00266741" w:rsidRDefault="00933C62" w:rsidP="006E6C4E">
            <w:pPr>
              <w:spacing w:line="240" w:lineRule="auto"/>
              <w:jc w:val="right"/>
            </w:pPr>
            <w:r w:rsidRPr="00266741">
              <w:t>MA</w:t>
            </w:r>
          </w:p>
        </w:tc>
        <w:tc>
          <w:tcPr>
            <w:tcW w:w="540" w:type="dxa"/>
          </w:tcPr>
          <w:p w14:paraId="68C37CC7" w14:textId="77777777" w:rsidR="00933C62" w:rsidRPr="00266741" w:rsidRDefault="00933C62" w:rsidP="006E6C4E">
            <w:pPr>
              <w:spacing w:line="240" w:lineRule="auto"/>
            </w:pPr>
            <w:r w:rsidRPr="00266741">
              <w:t>M?</w:t>
            </w:r>
          </w:p>
        </w:tc>
        <w:tc>
          <w:tcPr>
            <w:tcW w:w="1800" w:type="dxa"/>
          </w:tcPr>
          <w:p w14:paraId="2E96D2F5" w14:textId="77777777" w:rsidR="00933C62" w:rsidRPr="00266741" w:rsidRDefault="00933C62" w:rsidP="006E6C4E">
            <w:pPr>
              <w:spacing w:line="240" w:lineRule="auto"/>
            </w:pPr>
            <w:r w:rsidRPr="00266741">
              <w:t>R parietal</w:t>
            </w:r>
          </w:p>
        </w:tc>
        <w:tc>
          <w:tcPr>
            <w:tcW w:w="1890" w:type="dxa"/>
          </w:tcPr>
          <w:p w14:paraId="6B27D3B9" w14:textId="77777777" w:rsidR="00933C62" w:rsidRPr="00266741" w:rsidRDefault="00933C62" w:rsidP="006E6C4E">
            <w:pPr>
              <w:spacing w:line="240" w:lineRule="auto"/>
            </w:pPr>
            <w:r>
              <w:t>BFT</w:t>
            </w:r>
          </w:p>
        </w:tc>
        <w:tc>
          <w:tcPr>
            <w:tcW w:w="990" w:type="dxa"/>
          </w:tcPr>
          <w:p w14:paraId="71F24E6D" w14:textId="77777777" w:rsidR="00933C62" w:rsidRPr="00266741" w:rsidRDefault="00933C62" w:rsidP="006E6C4E">
            <w:pPr>
              <w:spacing w:line="240" w:lineRule="auto"/>
            </w:pPr>
            <w:r w:rsidRPr="00266741">
              <w:t>Round</w:t>
            </w:r>
          </w:p>
        </w:tc>
        <w:tc>
          <w:tcPr>
            <w:tcW w:w="1413" w:type="dxa"/>
          </w:tcPr>
          <w:p w14:paraId="77B78CED" w14:textId="77777777" w:rsidR="00933C62" w:rsidRPr="00266741" w:rsidRDefault="00933C62" w:rsidP="006E6C4E">
            <w:pPr>
              <w:spacing w:line="240" w:lineRule="auto"/>
            </w:pPr>
            <w:r w:rsidRPr="00266741">
              <w:t>Healing</w:t>
            </w:r>
          </w:p>
        </w:tc>
      </w:tr>
      <w:tr w:rsidR="00933C62" w:rsidRPr="00266741" w14:paraId="2E03D226" w14:textId="77777777" w:rsidTr="006E6C4E">
        <w:trPr>
          <w:jc w:val="center"/>
        </w:trPr>
        <w:tc>
          <w:tcPr>
            <w:tcW w:w="567" w:type="dxa"/>
          </w:tcPr>
          <w:p w14:paraId="24843ED3" w14:textId="77777777" w:rsidR="00933C62" w:rsidRPr="00266741" w:rsidRDefault="00933C62" w:rsidP="006E6C4E">
            <w:pPr>
              <w:spacing w:line="240" w:lineRule="auto"/>
              <w:jc w:val="right"/>
            </w:pPr>
            <w:r w:rsidRPr="00266741">
              <w:t>128</w:t>
            </w:r>
          </w:p>
        </w:tc>
        <w:tc>
          <w:tcPr>
            <w:tcW w:w="270" w:type="dxa"/>
          </w:tcPr>
          <w:p w14:paraId="006AF4D4" w14:textId="77777777" w:rsidR="00933C62" w:rsidRPr="00266741" w:rsidRDefault="00933C62" w:rsidP="006E6C4E">
            <w:pPr>
              <w:spacing w:line="240" w:lineRule="auto"/>
              <w:jc w:val="both"/>
            </w:pPr>
          </w:p>
        </w:tc>
        <w:tc>
          <w:tcPr>
            <w:tcW w:w="720" w:type="dxa"/>
          </w:tcPr>
          <w:p w14:paraId="223F2A21" w14:textId="77777777" w:rsidR="00933C62" w:rsidRPr="00266741" w:rsidRDefault="00933C62" w:rsidP="006E6C4E">
            <w:pPr>
              <w:spacing w:line="240" w:lineRule="auto"/>
              <w:jc w:val="right"/>
            </w:pPr>
            <w:r w:rsidRPr="00266741">
              <w:t>MA</w:t>
            </w:r>
          </w:p>
        </w:tc>
        <w:tc>
          <w:tcPr>
            <w:tcW w:w="540" w:type="dxa"/>
          </w:tcPr>
          <w:p w14:paraId="6C4007E8" w14:textId="77777777" w:rsidR="00933C62" w:rsidRPr="00266741" w:rsidRDefault="00933C62" w:rsidP="006E6C4E">
            <w:pPr>
              <w:spacing w:line="240" w:lineRule="auto"/>
            </w:pPr>
            <w:r w:rsidRPr="00266741">
              <w:t>M?</w:t>
            </w:r>
          </w:p>
        </w:tc>
        <w:tc>
          <w:tcPr>
            <w:tcW w:w="1800" w:type="dxa"/>
          </w:tcPr>
          <w:p w14:paraId="6F7C4567" w14:textId="77777777" w:rsidR="00933C62" w:rsidRPr="00266741" w:rsidRDefault="00933C62" w:rsidP="006E6C4E">
            <w:pPr>
              <w:spacing w:line="240" w:lineRule="auto"/>
            </w:pPr>
            <w:r w:rsidRPr="00266741">
              <w:t>L parietal</w:t>
            </w:r>
          </w:p>
        </w:tc>
        <w:tc>
          <w:tcPr>
            <w:tcW w:w="1890" w:type="dxa"/>
          </w:tcPr>
          <w:p w14:paraId="0D7F7B3B" w14:textId="77777777" w:rsidR="00933C62" w:rsidRPr="00266741" w:rsidRDefault="00933C62" w:rsidP="006E6C4E">
            <w:pPr>
              <w:spacing w:line="240" w:lineRule="auto"/>
            </w:pPr>
            <w:r>
              <w:t>BFT</w:t>
            </w:r>
          </w:p>
        </w:tc>
        <w:tc>
          <w:tcPr>
            <w:tcW w:w="990" w:type="dxa"/>
          </w:tcPr>
          <w:p w14:paraId="6EA72ED1" w14:textId="77777777" w:rsidR="00933C62" w:rsidRPr="00266741" w:rsidRDefault="00933C62" w:rsidP="006E6C4E">
            <w:pPr>
              <w:spacing w:line="240" w:lineRule="auto"/>
            </w:pPr>
            <w:r w:rsidRPr="00266741">
              <w:t>Ovoid</w:t>
            </w:r>
          </w:p>
        </w:tc>
        <w:tc>
          <w:tcPr>
            <w:tcW w:w="1413" w:type="dxa"/>
          </w:tcPr>
          <w:p w14:paraId="1EBC0475" w14:textId="77777777" w:rsidR="00933C62" w:rsidRPr="00266741" w:rsidRDefault="00933C62" w:rsidP="006E6C4E">
            <w:pPr>
              <w:spacing w:line="240" w:lineRule="auto"/>
            </w:pPr>
            <w:r w:rsidRPr="00266741">
              <w:t>Healing</w:t>
            </w:r>
          </w:p>
        </w:tc>
      </w:tr>
      <w:tr w:rsidR="00933C62" w:rsidRPr="00266741" w14:paraId="6997A012" w14:textId="77777777" w:rsidTr="006E6C4E">
        <w:trPr>
          <w:jc w:val="center"/>
        </w:trPr>
        <w:tc>
          <w:tcPr>
            <w:tcW w:w="567" w:type="dxa"/>
          </w:tcPr>
          <w:p w14:paraId="63A1C6E2" w14:textId="77777777" w:rsidR="00933C62" w:rsidRPr="00266741" w:rsidRDefault="00933C62" w:rsidP="006E6C4E">
            <w:pPr>
              <w:spacing w:line="240" w:lineRule="auto"/>
              <w:jc w:val="right"/>
            </w:pPr>
          </w:p>
        </w:tc>
        <w:tc>
          <w:tcPr>
            <w:tcW w:w="270" w:type="dxa"/>
          </w:tcPr>
          <w:p w14:paraId="5057A617" w14:textId="77777777" w:rsidR="00933C62" w:rsidRPr="00266741" w:rsidRDefault="00933C62" w:rsidP="006E6C4E">
            <w:pPr>
              <w:spacing w:line="240" w:lineRule="auto"/>
              <w:jc w:val="both"/>
            </w:pPr>
          </w:p>
        </w:tc>
        <w:tc>
          <w:tcPr>
            <w:tcW w:w="720" w:type="dxa"/>
          </w:tcPr>
          <w:p w14:paraId="4D8B9FF7" w14:textId="77777777" w:rsidR="00933C62" w:rsidRPr="00266741" w:rsidRDefault="00933C62" w:rsidP="006E6C4E">
            <w:pPr>
              <w:spacing w:line="240" w:lineRule="auto"/>
              <w:jc w:val="right"/>
            </w:pPr>
          </w:p>
        </w:tc>
        <w:tc>
          <w:tcPr>
            <w:tcW w:w="540" w:type="dxa"/>
          </w:tcPr>
          <w:p w14:paraId="008497E2" w14:textId="77777777" w:rsidR="00933C62" w:rsidRPr="00266741" w:rsidRDefault="00933C62" w:rsidP="006E6C4E">
            <w:pPr>
              <w:spacing w:line="240" w:lineRule="auto"/>
            </w:pPr>
          </w:p>
        </w:tc>
        <w:tc>
          <w:tcPr>
            <w:tcW w:w="1800" w:type="dxa"/>
          </w:tcPr>
          <w:p w14:paraId="79C361B6" w14:textId="77777777" w:rsidR="00933C62" w:rsidRPr="00266741" w:rsidRDefault="00933C62" w:rsidP="006E6C4E">
            <w:pPr>
              <w:spacing w:line="240" w:lineRule="auto"/>
            </w:pPr>
          </w:p>
        </w:tc>
        <w:tc>
          <w:tcPr>
            <w:tcW w:w="1890" w:type="dxa"/>
          </w:tcPr>
          <w:p w14:paraId="57886E31" w14:textId="77777777" w:rsidR="00933C62" w:rsidRPr="00266741" w:rsidRDefault="00933C62" w:rsidP="006E6C4E">
            <w:pPr>
              <w:spacing w:line="240" w:lineRule="auto"/>
            </w:pPr>
          </w:p>
        </w:tc>
        <w:tc>
          <w:tcPr>
            <w:tcW w:w="990" w:type="dxa"/>
          </w:tcPr>
          <w:p w14:paraId="27F8228C" w14:textId="77777777" w:rsidR="00933C62" w:rsidRPr="00266741" w:rsidRDefault="00933C62" w:rsidP="006E6C4E">
            <w:pPr>
              <w:spacing w:line="240" w:lineRule="auto"/>
            </w:pPr>
          </w:p>
        </w:tc>
        <w:tc>
          <w:tcPr>
            <w:tcW w:w="1413" w:type="dxa"/>
          </w:tcPr>
          <w:p w14:paraId="7552190B" w14:textId="77777777" w:rsidR="00933C62" w:rsidRPr="00266741" w:rsidRDefault="00933C62" w:rsidP="006E6C4E">
            <w:pPr>
              <w:spacing w:line="240" w:lineRule="auto"/>
            </w:pPr>
          </w:p>
        </w:tc>
      </w:tr>
      <w:tr w:rsidR="00933C62" w:rsidRPr="00266741" w14:paraId="4CC00942" w14:textId="77777777" w:rsidTr="006E6C4E">
        <w:trPr>
          <w:jc w:val="center"/>
        </w:trPr>
        <w:tc>
          <w:tcPr>
            <w:tcW w:w="567" w:type="dxa"/>
          </w:tcPr>
          <w:p w14:paraId="78E4D416" w14:textId="77777777" w:rsidR="00933C62" w:rsidRPr="00266741" w:rsidRDefault="00933C62" w:rsidP="006E6C4E">
            <w:pPr>
              <w:spacing w:line="240" w:lineRule="auto"/>
              <w:jc w:val="right"/>
            </w:pPr>
            <w:r w:rsidRPr="00266741">
              <w:t>10</w:t>
            </w:r>
          </w:p>
        </w:tc>
        <w:tc>
          <w:tcPr>
            <w:tcW w:w="270" w:type="dxa"/>
          </w:tcPr>
          <w:p w14:paraId="7DA9525D" w14:textId="77777777" w:rsidR="00933C62" w:rsidRPr="00266741" w:rsidRDefault="00933C62" w:rsidP="006E6C4E">
            <w:pPr>
              <w:spacing w:line="240" w:lineRule="auto"/>
              <w:jc w:val="both"/>
            </w:pPr>
          </w:p>
        </w:tc>
        <w:tc>
          <w:tcPr>
            <w:tcW w:w="720" w:type="dxa"/>
          </w:tcPr>
          <w:p w14:paraId="63C9BC15" w14:textId="77777777" w:rsidR="00933C62" w:rsidRPr="00266741" w:rsidRDefault="00933C62" w:rsidP="006E6C4E">
            <w:pPr>
              <w:spacing w:line="240" w:lineRule="auto"/>
              <w:jc w:val="right"/>
            </w:pPr>
            <w:r w:rsidRPr="00266741">
              <w:t>YA</w:t>
            </w:r>
          </w:p>
        </w:tc>
        <w:tc>
          <w:tcPr>
            <w:tcW w:w="540" w:type="dxa"/>
          </w:tcPr>
          <w:p w14:paraId="4D416D09" w14:textId="77777777" w:rsidR="00933C62" w:rsidRPr="00266741" w:rsidRDefault="00933C62" w:rsidP="006E6C4E">
            <w:pPr>
              <w:spacing w:line="240" w:lineRule="auto"/>
            </w:pPr>
            <w:r w:rsidRPr="00266741">
              <w:t>F</w:t>
            </w:r>
          </w:p>
        </w:tc>
        <w:tc>
          <w:tcPr>
            <w:tcW w:w="1800" w:type="dxa"/>
          </w:tcPr>
          <w:p w14:paraId="6200D253" w14:textId="77777777" w:rsidR="00933C62" w:rsidRPr="00266741" w:rsidRDefault="00933C62" w:rsidP="006E6C4E">
            <w:pPr>
              <w:spacing w:line="240" w:lineRule="auto"/>
            </w:pPr>
            <w:r w:rsidRPr="00266741">
              <w:t>Frontal (glabella)</w:t>
            </w:r>
          </w:p>
        </w:tc>
        <w:tc>
          <w:tcPr>
            <w:tcW w:w="1890" w:type="dxa"/>
          </w:tcPr>
          <w:p w14:paraId="5491B51C" w14:textId="77777777" w:rsidR="00933C62" w:rsidRPr="00266741" w:rsidRDefault="00933C62" w:rsidP="006E6C4E">
            <w:pPr>
              <w:spacing w:line="240" w:lineRule="auto"/>
            </w:pPr>
            <w:r>
              <w:t>BFT</w:t>
            </w:r>
          </w:p>
        </w:tc>
        <w:tc>
          <w:tcPr>
            <w:tcW w:w="990" w:type="dxa"/>
          </w:tcPr>
          <w:p w14:paraId="74DDCFC8" w14:textId="77777777" w:rsidR="00933C62" w:rsidRPr="00266741" w:rsidRDefault="00933C62" w:rsidP="006E6C4E">
            <w:pPr>
              <w:spacing w:line="240" w:lineRule="auto"/>
            </w:pPr>
            <w:r w:rsidRPr="00266741">
              <w:t>Round</w:t>
            </w:r>
          </w:p>
        </w:tc>
        <w:tc>
          <w:tcPr>
            <w:tcW w:w="1413" w:type="dxa"/>
          </w:tcPr>
          <w:p w14:paraId="7C7918F9" w14:textId="77777777" w:rsidR="00933C62" w:rsidRPr="00266741" w:rsidRDefault="00933C62" w:rsidP="006E6C4E">
            <w:pPr>
              <w:spacing w:line="240" w:lineRule="auto"/>
            </w:pPr>
            <w:r w:rsidRPr="00266741">
              <w:t>Healed</w:t>
            </w:r>
          </w:p>
        </w:tc>
      </w:tr>
      <w:tr w:rsidR="00933C62" w:rsidRPr="00266741" w14:paraId="66B05FD7" w14:textId="77777777" w:rsidTr="006E6C4E">
        <w:trPr>
          <w:jc w:val="center"/>
        </w:trPr>
        <w:tc>
          <w:tcPr>
            <w:tcW w:w="567" w:type="dxa"/>
          </w:tcPr>
          <w:p w14:paraId="7E300C1A" w14:textId="77777777" w:rsidR="00933C62" w:rsidRPr="00266741" w:rsidRDefault="00933C62" w:rsidP="006E6C4E">
            <w:pPr>
              <w:spacing w:line="240" w:lineRule="auto"/>
              <w:jc w:val="right"/>
            </w:pPr>
            <w:r w:rsidRPr="00266741">
              <w:t>10</w:t>
            </w:r>
          </w:p>
        </w:tc>
        <w:tc>
          <w:tcPr>
            <w:tcW w:w="270" w:type="dxa"/>
          </w:tcPr>
          <w:p w14:paraId="144D4D90" w14:textId="77777777" w:rsidR="00933C62" w:rsidRPr="00266741" w:rsidRDefault="00933C62" w:rsidP="006E6C4E">
            <w:pPr>
              <w:spacing w:line="240" w:lineRule="auto"/>
              <w:jc w:val="both"/>
            </w:pPr>
          </w:p>
        </w:tc>
        <w:tc>
          <w:tcPr>
            <w:tcW w:w="720" w:type="dxa"/>
          </w:tcPr>
          <w:p w14:paraId="74A55A90" w14:textId="77777777" w:rsidR="00933C62" w:rsidRPr="00266741" w:rsidRDefault="00933C62" w:rsidP="006E6C4E">
            <w:pPr>
              <w:spacing w:line="240" w:lineRule="auto"/>
              <w:jc w:val="right"/>
            </w:pPr>
            <w:r w:rsidRPr="00266741">
              <w:t>YA</w:t>
            </w:r>
          </w:p>
        </w:tc>
        <w:tc>
          <w:tcPr>
            <w:tcW w:w="540" w:type="dxa"/>
          </w:tcPr>
          <w:p w14:paraId="06902A92" w14:textId="77777777" w:rsidR="00933C62" w:rsidRPr="00266741" w:rsidRDefault="00933C62" w:rsidP="006E6C4E">
            <w:pPr>
              <w:spacing w:line="240" w:lineRule="auto"/>
            </w:pPr>
            <w:r w:rsidRPr="00266741">
              <w:t>F</w:t>
            </w:r>
          </w:p>
        </w:tc>
        <w:tc>
          <w:tcPr>
            <w:tcW w:w="1800" w:type="dxa"/>
          </w:tcPr>
          <w:p w14:paraId="63BDD803" w14:textId="77777777" w:rsidR="00933C62" w:rsidRPr="00266741" w:rsidRDefault="00933C62" w:rsidP="006E6C4E">
            <w:pPr>
              <w:spacing w:line="240" w:lineRule="auto"/>
            </w:pPr>
            <w:r w:rsidRPr="00266741">
              <w:t>L parietal</w:t>
            </w:r>
          </w:p>
        </w:tc>
        <w:tc>
          <w:tcPr>
            <w:tcW w:w="1890" w:type="dxa"/>
          </w:tcPr>
          <w:p w14:paraId="0514D50B" w14:textId="77777777" w:rsidR="00933C62" w:rsidRPr="00266741" w:rsidRDefault="00933C62" w:rsidP="006E6C4E">
            <w:pPr>
              <w:spacing w:line="240" w:lineRule="auto"/>
            </w:pPr>
            <w:r>
              <w:t>BFT</w:t>
            </w:r>
          </w:p>
        </w:tc>
        <w:tc>
          <w:tcPr>
            <w:tcW w:w="990" w:type="dxa"/>
          </w:tcPr>
          <w:p w14:paraId="0B3DB455" w14:textId="77777777" w:rsidR="00933C62" w:rsidRPr="00266741" w:rsidRDefault="00933C62" w:rsidP="006E6C4E">
            <w:pPr>
              <w:spacing w:line="240" w:lineRule="auto"/>
            </w:pPr>
            <w:r w:rsidRPr="00266741">
              <w:t>Round</w:t>
            </w:r>
          </w:p>
        </w:tc>
        <w:tc>
          <w:tcPr>
            <w:tcW w:w="1413" w:type="dxa"/>
          </w:tcPr>
          <w:p w14:paraId="593BD03B" w14:textId="77777777" w:rsidR="00933C62" w:rsidRPr="00266741" w:rsidRDefault="00933C62" w:rsidP="006E6C4E">
            <w:pPr>
              <w:spacing w:line="240" w:lineRule="auto"/>
            </w:pPr>
            <w:r w:rsidRPr="00266741">
              <w:t>Healed</w:t>
            </w:r>
          </w:p>
        </w:tc>
      </w:tr>
      <w:tr w:rsidR="00933C62" w:rsidRPr="00266741" w14:paraId="77BFA5D2" w14:textId="77777777" w:rsidTr="006E6C4E">
        <w:trPr>
          <w:jc w:val="center"/>
        </w:trPr>
        <w:tc>
          <w:tcPr>
            <w:tcW w:w="567" w:type="dxa"/>
          </w:tcPr>
          <w:p w14:paraId="1759B757" w14:textId="77777777" w:rsidR="00933C62" w:rsidRPr="00266741" w:rsidRDefault="00933C62" w:rsidP="006E6C4E">
            <w:pPr>
              <w:spacing w:line="240" w:lineRule="auto"/>
              <w:jc w:val="right"/>
            </w:pPr>
            <w:r w:rsidRPr="00266741">
              <w:t>18</w:t>
            </w:r>
          </w:p>
        </w:tc>
        <w:tc>
          <w:tcPr>
            <w:tcW w:w="270" w:type="dxa"/>
          </w:tcPr>
          <w:p w14:paraId="67DB3E39" w14:textId="77777777" w:rsidR="00933C62" w:rsidRPr="00266741" w:rsidRDefault="00933C62" w:rsidP="006E6C4E">
            <w:pPr>
              <w:spacing w:line="240" w:lineRule="auto"/>
              <w:jc w:val="both"/>
            </w:pPr>
          </w:p>
        </w:tc>
        <w:tc>
          <w:tcPr>
            <w:tcW w:w="720" w:type="dxa"/>
          </w:tcPr>
          <w:p w14:paraId="60EF04B2" w14:textId="77777777" w:rsidR="00933C62" w:rsidRPr="00266741" w:rsidRDefault="00933C62" w:rsidP="006E6C4E">
            <w:pPr>
              <w:spacing w:line="240" w:lineRule="auto"/>
              <w:jc w:val="right"/>
            </w:pPr>
            <w:r w:rsidRPr="00266741">
              <w:t>MA</w:t>
            </w:r>
          </w:p>
        </w:tc>
        <w:tc>
          <w:tcPr>
            <w:tcW w:w="540" w:type="dxa"/>
          </w:tcPr>
          <w:p w14:paraId="4C940165" w14:textId="77777777" w:rsidR="00933C62" w:rsidRPr="00266741" w:rsidRDefault="00933C62" w:rsidP="006E6C4E">
            <w:pPr>
              <w:spacing w:line="240" w:lineRule="auto"/>
            </w:pPr>
            <w:r w:rsidRPr="00266741">
              <w:t>F?</w:t>
            </w:r>
          </w:p>
        </w:tc>
        <w:tc>
          <w:tcPr>
            <w:tcW w:w="1800" w:type="dxa"/>
          </w:tcPr>
          <w:p w14:paraId="65066CA3" w14:textId="77777777" w:rsidR="00933C62" w:rsidRPr="00266741" w:rsidRDefault="00933C62" w:rsidP="006E6C4E">
            <w:pPr>
              <w:spacing w:line="240" w:lineRule="auto"/>
            </w:pPr>
            <w:r w:rsidRPr="00266741">
              <w:t>R parietal/occipital</w:t>
            </w:r>
          </w:p>
        </w:tc>
        <w:tc>
          <w:tcPr>
            <w:tcW w:w="1890" w:type="dxa"/>
          </w:tcPr>
          <w:p w14:paraId="4282871A" w14:textId="77777777" w:rsidR="00933C62" w:rsidRPr="00266741" w:rsidRDefault="00933C62" w:rsidP="006E6C4E">
            <w:pPr>
              <w:spacing w:line="240" w:lineRule="auto"/>
            </w:pPr>
            <w:r>
              <w:t>BFT</w:t>
            </w:r>
          </w:p>
        </w:tc>
        <w:tc>
          <w:tcPr>
            <w:tcW w:w="990" w:type="dxa"/>
          </w:tcPr>
          <w:p w14:paraId="2485BAC7" w14:textId="77777777" w:rsidR="00933C62" w:rsidRPr="00266741" w:rsidRDefault="00933C62" w:rsidP="006E6C4E">
            <w:pPr>
              <w:spacing w:line="240" w:lineRule="auto"/>
            </w:pPr>
            <w:r w:rsidRPr="00266741">
              <w:t>Round</w:t>
            </w:r>
          </w:p>
        </w:tc>
        <w:tc>
          <w:tcPr>
            <w:tcW w:w="1413" w:type="dxa"/>
          </w:tcPr>
          <w:p w14:paraId="395B1EF6" w14:textId="77777777" w:rsidR="00933C62" w:rsidRPr="00266741" w:rsidRDefault="00933C62" w:rsidP="006E6C4E">
            <w:pPr>
              <w:spacing w:line="240" w:lineRule="auto"/>
            </w:pPr>
            <w:r w:rsidRPr="00266741">
              <w:t>Healed</w:t>
            </w:r>
          </w:p>
        </w:tc>
      </w:tr>
      <w:tr w:rsidR="00933C62" w:rsidRPr="00266741" w14:paraId="48D91726" w14:textId="77777777" w:rsidTr="006E6C4E">
        <w:trPr>
          <w:jc w:val="center"/>
        </w:trPr>
        <w:tc>
          <w:tcPr>
            <w:tcW w:w="567" w:type="dxa"/>
          </w:tcPr>
          <w:p w14:paraId="0E495D0E" w14:textId="77777777" w:rsidR="00933C62" w:rsidRPr="00266741" w:rsidRDefault="00933C62" w:rsidP="006E6C4E">
            <w:pPr>
              <w:spacing w:line="240" w:lineRule="auto"/>
              <w:jc w:val="right"/>
            </w:pPr>
            <w:r w:rsidRPr="00266741">
              <w:t>68</w:t>
            </w:r>
          </w:p>
        </w:tc>
        <w:tc>
          <w:tcPr>
            <w:tcW w:w="270" w:type="dxa"/>
          </w:tcPr>
          <w:p w14:paraId="2F83ADFD" w14:textId="77777777" w:rsidR="00933C62" w:rsidRPr="00266741" w:rsidRDefault="00933C62" w:rsidP="006E6C4E">
            <w:pPr>
              <w:spacing w:line="240" w:lineRule="auto"/>
              <w:jc w:val="both"/>
            </w:pPr>
          </w:p>
        </w:tc>
        <w:tc>
          <w:tcPr>
            <w:tcW w:w="720" w:type="dxa"/>
          </w:tcPr>
          <w:p w14:paraId="69B69CD2" w14:textId="77777777" w:rsidR="00933C62" w:rsidRPr="00266741" w:rsidRDefault="00933C62" w:rsidP="006E6C4E">
            <w:pPr>
              <w:spacing w:line="240" w:lineRule="auto"/>
              <w:jc w:val="right"/>
            </w:pPr>
            <w:r w:rsidRPr="00266741">
              <w:t>MA</w:t>
            </w:r>
          </w:p>
        </w:tc>
        <w:tc>
          <w:tcPr>
            <w:tcW w:w="540" w:type="dxa"/>
          </w:tcPr>
          <w:p w14:paraId="1DAB234C" w14:textId="77777777" w:rsidR="00933C62" w:rsidRPr="00266741" w:rsidRDefault="00933C62" w:rsidP="006E6C4E">
            <w:pPr>
              <w:spacing w:line="240" w:lineRule="auto"/>
            </w:pPr>
            <w:r w:rsidRPr="00266741">
              <w:t>F?</w:t>
            </w:r>
          </w:p>
        </w:tc>
        <w:tc>
          <w:tcPr>
            <w:tcW w:w="1800" w:type="dxa"/>
          </w:tcPr>
          <w:p w14:paraId="4975C984" w14:textId="77777777" w:rsidR="00933C62" w:rsidRPr="00266741" w:rsidRDefault="00933C62" w:rsidP="006E6C4E">
            <w:pPr>
              <w:spacing w:line="240" w:lineRule="auto"/>
            </w:pPr>
            <w:r w:rsidRPr="00266741">
              <w:t>Frontal/glabella</w:t>
            </w:r>
          </w:p>
        </w:tc>
        <w:tc>
          <w:tcPr>
            <w:tcW w:w="1890" w:type="dxa"/>
          </w:tcPr>
          <w:p w14:paraId="46C09B8E" w14:textId="77777777" w:rsidR="00933C62" w:rsidRPr="00266741" w:rsidRDefault="00933C62" w:rsidP="006E6C4E">
            <w:pPr>
              <w:spacing w:line="240" w:lineRule="auto"/>
            </w:pPr>
            <w:r>
              <w:t>BFT</w:t>
            </w:r>
          </w:p>
        </w:tc>
        <w:tc>
          <w:tcPr>
            <w:tcW w:w="990" w:type="dxa"/>
          </w:tcPr>
          <w:p w14:paraId="661C5ED1" w14:textId="77777777" w:rsidR="00933C62" w:rsidRPr="00266741" w:rsidRDefault="00933C62" w:rsidP="006E6C4E">
            <w:pPr>
              <w:spacing w:line="240" w:lineRule="auto"/>
            </w:pPr>
            <w:r w:rsidRPr="00266741">
              <w:t>Round</w:t>
            </w:r>
          </w:p>
        </w:tc>
        <w:tc>
          <w:tcPr>
            <w:tcW w:w="1413" w:type="dxa"/>
          </w:tcPr>
          <w:p w14:paraId="696E55A9" w14:textId="77777777" w:rsidR="00933C62" w:rsidRPr="00266741" w:rsidRDefault="00933C62" w:rsidP="006E6C4E">
            <w:pPr>
              <w:spacing w:line="240" w:lineRule="auto"/>
            </w:pPr>
            <w:r w:rsidRPr="00266741">
              <w:t>Healed</w:t>
            </w:r>
          </w:p>
        </w:tc>
      </w:tr>
      <w:tr w:rsidR="00933C62" w:rsidRPr="00266741" w14:paraId="714DF4B2" w14:textId="77777777" w:rsidTr="006E6C4E">
        <w:trPr>
          <w:jc w:val="center"/>
        </w:trPr>
        <w:tc>
          <w:tcPr>
            <w:tcW w:w="567" w:type="dxa"/>
          </w:tcPr>
          <w:p w14:paraId="4B59F614" w14:textId="77777777" w:rsidR="00933C62" w:rsidRPr="00266741" w:rsidRDefault="00933C62" w:rsidP="006E6C4E">
            <w:pPr>
              <w:spacing w:line="240" w:lineRule="auto"/>
              <w:jc w:val="right"/>
            </w:pPr>
            <w:r w:rsidRPr="00266741">
              <w:t>75</w:t>
            </w:r>
          </w:p>
        </w:tc>
        <w:tc>
          <w:tcPr>
            <w:tcW w:w="270" w:type="dxa"/>
          </w:tcPr>
          <w:p w14:paraId="55423EF9" w14:textId="77777777" w:rsidR="00933C62" w:rsidRPr="00266741" w:rsidRDefault="00933C62" w:rsidP="006E6C4E">
            <w:pPr>
              <w:spacing w:line="240" w:lineRule="auto"/>
              <w:jc w:val="both"/>
            </w:pPr>
          </w:p>
        </w:tc>
        <w:tc>
          <w:tcPr>
            <w:tcW w:w="720" w:type="dxa"/>
          </w:tcPr>
          <w:p w14:paraId="6976AAE6" w14:textId="77777777" w:rsidR="00933C62" w:rsidRPr="00266741" w:rsidRDefault="00933C62" w:rsidP="006E6C4E">
            <w:pPr>
              <w:spacing w:line="240" w:lineRule="auto"/>
              <w:jc w:val="right"/>
            </w:pPr>
            <w:r w:rsidRPr="00266741">
              <w:t>OA</w:t>
            </w:r>
          </w:p>
        </w:tc>
        <w:tc>
          <w:tcPr>
            <w:tcW w:w="540" w:type="dxa"/>
          </w:tcPr>
          <w:p w14:paraId="08872E99" w14:textId="77777777" w:rsidR="00933C62" w:rsidRPr="00266741" w:rsidRDefault="00933C62" w:rsidP="006E6C4E">
            <w:pPr>
              <w:spacing w:line="240" w:lineRule="auto"/>
            </w:pPr>
            <w:r w:rsidRPr="00266741">
              <w:t>F?</w:t>
            </w:r>
          </w:p>
        </w:tc>
        <w:tc>
          <w:tcPr>
            <w:tcW w:w="1800" w:type="dxa"/>
          </w:tcPr>
          <w:p w14:paraId="45134C6B" w14:textId="77777777" w:rsidR="00933C62" w:rsidRPr="00266741" w:rsidRDefault="00933C62" w:rsidP="006E6C4E">
            <w:pPr>
              <w:spacing w:line="240" w:lineRule="auto"/>
            </w:pPr>
            <w:r w:rsidRPr="00266741">
              <w:t>L frontal/parietal</w:t>
            </w:r>
          </w:p>
        </w:tc>
        <w:tc>
          <w:tcPr>
            <w:tcW w:w="1890" w:type="dxa"/>
          </w:tcPr>
          <w:p w14:paraId="10677E7D" w14:textId="77777777" w:rsidR="00933C62" w:rsidRPr="00266741" w:rsidRDefault="00933C62" w:rsidP="006E6C4E">
            <w:pPr>
              <w:spacing w:line="240" w:lineRule="auto"/>
            </w:pPr>
            <w:r>
              <w:t>BFT</w:t>
            </w:r>
          </w:p>
        </w:tc>
        <w:tc>
          <w:tcPr>
            <w:tcW w:w="990" w:type="dxa"/>
          </w:tcPr>
          <w:p w14:paraId="6D6C3E2D" w14:textId="77777777" w:rsidR="00933C62" w:rsidRPr="00266741" w:rsidRDefault="00933C62" w:rsidP="006E6C4E">
            <w:pPr>
              <w:spacing w:line="240" w:lineRule="auto"/>
            </w:pPr>
            <w:r w:rsidRPr="00266741">
              <w:t>Round?</w:t>
            </w:r>
          </w:p>
        </w:tc>
        <w:tc>
          <w:tcPr>
            <w:tcW w:w="1413" w:type="dxa"/>
          </w:tcPr>
          <w:p w14:paraId="6C9A2A19" w14:textId="77777777" w:rsidR="00933C62" w:rsidRPr="00266741" w:rsidRDefault="00933C62" w:rsidP="006E6C4E">
            <w:pPr>
              <w:spacing w:line="240" w:lineRule="auto"/>
            </w:pPr>
            <w:r w:rsidRPr="00266741">
              <w:t>Healed</w:t>
            </w:r>
          </w:p>
        </w:tc>
      </w:tr>
      <w:tr w:rsidR="00933C62" w:rsidRPr="00266741" w14:paraId="6152F9EF" w14:textId="77777777" w:rsidTr="006E6C4E">
        <w:trPr>
          <w:jc w:val="center"/>
        </w:trPr>
        <w:tc>
          <w:tcPr>
            <w:tcW w:w="567" w:type="dxa"/>
          </w:tcPr>
          <w:p w14:paraId="56B134FE" w14:textId="77777777" w:rsidR="00933C62" w:rsidRPr="00266741" w:rsidRDefault="00933C62" w:rsidP="006E6C4E">
            <w:pPr>
              <w:spacing w:line="240" w:lineRule="auto"/>
              <w:jc w:val="right"/>
            </w:pPr>
            <w:r w:rsidRPr="00266741">
              <w:t>90</w:t>
            </w:r>
          </w:p>
        </w:tc>
        <w:tc>
          <w:tcPr>
            <w:tcW w:w="270" w:type="dxa"/>
          </w:tcPr>
          <w:p w14:paraId="674AD681" w14:textId="77777777" w:rsidR="00933C62" w:rsidRPr="00266741" w:rsidRDefault="00933C62" w:rsidP="006E6C4E">
            <w:pPr>
              <w:spacing w:line="240" w:lineRule="auto"/>
              <w:jc w:val="both"/>
            </w:pPr>
          </w:p>
        </w:tc>
        <w:tc>
          <w:tcPr>
            <w:tcW w:w="720" w:type="dxa"/>
          </w:tcPr>
          <w:p w14:paraId="3D13F1B9" w14:textId="77777777" w:rsidR="00933C62" w:rsidRPr="00266741" w:rsidRDefault="00933C62" w:rsidP="006E6C4E">
            <w:pPr>
              <w:spacing w:line="240" w:lineRule="auto"/>
              <w:jc w:val="right"/>
            </w:pPr>
            <w:r w:rsidRPr="00266741">
              <w:t>MA</w:t>
            </w:r>
          </w:p>
        </w:tc>
        <w:tc>
          <w:tcPr>
            <w:tcW w:w="540" w:type="dxa"/>
          </w:tcPr>
          <w:p w14:paraId="412D1E66" w14:textId="77777777" w:rsidR="00933C62" w:rsidRPr="00266741" w:rsidRDefault="00933C62" w:rsidP="006E6C4E">
            <w:pPr>
              <w:spacing w:line="240" w:lineRule="auto"/>
            </w:pPr>
            <w:r w:rsidRPr="00266741">
              <w:t>F</w:t>
            </w:r>
          </w:p>
        </w:tc>
        <w:tc>
          <w:tcPr>
            <w:tcW w:w="1800" w:type="dxa"/>
          </w:tcPr>
          <w:p w14:paraId="7AF400E0" w14:textId="77777777" w:rsidR="00933C62" w:rsidRPr="00266741" w:rsidRDefault="00933C62" w:rsidP="006E6C4E">
            <w:pPr>
              <w:spacing w:line="240" w:lineRule="auto"/>
            </w:pPr>
            <w:r w:rsidRPr="00266741">
              <w:t>L parietal</w:t>
            </w:r>
          </w:p>
        </w:tc>
        <w:tc>
          <w:tcPr>
            <w:tcW w:w="1890" w:type="dxa"/>
          </w:tcPr>
          <w:p w14:paraId="7DD278B3" w14:textId="77777777" w:rsidR="00933C62" w:rsidRPr="00932507" w:rsidRDefault="00933C62" w:rsidP="006E6C4E">
            <w:pPr>
              <w:spacing w:line="240" w:lineRule="auto"/>
              <w:rPr>
                <w:b/>
              </w:rPr>
            </w:pPr>
            <w:r>
              <w:t>BFT</w:t>
            </w:r>
          </w:p>
        </w:tc>
        <w:tc>
          <w:tcPr>
            <w:tcW w:w="990" w:type="dxa"/>
          </w:tcPr>
          <w:p w14:paraId="0E6D5774" w14:textId="77777777" w:rsidR="00933C62" w:rsidRPr="00266741" w:rsidRDefault="00933C62" w:rsidP="006E6C4E">
            <w:pPr>
              <w:spacing w:line="240" w:lineRule="auto"/>
            </w:pPr>
            <w:r w:rsidRPr="00266741">
              <w:t>Round</w:t>
            </w:r>
          </w:p>
        </w:tc>
        <w:tc>
          <w:tcPr>
            <w:tcW w:w="1413" w:type="dxa"/>
          </w:tcPr>
          <w:p w14:paraId="13C0AA53" w14:textId="77777777" w:rsidR="00933C62" w:rsidRPr="00266741" w:rsidRDefault="00933C62" w:rsidP="006E6C4E">
            <w:pPr>
              <w:spacing w:line="240" w:lineRule="auto"/>
            </w:pPr>
            <w:r w:rsidRPr="00266741">
              <w:t>Healed</w:t>
            </w:r>
          </w:p>
        </w:tc>
      </w:tr>
      <w:tr w:rsidR="00933C62" w:rsidRPr="00266741" w14:paraId="514B6112" w14:textId="77777777" w:rsidTr="006E6C4E">
        <w:trPr>
          <w:jc w:val="center"/>
        </w:trPr>
        <w:tc>
          <w:tcPr>
            <w:tcW w:w="567" w:type="dxa"/>
          </w:tcPr>
          <w:p w14:paraId="474B201D" w14:textId="77777777" w:rsidR="00933C62" w:rsidRPr="00266741" w:rsidRDefault="00933C62" w:rsidP="006E6C4E">
            <w:pPr>
              <w:spacing w:line="240" w:lineRule="auto"/>
              <w:jc w:val="right"/>
            </w:pPr>
            <w:r w:rsidRPr="00266741">
              <w:t>90</w:t>
            </w:r>
          </w:p>
        </w:tc>
        <w:tc>
          <w:tcPr>
            <w:tcW w:w="270" w:type="dxa"/>
          </w:tcPr>
          <w:p w14:paraId="281BCDA8" w14:textId="77777777" w:rsidR="00933C62" w:rsidRPr="00266741" w:rsidRDefault="00933C62" w:rsidP="006E6C4E">
            <w:pPr>
              <w:spacing w:line="240" w:lineRule="auto"/>
              <w:jc w:val="both"/>
            </w:pPr>
          </w:p>
        </w:tc>
        <w:tc>
          <w:tcPr>
            <w:tcW w:w="720" w:type="dxa"/>
          </w:tcPr>
          <w:p w14:paraId="4DAD66B2" w14:textId="77777777" w:rsidR="00933C62" w:rsidRPr="00266741" w:rsidRDefault="00933C62" w:rsidP="006E6C4E">
            <w:pPr>
              <w:spacing w:line="240" w:lineRule="auto"/>
              <w:jc w:val="right"/>
            </w:pPr>
            <w:r w:rsidRPr="00266741">
              <w:t>MA</w:t>
            </w:r>
          </w:p>
        </w:tc>
        <w:tc>
          <w:tcPr>
            <w:tcW w:w="540" w:type="dxa"/>
          </w:tcPr>
          <w:p w14:paraId="10498B24" w14:textId="77777777" w:rsidR="00933C62" w:rsidRPr="00266741" w:rsidRDefault="00933C62" w:rsidP="006E6C4E">
            <w:pPr>
              <w:spacing w:line="240" w:lineRule="auto"/>
            </w:pPr>
            <w:r w:rsidRPr="00266741">
              <w:t>F</w:t>
            </w:r>
          </w:p>
        </w:tc>
        <w:tc>
          <w:tcPr>
            <w:tcW w:w="1800" w:type="dxa"/>
          </w:tcPr>
          <w:p w14:paraId="706B9AB3" w14:textId="77777777" w:rsidR="00933C62" w:rsidRPr="00266741" w:rsidRDefault="00933C62" w:rsidP="006E6C4E">
            <w:pPr>
              <w:spacing w:line="240" w:lineRule="auto"/>
            </w:pPr>
            <w:r w:rsidRPr="00266741">
              <w:t>R parietal</w:t>
            </w:r>
          </w:p>
        </w:tc>
        <w:tc>
          <w:tcPr>
            <w:tcW w:w="1890" w:type="dxa"/>
          </w:tcPr>
          <w:p w14:paraId="6B1AAED3" w14:textId="77777777" w:rsidR="00933C62" w:rsidRPr="00266741" w:rsidRDefault="00933C62" w:rsidP="006E6C4E">
            <w:pPr>
              <w:spacing w:line="240" w:lineRule="auto"/>
            </w:pPr>
            <w:r>
              <w:t>BFT</w:t>
            </w:r>
          </w:p>
        </w:tc>
        <w:tc>
          <w:tcPr>
            <w:tcW w:w="990" w:type="dxa"/>
          </w:tcPr>
          <w:p w14:paraId="79B1C0C5" w14:textId="77777777" w:rsidR="00933C62" w:rsidRPr="00266741" w:rsidRDefault="00933C62" w:rsidP="006E6C4E">
            <w:pPr>
              <w:spacing w:line="240" w:lineRule="auto"/>
            </w:pPr>
            <w:r w:rsidRPr="00266741">
              <w:t>Round</w:t>
            </w:r>
          </w:p>
        </w:tc>
        <w:tc>
          <w:tcPr>
            <w:tcW w:w="1413" w:type="dxa"/>
          </w:tcPr>
          <w:p w14:paraId="333D49F7" w14:textId="77777777" w:rsidR="00933C62" w:rsidRPr="00266741" w:rsidRDefault="00933C62" w:rsidP="006E6C4E">
            <w:pPr>
              <w:spacing w:line="240" w:lineRule="auto"/>
            </w:pPr>
            <w:r w:rsidRPr="00266741">
              <w:t>Healing</w:t>
            </w:r>
          </w:p>
        </w:tc>
      </w:tr>
      <w:tr w:rsidR="00933C62" w:rsidRPr="00266741" w14:paraId="010E2C76" w14:textId="77777777" w:rsidTr="006E6C4E">
        <w:trPr>
          <w:jc w:val="center"/>
        </w:trPr>
        <w:tc>
          <w:tcPr>
            <w:tcW w:w="567" w:type="dxa"/>
          </w:tcPr>
          <w:p w14:paraId="53D7CF4C" w14:textId="77777777" w:rsidR="00933C62" w:rsidRPr="00266741" w:rsidRDefault="00933C62" w:rsidP="006E6C4E">
            <w:pPr>
              <w:spacing w:line="240" w:lineRule="auto"/>
              <w:jc w:val="right"/>
            </w:pPr>
            <w:r w:rsidRPr="00266741">
              <w:t>142</w:t>
            </w:r>
          </w:p>
        </w:tc>
        <w:tc>
          <w:tcPr>
            <w:tcW w:w="270" w:type="dxa"/>
          </w:tcPr>
          <w:p w14:paraId="193875B2" w14:textId="77777777" w:rsidR="00933C62" w:rsidRPr="00266741" w:rsidRDefault="00933C62" w:rsidP="006E6C4E">
            <w:pPr>
              <w:spacing w:line="240" w:lineRule="auto"/>
              <w:jc w:val="both"/>
            </w:pPr>
          </w:p>
        </w:tc>
        <w:tc>
          <w:tcPr>
            <w:tcW w:w="720" w:type="dxa"/>
          </w:tcPr>
          <w:p w14:paraId="2607F466" w14:textId="77777777" w:rsidR="00933C62" w:rsidRPr="00266741" w:rsidRDefault="00933C62" w:rsidP="006E6C4E">
            <w:pPr>
              <w:spacing w:line="240" w:lineRule="auto"/>
              <w:jc w:val="right"/>
            </w:pPr>
            <w:r w:rsidRPr="00266741">
              <w:t>YA</w:t>
            </w:r>
          </w:p>
        </w:tc>
        <w:tc>
          <w:tcPr>
            <w:tcW w:w="540" w:type="dxa"/>
          </w:tcPr>
          <w:p w14:paraId="1A37B284" w14:textId="77777777" w:rsidR="00933C62" w:rsidRPr="00266741" w:rsidRDefault="00933C62" w:rsidP="006E6C4E">
            <w:pPr>
              <w:spacing w:line="240" w:lineRule="auto"/>
            </w:pPr>
            <w:r w:rsidRPr="00266741">
              <w:t>F</w:t>
            </w:r>
          </w:p>
        </w:tc>
        <w:tc>
          <w:tcPr>
            <w:tcW w:w="1800" w:type="dxa"/>
          </w:tcPr>
          <w:p w14:paraId="65C8340A" w14:textId="77777777" w:rsidR="00933C62" w:rsidRPr="00266741" w:rsidRDefault="00933C62" w:rsidP="006E6C4E">
            <w:pPr>
              <w:spacing w:line="240" w:lineRule="auto"/>
            </w:pPr>
            <w:r w:rsidRPr="00266741">
              <w:t>R frontal</w:t>
            </w:r>
          </w:p>
        </w:tc>
        <w:tc>
          <w:tcPr>
            <w:tcW w:w="1890" w:type="dxa"/>
          </w:tcPr>
          <w:p w14:paraId="4C81456A" w14:textId="77777777" w:rsidR="00933C62" w:rsidRPr="00266741" w:rsidRDefault="00933C62" w:rsidP="006E6C4E">
            <w:pPr>
              <w:spacing w:line="240" w:lineRule="auto"/>
            </w:pPr>
            <w:r>
              <w:t>BFT</w:t>
            </w:r>
          </w:p>
        </w:tc>
        <w:tc>
          <w:tcPr>
            <w:tcW w:w="990" w:type="dxa"/>
          </w:tcPr>
          <w:p w14:paraId="1650CEEC" w14:textId="77777777" w:rsidR="00933C62" w:rsidRPr="00266741" w:rsidRDefault="00933C62" w:rsidP="006E6C4E">
            <w:pPr>
              <w:spacing w:line="240" w:lineRule="auto"/>
            </w:pPr>
            <w:r w:rsidRPr="00266741">
              <w:t>Round</w:t>
            </w:r>
          </w:p>
        </w:tc>
        <w:tc>
          <w:tcPr>
            <w:tcW w:w="1413" w:type="dxa"/>
          </w:tcPr>
          <w:p w14:paraId="351EFE4A" w14:textId="77777777" w:rsidR="00933C62" w:rsidRPr="00266741" w:rsidRDefault="00933C62" w:rsidP="006E6C4E">
            <w:pPr>
              <w:spacing w:line="240" w:lineRule="auto"/>
            </w:pPr>
            <w:r w:rsidRPr="00266741">
              <w:t xml:space="preserve">Healing </w:t>
            </w:r>
          </w:p>
        </w:tc>
      </w:tr>
      <w:tr w:rsidR="00933C62" w:rsidRPr="00266741" w14:paraId="57E11B45" w14:textId="77777777" w:rsidTr="006E6C4E">
        <w:trPr>
          <w:jc w:val="center"/>
        </w:trPr>
        <w:tc>
          <w:tcPr>
            <w:tcW w:w="567" w:type="dxa"/>
          </w:tcPr>
          <w:p w14:paraId="17CC5A99" w14:textId="77777777" w:rsidR="00933C62" w:rsidRPr="00266741" w:rsidRDefault="00933C62" w:rsidP="006E6C4E">
            <w:pPr>
              <w:spacing w:line="240" w:lineRule="auto"/>
              <w:jc w:val="right"/>
            </w:pPr>
            <w:r w:rsidRPr="00266741">
              <w:t>147</w:t>
            </w:r>
          </w:p>
        </w:tc>
        <w:tc>
          <w:tcPr>
            <w:tcW w:w="270" w:type="dxa"/>
          </w:tcPr>
          <w:p w14:paraId="15BC6E1C" w14:textId="77777777" w:rsidR="00933C62" w:rsidRPr="00266741" w:rsidRDefault="00933C62" w:rsidP="006E6C4E">
            <w:pPr>
              <w:spacing w:line="240" w:lineRule="auto"/>
              <w:jc w:val="both"/>
            </w:pPr>
          </w:p>
        </w:tc>
        <w:tc>
          <w:tcPr>
            <w:tcW w:w="720" w:type="dxa"/>
          </w:tcPr>
          <w:p w14:paraId="78D8F4EF" w14:textId="77777777" w:rsidR="00933C62" w:rsidRPr="00266741" w:rsidRDefault="00933C62" w:rsidP="006E6C4E">
            <w:pPr>
              <w:spacing w:line="240" w:lineRule="auto"/>
              <w:jc w:val="right"/>
            </w:pPr>
            <w:r w:rsidRPr="00266741">
              <w:t>OA</w:t>
            </w:r>
          </w:p>
        </w:tc>
        <w:tc>
          <w:tcPr>
            <w:tcW w:w="540" w:type="dxa"/>
          </w:tcPr>
          <w:p w14:paraId="36396554" w14:textId="77777777" w:rsidR="00933C62" w:rsidRPr="00266741" w:rsidRDefault="00933C62" w:rsidP="006E6C4E">
            <w:pPr>
              <w:spacing w:line="240" w:lineRule="auto"/>
            </w:pPr>
            <w:r w:rsidRPr="00266741">
              <w:t>F</w:t>
            </w:r>
          </w:p>
        </w:tc>
        <w:tc>
          <w:tcPr>
            <w:tcW w:w="1800" w:type="dxa"/>
          </w:tcPr>
          <w:p w14:paraId="52F12A58" w14:textId="77777777" w:rsidR="00933C62" w:rsidRPr="00266741" w:rsidRDefault="00933C62" w:rsidP="006E6C4E">
            <w:pPr>
              <w:spacing w:line="240" w:lineRule="auto"/>
            </w:pPr>
            <w:r w:rsidRPr="00266741">
              <w:t>L frontal</w:t>
            </w:r>
          </w:p>
        </w:tc>
        <w:tc>
          <w:tcPr>
            <w:tcW w:w="1890" w:type="dxa"/>
          </w:tcPr>
          <w:p w14:paraId="08F26237" w14:textId="77777777" w:rsidR="00933C62" w:rsidRPr="00266741" w:rsidRDefault="00933C62" w:rsidP="006E6C4E">
            <w:pPr>
              <w:spacing w:line="240" w:lineRule="auto"/>
            </w:pPr>
            <w:r>
              <w:t>BFT</w:t>
            </w:r>
          </w:p>
        </w:tc>
        <w:tc>
          <w:tcPr>
            <w:tcW w:w="990" w:type="dxa"/>
          </w:tcPr>
          <w:p w14:paraId="55AE8F34" w14:textId="77777777" w:rsidR="00933C62" w:rsidRPr="00266741" w:rsidRDefault="00933C62" w:rsidP="006E6C4E">
            <w:pPr>
              <w:spacing w:line="240" w:lineRule="auto"/>
            </w:pPr>
            <w:r w:rsidRPr="00266741">
              <w:t>Ovoid</w:t>
            </w:r>
          </w:p>
        </w:tc>
        <w:tc>
          <w:tcPr>
            <w:tcW w:w="1413" w:type="dxa"/>
          </w:tcPr>
          <w:p w14:paraId="24B892B6" w14:textId="77777777" w:rsidR="00933C62" w:rsidRPr="00266741" w:rsidRDefault="00933C62" w:rsidP="006E6C4E">
            <w:pPr>
              <w:spacing w:line="240" w:lineRule="auto"/>
            </w:pPr>
            <w:r w:rsidRPr="00266741">
              <w:t>Healing</w:t>
            </w:r>
          </w:p>
        </w:tc>
      </w:tr>
      <w:tr w:rsidR="00933C62" w:rsidRPr="00266741" w14:paraId="242B7577" w14:textId="77777777" w:rsidTr="006E6C4E">
        <w:trPr>
          <w:jc w:val="center"/>
        </w:trPr>
        <w:tc>
          <w:tcPr>
            <w:tcW w:w="567" w:type="dxa"/>
          </w:tcPr>
          <w:p w14:paraId="71E00705" w14:textId="77777777" w:rsidR="00933C62" w:rsidRPr="00266741" w:rsidRDefault="00933C62" w:rsidP="006E6C4E">
            <w:pPr>
              <w:spacing w:line="240" w:lineRule="auto"/>
              <w:jc w:val="right"/>
            </w:pPr>
            <w:r w:rsidRPr="00266741">
              <w:t>158</w:t>
            </w:r>
          </w:p>
        </w:tc>
        <w:tc>
          <w:tcPr>
            <w:tcW w:w="270" w:type="dxa"/>
          </w:tcPr>
          <w:p w14:paraId="3A7A4CAB" w14:textId="77777777" w:rsidR="00933C62" w:rsidRPr="00266741" w:rsidRDefault="00933C62" w:rsidP="006E6C4E">
            <w:pPr>
              <w:spacing w:line="240" w:lineRule="auto"/>
              <w:jc w:val="both"/>
            </w:pPr>
            <w:r w:rsidRPr="00266741">
              <w:t>A</w:t>
            </w:r>
          </w:p>
        </w:tc>
        <w:tc>
          <w:tcPr>
            <w:tcW w:w="720" w:type="dxa"/>
          </w:tcPr>
          <w:p w14:paraId="00DC0DB9" w14:textId="77777777" w:rsidR="00933C62" w:rsidRPr="00266741" w:rsidRDefault="00933C62" w:rsidP="006E6C4E">
            <w:pPr>
              <w:spacing w:line="240" w:lineRule="auto"/>
              <w:jc w:val="right"/>
            </w:pPr>
            <w:r w:rsidRPr="00266741">
              <w:t>MA</w:t>
            </w:r>
          </w:p>
        </w:tc>
        <w:tc>
          <w:tcPr>
            <w:tcW w:w="540" w:type="dxa"/>
          </w:tcPr>
          <w:p w14:paraId="15071E45" w14:textId="77777777" w:rsidR="00933C62" w:rsidRPr="00266741" w:rsidRDefault="00933C62" w:rsidP="006E6C4E">
            <w:pPr>
              <w:spacing w:line="240" w:lineRule="auto"/>
            </w:pPr>
            <w:r w:rsidRPr="00266741">
              <w:t>F?</w:t>
            </w:r>
          </w:p>
        </w:tc>
        <w:tc>
          <w:tcPr>
            <w:tcW w:w="1800" w:type="dxa"/>
          </w:tcPr>
          <w:p w14:paraId="4D20E90D" w14:textId="77777777" w:rsidR="00933C62" w:rsidRPr="00266741" w:rsidRDefault="00933C62" w:rsidP="006E6C4E">
            <w:pPr>
              <w:spacing w:line="240" w:lineRule="auto"/>
            </w:pPr>
            <w:r w:rsidRPr="00266741">
              <w:t>L parietal</w:t>
            </w:r>
          </w:p>
        </w:tc>
        <w:tc>
          <w:tcPr>
            <w:tcW w:w="1890" w:type="dxa"/>
          </w:tcPr>
          <w:p w14:paraId="02996E9B" w14:textId="77777777" w:rsidR="00933C62" w:rsidRPr="00266741" w:rsidRDefault="00933C62" w:rsidP="006E6C4E">
            <w:pPr>
              <w:spacing w:line="240" w:lineRule="auto"/>
            </w:pPr>
            <w:r>
              <w:t>BFT</w:t>
            </w:r>
          </w:p>
        </w:tc>
        <w:tc>
          <w:tcPr>
            <w:tcW w:w="990" w:type="dxa"/>
          </w:tcPr>
          <w:p w14:paraId="5334E80E" w14:textId="77777777" w:rsidR="00933C62" w:rsidRPr="00266741" w:rsidRDefault="00933C62" w:rsidP="006E6C4E">
            <w:pPr>
              <w:spacing w:line="240" w:lineRule="auto"/>
            </w:pPr>
            <w:r w:rsidRPr="00266741">
              <w:t>Round</w:t>
            </w:r>
          </w:p>
        </w:tc>
        <w:tc>
          <w:tcPr>
            <w:tcW w:w="1413" w:type="dxa"/>
          </w:tcPr>
          <w:p w14:paraId="2FB74053" w14:textId="77777777" w:rsidR="00933C62" w:rsidRPr="00266741" w:rsidRDefault="00933C62" w:rsidP="006E6C4E">
            <w:pPr>
              <w:spacing w:line="240" w:lineRule="auto"/>
            </w:pPr>
            <w:r w:rsidRPr="00266741">
              <w:t>Healed</w:t>
            </w:r>
          </w:p>
        </w:tc>
      </w:tr>
      <w:tr w:rsidR="00933C62" w:rsidRPr="00266741" w14:paraId="4A7E6B2E" w14:textId="77777777" w:rsidTr="006E6C4E">
        <w:trPr>
          <w:jc w:val="center"/>
        </w:trPr>
        <w:tc>
          <w:tcPr>
            <w:tcW w:w="567" w:type="dxa"/>
          </w:tcPr>
          <w:p w14:paraId="32460A62" w14:textId="77777777" w:rsidR="00933C62" w:rsidRPr="00266741" w:rsidRDefault="00933C62" w:rsidP="006E6C4E">
            <w:pPr>
              <w:spacing w:line="240" w:lineRule="auto"/>
              <w:jc w:val="right"/>
            </w:pPr>
            <w:r w:rsidRPr="00266741">
              <w:t>168</w:t>
            </w:r>
          </w:p>
        </w:tc>
        <w:tc>
          <w:tcPr>
            <w:tcW w:w="270" w:type="dxa"/>
          </w:tcPr>
          <w:p w14:paraId="44091543" w14:textId="77777777" w:rsidR="00933C62" w:rsidRPr="00266741" w:rsidRDefault="00933C62" w:rsidP="006E6C4E">
            <w:pPr>
              <w:spacing w:line="240" w:lineRule="auto"/>
              <w:jc w:val="both"/>
            </w:pPr>
          </w:p>
        </w:tc>
        <w:tc>
          <w:tcPr>
            <w:tcW w:w="720" w:type="dxa"/>
          </w:tcPr>
          <w:p w14:paraId="2B818601" w14:textId="77777777" w:rsidR="00933C62" w:rsidRPr="00266741" w:rsidRDefault="00933C62" w:rsidP="006E6C4E">
            <w:pPr>
              <w:spacing w:line="240" w:lineRule="auto"/>
              <w:jc w:val="right"/>
            </w:pPr>
            <w:r w:rsidRPr="00266741">
              <w:t>MA</w:t>
            </w:r>
          </w:p>
        </w:tc>
        <w:tc>
          <w:tcPr>
            <w:tcW w:w="540" w:type="dxa"/>
          </w:tcPr>
          <w:p w14:paraId="22FEA5F6" w14:textId="77777777" w:rsidR="00933C62" w:rsidRPr="00266741" w:rsidRDefault="00933C62" w:rsidP="006E6C4E">
            <w:pPr>
              <w:spacing w:line="240" w:lineRule="auto"/>
            </w:pPr>
            <w:r w:rsidRPr="00266741">
              <w:t>F?</w:t>
            </w:r>
          </w:p>
        </w:tc>
        <w:tc>
          <w:tcPr>
            <w:tcW w:w="1800" w:type="dxa"/>
          </w:tcPr>
          <w:p w14:paraId="1E31A0CA" w14:textId="77777777" w:rsidR="00933C62" w:rsidRPr="00266741" w:rsidRDefault="00933C62" w:rsidP="006E6C4E">
            <w:pPr>
              <w:spacing w:line="240" w:lineRule="auto"/>
            </w:pPr>
            <w:r w:rsidRPr="00266741">
              <w:t>L frontal</w:t>
            </w:r>
          </w:p>
        </w:tc>
        <w:tc>
          <w:tcPr>
            <w:tcW w:w="1890" w:type="dxa"/>
          </w:tcPr>
          <w:p w14:paraId="70F237BA" w14:textId="77777777" w:rsidR="00933C62" w:rsidRPr="00266741" w:rsidRDefault="00933C62" w:rsidP="006E6C4E">
            <w:pPr>
              <w:spacing w:line="240" w:lineRule="auto"/>
            </w:pPr>
            <w:r>
              <w:t>BFT</w:t>
            </w:r>
          </w:p>
        </w:tc>
        <w:tc>
          <w:tcPr>
            <w:tcW w:w="990" w:type="dxa"/>
          </w:tcPr>
          <w:p w14:paraId="1750CC50" w14:textId="77777777" w:rsidR="00933C62" w:rsidRPr="00266741" w:rsidRDefault="00933C62" w:rsidP="006E6C4E">
            <w:pPr>
              <w:spacing w:line="240" w:lineRule="auto"/>
            </w:pPr>
            <w:r w:rsidRPr="00266741">
              <w:t>Round</w:t>
            </w:r>
          </w:p>
        </w:tc>
        <w:tc>
          <w:tcPr>
            <w:tcW w:w="1413" w:type="dxa"/>
          </w:tcPr>
          <w:p w14:paraId="11BAE8B7" w14:textId="77777777" w:rsidR="00933C62" w:rsidRPr="00266741" w:rsidRDefault="00933C62" w:rsidP="006E6C4E">
            <w:pPr>
              <w:spacing w:line="240" w:lineRule="auto"/>
            </w:pPr>
            <w:r>
              <w:t>Healed</w:t>
            </w:r>
          </w:p>
        </w:tc>
      </w:tr>
      <w:tr w:rsidR="00933C62" w:rsidRPr="00266741" w14:paraId="1DC2E7C0" w14:textId="77777777" w:rsidTr="006E6C4E">
        <w:trPr>
          <w:jc w:val="center"/>
        </w:trPr>
        <w:tc>
          <w:tcPr>
            <w:tcW w:w="567" w:type="dxa"/>
          </w:tcPr>
          <w:p w14:paraId="6EE28E1D" w14:textId="77777777" w:rsidR="00933C62" w:rsidRPr="00266741" w:rsidRDefault="00933C62" w:rsidP="006E6C4E">
            <w:pPr>
              <w:spacing w:line="240" w:lineRule="auto"/>
              <w:jc w:val="right"/>
            </w:pPr>
          </w:p>
        </w:tc>
        <w:tc>
          <w:tcPr>
            <w:tcW w:w="270" w:type="dxa"/>
          </w:tcPr>
          <w:p w14:paraId="0472D68A" w14:textId="77777777" w:rsidR="00933C62" w:rsidRPr="00266741" w:rsidRDefault="00933C62" w:rsidP="006E6C4E">
            <w:pPr>
              <w:spacing w:line="240" w:lineRule="auto"/>
              <w:jc w:val="both"/>
            </w:pPr>
          </w:p>
        </w:tc>
        <w:tc>
          <w:tcPr>
            <w:tcW w:w="720" w:type="dxa"/>
          </w:tcPr>
          <w:p w14:paraId="449D241B" w14:textId="77777777" w:rsidR="00933C62" w:rsidRPr="00266741" w:rsidRDefault="00933C62" w:rsidP="006E6C4E">
            <w:pPr>
              <w:spacing w:line="240" w:lineRule="auto"/>
              <w:jc w:val="right"/>
            </w:pPr>
          </w:p>
        </w:tc>
        <w:tc>
          <w:tcPr>
            <w:tcW w:w="540" w:type="dxa"/>
          </w:tcPr>
          <w:p w14:paraId="5B7EED95" w14:textId="77777777" w:rsidR="00933C62" w:rsidRPr="00266741" w:rsidRDefault="00933C62" w:rsidP="006E6C4E">
            <w:pPr>
              <w:spacing w:line="240" w:lineRule="auto"/>
            </w:pPr>
          </w:p>
        </w:tc>
        <w:tc>
          <w:tcPr>
            <w:tcW w:w="1800" w:type="dxa"/>
          </w:tcPr>
          <w:p w14:paraId="2F6D5BCD" w14:textId="77777777" w:rsidR="00933C62" w:rsidRPr="00266741" w:rsidRDefault="00933C62" w:rsidP="006E6C4E">
            <w:pPr>
              <w:spacing w:line="240" w:lineRule="auto"/>
            </w:pPr>
          </w:p>
        </w:tc>
        <w:tc>
          <w:tcPr>
            <w:tcW w:w="1890" w:type="dxa"/>
          </w:tcPr>
          <w:p w14:paraId="116785D1" w14:textId="77777777" w:rsidR="00933C62" w:rsidRPr="00266741" w:rsidRDefault="00933C62" w:rsidP="006E6C4E">
            <w:pPr>
              <w:spacing w:line="240" w:lineRule="auto"/>
            </w:pPr>
          </w:p>
        </w:tc>
        <w:tc>
          <w:tcPr>
            <w:tcW w:w="990" w:type="dxa"/>
          </w:tcPr>
          <w:p w14:paraId="4B855B32" w14:textId="77777777" w:rsidR="00933C62" w:rsidRPr="00266741" w:rsidRDefault="00933C62" w:rsidP="006E6C4E">
            <w:pPr>
              <w:spacing w:line="240" w:lineRule="auto"/>
            </w:pPr>
          </w:p>
        </w:tc>
        <w:tc>
          <w:tcPr>
            <w:tcW w:w="1413" w:type="dxa"/>
          </w:tcPr>
          <w:p w14:paraId="560876D0" w14:textId="77777777" w:rsidR="00933C62" w:rsidRPr="00266741" w:rsidRDefault="00933C62" w:rsidP="006E6C4E">
            <w:pPr>
              <w:spacing w:line="240" w:lineRule="auto"/>
            </w:pPr>
          </w:p>
        </w:tc>
      </w:tr>
      <w:tr w:rsidR="00933C62" w:rsidRPr="00266741" w14:paraId="4EC5D98B" w14:textId="77777777" w:rsidTr="006E6C4E">
        <w:trPr>
          <w:jc w:val="center"/>
        </w:trPr>
        <w:tc>
          <w:tcPr>
            <w:tcW w:w="567" w:type="dxa"/>
          </w:tcPr>
          <w:p w14:paraId="59417096" w14:textId="77777777" w:rsidR="00933C62" w:rsidRPr="00266741" w:rsidRDefault="00933C62" w:rsidP="006E6C4E">
            <w:pPr>
              <w:spacing w:line="240" w:lineRule="auto"/>
              <w:jc w:val="right"/>
            </w:pPr>
            <w:r w:rsidRPr="00266741">
              <w:t>10</w:t>
            </w:r>
          </w:p>
        </w:tc>
        <w:tc>
          <w:tcPr>
            <w:tcW w:w="270" w:type="dxa"/>
          </w:tcPr>
          <w:p w14:paraId="3E892167" w14:textId="77777777" w:rsidR="00933C62" w:rsidRPr="00266741" w:rsidRDefault="00933C62" w:rsidP="006E6C4E">
            <w:pPr>
              <w:spacing w:line="240" w:lineRule="auto"/>
              <w:jc w:val="both"/>
            </w:pPr>
          </w:p>
        </w:tc>
        <w:tc>
          <w:tcPr>
            <w:tcW w:w="720" w:type="dxa"/>
          </w:tcPr>
          <w:p w14:paraId="2DD35060" w14:textId="77777777" w:rsidR="00933C62" w:rsidRPr="00266741" w:rsidRDefault="00933C62" w:rsidP="006E6C4E">
            <w:pPr>
              <w:spacing w:line="240" w:lineRule="auto"/>
              <w:jc w:val="right"/>
            </w:pPr>
            <w:r w:rsidRPr="00266741">
              <w:t>YA</w:t>
            </w:r>
          </w:p>
        </w:tc>
        <w:tc>
          <w:tcPr>
            <w:tcW w:w="540" w:type="dxa"/>
          </w:tcPr>
          <w:p w14:paraId="1EBF3231" w14:textId="77777777" w:rsidR="00933C62" w:rsidRPr="00266741" w:rsidRDefault="00933C62" w:rsidP="006E6C4E">
            <w:pPr>
              <w:spacing w:line="240" w:lineRule="auto"/>
            </w:pPr>
            <w:r w:rsidRPr="00266741">
              <w:t>F</w:t>
            </w:r>
          </w:p>
        </w:tc>
        <w:tc>
          <w:tcPr>
            <w:tcW w:w="1800" w:type="dxa"/>
          </w:tcPr>
          <w:p w14:paraId="27F547EF" w14:textId="77777777" w:rsidR="00933C62" w:rsidRPr="00266741" w:rsidRDefault="00933C62" w:rsidP="006E6C4E">
            <w:pPr>
              <w:spacing w:line="240" w:lineRule="auto"/>
            </w:pPr>
            <w:r w:rsidRPr="00266741">
              <w:t>L parietal</w:t>
            </w:r>
          </w:p>
        </w:tc>
        <w:tc>
          <w:tcPr>
            <w:tcW w:w="1890" w:type="dxa"/>
          </w:tcPr>
          <w:p w14:paraId="07D57644" w14:textId="77777777" w:rsidR="00933C62" w:rsidRPr="00266741" w:rsidRDefault="00933C62" w:rsidP="006E6C4E">
            <w:pPr>
              <w:spacing w:line="240" w:lineRule="auto"/>
            </w:pPr>
            <w:r>
              <w:t>SFT (</w:t>
            </w:r>
            <w:r w:rsidRPr="00266741">
              <w:t>Penetrating</w:t>
            </w:r>
            <w:r>
              <w:t>)</w:t>
            </w:r>
          </w:p>
        </w:tc>
        <w:tc>
          <w:tcPr>
            <w:tcW w:w="990" w:type="dxa"/>
          </w:tcPr>
          <w:p w14:paraId="2326CB66" w14:textId="77777777" w:rsidR="00933C62" w:rsidRPr="00266741" w:rsidRDefault="00933C62" w:rsidP="006E6C4E">
            <w:pPr>
              <w:spacing w:line="240" w:lineRule="auto"/>
            </w:pPr>
            <w:r w:rsidRPr="00266741">
              <w:t>Jagged</w:t>
            </w:r>
          </w:p>
        </w:tc>
        <w:tc>
          <w:tcPr>
            <w:tcW w:w="1413" w:type="dxa"/>
          </w:tcPr>
          <w:p w14:paraId="2255C07A" w14:textId="77777777" w:rsidR="00933C62" w:rsidRPr="00266741" w:rsidRDefault="00933C62" w:rsidP="006E6C4E">
            <w:pPr>
              <w:spacing w:line="240" w:lineRule="auto"/>
            </w:pPr>
            <w:r w:rsidRPr="00266741">
              <w:t>Peri-mortem</w:t>
            </w:r>
          </w:p>
        </w:tc>
      </w:tr>
      <w:tr w:rsidR="00933C62" w:rsidRPr="00266741" w14:paraId="7ECC4005" w14:textId="77777777" w:rsidTr="006E6C4E">
        <w:trPr>
          <w:jc w:val="center"/>
        </w:trPr>
        <w:tc>
          <w:tcPr>
            <w:tcW w:w="567" w:type="dxa"/>
          </w:tcPr>
          <w:p w14:paraId="17377F71" w14:textId="77777777" w:rsidR="00933C62" w:rsidRPr="00266741" w:rsidRDefault="00933C62" w:rsidP="006E6C4E">
            <w:pPr>
              <w:spacing w:line="240" w:lineRule="auto"/>
              <w:jc w:val="right"/>
            </w:pPr>
            <w:r w:rsidRPr="00266741">
              <w:t>26</w:t>
            </w:r>
          </w:p>
        </w:tc>
        <w:tc>
          <w:tcPr>
            <w:tcW w:w="270" w:type="dxa"/>
          </w:tcPr>
          <w:p w14:paraId="4720D2A4" w14:textId="77777777" w:rsidR="00933C62" w:rsidRPr="00266741" w:rsidRDefault="00933C62" w:rsidP="006E6C4E">
            <w:pPr>
              <w:spacing w:line="240" w:lineRule="auto"/>
              <w:jc w:val="both"/>
            </w:pPr>
          </w:p>
        </w:tc>
        <w:tc>
          <w:tcPr>
            <w:tcW w:w="720" w:type="dxa"/>
          </w:tcPr>
          <w:p w14:paraId="513DA715" w14:textId="77777777" w:rsidR="00933C62" w:rsidRPr="00266741" w:rsidRDefault="00933C62" w:rsidP="006E6C4E">
            <w:pPr>
              <w:spacing w:line="240" w:lineRule="auto"/>
              <w:jc w:val="right"/>
            </w:pPr>
            <w:r w:rsidRPr="00266741">
              <w:t>YA</w:t>
            </w:r>
          </w:p>
        </w:tc>
        <w:tc>
          <w:tcPr>
            <w:tcW w:w="540" w:type="dxa"/>
          </w:tcPr>
          <w:p w14:paraId="453FB1BC" w14:textId="77777777" w:rsidR="00933C62" w:rsidRPr="00266741" w:rsidRDefault="00933C62" w:rsidP="006E6C4E">
            <w:pPr>
              <w:spacing w:line="240" w:lineRule="auto"/>
            </w:pPr>
            <w:r w:rsidRPr="00266741">
              <w:t>F</w:t>
            </w:r>
          </w:p>
        </w:tc>
        <w:tc>
          <w:tcPr>
            <w:tcW w:w="1800" w:type="dxa"/>
          </w:tcPr>
          <w:p w14:paraId="379262B9" w14:textId="77777777" w:rsidR="00933C62" w:rsidRPr="00266741" w:rsidRDefault="00933C62" w:rsidP="006E6C4E">
            <w:pPr>
              <w:spacing w:line="240" w:lineRule="auto"/>
            </w:pPr>
            <w:r w:rsidRPr="00266741">
              <w:t>R frontal</w:t>
            </w:r>
          </w:p>
        </w:tc>
        <w:tc>
          <w:tcPr>
            <w:tcW w:w="1890" w:type="dxa"/>
          </w:tcPr>
          <w:p w14:paraId="05E21C7E" w14:textId="77777777" w:rsidR="00933C62" w:rsidRPr="00266741" w:rsidRDefault="00933C62" w:rsidP="006E6C4E">
            <w:pPr>
              <w:spacing w:line="240" w:lineRule="auto"/>
            </w:pPr>
            <w:r>
              <w:t>SFT (</w:t>
            </w:r>
            <w:r w:rsidRPr="00266741">
              <w:t>Cut</w:t>
            </w:r>
            <w:r>
              <w:t>)</w:t>
            </w:r>
          </w:p>
        </w:tc>
        <w:tc>
          <w:tcPr>
            <w:tcW w:w="990" w:type="dxa"/>
          </w:tcPr>
          <w:p w14:paraId="4E6BB39D" w14:textId="77777777" w:rsidR="00933C62" w:rsidRPr="00266741" w:rsidRDefault="00933C62" w:rsidP="006E6C4E">
            <w:pPr>
              <w:spacing w:line="240" w:lineRule="auto"/>
            </w:pPr>
            <w:r>
              <w:t>Curved</w:t>
            </w:r>
          </w:p>
        </w:tc>
        <w:tc>
          <w:tcPr>
            <w:tcW w:w="1413" w:type="dxa"/>
          </w:tcPr>
          <w:p w14:paraId="14D65D76" w14:textId="77777777" w:rsidR="00933C62" w:rsidRPr="00266741" w:rsidRDefault="00933C62" w:rsidP="006E6C4E">
            <w:pPr>
              <w:spacing w:line="240" w:lineRule="auto"/>
            </w:pPr>
            <w:r w:rsidRPr="00266741">
              <w:t>Peri-mortem</w:t>
            </w:r>
          </w:p>
        </w:tc>
      </w:tr>
      <w:tr w:rsidR="00933C62" w:rsidRPr="00266741" w14:paraId="04381813" w14:textId="77777777" w:rsidTr="006E6C4E">
        <w:trPr>
          <w:jc w:val="center"/>
        </w:trPr>
        <w:tc>
          <w:tcPr>
            <w:tcW w:w="567" w:type="dxa"/>
          </w:tcPr>
          <w:p w14:paraId="7CC0FCF1" w14:textId="77777777" w:rsidR="00933C62" w:rsidRPr="00266741" w:rsidRDefault="00933C62" w:rsidP="006E6C4E">
            <w:pPr>
              <w:spacing w:line="240" w:lineRule="auto"/>
              <w:jc w:val="right"/>
            </w:pPr>
            <w:r w:rsidRPr="00266741">
              <w:t>52</w:t>
            </w:r>
          </w:p>
        </w:tc>
        <w:tc>
          <w:tcPr>
            <w:tcW w:w="270" w:type="dxa"/>
          </w:tcPr>
          <w:p w14:paraId="12B4B6F2" w14:textId="77777777" w:rsidR="00933C62" w:rsidRPr="00266741" w:rsidRDefault="00933C62" w:rsidP="006E6C4E">
            <w:pPr>
              <w:spacing w:line="240" w:lineRule="auto"/>
              <w:jc w:val="both"/>
            </w:pPr>
          </w:p>
        </w:tc>
        <w:tc>
          <w:tcPr>
            <w:tcW w:w="720" w:type="dxa"/>
          </w:tcPr>
          <w:p w14:paraId="39DB0C19" w14:textId="77777777" w:rsidR="00933C62" w:rsidRPr="00266741" w:rsidRDefault="00933C62" w:rsidP="006E6C4E">
            <w:pPr>
              <w:spacing w:line="240" w:lineRule="auto"/>
              <w:jc w:val="right"/>
            </w:pPr>
            <w:r w:rsidRPr="00266741">
              <w:t>YA</w:t>
            </w:r>
          </w:p>
        </w:tc>
        <w:tc>
          <w:tcPr>
            <w:tcW w:w="540" w:type="dxa"/>
          </w:tcPr>
          <w:p w14:paraId="236BFF0A" w14:textId="77777777" w:rsidR="00933C62" w:rsidRPr="00266741" w:rsidRDefault="00933C62" w:rsidP="006E6C4E">
            <w:pPr>
              <w:spacing w:line="240" w:lineRule="auto"/>
            </w:pPr>
            <w:r w:rsidRPr="00266741">
              <w:t>F</w:t>
            </w:r>
          </w:p>
        </w:tc>
        <w:tc>
          <w:tcPr>
            <w:tcW w:w="1800" w:type="dxa"/>
          </w:tcPr>
          <w:p w14:paraId="0123E1F4" w14:textId="77777777" w:rsidR="00933C62" w:rsidRPr="00266741" w:rsidRDefault="00933C62" w:rsidP="006E6C4E">
            <w:pPr>
              <w:spacing w:line="240" w:lineRule="auto"/>
            </w:pPr>
            <w:r w:rsidRPr="00266741">
              <w:t>R frontal</w:t>
            </w:r>
          </w:p>
        </w:tc>
        <w:tc>
          <w:tcPr>
            <w:tcW w:w="1890" w:type="dxa"/>
          </w:tcPr>
          <w:p w14:paraId="589FED69" w14:textId="77777777" w:rsidR="00933C62" w:rsidRPr="00266741" w:rsidRDefault="00933C62" w:rsidP="006E6C4E">
            <w:pPr>
              <w:spacing w:line="240" w:lineRule="auto"/>
            </w:pPr>
            <w:r>
              <w:t>SFT (</w:t>
            </w:r>
            <w:r w:rsidRPr="00266741">
              <w:t>Penetrating</w:t>
            </w:r>
            <w:r>
              <w:t>)</w:t>
            </w:r>
          </w:p>
        </w:tc>
        <w:tc>
          <w:tcPr>
            <w:tcW w:w="990" w:type="dxa"/>
          </w:tcPr>
          <w:p w14:paraId="0A63AF96" w14:textId="77777777" w:rsidR="00933C62" w:rsidRPr="00266741" w:rsidRDefault="00933C62" w:rsidP="006E6C4E">
            <w:pPr>
              <w:spacing w:line="240" w:lineRule="auto"/>
            </w:pPr>
            <w:r w:rsidRPr="00266741">
              <w:t>Jagged</w:t>
            </w:r>
          </w:p>
        </w:tc>
        <w:tc>
          <w:tcPr>
            <w:tcW w:w="1413" w:type="dxa"/>
          </w:tcPr>
          <w:p w14:paraId="2D53D5A6" w14:textId="77777777" w:rsidR="00933C62" w:rsidRPr="00266741" w:rsidRDefault="00933C62" w:rsidP="006E6C4E">
            <w:pPr>
              <w:spacing w:line="240" w:lineRule="auto"/>
            </w:pPr>
            <w:r w:rsidRPr="00266741">
              <w:t>Some healing</w:t>
            </w:r>
          </w:p>
        </w:tc>
      </w:tr>
      <w:tr w:rsidR="00933C62" w:rsidRPr="00266741" w14:paraId="12C4CE67" w14:textId="77777777" w:rsidTr="006E6C4E">
        <w:trPr>
          <w:trHeight w:val="215"/>
          <w:jc w:val="center"/>
        </w:trPr>
        <w:tc>
          <w:tcPr>
            <w:tcW w:w="567" w:type="dxa"/>
          </w:tcPr>
          <w:p w14:paraId="7700516A" w14:textId="77777777" w:rsidR="00933C62" w:rsidRPr="00266741" w:rsidRDefault="00933C62" w:rsidP="006E6C4E">
            <w:pPr>
              <w:spacing w:line="240" w:lineRule="auto"/>
              <w:jc w:val="right"/>
            </w:pPr>
            <w:r w:rsidRPr="00266741">
              <w:t>71</w:t>
            </w:r>
          </w:p>
        </w:tc>
        <w:tc>
          <w:tcPr>
            <w:tcW w:w="270" w:type="dxa"/>
          </w:tcPr>
          <w:p w14:paraId="62403868" w14:textId="77777777" w:rsidR="00933C62" w:rsidRPr="00266741" w:rsidRDefault="00933C62" w:rsidP="006E6C4E">
            <w:pPr>
              <w:spacing w:line="240" w:lineRule="auto"/>
              <w:jc w:val="both"/>
            </w:pPr>
          </w:p>
        </w:tc>
        <w:tc>
          <w:tcPr>
            <w:tcW w:w="720" w:type="dxa"/>
          </w:tcPr>
          <w:p w14:paraId="54C0D302" w14:textId="77777777" w:rsidR="00933C62" w:rsidRPr="00266741" w:rsidRDefault="00933C62" w:rsidP="006E6C4E">
            <w:pPr>
              <w:spacing w:line="240" w:lineRule="auto"/>
              <w:jc w:val="right"/>
            </w:pPr>
            <w:r w:rsidRPr="00266741">
              <w:t>VYA</w:t>
            </w:r>
          </w:p>
        </w:tc>
        <w:tc>
          <w:tcPr>
            <w:tcW w:w="540" w:type="dxa"/>
          </w:tcPr>
          <w:p w14:paraId="046BDCC8" w14:textId="77777777" w:rsidR="00933C62" w:rsidRPr="00266741" w:rsidRDefault="00933C62" w:rsidP="006E6C4E">
            <w:pPr>
              <w:spacing w:line="240" w:lineRule="auto"/>
            </w:pPr>
            <w:r w:rsidRPr="00266741">
              <w:t>F</w:t>
            </w:r>
          </w:p>
        </w:tc>
        <w:tc>
          <w:tcPr>
            <w:tcW w:w="1800" w:type="dxa"/>
          </w:tcPr>
          <w:p w14:paraId="39018B18" w14:textId="77777777" w:rsidR="00933C62" w:rsidRPr="00266741" w:rsidRDefault="00933C62" w:rsidP="006E6C4E">
            <w:pPr>
              <w:spacing w:line="240" w:lineRule="auto"/>
            </w:pPr>
            <w:r w:rsidRPr="00266741">
              <w:t>R occipital</w:t>
            </w:r>
          </w:p>
        </w:tc>
        <w:tc>
          <w:tcPr>
            <w:tcW w:w="1890" w:type="dxa"/>
          </w:tcPr>
          <w:p w14:paraId="0B41F888" w14:textId="77777777" w:rsidR="00933C62" w:rsidRPr="00266741" w:rsidRDefault="00933C62" w:rsidP="006E6C4E">
            <w:pPr>
              <w:spacing w:line="240" w:lineRule="auto"/>
            </w:pPr>
            <w:r>
              <w:t>SFT (</w:t>
            </w:r>
            <w:r w:rsidRPr="00266741">
              <w:t>Cut/Projectile</w:t>
            </w:r>
            <w:r>
              <w:t>)</w:t>
            </w:r>
          </w:p>
        </w:tc>
        <w:tc>
          <w:tcPr>
            <w:tcW w:w="990" w:type="dxa"/>
          </w:tcPr>
          <w:p w14:paraId="7CE82097" w14:textId="77777777" w:rsidR="00933C62" w:rsidRPr="00266741" w:rsidRDefault="00933C62" w:rsidP="006E6C4E">
            <w:pPr>
              <w:spacing w:line="240" w:lineRule="auto"/>
            </w:pPr>
            <w:r w:rsidRPr="00266741">
              <w:t>Linear</w:t>
            </w:r>
          </w:p>
        </w:tc>
        <w:tc>
          <w:tcPr>
            <w:tcW w:w="1413" w:type="dxa"/>
          </w:tcPr>
          <w:p w14:paraId="703740FB" w14:textId="77777777" w:rsidR="00933C62" w:rsidRPr="00266741" w:rsidRDefault="00933C62" w:rsidP="006E6C4E">
            <w:pPr>
              <w:spacing w:line="240" w:lineRule="auto"/>
            </w:pPr>
            <w:r>
              <w:t>Peri-mortem?</w:t>
            </w:r>
          </w:p>
        </w:tc>
      </w:tr>
      <w:tr w:rsidR="00933C62" w:rsidRPr="00266741" w14:paraId="68DA3C9A" w14:textId="77777777" w:rsidTr="006E6C4E">
        <w:trPr>
          <w:jc w:val="center"/>
        </w:trPr>
        <w:tc>
          <w:tcPr>
            <w:tcW w:w="567" w:type="dxa"/>
          </w:tcPr>
          <w:p w14:paraId="232F0A94" w14:textId="77777777" w:rsidR="00933C62" w:rsidRPr="00266741" w:rsidRDefault="00933C62" w:rsidP="006E6C4E">
            <w:pPr>
              <w:spacing w:line="240" w:lineRule="auto"/>
              <w:jc w:val="right"/>
            </w:pPr>
            <w:r w:rsidRPr="00266741">
              <w:t>144</w:t>
            </w:r>
          </w:p>
        </w:tc>
        <w:tc>
          <w:tcPr>
            <w:tcW w:w="270" w:type="dxa"/>
          </w:tcPr>
          <w:p w14:paraId="5EB59C57" w14:textId="77777777" w:rsidR="00933C62" w:rsidRPr="00266741" w:rsidRDefault="00933C62" w:rsidP="006E6C4E">
            <w:pPr>
              <w:spacing w:line="240" w:lineRule="auto"/>
              <w:jc w:val="both"/>
            </w:pPr>
            <w:r w:rsidRPr="00266741">
              <w:t>A</w:t>
            </w:r>
          </w:p>
        </w:tc>
        <w:tc>
          <w:tcPr>
            <w:tcW w:w="720" w:type="dxa"/>
          </w:tcPr>
          <w:p w14:paraId="783BA7DE" w14:textId="77777777" w:rsidR="00933C62" w:rsidRPr="00266741" w:rsidRDefault="00933C62" w:rsidP="006E6C4E">
            <w:pPr>
              <w:spacing w:line="240" w:lineRule="auto"/>
              <w:jc w:val="right"/>
            </w:pPr>
            <w:r w:rsidRPr="00266741">
              <w:t>OA</w:t>
            </w:r>
          </w:p>
        </w:tc>
        <w:tc>
          <w:tcPr>
            <w:tcW w:w="540" w:type="dxa"/>
          </w:tcPr>
          <w:p w14:paraId="23A3EFED" w14:textId="77777777" w:rsidR="00933C62" w:rsidRPr="00266741" w:rsidRDefault="00933C62" w:rsidP="006E6C4E">
            <w:pPr>
              <w:spacing w:line="240" w:lineRule="auto"/>
            </w:pPr>
            <w:r w:rsidRPr="00266741">
              <w:t>F</w:t>
            </w:r>
          </w:p>
        </w:tc>
        <w:tc>
          <w:tcPr>
            <w:tcW w:w="1800" w:type="dxa"/>
          </w:tcPr>
          <w:p w14:paraId="63382FBC" w14:textId="77777777" w:rsidR="00933C62" w:rsidRPr="00266741" w:rsidRDefault="00933C62" w:rsidP="006E6C4E">
            <w:pPr>
              <w:spacing w:line="240" w:lineRule="auto"/>
            </w:pPr>
            <w:r w:rsidRPr="00266741">
              <w:t>L parietal</w:t>
            </w:r>
          </w:p>
        </w:tc>
        <w:tc>
          <w:tcPr>
            <w:tcW w:w="1890" w:type="dxa"/>
          </w:tcPr>
          <w:p w14:paraId="7D8C3AED" w14:textId="77777777" w:rsidR="00933C62" w:rsidRPr="00266741" w:rsidRDefault="00933C62" w:rsidP="006E6C4E">
            <w:pPr>
              <w:spacing w:line="240" w:lineRule="auto"/>
            </w:pPr>
            <w:r>
              <w:t>SFT (</w:t>
            </w:r>
            <w:r w:rsidRPr="00266741">
              <w:t>Cut/Projectile</w:t>
            </w:r>
            <w:r>
              <w:t>)</w:t>
            </w:r>
          </w:p>
        </w:tc>
        <w:tc>
          <w:tcPr>
            <w:tcW w:w="990" w:type="dxa"/>
          </w:tcPr>
          <w:p w14:paraId="07BD8B11" w14:textId="77777777" w:rsidR="00933C62" w:rsidRPr="00266741" w:rsidRDefault="00933C62" w:rsidP="006E6C4E">
            <w:pPr>
              <w:spacing w:line="240" w:lineRule="auto"/>
            </w:pPr>
            <w:r w:rsidRPr="00266741">
              <w:t>Linear</w:t>
            </w:r>
          </w:p>
        </w:tc>
        <w:tc>
          <w:tcPr>
            <w:tcW w:w="1413" w:type="dxa"/>
          </w:tcPr>
          <w:p w14:paraId="0D8CAD1F" w14:textId="77777777" w:rsidR="00933C62" w:rsidRPr="00266741" w:rsidRDefault="00933C62" w:rsidP="006E6C4E">
            <w:pPr>
              <w:spacing w:line="240" w:lineRule="auto"/>
            </w:pPr>
            <w:r w:rsidRPr="00266741">
              <w:t>Peri-mortem</w:t>
            </w:r>
          </w:p>
        </w:tc>
      </w:tr>
    </w:tbl>
    <w:p w14:paraId="1753BE95" w14:textId="77777777" w:rsidR="00933C62" w:rsidRDefault="00933C62" w:rsidP="00933C62">
      <w:pPr>
        <w:spacing w:line="240" w:lineRule="auto"/>
        <w:rPr>
          <w:rFonts w:ascii="Times New Roman" w:hAnsi="Times New Roman"/>
        </w:rPr>
      </w:pPr>
    </w:p>
    <w:p w14:paraId="02C31D6B" w14:textId="77777777" w:rsidR="00933C62" w:rsidRDefault="00933C62" w:rsidP="00933C62">
      <w:pPr>
        <w:spacing w:line="240" w:lineRule="auto"/>
        <w:ind w:firstLine="720"/>
        <w:rPr>
          <w:rFonts w:ascii="Times New Roman" w:hAnsi="Times New Roman"/>
        </w:rPr>
      </w:pPr>
    </w:p>
    <w:p w14:paraId="124C49B2" w14:textId="77777777" w:rsidR="00933C62" w:rsidRDefault="00933C62" w:rsidP="00933C62">
      <w:pPr>
        <w:ind w:firstLine="720"/>
        <w:rPr>
          <w:rFonts w:ascii="Times New Roman" w:hAnsi="Times New Roman"/>
        </w:rPr>
      </w:pPr>
      <w:r>
        <w:rPr>
          <w:rFonts w:ascii="Times New Roman" w:hAnsi="Times New Roman"/>
        </w:rPr>
        <w:t>M</w:t>
      </w:r>
      <w:r w:rsidRPr="00266741">
        <w:rPr>
          <w:rFonts w:ascii="Times New Roman" w:hAnsi="Times New Roman"/>
        </w:rPr>
        <w:t xml:space="preserve">ales </w:t>
      </w:r>
      <w:r>
        <w:rPr>
          <w:rFonts w:ascii="Times New Roman" w:hAnsi="Times New Roman"/>
        </w:rPr>
        <w:t xml:space="preserve">were observed with 5 cranial blunt force trauma wounds resulting in </w:t>
      </w:r>
      <w:r w:rsidRPr="00266741">
        <w:rPr>
          <w:rFonts w:ascii="Times New Roman" w:hAnsi="Times New Roman"/>
        </w:rPr>
        <w:t>depres</w:t>
      </w:r>
      <w:r>
        <w:rPr>
          <w:rFonts w:ascii="Times New Roman" w:hAnsi="Times New Roman"/>
        </w:rPr>
        <w:t>sed fractures; 3 were to the frontal</w:t>
      </w:r>
      <w:r w:rsidRPr="00266741">
        <w:rPr>
          <w:rFonts w:ascii="Times New Roman" w:hAnsi="Times New Roman"/>
        </w:rPr>
        <w:t xml:space="preserve"> and 2 to the parietals.  Only one of these depressed fractures appears to have been peri-mortem</w:t>
      </w:r>
      <w:r>
        <w:rPr>
          <w:rFonts w:ascii="Times New Roman" w:hAnsi="Times New Roman"/>
        </w:rPr>
        <w:t xml:space="preserve"> (without signs of healing)</w:t>
      </w:r>
      <w:r w:rsidRPr="00266741">
        <w:rPr>
          <w:rFonts w:ascii="Times New Roman" w:hAnsi="Times New Roman"/>
        </w:rPr>
        <w:t xml:space="preserve">.  No </w:t>
      </w:r>
      <w:r>
        <w:rPr>
          <w:rFonts w:ascii="Times New Roman" w:hAnsi="Times New Roman"/>
        </w:rPr>
        <w:t xml:space="preserve">sharp force trauma or </w:t>
      </w:r>
      <w:r w:rsidRPr="00266741">
        <w:rPr>
          <w:rFonts w:ascii="Times New Roman" w:hAnsi="Times New Roman"/>
        </w:rPr>
        <w:t>p</w:t>
      </w:r>
      <w:r>
        <w:rPr>
          <w:rFonts w:ascii="Times New Roman" w:hAnsi="Times New Roman"/>
        </w:rPr>
        <w:t xml:space="preserve">enetrating wounds to the crania were observed in males. </w:t>
      </w:r>
    </w:p>
    <w:p w14:paraId="13B3F182" w14:textId="77777777" w:rsidR="00933C62" w:rsidRDefault="00933C62" w:rsidP="00933C62">
      <w:pPr>
        <w:ind w:firstLine="720"/>
        <w:rPr>
          <w:rFonts w:ascii="Times New Roman" w:hAnsi="Times New Roman"/>
        </w:rPr>
      </w:pPr>
      <w:r>
        <w:rPr>
          <w:rFonts w:ascii="Times New Roman" w:hAnsi="Times New Roman"/>
        </w:rPr>
        <w:t xml:space="preserve">The picture became more complex when female crania were examined.  Overall 13 females suffered one or more cranial injuries.  Blunt force trauma, resulting in 11 </w:t>
      </w:r>
      <w:r w:rsidRPr="00266741">
        <w:rPr>
          <w:rFonts w:ascii="Times New Roman" w:hAnsi="Times New Roman"/>
        </w:rPr>
        <w:t>depressed fractures</w:t>
      </w:r>
      <w:r>
        <w:rPr>
          <w:rFonts w:ascii="Times New Roman" w:hAnsi="Times New Roman"/>
        </w:rPr>
        <w:t xml:space="preserve">, affected 9 females.  These </w:t>
      </w:r>
      <w:r w:rsidRPr="00266741">
        <w:rPr>
          <w:rFonts w:ascii="Times New Roman" w:hAnsi="Times New Roman"/>
        </w:rPr>
        <w:t xml:space="preserve">wounds were on the frontal or parietals.  </w:t>
      </w:r>
      <w:r>
        <w:rPr>
          <w:rFonts w:ascii="Times New Roman" w:hAnsi="Times New Roman"/>
        </w:rPr>
        <w:t>Sharp force trauma, either cutting wounds or projectile wounds accounted for the remaining 5 wounds, affecting five individuals.</w:t>
      </w:r>
    </w:p>
    <w:p w14:paraId="7944C969" w14:textId="77777777" w:rsidR="00933C62" w:rsidRDefault="00933C62" w:rsidP="00933C62">
      <w:pPr>
        <w:ind w:firstLine="720"/>
        <w:rPr>
          <w:rFonts w:ascii="Times New Roman" w:hAnsi="Times New Roman"/>
        </w:rPr>
      </w:pPr>
      <w:r w:rsidRPr="00266741">
        <w:rPr>
          <w:rFonts w:ascii="Times New Roman" w:hAnsi="Times New Roman"/>
        </w:rPr>
        <w:t xml:space="preserve">Two females </w:t>
      </w:r>
      <w:r>
        <w:rPr>
          <w:rFonts w:ascii="Times New Roman" w:hAnsi="Times New Roman"/>
        </w:rPr>
        <w:t>had</w:t>
      </w:r>
      <w:r w:rsidRPr="00266741">
        <w:rPr>
          <w:rFonts w:ascii="Times New Roman" w:hAnsi="Times New Roman"/>
        </w:rPr>
        <w:t xml:space="preserve"> more than one cranial wound.  Burial 90, a </w:t>
      </w:r>
      <w:r>
        <w:rPr>
          <w:rFonts w:ascii="Times New Roman" w:hAnsi="Times New Roman"/>
        </w:rPr>
        <w:t>middle adult female</w:t>
      </w:r>
      <w:r w:rsidRPr="00266741">
        <w:rPr>
          <w:rFonts w:ascii="Times New Roman" w:hAnsi="Times New Roman"/>
        </w:rPr>
        <w:t>, had depression fractures to both parietals in different stages of healing.  Burial 10</w:t>
      </w:r>
      <w:r>
        <w:rPr>
          <w:rFonts w:ascii="Times New Roman" w:hAnsi="Times New Roman"/>
        </w:rPr>
        <w:t>, a female young a</w:t>
      </w:r>
      <w:r w:rsidRPr="00266741">
        <w:rPr>
          <w:rFonts w:ascii="Times New Roman" w:hAnsi="Times New Roman"/>
        </w:rPr>
        <w:t>dult, had 3 cranial wounds.  Two depressed fractures, one on the frontal (right on the glabella) and one on the left parietal</w:t>
      </w:r>
      <w:r>
        <w:rPr>
          <w:rFonts w:ascii="Times New Roman" w:hAnsi="Times New Roman"/>
        </w:rPr>
        <w:t>,</w:t>
      </w:r>
      <w:r w:rsidRPr="00266741">
        <w:rPr>
          <w:rFonts w:ascii="Times New Roman" w:hAnsi="Times New Roman"/>
        </w:rPr>
        <w:t xml:space="preserve"> were </w:t>
      </w:r>
      <w:r>
        <w:rPr>
          <w:rFonts w:ascii="Times New Roman" w:hAnsi="Times New Roman"/>
        </w:rPr>
        <w:t xml:space="preserve">both </w:t>
      </w:r>
      <w:r w:rsidRPr="00266741">
        <w:rPr>
          <w:rFonts w:ascii="Times New Roman" w:hAnsi="Times New Roman"/>
        </w:rPr>
        <w:t xml:space="preserve">healed.  A third wound was a penetrating sharp force </w:t>
      </w:r>
      <w:r>
        <w:rPr>
          <w:rFonts w:ascii="Times New Roman" w:hAnsi="Times New Roman"/>
        </w:rPr>
        <w:t>trauma wound to the left</w:t>
      </w:r>
      <w:r w:rsidRPr="00266741">
        <w:rPr>
          <w:rFonts w:ascii="Times New Roman" w:hAnsi="Times New Roman"/>
        </w:rPr>
        <w:t xml:space="preserve"> parietal.  The excavation photo (Figure </w:t>
      </w:r>
      <w:r>
        <w:rPr>
          <w:rFonts w:ascii="Times New Roman" w:hAnsi="Times New Roman"/>
        </w:rPr>
        <w:t>10</w:t>
      </w:r>
      <w:r w:rsidRPr="00266741">
        <w:rPr>
          <w:rFonts w:ascii="Times New Roman" w:hAnsi="Times New Roman"/>
        </w:rPr>
        <w:t>) shows a large point resting on the left parietal, clearly the cause of death.</w:t>
      </w:r>
      <w:r>
        <w:rPr>
          <w:rFonts w:ascii="Times New Roman" w:hAnsi="Times New Roman"/>
        </w:rPr>
        <w:t xml:space="preserve">  The point fits perfectly into the wound, and was probably deeply embedded through the still intact scalp at time of death.</w:t>
      </w:r>
    </w:p>
    <w:p w14:paraId="2F018345" w14:textId="77777777" w:rsidR="00933C62" w:rsidRDefault="00933C62" w:rsidP="00933C62">
      <w:pPr>
        <w:jc w:val="center"/>
      </w:pPr>
      <w:r w:rsidRPr="00FD0636">
        <w:rPr>
          <w:rFonts w:ascii="Times New Roman" w:hAnsi="Times New Roman"/>
          <w:noProof/>
          <w:lang w:bidi="ar-SA"/>
        </w:rPr>
        <mc:AlternateContent>
          <mc:Choice Requires="wps">
            <w:drawing>
              <wp:anchor distT="0" distB="0" distL="114300" distR="114300" simplePos="0" relativeHeight="251659264" behindDoc="0" locked="0" layoutInCell="1" allowOverlap="1" wp14:anchorId="5A360816" wp14:editId="65E1097C">
                <wp:simplePos x="0" y="0"/>
                <wp:positionH relativeFrom="column">
                  <wp:posOffset>1600200</wp:posOffset>
                </wp:positionH>
                <wp:positionV relativeFrom="paragraph">
                  <wp:posOffset>1577340</wp:posOffset>
                </wp:positionV>
                <wp:extent cx="114300" cy="228600"/>
                <wp:effectExtent l="25400" t="0" r="63500" b="5080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126pt;margin-top:124.2pt;width:9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" fillcolor="red"/>
            </w:pict>
          </mc:Fallback>
        </mc:AlternateContent>
      </w:r>
      <w:r w:rsidRPr="00266741">
        <w:rPr>
          <w:rFonts w:ascii="Times New Roman" w:hAnsi="Times New Roman"/>
          <w:noProof/>
          <w:lang w:bidi="ar-SA"/>
        </w:rPr>
        <w:drawing>
          <wp:inline distT="0" distB="0" distL="0" distR="0" wp14:anchorId="0535BD8E" wp14:editId="79B5AC73">
            <wp:extent cx="3957341" cy="3267155"/>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jpg"/>
                    <pic:cNvPicPr/>
                  </pic:nvPicPr>
                  <pic:blipFill rotWithShape="1">
                    <a:blip r:embed="rId20">
                      <a:extLst>
                        <a:ext uri="{28A0092B-C50C-407E-A947-70E740481C1C}">
                          <a14:useLocalDpi xmlns:a14="http://schemas.microsoft.com/office/drawing/2010/main" val="0"/>
                        </a:ext>
                      </a:extLst>
                    </a:blip>
                    <a:srcRect l="18418" t="10510" r="38895" b="42720"/>
                    <a:stretch/>
                  </pic:blipFill>
                  <pic:spPr bwMode="auto">
                    <a:xfrm>
                      <a:off x="0" y="0"/>
                      <a:ext cx="3961411" cy="3270516"/>
                    </a:xfrm>
                    <a:prstGeom prst="rect">
                      <a:avLst/>
                    </a:prstGeom>
                    <a:ln>
                      <a:noFill/>
                    </a:ln>
                    <a:extLst>
                      <a:ext uri="{53640926-AAD7-44d8-BBD7-CCE9431645EC}">
                        <a14:shadowObscured xmlns:a14="http://schemas.microsoft.com/office/drawing/2010/main"/>
                      </a:ext>
                    </a:extLst>
                  </pic:spPr>
                </pic:pic>
              </a:graphicData>
            </a:graphic>
          </wp:inline>
        </w:drawing>
      </w:r>
    </w:p>
    <w:p w14:paraId="6815BB17" w14:textId="77777777" w:rsidR="00933C62" w:rsidRPr="005D68D5" w:rsidRDefault="00933C62" w:rsidP="00133F61">
      <w:pPr>
        <w:pStyle w:val="Caption"/>
      </w:pPr>
      <w:bookmarkStart w:id="71" w:name="_Toc261025212"/>
      <w:r>
        <w:t xml:space="preserve">Figure </w:t>
      </w:r>
      <w:fldSimple w:instr=" SEQ Figure \* ARABIC ">
        <w:r w:rsidR="00396EB3">
          <w:rPr>
            <w:noProof/>
          </w:rPr>
          <w:t>10</w:t>
        </w:r>
      </w:fldSimple>
      <w:r>
        <w:t xml:space="preserve">  Burial 10 from the Akers site, with large point resting on cranium</w:t>
      </w:r>
      <w:bookmarkEnd w:id="71"/>
    </w:p>
    <w:p w14:paraId="04FDA21F" w14:textId="77777777" w:rsidR="00C37B04" w:rsidRPr="00266741" w:rsidRDefault="00C37B04" w:rsidP="00C37B04">
      <w:pPr>
        <w:ind w:firstLine="720"/>
        <w:rPr>
          <w:rFonts w:ascii="Times New Roman" w:hAnsi="Times New Roman"/>
        </w:rPr>
      </w:pPr>
      <w:r>
        <w:rPr>
          <w:rFonts w:ascii="Times New Roman" w:hAnsi="Times New Roman"/>
        </w:rPr>
        <w:t>There was only one case of possible scalping from the Akers site.  This was Burial 157, an old adult male.  Although there were no visible cut marks, the calvarium was highly reactive with a cap of bony overgrowth in a pattern suggestive of scalping.  However it is also possible that this reactive growth was caused by infection or another type of trauma.  Figure 11 shows an occipital view of the bony overgrowth.  Because there are no visible cut marks and because it is possible that the bony growth may have been caused by a non-traumatic event (such as infection), this individual is not included in the above totals for cranial injuries.</w:t>
      </w:r>
    </w:p>
    <w:p w14:paraId="24B75712" w14:textId="77777777" w:rsidR="00933C62" w:rsidRDefault="00933C62" w:rsidP="00933C62">
      <w:pPr>
        <w:rPr>
          <w:rFonts w:ascii="Times New Roman" w:hAnsi="Times New Roman"/>
        </w:rPr>
      </w:pPr>
    </w:p>
    <w:p w14:paraId="28940EBA" w14:textId="5E7D60D9" w:rsidR="00933C62" w:rsidRDefault="00133F61" w:rsidP="00133F61">
      <w:pPr>
        <w:pStyle w:val="Caption"/>
      </w:pPr>
      <w:r>
        <w:rPr>
          <w:noProof/>
          <w:lang w:bidi="ar-SA"/>
        </w:rPr>
        <w:drawing>
          <wp:inline distT="0" distB="0" distL="0" distR="0" wp14:anchorId="0AF9560D" wp14:editId="1A66F5CF">
            <wp:extent cx="3930575" cy="3674730"/>
            <wp:effectExtent l="0" t="0" r="698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K 052 small.jpg"/>
                    <pic:cNvPicPr/>
                  </pic:nvPicPr>
                  <pic:blipFill rotWithShape="1">
                    <a:blip r:embed="rId21">
                      <a:extLst>
                        <a:ext uri="{28A0092B-C50C-407E-A947-70E740481C1C}">
                          <a14:useLocalDpi xmlns:a14="http://schemas.microsoft.com/office/drawing/2010/main" val="0"/>
                        </a:ext>
                      </a:extLst>
                    </a:blip>
                    <a:srcRect t="5050"/>
                    <a:stretch/>
                  </pic:blipFill>
                  <pic:spPr bwMode="auto">
                    <a:xfrm>
                      <a:off x="0" y="0"/>
                      <a:ext cx="3933015" cy="3677011"/>
                    </a:xfrm>
                    <a:prstGeom prst="rect">
                      <a:avLst/>
                    </a:prstGeom>
                    <a:ln>
                      <a:noFill/>
                    </a:ln>
                    <a:extLst>
                      <a:ext uri="{53640926-AAD7-44d8-BBD7-CCE9431645EC}">
                        <a14:shadowObscured xmlns:a14="http://schemas.microsoft.com/office/drawing/2010/main"/>
                      </a:ext>
                    </a:extLst>
                  </pic:spPr>
                </pic:pic>
              </a:graphicData>
            </a:graphic>
          </wp:inline>
        </w:drawing>
      </w:r>
    </w:p>
    <w:p w14:paraId="5305D075" w14:textId="77777777" w:rsidR="00933C62" w:rsidRDefault="00933C62" w:rsidP="00133F61">
      <w:pPr>
        <w:pStyle w:val="Caption"/>
      </w:pPr>
    </w:p>
    <w:p w14:paraId="211AFF02" w14:textId="77777777" w:rsidR="00933C62" w:rsidRDefault="00933C62" w:rsidP="00133F61">
      <w:pPr>
        <w:pStyle w:val="Caption"/>
      </w:pPr>
      <w:bookmarkStart w:id="72" w:name="_Toc261025213"/>
      <w:r>
        <w:t xml:space="preserve">Figure </w:t>
      </w:r>
      <w:fldSimple w:instr=" SEQ Figure \* ARABIC ">
        <w:r w:rsidR="00396EB3">
          <w:rPr>
            <w:noProof/>
          </w:rPr>
          <w:t>11</w:t>
        </w:r>
      </w:fldSimple>
      <w:r>
        <w:t xml:space="preserve">  Burial 157 from the Akers site, occipital view of the calvarium</w:t>
      </w:r>
      <w:bookmarkEnd w:id="72"/>
    </w:p>
    <w:p w14:paraId="241E6672" w14:textId="77777777" w:rsidR="00410DA8" w:rsidRPr="00410DA8" w:rsidRDefault="00410DA8" w:rsidP="00410DA8"/>
    <w:p w14:paraId="23B5B5C9" w14:textId="77777777" w:rsidR="00933C62" w:rsidRDefault="00933C62" w:rsidP="00933C62">
      <w:pPr>
        <w:ind w:firstLine="720"/>
        <w:rPr>
          <w:rFonts w:ascii="Times New Roman" w:hAnsi="Times New Roman"/>
        </w:rPr>
      </w:pPr>
      <w:r w:rsidRPr="00270BE1">
        <w:rPr>
          <w:rFonts w:ascii="Times New Roman" w:hAnsi="Times New Roman"/>
        </w:rPr>
        <w:t xml:space="preserve">In order to observe the pattern of </w:t>
      </w:r>
      <w:r>
        <w:rPr>
          <w:rFonts w:ascii="Times New Roman" w:hAnsi="Times New Roman"/>
        </w:rPr>
        <w:t xml:space="preserve">blunt force trauma to the head, </w:t>
      </w:r>
      <w:r w:rsidRPr="00270BE1">
        <w:rPr>
          <w:rFonts w:ascii="Times New Roman" w:hAnsi="Times New Roman"/>
        </w:rPr>
        <w:t>t</w:t>
      </w:r>
      <w:r>
        <w:rPr>
          <w:rFonts w:ascii="Times New Roman" w:hAnsi="Times New Roman"/>
        </w:rPr>
        <w:t>hese lesions were mapped by sex.  In m</w:t>
      </w:r>
      <w:r w:rsidRPr="00266741">
        <w:rPr>
          <w:rFonts w:ascii="Times New Roman" w:hAnsi="Times New Roman"/>
        </w:rPr>
        <w:t>ale</w:t>
      </w:r>
      <w:r>
        <w:rPr>
          <w:rFonts w:ascii="Times New Roman" w:hAnsi="Times New Roman"/>
        </w:rPr>
        <w:t>s (Figure 12),</w:t>
      </w:r>
      <w:r w:rsidRPr="00266741">
        <w:rPr>
          <w:rFonts w:ascii="Times New Roman" w:hAnsi="Times New Roman"/>
        </w:rPr>
        <w:t xml:space="preserve"> frontal injuries</w:t>
      </w:r>
      <w:r>
        <w:rPr>
          <w:rFonts w:ascii="Times New Roman" w:hAnsi="Times New Roman"/>
        </w:rPr>
        <w:t xml:space="preserve"> were</w:t>
      </w:r>
      <w:r w:rsidRPr="00266741">
        <w:rPr>
          <w:rFonts w:ascii="Times New Roman" w:hAnsi="Times New Roman"/>
        </w:rPr>
        <w:t xml:space="preserve"> 60% (3/5) of the </w:t>
      </w:r>
      <w:r>
        <w:rPr>
          <w:rFonts w:ascii="Times New Roman" w:hAnsi="Times New Roman"/>
        </w:rPr>
        <w:t xml:space="preserve">blunt force trauma to the calvaria.  In females (Figure 13), </w:t>
      </w:r>
      <w:r w:rsidRPr="00266741">
        <w:rPr>
          <w:rFonts w:ascii="Times New Roman" w:hAnsi="Times New Roman"/>
        </w:rPr>
        <w:t>frontal injuries</w:t>
      </w:r>
      <w:r>
        <w:rPr>
          <w:rFonts w:ascii="Times New Roman" w:hAnsi="Times New Roman"/>
        </w:rPr>
        <w:t xml:space="preserve"> were </w:t>
      </w:r>
      <w:r w:rsidRPr="00266741">
        <w:rPr>
          <w:rFonts w:ascii="Times New Roman" w:hAnsi="Times New Roman"/>
        </w:rPr>
        <w:t>67% (6/9)</w:t>
      </w:r>
      <w:r>
        <w:rPr>
          <w:rFonts w:ascii="Times New Roman" w:hAnsi="Times New Roman"/>
        </w:rPr>
        <w:t xml:space="preserve"> of blunt force trauma to the calvaria.  This difference is not </w:t>
      </w:r>
      <w:r w:rsidRPr="00266741">
        <w:rPr>
          <w:rFonts w:ascii="Times New Roman" w:hAnsi="Times New Roman"/>
        </w:rPr>
        <w:t xml:space="preserve">statistically significant </w:t>
      </w:r>
      <w:r>
        <w:rPr>
          <w:rFonts w:ascii="Times New Roman" w:hAnsi="Times New Roman"/>
        </w:rPr>
        <w:t xml:space="preserve"> (</w:t>
      </w:r>
      <w:r w:rsidRPr="00B66485">
        <w:rPr>
          <w:rFonts w:ascii="Times New Roman" w:hAnsi="Times New Roman"/>
          <w:i/>
        </w:rPr>
        <w:t>p</w:t>
      </w:r>
      <w:r>
        <w:rPr>
          <w:rFonts w:ascii="Times New Roman" w:hAnsi="Times New Roman"/>
        </w:rPr>
        <w:t>= .8, two</w:t>
      </w:r>
      <w:r w:rsidRPr="00266741">
        <w:rPr>
          <w:rFonts w:ascii="Times New Roman" w:hAnsi="Times New Roman"/>
        </w:rPr>
        <w:t>-tailed probability</w:t>
      </w:r>
      <w:r>
        <w:rPr>
          <w:rFonts w:ascii="Times New Roman" w:hAnsi="Times New Roman"/>
        </w:rPr>
        <w:t>, Fisher’s Exact Test</w:t>
      </w:r>
      <w:r w:rsidRPr="00266741">
        <w:rPr>
          <w:rFonts w:ascii="Times New Roman" w:hAnsi="Times New Roman"/>
        </w:rPr>
        <w:t xml:space="preserve">).  </w:t>
      </w:r>
    </w:p>
    <w:p w14:paraId="0D0BB37E" w14:textId="064C844F" w:rsidR="00933C62" w:rsidRDefault="00933C62" w:rsidP="00933C62">
      <w:pPr>
        <w:ind w:firstLine="720"/>
        <w:rPr>
          <w:rFonts w:ascii="Times New Roman" w:hAnsi="Times New Roman"/>
        </w:rPr>
      </w:pPr>
      <w:r w:rsidRPr="00266741">
        <w:rPr>
          <w:rFonts w:ascii="Times New Roman" w:hAnsi="Times New Roman"/>
        </w:rPr>
        <w:t>Despite the lack of statistical significance regarding male/female differences in numbers or placement of cranial injuries, it should be noted that no male had more than one injury to the ca</w:t>
      </w:r>
      <w:r>
        <w:rPr>
          <w:rFonts w:ascii="Times New Roman" w:hAnsi="Times New Roman"/>
        </w:rPr>
        <w:t>lvarium, but</w:t>
      </w:r>
      <w:r w:rsidRPr="00266741">
        <w:rPr>
          <w:rFonts w:ascii="Times New Roman" w:hAnsi="Times New Roman"/>
        </w:rPr>
        <w:t xml:space="preserve"> tw</w:t>
      </w:r>
      <w:r>
        <w:rPr>
          <w:rFonts w:ascii="Times New Roman" w:hAnsi="Times New Roman"/>
        </w:rPr>
        <w:t>o females had multiple calvari</w:t>
      </w:r>
      <w:r w:rsidR="00874944">
        <w:rPr>
          <w:rFonts w:ascii="Times New Roman" w:hAnsi="Times New Roman"/>
        </w:rPr>
        <w:t>um</w:t>
      </w:r>
      <w:r w:rsidRPr="00266741">
        <w:rPr>
          <w:rFonts w:ascii="Times New Roman" w:hAnsi="Times New Roman"/>
        </w:rPr>
        <w:t xml:space="preserve"> injuries.  Additionally, only the females had evidence of sharp forced trauma.</w:t>
      </w:r>
    </w:p>
    <w:p w14:paraId="14F1A997" w14:textId="77777777" w:rsidR="00933C62" w:rsidRDefault="00933C62" w:rsidP="00933C62">
      <w:pPr>
        <w:ind w:firstLine="720"/>
        <w:rPr>
          <w:rFonts w:ascii="Times New Roman" w:hAnsi="Times New Roman"/>
        </w:rPr>
      </w:pPr>
      <w:r>
        <w:rPr>
          <w:rFonts w:ascii="Times New Roman" w:hAnsi="Times New Roman"/>
        </w:rPr>
        <w:t xml:space="preserve">Cranial trauma was then examined by age class.  Table 10 presents combined blunt and sharp force trauma by sex and age class.  For each age class the number of individuals with a cranial trauma is presented (+), the number of observable individuals (n), and the frequency (+/n).  The table also presents </w:t>
      </w:r>
      <w:r w:rsidRPr="005A1202">
        <w:rPr>
          <w:rFonts w:ascii="Times New Roman" w:hAnsi="Times New Roman"/>
          <w:i/>
        </w:rPr>
        <w:t xml:space="preserve">p </w:t>
      </w:r>
      <w:r>
        <w:rPr>
          <w:rFonts w:ascii="Times New Roman" w:hAnsi="Times New Roman"/>
        </w:rPr>
        <w:t xml:space="preserve">values from a two-tailed Fisher’s Exact Test for males and females in each age class.  </w:t>
      </w:r>
    </w:p>
    <w:p w14:paraId="1603BDE8" w14:textId="77777777" w:rsidR="00933C62" w:rsidRDefault="00933C62" w:rsidP="00133F61">
      <w:pPr>
        <w:pStyle w:val="Caption"/>
      </w:pPr>
    </w:p>
    <w:p w14:paraId="28991BAA" w14:textId="77777777" w:rsidR="00933C62" w:rsidRDefault="00933C62" w:rsidP="00133F61">
      <w:pPr>
        <w:pStyle w:val="Caption"/>
      </w:pPr>
      <w:bookmarkStart w:id="73" w:name="_Toc261025238"/>
      <w:r>
        <w:t xml:space="preserve">Table </w:t>
      </w:r>
      <w:fldSimple w:instr=" SEQ Table \* ARABIC ">
        <w:r w:rsidR="00396EB3">
          <w:rPr>
            <w:noProof/>
          </w:rPr>
          <w:t>10</w:t>
        </w:r>
      </w:fldSimple>
      <w:r>
        <w:t xml:space="preserve">  Cranial Trauma (both blunt and sharp force) by age and sex</w:t>
      </w:r>
      <w:bookmarkEnd w:id="73"/>
    </w:p>
    <w:p w14:paraId="14C70CF2" w14:textId="77777777" w:rsidR="00933C62" w:rsidRPr="000B0E53" w:rsidRDefault="00933C62" w:rsidP="00933C62">
      <w:pPr>
        <w:spacing w:line="240" w:lineRule="auto"/>
      </w:pPr>
    </w:p>
    <w:tbl>
      <w:tblPr>
        <w:tblStyle w:val="TableGrid"/>
        <w:tblW w:w="0" w:type="auto"/>
        <w:jc w:val="center"/>
        <w:tblInd w:w="108" w:type="dxa"/>
        <w:tblLayout w:type="fixed"/>
        <w:tblLook w:val="04A0" w:firstRow="1" w:lastRow="0" w:firstColumn="1" w:lastColumn="0" w:noHBand="0" w:noVBand="1"/>
      </w:tblPr>
      <w:tblGrid>
        <w:gridCol w:w="720"/>
        <w:gridCol w:w="450"/>
        <w:gridCol w:w="630"/>
        <w:gridCol w:w="630"/>
        <w:gridCol w:w="630"/>
        <w:gridCol w:w="720"/>
        <w:gridCol w:w="666"/>
        <w:gridCol w:w="414"/>
        <w:gridCol w:w="558"/>
        <w:gridCol w:w="540"/>
        <w:gridCol w:w="630"/>
        <w:gridCol w:w="522"/>
        <w:gridCol w:w="738"/>
      </w:tblGrid>
      <w:tr w:rsidR="00933C62" w:rsidRPr="00665C13" w14:paraId="4BC2E8C9" w14:textId="77777777" w:rsidTr="006E6C4E">
        <w:trPr>
          <w:jc w:val="center"/>
        </w:trPr>
        <w:tc>
          <w:tcPr>
            <w:tcW w:w="720" w:type="dxa"/>
          </w:tcPr>
          <w:p w14:paraId="33485EA1" w14:textId="77777777" w:rsidR="00933C62" w:rsidRPr="00665C13" w:rsidRDefault="00933C62" w:rsidP="006E6C4E">
            <w:pPr>
              <w:spacing w:line="240" w:lineRule="auto"/>
            </w:pPr>
          </w:p>
        </w:tc>
        <w:tc>
          <w:tcPr>
            <w:tcW w:w="1710" w:type="dxa"/>
            <w:gridSpan w:val="3"/>
          </w:tcPr>
          <w:p w14:paraId="7A632199" w14:textId="77777777" w:rsidR="00933C62" w:rsidRPr="00665C13" w:rsidRDefault="00933C62" w:rsidP="006E6C4E">
            <w:pPr>
              <w:spacing w:line="240" w:lineRule="auto"/>
              <w:jc w:val="center"/>
              <w:rPr>
                <w:b/>
              </w:rPr>
            </w:pPr>
            <w:r w:rsidRPr="00665C13">
              <w:rPr>
                <w:b/>
              </w:rPr>
              <w:t xml:space="preserve">YA </w:t>
            </w:r>
          </w:p>
          <w:p w14:paraId="480CE5FD" w14:textId="77777777" w:rsidR="00933C62" w:rsidRPr="00665C13" w:rsidRDefault="00933C62" w:rsidP="006E6C4E">
            <w:pPr>
              <w:spacing w:line="240" w:lineRule="auto"/>
              <w:jc w:val="center"/>
              <w:rPr>
                <w:b/>
              </w:rPr>
            </w:pPr>
            <w:r w:rsidRPr="00665C13">
              <w:rPr>
                <w:b/>
              </w:rPr>
              <w:t>15-35 yrs</w:t>
            </w:r>
          </w:p>
        </w:tc>
        <w:tc>
          <w:tcPr>
            <w:tcW w:w="2016" w:type="dxa"/>
            <w:gridSpan w:val="3"/>
          </w:tcPr>
          <w:p w14:paraId="31DFFB0B" w14:textId="77777777" w:rsidR="00933C62" w:rsidRPr="00665C13" w:rsidRDefault="00933C62" w:rsidP="006E6C4E">
            <w:pPr>
              <w:spacing w:line="240" w:lineRule="auto"/>
              <w:jc w:val="center"/>
              <w:rPr>
                <w:b/>
              </w:rPr>
            </w:pPr>
            <w:r w:rsidRPr="00665C13">
              <w:rPr>
                <w:b/>
              </w:rPr>
              <w:t xml:space="preserve">MA </w:t>
            </w:r>
          </w:p>
          <w:p w14:paraId="78AEB08E" w14:textId="77777777" w:rsidR="00933C62" w:rsidRPr="00665C13" w:rsidRDefault="00933C62" w:rsidP="006E6C4E">
            <w:pPr>
              <w:spacing w:line="240" w:lineRule="auto"/>
              <w:jc w:val="center"/>
              <w:rPr>
                <w:b/>
              </w:rPr>
            </w:pPr>
            <w:r w:rsidRPr="00665C13">
              <w:rPr>
                <w:b/>
              </w:rPr>
              <w:t>35 – 50 yrs</w:t>
            </w:r>
          </w:p>
        </w:tc>
        <w:tc>
          <w:tcPr>
            <w:tcW w:w="1512" w:type="dxa"/>
            <w:gridSpan w:val="3"/>
          </w:tcPr>
          <w:p w14:paraId="60B83670" w14:textId="77777777" w:rsidR="00933C62" w:rsidRDefault="00933C62" w:rsidP="006E6C4E">
            <w:pPr>
              <w:spacing w:line="240" w:lineRule="auto"/>
              <w:jc w:val="center"/>
              <w:rPr>
                <w:b/>
              </w:rPr>
            </w:pPr>
            <w:r>
              <w:rPr>
                <w:b/>
              </w:rPr>
              <w:t>OA</w:t>
            </w:r>
            <w:r w:rsidRPr="00665C13">
              <w:rPr>
                <w:b/>
              </w:rPr>
              <w:t xml:space="preserve"> </w:t>
            </w:r>
          </w:p>
          <w:p w14:paraId="160D5476" w14:textId="77777777" w:rsidR="00933C62" w:rsidRPr="00665C13" w:rsidRDefault="00933C62" w:rsidP="006E6C4E">
            <w:pPr>
              <w:spacing w:line="240" w:lineRule="auto"/>
              <w:jc w:val="center"/>
              <w:rPr>
                <w:b/>
              </w:rPr>
            </w:pPr>
            <w:r w:rsidRPr="00665C13">
              <w:rPr>
                <w:b/>
              </w:rPr>
              <w:t>50+ yrs</w:t>
            </w:r>
          </w:p>
        </w:tc>
        <w:tc>
          <w:tcPr>
            <w:tcW w:w="1890" w:type="dxa"/>
            <w:gridSpan w:val="3"/>
          </w:tcPr>
          <w:p w14:paraId="186DEA51" w14:textId="77777777" w:rsidR="00933C62" w:rsidRPr="00665C13" w:rsidRDefault="00933C62" w:rsidP="006E6C4E">
            <w:pPr>
              <w:spacing w:line="240" w:lineRule="auto"/>
              <w:jc w:val="center"/>
              <w:rPr>
                <w:b/>
              </w:rPr>
            </w:pPr>
            <w:r w:rsidRPr="00665C13">
              <w:rPr>
                <w:b/>
              </w:rPr>
              <w:t>Total</w:t>
            </w:r>
          </w:p>
        </w:tc>
      </w:tr>
      <w:tr w:rsidR="00933C62" w:rsidRPr="00665C13" w14:paraId="71CE1773" w14:textId="77777777" w:rsidTr="006E6C4E">
        <w:trPr>
          <w:jc w:val="center"/>
        </w:trPr>
        <w:tc>
          <w:tcPr>
            <w:tcW w:w="720" w:type="dxa"/>
          </w:tcPr>
          <w:p w14:paraId="0F694C2D" w14:textId="77777777" w:rsidR="00933C62" w:rsidRPr="00665C13" w:rsidRDefault="00933C62" w:rsidP="006E6C4E">
            <w:pPr>
              <w:spacing w:line="240" w:lineRule="auto"/>
            </w:pPr>
          </w:p>
        </w:tc>
        <w:tc>
          <w:tcPr>
            <w:tcW w:w="450" w:type="dxa"/>
          </w:tcPr>
          <w:p w14:paraId="559C1611" w14:textId="77777777" w:rsidR="00933C62" w:rsidRPr="00665C13" w:rsidRDefault="00933C62" w:rsidP="006E6C4E">
            <w:pPr>
              <w:spacing w:line="240" w:lineRule="auto"/>
              <w:jc w:val="center"/>
              <w:rPr>
                <w:b/>
              </w:rPr>
            </w:pPr>
            <w:r w:rsidRPr="00665C13">
              <w:rPr>
                <w:b/>
              </w:rPr>
              <w:t>+</w:t>
            </w:r>
          </w:p>
        </w:tc>
        <w:tc>
          <w:tcPr>
            <w:tcW w:w="630" w:type="dxa"/>
          </w:tcPr>
          <w:p w14:paraId="60075B19" w14:textId="77777777" w:rsidR="00933C62" w:rsidRPr="00665C13" w:rsidRDefault="00933C62" w:rsidP="006E6C4E">
            <w:pPr>
              <w:spacing w:line="240" w:lineRule="auto"/>
              <w:jc w:val="center"/>
              <w:rPr>
                <w:b/>
              </w:rPr>
            </w:pPr>
            <w:r>
              <w:rPr>
                <w:b/>
              </w:rPr>
              <w:t>n</w:t>
            </w:r>
          </w:p>
        </w:tc>
        <w:tc>
          <w:tcPr>
            <w:tcW w:w="630" w:type="dxa"/>
          </w:tcPr>
          <w:p w14:paraId="153EAE85" w14:textId="77777777" w:rsidR="00933C62" w:rsidRPr="00665C13" w:rsidRDefault="00933C62" w:rsidP="006E6C4E">
            <w:pPr>
              <w:spacing w:line="240" w:lineRule="auto"/>
              <w:jc w:val="center"/>
              <w:rPr>
                <w:b/>
                <w:i/>
              </w:rPr>
            </w:pPr>
            <w:r w:rsidRPr="00665C13">
              <w:rPr>
                <w:b/>
                <w:i/>
              </w:rPr>
              <w:t>f</w:t>
            </w:r>
          </w:p>
        </w:tc>
        <w:tc>
          <w:tcPr>
            <w:tcW w:w="630" w:type="dxa"/>
          </w:tcPr>
          <w:p w14:paraId="20B9CF07" w14:textId="77777777" w:rsidR="00933C62" w:rsidRPr="00665C13" w:rsidRDefault="00933C62" w:rsidP="006E6C4E">
            <w:pPr>
              <w:spacing w:line="240" w:lineRule="auto"/>
              <w:jc w:val="center"/>
              <w:rPr>
                <w:b/>
              </w:rPr>
            </w:pPr>
            <w:r w:rsidRPr="00665C13">
              <w:rPr>
                <w:b/>
              </w:rPr>
              <w:t>+</w:t>
            </w:r>
          </w:p>
        </w:tc>
        <w:tc>
          <w:tcPr>
            <w:tcW w:w="720" w:type="dxa"/>
          </w:tcPr>
          <w:p w14:paraId="1348078D" w14:textId="77777777" w:rsidR="00933C62" w:rsidRPr="00665C13" w:rsidRDefault="00933C62" w:rsidP="006E6C4E">
            <w:pPr>
              <w:spacing w:line="240" w:lineRule="auto"/>
              <w:jc w:val="center"/>
              <w:rPr>
                <w:b/>
              </w:rPr>
            </w:pPr>
            <w:r>
              <w:rPr>
                <w:b/>
              </w:rPr>
              <w:t>n</w:t>
            </w:r>
          </w:p>
        </w:tc>
        <w:tc>
          <w:tcPr>
            <w:tcW w:w="666" w:type="dxa"/>
          </w:tcPr>
          <w:p w14:paraId="4D56750D" w14:textId="77777777" w:rsidR="00933C62" w:rsidRPr="00665C13" w:rsidRDefault="00933C62" w:rsidP="006E6C4E">
            <w:pPr>
              <w:spacing w:line="240" w:lineRule="auto"/>
              <w:jc w:val="center"/>
              <w:rPr>
                <w:b/>
                <w:i/>
              </w:rPr>
            </w:pPr>
            <w:r w:rsidRPr="00665C13">
              <w:rPr>
                <w:b/>
                <w:i/>
              </w:rPr>
              <w:t>f</w:t>
            </w:r>
          </w:p>
        </w:tc>
        <w:tc>
          <w:tcPr>
            <w:tcW w:w="414" w:type="dxa"/>
          </w:tcPr>
          <w:p w14:paraId="08D562D8" w14:textId="77777777" w:rsidR="00933C62" w:rsidRPr="00665C13" w:rsidRDefault="00933C62" w:rsidP="006E6C4E">
            <w:pPr>
              <w:spacing w:line="240" w:lineRule="auto"/>
              <w:jc w:val="center"/>
              <w:rPr>
                <w:b/>
              </w:rPr>
            </w:pPr>
            <w:r w:rsidRPr="00665C13">
              <w:rPr>
                <w:b/>
              </w:rPr>
              <w:t>+</w:t>
            </w:r>
          </w:p>
        </w:tc>
        <w:tc>
          <w:tcPr>
            <w:tcW w:w="558" w:type="dxa"/>
          </w:tcPr>
          <w:p w14:paraId="7D3DBA41" w14:textId="77777777" w:rsidR="00933C62" w:rsidRPr="00665C13" w:rsidRDefault="00933C62" w:rsidP="006E6C4E">
            <w:pPr>
              <w:spacing w:line="240" w:lineRule="auto"/>
              <w:jc w:val="center"/>
              <w:rPr>
                <w:b/>
              </w:rPr>
            </w:pPr>
            <w:r>
              <w:rPr>
                <w:b/>
              </w:rPr>
              <w:t>n</w:t>
            </w:r>
          </w:p>
        </w:tc>
        <w:tc>
          <w:tcPr>
            <w:tcW w:w="540" w:type="dxa"/>
          </w:tcPr>
          <w:p w14:paraId="441F3BE2" w14:textId="77777777" w:rsidR="00933C62" w:rsidRPr="00665C13" w:rsidRDefault="00933C62" w:rsidP="006E6C4E">
            <w:pPr>
              <w:spacing w:line="240" w:lineRule="auto"/>
              <w:jc w:val="center"/>
              <w:rPr>
                <w:b/>
                <w:i/>
              </w:rPr>
            </w:pPr>
            <w:r w:rsidRPr="00665C13">
              <w:rPr>
                <w:b/>
                <w:i/>
              </w:rPr>
              <w:t>f</w:t>
            </w:r>
          </w:p>
        </w:tc>
        <w:tc>
          <w:tcPr>
            <w:tcW w:w="630" w:type="dxa"/>
          </w:tcPr>
          <w:p w14:paraId="7D493912" w14:textId="77777777" w:rsidR="00933C62" w:rsidRPr="00665C13" w:rsidRDefault="00933C62" w:rsidP="006E6C4E">
            <w:pPr>
              <w:spacing w:line="240" w:lineRule="auto"/>
              <w:jc w:val="center"/>
              <w:rPr>
                <w:b/>
              </w:rPr>
            </w:pPr>
            <w:r w:rsidRPr="00665C13">
              <w:rPr>
                <w:b/>
              </w:rPr>
              <w:t>n</w:t>
            </w:r>
          </w:p>
        </w:tc>
        <w:tc>
          <w:tcPr>
            <w:tcW w:w="522" w:type="dxa"/>
          </w:tcPr>
          <w:p w14:paraId="7D1F5DEC" w14:textId="77777777" w:rsidR="00933C62" w:rsidRPr="00665C13" w:rsidRDefault="00933C62" w:rsidP="006E6C4E">
            <w:pPr>
              <w:spacing w:line="240" w:lineRule="auto"/>
              <w:jc w:val="center"/>
              <w:rPr>
                <w:b/>
              </w:rPr>
            </w:pPr>
            <w:r w:rsidRPr="00665C13">
              <w:rPr>
                <w:b/>
              </w:rPr>
              <w:t>N</w:t>
            </w:r>
          </w:p>
        </w:tc>
        <w:tc>
          <w:tcPr>
            <w:tcW w:w="738" w:type="dxa"/>
          </w:tcPr>
          <w:p w14:paraId="376326A3" w14:textId="77777777" w:rsidR="00933C62" w:rsidRPr="00665C13" w:rsidRDefault="00933C62" w:rsidP="006E6C4E">
            <w:pPr>
              <w:spacing w:line="240" w:lineRule="auto"/>
              <w:jc w:val="center"/>
              <w:rPr>
                <w:b/>
                <w:i/>
              </w:rPr>
            </w:pPr>
            <w:r w:rsidRPr="00665C13">
              <w:rPr>
                <w:b/>
                <w:i/>
              </w:rPr>
              <w:t>f</w:t>
            </w:r>
          </w:p>
        </w:tc>
      </w:tr>
      <w:tr w:rsidR="00933C62" w:rsidRPr="00665C13" w14:paraId="12784B75" w14:textId="77777777" w:rsidTr="006E6C4E">
        <w:trPr>
          <w:jc w:val="center"/>
        </w:trPr>
        <w:tc>
          <w:tcPr>
            <w:tcW w:w="720" w:type="dxa"/>
          </w:tcPr>
          <w:p w14:paraId="0A66879F" w14:textId="77777777" w:rsidR="00933C62" w:rsidRPr="00665C13" w:rsidRDefault="00933C62" w:rsidP="006E6C4E">
            <w:pPr>
              <w:spacing w:line="240" w:lineRule="auto"/>
              <w:rPr>
                <w:b/>
              </w:rPr>
            </w:pPr>
            <w:r w:rsidRPr="00665C13">
              <w:rPr>
                <w:b/>
              </w:rPr>
              <w:t>M</w:t>
            </w:r>
          </w:p>
        </w:tc>
        <w:tc>
          <w:tcPr>
            <w:tcW w:w="450" w:type="dxa"/>
          </w:tcPr>
          <w:p w14:paraId="1A6DA785" w14:textId="77777777" w:rsidR="00933C62" w:rsidRPr="00665C13" w:rsidRDefault="00933C62" w:rsidP="006E6C4E">
            <w:pPr>
              <w:spacing w:line="240" w:lineRule="auto"/>
              <w:jc w:val="right"/>
            </w:pPr>
            <w:r w:rsidRPr="00665C13">
              <w:t>2</w:t>
            </w:r>
          </w:p>
        </w:tc>
        <w:tc>
          <w:tcPr>
            <w:tcW w:w="630" w:type="dxa"/>
          </w:tcPr>
          <w:p w14:paraId="7BC05B1A" w14:textId="77777777" w:rsidR="00933C62" w:rsidRPr="00665C13" w:rsidRDefault="00933C62" w:rsidP="006E6C4E">
            <w:pPr>
              <w:spacing w:line="240" w:lineRule="auto"/>
              <w:jc w:val="right"/>
            </w:pPr>
            <w:r w:rsidRPr="00665C13">
              <w:t>7</w:t>
            </w:r>
          </w:p>
        </w:tc>
        <w:tc>
          <w:tcPr>
            <w:tcW w:w="630" w:type="dxa"/>
          </w:tcPr>
          <w:p w14:paraId="1D73E0B8" w14:textId="77777777" w:rsidR="00933C62" w:rsidRPr="00665C13" w:rsidRDefault="00933C62" w:rsidP="006E6C4E">
            <w:pPr>
              <w:spacing w:line="240" w:lineRule="auto"/>
              <w:jc w:val="right"/>
              <w:rPr>
                <w:i/>
              </w:rPr>
            </w:pPr>
            <w:r w:rsidRPr="00665C13">
              <w:rPr>
                <w:i/>
              </w:rPr>
              <w:t>29</w:t>
            </w:r>
          </w:p>
        </w:tc>
        <w:tc>
          <w:tcPr>
            <w:tcW w:w="630" w:type="dxa"/>
          </w:tcPr>
          <w:p w14:paraId="0180B875" w14:textId="77777777" w:rsidR="00933C62" w:rsidRPr="00665C13" w:rsidRDefault="00933C62" w:rsidP="006E6C4E">
            <w:pPr>
              <w:spacing w:line="240" w:lineRule="auto"/>
              <w:jc w:val="right"/>
            </w:pPr>
            <w:r w:rsidRPr="00665C13">
              <w:t>3</w:t>
            </w:r>
          </w:p>
        </w:tc>
        <w:tc>
          <w:tcPr>
            <w:tcW w:w="720" w:type="dxa"/>
          </w:tcPr>
          <w:p w14:paraId="42310A2A" w14:textId="77777777" w:rsidR="00933C62" w:rsidRPr="00665C13" w:rsidRDefault="00933C62" w:rsidP="006E6C4E">
            <w:pPr>
              <w:spacing w:line="240" w:lineRule="auto"/>
              <w:jc w:val="right"/>
            </w:pPr>
            <w:r w:rsidRPr="00665C13">
              <w:t>23</w:t>
            </w:r>
          </w:p>
        </w:tc>
        <w:tc>
          <w:tcPr>
            <w:tcW w:w="666" w:type="dxa"/>
          </w:tcPr>
          <w:p w14:paraId="6E5FC6CC" w14:textId="77777777" w:rsidR="00933C62" w:rsidRPr="00665C13" w:rsidRDefault="00933C62" w:rsidP="006E6C4E">
            <w:pPr>
              <w:spacing w:line="240" w:lineRule="auto"/>
              <w:jc w:val="right"/>
              <w:rPr>
                <w:i/>
              </w:rPr>
            </w:pPr>
            <w:r w:rsidRPr="00665C13">
              <w:rPr>
                <w:i/>
              </w:rPr>
              <w:t>13</w:t>
            </w:r>
          </w:p>
        </w:tc>
        <w:tc>
          <w:tcPr>
            <w:tcW w:w="414" w:type="dxa"/>
          </w:tcPr>
          <w:p w14:paraId="6B5A67BC" w14:textId="77777777" w:rsidR="00933C62" w:rsidRPr="00665C13" w:rsidRDefault="00933C62" w:rsidP="006E6C4E">
            <w:pPr>
              <w:spacing w:line="240" w:lineRule="auto"/>
              <w:jc w:val="right"/>
            </w:pPr>
            <w:r w:rsidRPr="00665C13">
              <w:t>0</w:t>
            </w:r>
          </w:p>
        </w:tc>
        <w:tc>
          <w:tcPr>
            <w:tcW w:w="558" w:type="dxa"/>
          </w:tcPr>
          <w:p w14:paraId="064A793B" w14:textId="77777777" w:rsidR="00933C62" w:rsidRPr="00665C13" w:rsidRDefault="00933C62" w:rsidP="006E6C4E">
            <w:pPr>
              <w:spacing w:line="240" w:lineRule="auto"/>
              <w:jc w:val="right"/>
            </w:pPr>
            <w:r w:rsidRPr="00665C13">
              <w:t>10</w:t>
            </w:r>
          </w:p>
        </w:tc>
        <w:tc>
          <w:tcPr>
            <w:tcW w:w="540" w:type="dxa"/>
          </w:tcPr>
          <w:p w14:paraId="72198F7E" w14:textId="77777777" w:rsidR="00933C62" w:rsidRPr="00665C13" w:rsidRDefault="00933C62" w:rsidP="006E6C4E">
            <w:pPr>
              <w:spacing w:line="240" w:lineRule="auto"/>
              <w:jc w:val="right"/>
              <w:rPr>
                <w:i/>
              </w:rPr>
            </w:pPr>
            <w:r w:rsidRPr="00665C13">
              <w:rPr>
                <w:i/>
              </w:rPr>
              <w:t>0</w:t>
            </w:r>
          </w:p>
        </w:tc>
        <w:tc>
          <w:tcPr>
            <w:tcW w:w="630" w:type="dxa"/>
          </w:tcPr>
          <w:p w14:paraId="59A2C46A" w14:textId="77777777" w:rsidR="00933C62" w:rsidRPr="00665C13" w:rsidRDefault="00933C62" w:rsidP="006E6C4E">
            <w:pPr>
              <w:spacing w:line="240" w:lineRule="auto"/>
              <w:jc w:val="right"/>
            </w:pPr>
            <w:r w:rsidRPr="00665C13">
              <w:t>5</w:t>
            </w:r>
          </w:p>
        </w:tc>
        <w:tc>
          <w:tcPr>
            <w:tcW w:w="522" w:type="dxa"/>
          </w:tcPr>
          <w:p w14:paraId="54560939" w14:textId="77777777" w:rsidR="00933C62" w:rsidRPr="00665C13" w:rsidRDefault="00933C62" w:rsidP="006E6C4E">
            <w:pPr>
              <w:spacing w:line="240" w:lineRule="auto"/>
              <w:jc w:val="right"/>
            </w:pPr>
            <w:r w:rsidRPr="00665C13">
              <w:t>40</w:t>
            </w:r>
          </w:p>
        </w:tc>
        <w:tc>
          <w:tcPr>
            <w:tcW w:w="738" w:type="dxa"/>
          </w:tcPr>
          <w:p w14:paraId="03ACAD12" w14:textId="77777777" w:rsidR="00933C62" w:rsidRPr="00665C13" w:rsidRDefault="00933C62" w:rsidP="006E6C4E">
            <w:pPr>
              <w:spacing w:line="240" w:lineRule="auto"/>
              <w:jc w:val="right"/>
              <w:rPr>
                <w:i/>
              </w:rPr>
            </w:pPr>
            <w:r w:rsidRPr="00665C13">
              <w:rPr>
                <w:i/>
              </w:rPr>
              <w:t>13</w:t>
            </w:r>
          </w:p>
        </w:tc>
      </w:tr>
      <w:tr w:rsidR="00933C62" w:rsidRPr="00665C13" w14:paraId="6253FAB0" w14:textId="77777777" w:rsidTr="006E6C4E">
        <w:trPr>
          <w:jc w:val="center"/>
        </w:trPr>
        <w:tc>
          <w:tcPr>
            <w:tcW w:w="720" w:type="dxa"/>
          </w:tcPr>
          <w:p w14:paraId="2BF378A9" w14:textId="77777777" w:rsidR="00933C62" w:rsidRPr="00665C13" w:rsidRDefault="00933C62" w:rsidP="006E6C4E">
            <w:pPr>
              <w:spacing w:line="240" w:lineRule="auto"/>
              <w:rPr>
                <w:b/>
              </w:rPr>
            </w:pPr>
            <w:r w:rsidRPr="00665C13">
              <w:rPr>
                <w:b/>
              </w:rPr>
              <w:t>F</w:t>
            </w:r>
          </w:p>
        </w:tc>
        <w:tc>
          <w:tcPr>
            <w:tcW w:w="450" w:type="dxa"/>
          </w:tcPr>
          <w:p w14:paraId="3668A4DE" w14:textId="77777777" w:rsidR="00933C62" w:rsidRPr="00665C13" w:rsidRDefault="00933C62" w:rsidP="006E6C4E">
            <w:pPr>
              <w:spacing w:line="240" w:lineRule="auto"/>
              <w:jc w:val="right"/>
            </w:pPr>
            <w:r w:rsidRPr="00665C13">
              <w:t>5</w:t>
            </w:r>
          </w:p>
        </w:tc>
        <w:tc>
          <w:tcPr>
            <w:tcW w:w="630" w:type="dxa"/>
          </w:tcPr>
          <w:p w14:paraId="67899856" w14:textId="77777777" w:rsidR="00933C62" w:rsidRPr="00665C13" w:rsidRDefault="00933C62" w:rsidP="006E6C4E">
            <w:pPr>
              <w:spacing w:line="240" w:lineRule="auto"/>
              <w:jc w:val="right"/>
            </w:pPr>
            <w:r w:rsidRPr="00665C13">
              <w:t>29</w:t>
            </w:r>
          </w:p>
        </w:tc>
        <w:tc>
          <w:tcPr>
            <w:tcW w:w="630" w:type="dxa"/>
          </w:tcPr>
          <w:p w14:paraId="24A60438" w14:textId="77777777" w:rsidR="00933C62" w:rsidRPr="00665C13" w:rsidRDefault="00933C62" w:rsidP="006E6C4E">
            <w:pPr>
              <w:spacing w:line="240" w:lineRule="auto"/>
              <w:jc w:val="right"/>
              <w:rPr>
                <w:i/>
              </w:rPr>
            </w:pPr>
            <w:r w:rsidRPr="00665C13">
              <w:rPr>
                <w:i/>
              </w:rPr>
              <w:t>17</w:t>
            </w:r>
          </w:p>
        </w:tc>
        <w:tc>
          <w:tcPr>
            <w:tcW w:w="630" w:type="dxa"/>
          </w:tcPr>
          <w:p w14:paraId="0FFC9E2E" w14:textId="77777777" w:rsidR="00933C62" w:rsidRPr="00665C13" w:rsidRDefault="00933C62" w:rsidP="006E6C4E">
            <w:pPr>
              <w:spacing w:line="240" w:lineRule="auto"/>
              <w:jc w:val="right"/>
            </w:pPr>
            <w:r w:rsidRPr="00665C13">
              <w:t>5</w:t>
            </w:r>
          </w:p>
        </w:tc>
        <w:tc>
          <w:tcPr>
            <w:tcW w:w="720" w:type="dxa"/>
          </w:tcPr>
          <w:p w14:paraId="694D0946" w14:textId="77777777" w:rsidR="00933C62" w:rsidRPr="00665C13" w:rsidRDefault="00933C62" w:rsidP="006E6C4E">
            <w:pPr>
              <w:spacing w:line="240" w:lineRule="auto"/>
              <w:jc w:val="right"/>
            </w:pPr>
            <w:r w:rsidRPr="00665C13">
              <w:t>18</w:t>
            </w:r>
          </w:p>
        </w:tc>
        <w:tc>
          <w:tcPr>
            <w:tcW w:w="666" w:type="dxa"/>
          </w:tcPr>
          <w:p w14:paraId="4B69B5F8" w14:textId="77777777" w:rsidR="00933C62" w:rsidRPr="00665C13" w:rsidRDefault="00933C62" w:rsidP="006E6C4E">
            <w:pPr>
              <w:spacing w:line="240" w:lineRule="auto"/>
              <w:jc w:val="right"/>
              <w:rPr>
                <w:i/>
              </w:rPr>
            </w:pPr>
            <w:r w:rsidRPr="00665C13">
              <w:rPr>
                <w:i/>
              </w:rPr>
              <w:t>28</w:t>
            </w:r>
          </w:p>
        </w:tc>
        <w:tc>
          <w:tcPr>
            <w:tcW w:w="414" w:type="dxa"/>
          </w:tcPr>
          <w:p w14:paraId="3176C861" w14:textId="77777777" w:rsidR="00933C62" w:rsidRPr="00665C13" w:rsidRDefault="00933C62" w:rsidP="006E6C4E">
            <w:pPr>
              <w:spacing w:line="240" w:lineRule="auto"/>
              <w:jc w:val="right"/>
            </w:pPr>
            <w:r w:rsidRPr="00665C13">
              <w:t>3</w:t>
            </w:r>
          </w:p>
        </w:tc>
        <w:tc>
          <w:tcPr>
            <w:tcW w:w="558" w:type="dxa"/>
          </w:tcPr>
          <w:p w14:paraId="34F2108C" w14:textId="77777777" w:rsidR="00933C62" w:rsidRPr="00665C13" w:rsidRDefault="00933C62" w:rsidP="006E6C4E">
            <w:pPr>
              <w:spacing w:line="240" w:lineRule="auto"/>
              <w:jc w:val="right"/>
            </w:pPr>
            <w:r w:rsidRPr="00665C13">
              <w:t>10</w:t>
            </w:r>
          </w:p>
        </w:tc>
        <w:tc>
          <w:tcPr>
            <w:tcW w:w="540" w:type="dxa"/>
          </w:tcPr>
          <w:p w14:paraId="4571A67F" w14:textId="77777777" w:rsidR="00933C62" w:rsidRPr="00665C13" w:rsidRDefault="00933C62" w:rsidP="006E6C4E">
            <w:pPr>
              <w:spacing w:line="240" w:lineRule="auto"/>
              <w:jc w:val="right"/>
              <w:rPr>
                <w:i/>
              </w:rPr>
            </w:pPr>
            <w:r w:rsidRPr="00665C13">
              <w:rPr>
                <w:i/>
              </w:rPr>
              <w:t>30</w:t>
            </w:r>
          </w:p>
        </w:tc>
        <w:tc>
          <w:tcPr>
            <w:tcW w:w="630" w:type="dxa"/>
          </w:tcPr>
          <w:p w14:paraId="340D3599" w14:textId="77777777" w:rsidR="00933C62" w:rsidRPr="00665C13" w:rsidRDefault="00933C62" w:rsidP="006E6C4E">
            <w:pPr>
              <w:spacing w:line="240" w:lineRule="auto"/>
              <w:jc w:val="right"/>
            </w:pPr>
            <w:r w:rsidRPr="00665C13">
              <w:t>13</w:t>
            </w:r>
          </w:p>
        </w:tc>
        <w:tc>
          <w:tcPr>
            <w:tcW w:w="522" w:type="dxa"/>
          </w:tcPr>
          <w:p w14:paraId="79CDF1CA" w14:textId="77777777" w:rsidR="00933C62" w:rsidRPr="00665C13" w:rsidRDefault="00933C62" w:rsidP="006E6C4E">
            <w:pPr>
              <w:spacing w:line="240" w:lineRule="auto"/>
              <w:jc w:val="right"/>
            </w:pPr>
            <w:r w:rsidRPr="00665C13">
              <w:t>57</w:t>
            </w:r>
          </w:p>
        </w:tc>
        <w:tc>
          <w:tcPr>
            <w:tcW w:w="738" w:type="dxa"/>
          </w:tcPr>
          <w:p w14:paraId="6CC1CFF6" w14:textId="77777777" w:rsidR="00933C62" w:rsidRPr="00665C13" w:rsidRDefault="00933C62" w:rsidP="006E6C4E">
            <w:pPr>
              <w:spacing w:line="240" w:lineRule="auto"/>
              <w:jc w:val="right"/>
              <w:rPr>
                <w:i/>
              </w:rPr>
            </w:pPr>
            <w:r w:rsidRPr="00665C13">
              <w:rPr>
                <w:i/>
              </w:rPr>
              <w:t>23</w:t>
            </w:r>
          </w:p>
        </w:tc>
      </w:tr>
      <w:tr w:rsidR="00933C62" w:rsidRPr="00665C13" w14:paraId="392B33B3" w14:textId="77777777" w:rsidTr="006E6C4E">
        <w:trPr>
          <w:jc w:val="center"/>
        </w:trPr>
        <w:tc>
          <w:tcPr>
            <w:tcW w:w="720" w:type="dxa"/>
          </w:tcPr>
          <w:p w14:paraId="4AC5288C" w14:textId="77777777" w:rsidR="00933C62" w:rsidRPr="00665C13" w:rsidRDefault="00933C62" w:rsidP="006E6C4E">
            <w:pPr>
              <w:spacing w:line="240" w:lineRule="auto"/>
              <w:rPr>
                <w:b/>
                <w:i/>
              </w:rPr>
            </w:pPr>
          </w:p>
        </w:tc>
        <w:tc>
          <w:tcPr>
            <w:tcW w:w="450" w:type="dxa"/>
          </w:tcPr>
          <w:p w14:paraId="08B1714F" w14:textId="77777777" w:rsidR="00933C62" w:rsidRPr="00665C13" w:rsidRDefault="00933C62" w:rsidP="006E6C4E">
            <w:pPr>
              <w:spacing w:line="240" w:lineRule="auto"/>
              <w:jc w:val="right"/>
            </w:pPr>
          </w:p>
        </w:tc>
        <w:tc>
          <w:tcPr>
            <w:tcW w:w="630" w:type="dxa"/>
          </w:tcPr>
          <w:p w14:paraId="1A548D23" w14:textId="77777777" w:rsidR="00933C62" w:rsidRPr="00665C13" w:rsidRDefault="00933C62" w:rsidP="006E6C4E">
            <w:pPr>
              <w:spacing w:line="240" w:lineRule="auto"/>
              <w:jc w:val="right"/>
            </w:pPr>
          </w:p>
        </w:tc>
        <w:tc>
          <w:tcPr>
            <w:tcW w:w="630" w:type="dxa"/>
          </w:tcPr>
          <w:p w14:paraId="38B73C5A" w14:textId="77777777" w:rsidR="00933C62" w:rsidRPr="00665C13" w:rsidRDefault="00933C62" w:rsidP="006E6C4E">
            <w:pPr>
              <w:spacing w:line="240" w:lineRule="auto"/>
              <w:jc w:val="right"/>
              <w:rPr>
                <w:i/>
              </w:rPr>
            </w:pPr>
            <w:r w:rsidRPr="00665C13">
              <w:rPr>
                <w:i/>
              </w:rPr>
              <w:t>p=.</w:t>
            </w:r>
            <w:r>
              <w:rPr>
                <w:i/>
              </w:rPr>
              <w:t>6</w:t>
            </w:r>
          </w:p>
        </w:tc>
        <w:tc>
          <w:tcPr>
            <w:tcW w:w="630" w:type="dxa"/>
          </w:tcPr>
          <w:p w14:paraId="68930ADB" w14:textId="77777777" w:rsidR="00933C62" w:rsidRPr="00665C13" w:rsidRDefault="00933C62" w:rsidP="006E6C4E">
            <w:pPr>
              <w:spacing w:line="240" w:lineRule="auto"/>
              <w:jc w:val="right"/>
            </w:pPr>
          </w:p>
        </w:tc>
        <w:tc>
          <w:tcPr>
            <w:tcW w:w="720" w:type="dxa"/>
          </w:tcPr>
          <w:p w14:paraId="6C145C4E" w14:textId="77777777" w:rsidR="00933C62" w:rsidRPr="00665C13" w:rsidRDefault="00933C62" w:rsidP="006E6C4E">
            <w:pPr>
              <w:spacing w:line="240" w:lineRule="auto"/>
              <w:jc w:val="right"/>
            </w:pPr>
          </w:p>
        </w:tc>
        <w:tc>
          <w:tcPr>
            <w:tcW w:w="666" w:type="dxa"/>
          </w:tcPr>
          <w:p w14:paraId="642619FD" w14:textId="77777777" w:rsidR="00933C62" w:rsidRPr="00665C13" w:rsidRDefault="00933C62" w:rsidP="006E6C4E">
            <w:pPr>
              <w:spacing w:line="240" w:lineRule="auto"/>
              <w:jc w:val="right"/>
              <w:rPr>
                <w:i/>
              </w:rPr>
            </w:pPr>
            <w:r w:rsidRPr="00665C13">
              <w:rPr>
                <w:i/>
              </w:rPr>
              <w:t>p=.</w:t>
            </w:r>
            <w:r>
              <w:rPr>
                <w:i/>
              </w:rPr>
              <w:t>4</w:t>
            </w:r>
          </w:p>
        </w:tc>
        <w:tc>
          <w:tcPr>
            <w:tcW w:w="414" w:type="dxa"/>
          </w:tcPr>
          <w:p w14:paraId="24BFF047" w14:textId="77777777" w:rsidR="00933C62" w:rsidRPr="00665C13" w:rsidRDefault="00933C62" w:rsidP="006E6C4E">
            <w:pPr>
              <w:spacing w:line="240" w:lineRule="auto"/>
              <w:jc w:val="right"/>
            </w:pPr>
            <w:r w:rsidRPr="00665C13">
              <w:t>3</w:t>
            </w:r>
          </w:p>
        </w:tc>
        <w:tc>
          <w:tcPr>
            <w:tcW w:w="558" w:type="dxa"/>
          </w:tcPr>
          <w:p w14:paraId="7271A6D0" w14:textId="77777777" w:rsidR="00933C62" w:rsidRPr="00665C13" w:rsidRDefault="00933C62" w:rsidP="006E6C4E">
            <w:pPr>
              <w:spacing w:line="240" w:lineRule="auto"/>
              <w:jc w:val="right"/>
            </w:pPr>
          </w:p>
        </w:tc>
        <w:tc>
          <w:tcPr>
            <w:tcW w:w="540" w:type="dxa"/>
          </w:tcPr>
          <w:p w14:paraId="0D195D4C" w14:textId="77777777" w:rsidR="00933C62" w:rsidRPr="00665C13" w:rsidRDefault="00933C62" w:rsidP="006E6C4E">
            <w:pPr>
              <w:spacing w:line="240" w:lineRule="auto"/>
              <w:jc w:val="right"/>
              <w:rPr>
                <w:i/>
              </w:rPr>
            </w:pPr>
            <w:r w:rsidRPr="00665C13">
              <w:rPr>
                <w:i/>
              </w:rPr>
              <w:t>N/A</w:t>
            </w:r>
          </w:p>
        </w:tc>
        <w:tc>
          <w:tcPr>
            <w:tcW w:w="630" w:type="dxa"/>
          </w:tcPr>
          <w:p w14:paraId="211CD719" w14:textId="77777777" w:rsidR="00933C62" w:rsidRPr="00665C13" w:rsidRDefault="00933C62" w:rsidP="006E6C4E">
            <w:pPr>
              <w:spacing w:line="240" w:lineRule="auto"/>
              <w:jc w:val="right"/>
            </w:pPr>
          </w:p>
        </w:tc>
        <w:tc>
          <w:tcPr>
            <w:tcW w:w="522" w:type="dxa"/>
          </w:tcPr>
          <w:p w14:paraId="6A748D2E" w14:textId="77777777" w:rsidR="00933C62" w:rsidRPr="00665C13" w:rsidRDefault="00933C62" w:rsidP="006E6C4E">
            <w:pPr>
              <w:spacing w:line="240" w:lineRule="auto"/>
              <w:jc w:val="right"/>
            </w:pPr>
          </w:p>
        </w:tc>
        <w:tc>
          <w:tcPr>
            <w:tcW w:w="738" w:type="dxa"/>
          </w:tcPr>
          <w:p w14:paraId="14591945" w14:textId="77777777" w:rsidR="00933C62" w:rsidRPr="00665C13" w:rsidRDefault="00933C62" w:rsidP="006E6C4E">
            <w:pPr>
              <w:spacing w:line="240" w:lineRule="auto"/>
              <w:jc w:val="right"/>
              <w:rPr>
                <w:i/>
              </w:rPr>
            </w:pPr>
            <w:r w:rsidRPr="00665C13">
              <w:rPr>
                <w:i/>
              </w:rPr>
              <w:t>p=.</w:t>
            </w:r>
            <w:r>
              <w:rPr>
                <w:i/>
              </w:rPr>
              <w:t>3</w:t>
            </w:r>
          </w:p>
        </w:tc>
      </w:tr>
      <w:tr w:rsidR="00933C62" w:rsidRPr="00665C13" w14:paraId="3AAC18A1" w14:textId="77777777" w:rsidTr="006E6C4E">
        <w:trPr>
          <w:jc w:val="center"/>
        </w:trPr>
        <w:tc>
          <w:tcPr>
            <w:tcW w:w="720" w:type="dxa"/>
          </w:tcPr>
          <w:p w14:paraId="496B2661" w14:textId="77777777" w:rsidR="00933C62" w:rsidRPr="00665C13" w:rsidRDefault="00933C62" w:rsidP="006E6C4E">
            <w:pPr>
              <w:spacing w:line="240" w:lineRule="auto"/>
              <w:rPr>
                <w:b/>
              </w:rPr>
            </w:pPr>
            <w:r w:rsidRPr="00665C13">
              <w:rPr>
                <w:b/>
              </w:rPr>
              <w:t>Total</w:t>
            </w:r>
          </w:p>
        </w:tc>
        <w:tc>
          <w:tcPr>
            <w:tcW w:w="450" w:type="dxa"/>
          </w:tcPr>
          <w:p w14:paraId="2EAC349A" w14:textId="77777777" w:rsidR="00933C62" w:rsidRPr="00665C13" w:rsidRDefault="00933C62" w:rsidP="006E6C4E">
            <w:pPr>
              <w:spacing w:line="240" w:lineRule="auto"/>
              <w:jc w:val="right"/>
              <w:rPr>
                <w:b/>
              </w:rPr>
            </w:pPr>
            <w:r>
              <w:rPr>
                <w:b/>
              </w:rPr>
              <w:t>7</w:t>
            </w:r>
          </w:p>
        </w:tc>
        <w:tc>
          <w:tcPr>
            <w:tcW w:w="630" w:type="dxa"/>
          </w:tcPr>
          <w:p w14:paraId="1F6AB7DD" w14:textId="77777777" w:rsidR="00933C62" w:rsidRPr="00665C13" w:rsidRDefault="00933C62" w:rsidP="006E6C4E">
            <w:pPr>
              <w:spacing w:line="240" w:lineRule="auto"/>
              <w:jc w:val="right"/>
              <w:rPr>
                <w:b/>
              </w:rPr>
            </w:pPr>
            <w:r>
              <w:rPr>
                <w:b/>
              </w:rPr>
              <w:t>36</w:t>
            </w:r>
          </w:p>
        </w:tc>
        <w:tc>
          <w:tcPr>
            <w:tcW w:w="630" w:type="dxa"/>
          </w:tcPr>
          <w:p w14:paraId="5C1C4A70" w14:textId="77777777" w:rsidR="00933C62" w:rsidRPr="00665C13" w:rsidRDefault="00933C62" w:rsidP="006E6C4E">
            <w:pPr>
              <w:spacing w:line="240" w:lineRule="auto"/>
              <w:jc w:val="right"/>
              <w:rPr>
                <w:b/>
                <w:i/>
              </w:rPr>
            </w:pPr>
            <w:r>
              <w:rPr>
                <w:b/>
                <w:i/>
              </w:rPr>
              <w:t>19</w:t>
            </w:r>
          </w:p>
        </w:tc>
        <w:tc>
          <w:tcPr>
            <w:tcW w:w="630" w:type="dxa"/>
          </w:tcPr>
          <w:p w14:paraId="44608A85" w14:textId="77777777" w:rsidR="00933C62" w:rsidRPr="00665C13" w:rsidRDefault="00933C62" w:rsidP="006E6C4E">
            <w:pPr>
              <w:spacing w:line="240" w:lineRule="auto"/>
              <w:jc w:val="right"/>
              <w:rPr>
                <w:b/>
              </w:rPr>
            </w:pPr>
            <w:r>
              <w:rPr>
                <w:b/>
              </w:rPr>
              <w:t>8</w:t>
            </w:r>
          </w:p>
        </w:tc>
        <w:tc>
          <w:tcPr>
            <w:tcW w:w="720" w:type="dxa"/>
          </w:tcPr>
          <w:p w14:paraId="46AEF65E" w14:textId="77777777" w:rsidR="00933C62" w:rsidRPr="00665C13" w:rsidRDefault="00933C62" w:rsidP="006E6C4E">
            <w:pPr>
              <w:spacing w:line="240" w:lineRule="auto"/>
              <w:jc w:val="right"/>
              <w:rPr>
                <w:b/>
              </w:rPr>
            </w:pPr>
            <w:r>
              <w:rPr>
                <w:b/>
              </w:rPr>
              <w:t>41</w:t>
            </w:r>
          </w:p>
        </w:tc>
        <w:tc>
          <w:tcPr>
            <w:tcW w:w="666" w:type="dxa"/>
          </w:tcPr>
          <w:p w14:paraId="412E5D20" w14:textId="77777777" w:rsidR="00933C62" w:rsidRPr="00665C13" w:rsidRDefault="00933C62" w:rsidP="006E6C4E">
            <w:pPr>
              <w:spacing w:line="240" w:lineRule="auto"/>
              <w:jc w:val="right"/>
              <w:rPr>
                <w:b/>
                <w:i/>
              </w:rPr>
            </w:pPr>
            <w:r>
              <w:rPr>
                <w:b/>
                <w:i/>
              </w:rPr>
              <w:t>20</w:t>
            </w:r>
          </w:p>
        </w:tc>
        <w:tc>
          <w:tcPr>
            <w:tcW w:w="414" w:type="dxa"/>
          </w:tcPr>
          <w:p w14:paraId="2AB75A76" w14:textId="77777777" w:rsidR="00933C62" w:rsidRPr="00665C13" w:rsidRDefault="00933C62" w:rsidP="006E6C4E">
            <w:pPr>
              <w:spacing w:line="240" w:lineRule="auto"/>
              <w:jc w:val="right"/>
              <w:rPr>
                <w:b/>
              </w:rPr>
            </w:pPr>
            <w:r>
              <w:rPr>
                <w:b/>
              </w:rPr>
              <w:t>3</w:t>
            </w:r>
          </w:p>
        </w:tc>
        <w:tc>
          <w:tcPr>
            <w:tcW w:w="558" w:type="dxa"/>
          </w:tcPr>
          <w:p w14:paraId="57161F6E" w14:textId="77777777" w:rsidR="00933C62" w:rsidRPr="00665C13" w:rsidRDefault="00933C62" w:rsidP="006E6C4E">
            <w:pPr>
              <w:spacing w:line="240" w:lineRule="auto"/>
              <w:jc w:val="right"/>
              <w:rPr>
                <w:b/>
              </w:rPr>
            </w:pPr>
            <w:r>
              <w:rPr>
                <w:b/>
              </w:rPr>
              <w:t>20</w:t>
            </w:r>
          </w:p>
        </w:tc>
        <w:tc>
          <w:tcPr>
            <w:tcW w:w="540" w:type="dxa"/>
          </w:tcPr>
          <w:p w14:paraId="06C0B281" w14:textId="77777777" w:rsidR="00933C62" w:rsidRPr="00665C13" w:rsidRDefault="00933C62" w:rsidP="006E6C4E">
            <w:pPr>
              <w:spacing w:line="240" w:lineRule="auto"/>
              <w:jc w:val="right"/>
              <w:rPr>
                <w:b/>
                <w:i/>
              </w:rPr>
            </w:pPr>
            <w:r>
              <w:rPr>
                <w:b/>
                <w:i/>
              </w:rPr>
              <w:t>15</w:t>
            </w:r>
          </w:p>
        </w:tc>
        <w:tc>
          <w:tcPr>
            <w:tcW w:w="630" w:type="dxa"/>
          </w:tcPr>
          <w:p w14:paraId="298CB5CA" w14:textId="77777777" w:rsidR="00933C62" w:rsidRPr="00665C13" w:rsidRDefault="00933C62" w:rsidP="006E6C4E">
            <w:pPr>
              <w:spacing w:line="240" w:lineRule="auto"/>
              <w:jc w:val="right"/>
              <w:rPr>
                <w:b/>
              </w:rPr>
            </w:pPr>
            <w:r>
              <w:rPr>
                <w:b/>
              </w:rPr>
              <w:t>18</w:t>
            </w:r>
          </w:p>
        </w:tc>
        <w:tc>
          <w:tcPr>
            <w:tcW w:w="522" w:type="dxa"/>
          </w:tcPr>
          <w:p w14:paraId="1626BF55" w14:textId="77777777" w:rsidR="00933C62" w:rsidRPr="00665C13" w:rsidRDefault="00933C62" w:rsidP="006E6C4E">
            <w:pPr>
              <w:spacing w:line="240" w:lineRule="auto"/>
              <w:jc w:val="right"/>
              <w:rPr>
                <w:b/>
              </w:rPr>
            </w:pPr>
            <w:r>
              <w:rPr>
                <w:b/>
              </w:rPr>
              <w:t>97</w:t>
            </w:r>
          </w:p>
        </w:tc>
        <w:tc>
          <w:tcPr>
            <w:tcW w:w="738" w:type="dxa"/>
          </w:tcPr>
          <w:p w14:paraId="6786D527" w14:textId="77777777" w:rsidR="00933C62" w:rsidRPr="00665C13" w:rsidRDefault="00933C62" w:rsidP="006E6C4E">
            <w:pPr>
              <w:spacing w:line="240" w:lineRule="auto"/>
              <w:jc w:val="right"/>
              <w:rPr>
                <w:b/>
                <w:i/>
              </w:rPr>
            </w:pPr>
            <w:r>
              <w:rPr>
                <w:b/>
                <w:i/>
              </w:rPr>
              <w:t>19</w:t>
            </w:r>
          </w:p>
        </w:tc>
      </w:tr>
    </w:tbl>
    <w:p w14:paraId="77399BB2" w14:textId="77777777" w:rsidR="00933C62" w:rsidRDefault="00933C62" w:rsidP="00933C62">
      <w:pPr>
        <w:rPr>
          <w:rFonts w:ascii="Times New Roman" w:hAnsi="Times New Roman"/>
        </w:rPr>
      </w:pPr>
    </w:p>
    <w:p w14:paraId="7816F93E" w14:textId="77777777" w:rsidR="00933C62" w:rsidRPr="00266741" w:rsidRDefault="00933C62" w:rsidP="00933C62">
      <w:pPr>
        <w:rPr>
          <w:rFonts w:ascii="Times New Roman" w:hAnsi="Times New Roman"/>
        </w:rPr>
      </w:pPr>
      <w:r>
        <w:rPr>
          <w:rFonts w:ascii="Times New Roman" w:hAnsi="Times New Roman"/>
          <w:noProof/>
          <w:lang w:bidi="ar-SA"/>
        </w:rPr>
        <w:drawing>
          <wp:inline distT="0" distB="0" distL="0" distR="0" wp14:anchorId="097EC65E" wp14:editId="5F8CBD04">
            <wp:extent cx="5062728" cy="7641336"/>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eBluntSmall.jpg"/>
                    <pic:cNvPicPr/>
                  </pic:nvPicPr>
                  <pic:blipFill>
                    <a:blip r:embed="rId22">
                      <a:extLst>
                        <a:ext uri="{28A0092B-C50C-407E-A947-70E740481C1C}">
                          <a14:useLocalDpi xmlns:a14="http://schemas.microsoft.com/office/drawing/2010/main" val="0"/>
                        </a:ext>
                      </a:extLst>
                    </a:blip>
                    <a:stretch>
                      <a:fillRect/>
                    </a:stretch>
                  </pic:blipFill>
                  <pic:spPr>
                    <a:xfrm>
                      <a:off x="0" y="0"/>
                      <a:ext cx="5062728" cy="7641336"/>
                    </a:xfrm>
                    <a:prstGeom prst="rect">
                      <a:avLst/>
                    </a:prstGeom>
                  </pic:spPr>
                </pic:pic>
              </a:graphicData>
            </a:graphic>
          </wp:inline>
        </w:drawing>
      </w:r>
    </w:p>
    <w:p w14:paraId="2464A9D9" w14:textId="77777777" w:rsidR="00933C62" w:rsidRDefault="00933C62" w:rsidP="00133F61">
      <w:pPr>
        <w:pStyle w:val="Caption"/>
      </w:pPr>
      <w:bookmarkStart w:id="74" w:name="_Toc261025214"/>
      <w:r>
        <w:t xml:space="preserve">Figure </w:t>
      </w:r>
      <w:fldSimple w:instr=" SEQ Figure \* ARABIC ">
        <w:r w:rsidR="00396EB3">
          <w:rPr>
            <w:noProof/>
          </w:rPr>
          <w:t>12</w:t>
        </w:r>
      </w:fldSimple>
      <w:r>
        <w:t xml:space="preserve">  Male cranial blunt force trauma from the Akers site</w:t>
      </w:r>
      <w:bookmarkEnd w:id="74"/>
    </w:p>
    <w:p w14:paraId="44D4BA15" w14:textId="77777777" w:rsidR="00933C62" w:rsidRDefault="00933C62" w:rsidP="00933C62">
      <w:pPr>
        <w:spacing w:line="240" w:lineRule="auto"/>
        <w:rPr>
          <w:rFonts w:ascii="Times New Roman" w:hAnsi="Times New Roman"/>
        </w:rPr>
      </w:pPr>
    </w:p>
    <w:p w14:paraId="2FF37FB6" w14:textId="77777777" w:rsidR="00933C62" w:rsidRPr="00BC1F9A" w:rsidRDefault="00933C62" w:rsidP="00933C62">
      <w:pPr>
        <w:spacing w:line="240" w:lineRule="auto"/>
        <w:rPr>
          <w:rFonts w:ascii="Times New Roman" w:hAnsi="Times New Roman"/>
        </w:rPr>
      </w:pPr>
      <w:r>
        <w:rPr>
          <w:rFonts w:ascii="Times New Roman" w:hAnsi="Times New Roman"/>
          <w:noProof/>
          <w:lang w:bidi="ar-SA"/>
        </w:rPr>
        <w:drawing>
          <wp:inline distT="0" distB="0" distL="0" distR="0" wp14:anchorId="353C3D7D" wp14:editId="630FA1A0">
            <wp:extent cx="5163312" cy="76017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leBluntSmall.jpg"/>
                    <pic:cNvPicPr/>
                  </pic:nvPicPr>
                  <pic:blipFill>
                    <a:blip r:embed="rId23">
                      <a:extLst>
                        <a:ext uri="{28A0092B-C50C-407E-A947-70E740481C1C}">
                          <a14:useLocalDpi xmlns:a14="http://schemas.microsoft.com/office/drawing/2010/main" val="0"/>
                        </a:ext>
                      </a:extLst>
                    </a:blip>
                    <a:stretch>
                      <a:fillRect/>
                    </a:stretch>
                  </pic:blipFill>
                  <pic:spPr>
                    <a:xfrm>
                      <a:off x="0" y="0"/>
                      <a:ext cx="5163312" cy="7601712"/>
                    </a:xfrm>
                    <a:prstGeom prst="rect">
                      <a:avLst/>
                    </a:prstGeom>
                  </pic:spPr>
                </pic:pic>
              </a:graphicData>
            </a:graphic>
          </wp:inline>
        </w:drawing>
      </w:r>
    </w:p>
    <w:p w14:paraId="2B7738EB" w14:textId="77777777" w:rsidR="00933C62" w:rsidRDefault="00933C62" w:rsidP="00133F61">
      <w:pPr>
        <w:pStyle w:val="Caption"/>
      </w:pPr>
    </w:p>
    <w:p w14:paraId="17CF5402" w14:textId="77777777" w:rsidR="00933C62" w:rsidRDefault="00933C62" w:rsidP="00133F61">
      <w:pPr>
        <w:pStyle w:val="Caption"/>
      </w:pPr>
      <w:bookmarkStart w:id="75" w:name="_Toc261025215"/>
      <w:r>
        <w:t xml:space="preserve">Figure </w:t>
      </w:r>
      <w:fldSimple w:instr=" SEQ Figure \* ARABIC ">
        <w:r w:rsidR="00396EB3">
          <w:rPr>
            <w:noProof/>
          </w:rPr>
          <w:t>13</w:t>
        </w:r>
      </w:fldSimple>
      <w:r>
        <w:t xml:space="preserve">  Female cranial blunt force trauma from the Akers site</w:t>
      </w:r>
      <w:bookmarkEnd w:id="75"/>
    </w:p>
    <w:p w14:paraId="07D692E4" w14:textId="77777777" w:rsidR="00933C62" w:rsidRDefault="00933C62" w:rsidP="00933C62">
      <w:pPr>
        <w:rPr>
          <w:rFonts w:ascii="Times New Roman" w:hAnsi="Times New Roman"/>
        </w:rPr>
      </w:pPr>
    </w:p>
    <w:p w14:paraId="4DCDF737" w14:textId="77777777" w:rsidR="00933C62" w:rsidRDefault="00933C62" w:rsidP="00933C62">
      <w:pPr>
        <w:ind w:firstLine="720"/>
        <w:rPr>
          <w:rFonts w:ascii="Times New Roman" w:hAnsi="Times New Roman"/>
        </w:rPr>
      </w:pPr>
      <w:r>
        <w:rPr>
          <w:rFonts w:ascii="Times New Roman" w:hAnsi="Times New Roman"/>
        </w:rPr>
        <w:t xml:space="preserve">Males experienced cranial trauma as both young adults and middle adults, but no old adult males were observed with a cranial trauma.  By contrast, females experienced cranial trauma as young, middle, and old adults.  While the </w:t>
      </w:r>
      <w:r w:rsidRPr="007A577F">
        <w:rPr>
          <w:rFonts w:ascii="Times New Roman" w:hAnsi="Times New Roman"/>
          <w:i/>
        </w:rPr>
        <w:t>p</w:t>
      </w:r>
      <w:r>
        <w:rPr>
          <w:rFonts w:ascii="Times New Roman" w:hAnsi="Times New Roman"/>
        </w:rPr>
        <w:t xml:space="preserve"> values reported in Table 10 indicate no significant male/female differences by age class, it may be noteworthy that old adult females had the highest frequency of cranial trauma (30%).  Given that no old adult males observed with a cranial trauma, it is not possible to test if this is statistically significant. However, combined with the previously noted observations that only females experienced sharp force cranial trauma, and that only females had multiple cranial injuries, it is suggestive that females may have been more at risk than their male counterparts for cranial trauma.</w:t>
      </w:r>
    </w:p>
    <w:p w14:paraId="7191D045" w14:textId="77777777" w:rsidR="00933C62" w:rsidRPr="00570897" w:rsidRDefault="00933C62" w:rsidP="00933C62">
      <w:pPr>
        <w:ind w:firstLine="720"/>
        <w:rPr>
          <w:rFonts w:ascii="Times New Roman" w:hAnsi="Times New Roman"/>
        </w:rPr>
      </w:pPr>
      <w:r>
        <w:rPr>
          <w:rFonts w:ascii="Times New Roman" w:hAnsi="Times New Roman"/>
        </w:rPr>
        <w:t>Cranial trauma can be caused by falls, interpersonal violence, or self-inflicted injury (Walker 1989).  However i</w:t>
      </w:r>
      <w:r w:rsidRPr="00266741">
        <w:rPr>
          <w:rFonts w:ascii="Times New Roman" w:hAnsi="Times New Roman"/>
        </w:rPr>
        <w:t>njuries to the frontal bone and</w:t>
      </w:r>
      <w:r>
        <w:rPr>
          <w:rFonts w:ascii="Times New Roman" w:hAnsi="Times New Roman"/>
        </w:rPr>
        <w:t xml:space="preserve"> parietals</w:t>
      </w:r>
      <w:r w:rsidRPr="00266741">
        <w:rPr>
          <w:rFonts w:ascii="Times New Roman" w:hAnsi="Times New Roman"/>
        </w:rPr>
        <w:t xml:space="preserve"> </w:t>
      </w:r>
      <w:r>
        <w:rPr>
          <w:rFonts w:ascii="Times New Roman" w:hAnsi="Times New Roman"/>
        </w:rPr>
        <w:t>are often interpreted as indicating</w:t>
      </w:r>
      <w:r w:rsidRPr="00266741">
        <w:rPr>
          <w:rFonts w:ascii="Times New Roman" w:hAnsi="Times New Roman"/>
        </w:rPr>
        <w:t xml:space="preserve"> face-to-face encounters</w:t>
      </w:r>
      <w:r>
        <w:rPr>
          <w:rFonts w:ascii="Times New Roman" w:hAnsi="Times New Roman"/>
        </w:rPr>
        <w:t>, or cases of interpersonal assault (Lovell 2008, Walker 1997)</w:t>
      </w:r>
      <w:r w:rsidRPr="00266741">
        <w:rPr>
          <w:rFonts w:ascii="Times New Roman" w:hAnsi="Times New Roman"/>
        </w:rPr>
        <w:t xml:space="preserve">.  </w:t>
      </w:r>
      <w:r>
        <w:rPr>
          <w:rFonts w:ascii="Times New Roman" w:hAnsi="Times New Roman"/>
        </w:rPr>
        <w:t>Females, while not accruing more cranial injuries per se, were the only ones to have more than one cranial injury, and the only ones to have had evidence of sharp force trauma to the crania.  Old adult females in particular may have been more vulnerable to cranial trauma.</w:t>
      </w:r>
    </w:p>
    <w:p w14:paraId="01EFD85D" w14:textId="77777777" w:rsidR="00933C62" w:rsidRPr="002A0C69" w:rsidRDefault="00933C62" w:rsidP="007F6BCD">
      <w:pPr>
        <w:pStyle w:val="Heading4"/>
      </w:pPr>
      <w:r>
        <w:t>Upper Limb</w:t>
      </w:r>
      <w:r w:rsidRPr="002A0C69">
        <w:t xml:space="preserve"> Fractures</w:t>
      </w:r>
    </w:p>
    <w:p w14:paraId="694C0D79" w14:textId="77777777" w:rsidR="00933C62" w:rsidRDefault="00933C62" w:rsidP="00933C62">
      <w:pPr>
        <w:ind w:firstLine="720"/>
        <w:rPr>
          <w:rFonts w:ascii="Times New Roman" w:hAnsi="Times New Roman"/>
        </w:rPr>
      </w:pPr>
      <w:r>
        <w:rPr>
          <w:rFonts w:ascii="Times New Roman" w:hAnsi="Times New Roman"/>
        </w:rPr>
        <w:t xml:space="preserve">A total of 78 (40 male and 38 female) individuals had at least 50% of their upper limbs available for study and were included in the upper limb analysis.  </w:t>
      </w:r>
      <w:r w:rsidRPr="00266741">
        <w:rPr>
          <w:rFonts w:ascii="Times New Roman" w:hAnsi="Times New Roman"/>
        </w:rPr>
        <w:t xml:space="preserve">The humerus, ulna, and radius were examined for fractures and other types of trauma.  Due to the difficulty in distinguishing peri-mortem fractures from post-mortem and/or taphonomic breaks, it is possible that some peri-mortem fractures were not recognized.  </w:t>
      </w:r>
    </w:p>
    <w:p w14:paraId="25ADC2D0" w14:textId="77777777" w:rsidR="00933C62" w:rsidRDefault="00933C62" w:rsidP="00933C62">
      <w:pPr>
        <w:ind w:firstLine="720"/>
        <w:rPr>
          <w:rFonts w:ascii="Times New Roman" w:hAnsi="Times New Roman"/>
        </w:rPr>
      </w:pPr>
      <w:r w:rsidRPr="00266741">
        <w:rPr>
          <w:rFonts w:ascii="Times New Roman" w:hAnsi="Times New Roman"/>
        </w:rPr>
        <w:t>Except for one individual with projectile point tr</w:t>
      </w:r>
      <w:r>
        <w:rPr>
          <w:rFonts w:ascii="Times New Roman" w:hAnsi="Times New Roman"/>
        </w:rPr>
        <w:t xml:space="preserve">auma to both humerii </w:t>
      </w:r>
      <w:r w:rsidRPr="00266741">
        <w:rPr>
          <w:rFonts w:ascii="Times New Roman" w:hAnsi="Times New Roman"/>
        </w:rPr>
        <w:t>(B8A, discus</w:t>
      </w:r>
      <w:r>
        <w:rPr>
          <w:rFonts w:ascii="Times New Roman" w:hAnsi="Times New Roman"/>
        </w:rPr>
        <w:t>sed below), all other upper limb</w:t>
      </w:r>
      <w:r w:rsidRPr="00266741">
        <w:rPr>
          <w:rFonts w:ascii="Times New Roman" w:hAnsi="Times New Roman"/>
        </w:rPr>
        <w:t xml:space="preserve"> trauma was in the form of healed or healing fractures.  </w:t>
      </w:r>
      <w:r>
        <w:rPr>
          <w:rFonts w:ascii="Times New Roman" w:hAnsi="Times New Roman"/>
        </w:rPr>
        <w:t>Upper limb fractures</w:t>
      </w:r>
      <w:r w:rsidRPr="00266741">
        <w:rPr>
          <w:rFonts w:ascii="Times New Roman" w:hAnsi="Times New Roman"/>
        </w:rPr>
        <w:t xml:space="preserve"> consisted of two humerus fractures, six ulna fractures, and nine radius f</w:t>
      </w:r>
      <w:r>
        <w:rPr>
          <w:rFonts w:ascii="Times New Roman" w:hAnsi="Times New Roman"/>
        </w:rPr>
        <w:t>ractures, as detailed in Table 11</w:t>
      </w:r>
      <w:r w:rsidRPr="00266741">
        <w:rPr>
          <w:rFonts w:ascii="Times New Roman" w:hAnsi="Times New Roman"/>
        </w:rPr>
        <w:t>.</w:t>
      </w:r>
      <w:r>
        <w:rPr>
          <w:rFonts w:ascii="Times New Roman" w:hAnsi="Times New Roman"/>
        </w:rPr>
        <w:t xml:space="preserve">  Results are reported by element (bone).  For each element, males are reported before females.  Note that the frequency rates (</w:t>
      </w:r>
      <w:r w:rsidRPr="00796E88">
        <w:rPr>
          <w:rFonts w:ascii="Times New Roman" w:hAnsi="Times New Roman"/>
          <w:i/>
        </w:rPr>
        <w:t>f</w:t>
      </w:r>
      <w:r>
        <w:rPr>
          <w:rFonts w:ascii="Times New Roman" w:hAnsi="Times New Roman"/>
        </w:rPr>
        <w:t>) reported in Table 11 refers to element totals, and thus the overall frequency of 5% (17 fractures divided by 341 elements) upper limb fractures is much lower than the actual prevalence rate of 18%, which was calculated by dividing the total number of individuals with an upper limb fracture (14) by the total number of observable individuals (78).</w:t>
      </w:r>
    </w:p>
    <w:p w14:paraId="1617669A" w14:textId="77777777" w:rsidR="00933C62" w:rsidRDefault="00933C62" w:rsidP="00133F61">
      <w:pPr>
        <w:pStyle w:val="Caption"/>
      </w:pPr>
    </w:p>
    <w:p w14:paraId="1AC7EEE6" w14:textId="77777777" w:rsidR="00933C62" w:rsidRDefault="00933C62" w:rsidP="00133F61">
      <w:pPr>
        <w:pStyle w:val="Caption"/>
      </w:pPr>
      <w:bookmarkStart w:id="76" w:name="_Toc261025239"/>
      <w:r>
        <w:t xml:space="preserve">Table </w:t>
      </w:r>
      <w:fldSimple w:instr=" SEQ Table \* ARABIC ">
        <w:r w:rsidR="00396EB3">
          <w:rPr>
            <w:noProof/>
          </w:rPr>
          <w:t>11</w:t>
        </w:r>
      </w:fldSimple>
      <w:r>
        <w:t xml:space="preserve">  Upper limb fractures by bone, burial, age, and sex</w:t>
      </w:r>
      <w:bookmarkEnd w:id="76"/>
    </w:p>
    <w:p w14:paraId="0324B5F1" w14:textId="77777777" w:rsidR="00933C62" w:rsidRPr="00266741" w:rsidRDefault="00933C62" w:rsidP="00133F61">
      <w:pPr>
        <w:pStyle w:val="Caption"/>
      </w:pPr>
    </w:p>
    <w:tbl>
      <w:tblPr>
        <w:tblStyle w:val="TableGrid"/>
        <w:tblW w:w="7920" w:type="dxa"/>
        <w:tblInd w:w="648" w:type="dxa"/>
        <w:tblLook w:val="04A0" w:firstRow="1" w:lastRow="0" w:firstColumn="1" w:lastColumn="0" w:noHBand="0" w:noVBand="1"/>
      </w:tblPr>
      <w:tblGrid>
        <w:gridCol w:w="1222"/>
        <w:gridCol w:w="525"/>
        <w:gridCol w:w="516"/>
        <w:gridCol w:w="488"/>
        <w:gridCol w:w="962"/>
        <w:gridCol w:w="582"/>
        <w:gridCol w:w="616"/>
        <w:gridCol w:w="3009"/>
      </w:tblGrid>
      <w:tr w:rsidR="00933C62" w:rsidRPr="00266741" w14:paraId="1E63FDB8" w14:textId="77777777" w:rsidTr="006E6C4E">
        <w:tc>
          <w:tcPr>
            <w:tcW w:w="1222" w:type="dxa"/>
          </w:tcPr>
          <w:p w14:paraId="32647D7F" w14:textId="77777777" w:rsidR="00933C62" w:rsidRPr="00266741" w:rsidRDefault="00933C62" w:rsidP="006E6C4E">
            <w:pPr>
              <w:spacing w:line="240" w:lineRule="auto"/>
              <w:jc w:val="center"/>
              <w:rPr>
                <w:b/>
              </w:rPr>
            </w:pPr>
            <w:r w:rsidRPr="00266741">
              <w:rPr>
                <w:b/>
              </w:rPr>
              <w:t>Bone</w:t>
            </w:r>
          </w:p>
        </w:tc>
        <w:tc>
          <w:tcPr>
            <w:tcW w:w="525" w:type="dxa"/>
          </w:tcPr>
          <w:p w14:paraId="542F4BA7" w14:textId="77777777" w:rsidR="00933C62" w:rsidRPr="00266741" w:rsidRDefault="00933C62" w:rsidP="006E6C4E">
            <w:pPr>
              <w:spacing w:line="240" w:lineRule="auto"/>
              <w:jc w:val="center"/>
              <w:rPr>
                <w:b/>
              </w:rPr>
            </w:pPr>
            <w:r w:rsidRPr="00266741">
              <w:rPr>
                <w:b/>
              </w:rPr>
              <w:t>n</w:t>
            </w:r>
          </w:p>
        </w:tc>
        <w:tc>
          <w:tcPr>
            <w:tcW w:w="516" w:type="dxa"/>
          </w:tcPr>
          <w:p w14:paraId="35762055" w14:textId="77777777" w:rsidR="00933C62" w:rsidRPr="00266741" w:rsidRDefault="00933C62" w:rsidP="006E6C4E">
            <w:pPr>
              <w:spacing w:line="240" w:lineRule="auto"/>
              <w:jc w:val="center"/>
              <w:rPr>
                <w:b/>
              </w:rPr>
            </w:pPr>
            <w:r w:rsidRPr="00266741">
              <w:rPr>
                <w:b/>
              </w:rPr>
              <w:t>N</w:t>
            </w:r>
          </w:p>
        </w:tc>
        <w:tc>
          <w:tcPr>
            <w:tcW w:w="488" w:type="dxa"/>
          </w:tcPr>
          <w:p w14:paraId="0FC32E7B" w14:textId="77777777" w:rsidR="00933C62" w:rsidRPr="00B464A8" w:rsidRDefault="00933C62" w:rsidP="006E6C4E">
            <w:pPr>
              <w:spacing w:line="240" w:lineRule="auto"/>
              <w:jc w:val="center"/>
              <w:rPr>
                <w:b/>
                <w:i/>
              </w:rPr>
            </w:pPr>
            <w:r w:rsidRPr="00B464A8">
              <w:rPr>
                <w:b/>
                <w:i/>
              </w:rPr>
              <w:t>f</w:t>
            </w:r>
          </w:p>
        </w:tc>
        <w:tc>
          <w:tcPr>
            <w:tcW w:w="962" w:type="dxa"/>
          </w:tcPr>
          <w:p w14:paraId="4DDAD0BE" w14:textId="77777777" w:rsidR="00933C62" w:rsidRPr="00266741" w:rsidRDefault="00933C62" w:rsidP="006E6C4E">
            <w:pPr>
              <w:spacing w:line="240" w:lineRule="auto"/>
              <w:jc w:val="center"/>
              <w:rPr>
                <w:b/>
              </w:rPr>
            </w:pPr>
            <w:r w:rsidRPr="00266741">
              <w:rPr>
                <w:b/>
              </w:rPr>
              <w:t>Burial</w:t>
            </w:r>
          </w:p>
        </w:tc>
        <w:tc>
          <w:tcPr>
            <w:tcW w:w="582" w:type="dxa"/>
          </w:tcPr>
          <w:p w14:paraId="5E86DB5E" w14:textId="77777777" w:rsidR="00933C62" w:rsidRPr="00266741" w:rsidRDefault="00933C62" w:rsidP="006E6C4E">
            <w:pPr>
              <w:spacing w:line="240" w:lineRule="auto"/>
              <w:jc w:val="center"/>
              <w:rPr>
                <w:b/>
              </w:rPr>
            </w:pPr>
            <w:r>
              <w:rPr>
                <w:b/>
              </w:rPr>
              <w:t>Age</w:t>
            </w:r>
          </w:p>
        </w:tc>
        <w:tc>
          <w:tcPr>
            <w:tcW w:w="616" w:type="dxa"/>
          </w:tcPr>
          <w:p w14:paraId="769A96E3" w14:textId="77777777" w:rsidR="00933C62" w:rsidRPr="00266741" w:rsidRDefault="00933C62" w:rsidP="006E6C4E">
            <w:pPr>
              <w:spacing w:line="240" w:lineRule="auto"/>
              <w:jc w:val="center"/>
              <w:rPr>
                <w:b/>
              </w:rPr>
            </w:pPr>
            <w:r w:rsidRPr="00266741">
              <w:rPr>
                <w:b/>
              </w:rPr>
              <w:t>Sex</w:t>
            </w:r>
          </w:p>
        </w:tc>
        <w:tc>
          <w:tcPr>
            <w:tcW w:w="3009" w:type="dxa"/>
          </w:tcPr>
          <w:p w14:paraId="239B7854" w14:textId="77777777" w:rsidR="00933C62" w:rsidRPr="00266741" w:rsidRDefault="00933C62" w:rsidP="006E6C4E">
            <w:pPr>
              <w:spacing w:line="240" w:lineRule="auto"/>
              <w:ind w:left="-796" w:right="-1858" w:firstLine="796"/>
              <w:rPr>
                <w:b/>
              </w:rPr>
            </w:pPr>
            <w:r>
              <w:rPr>
                <w:b/>
              </w:rPr>
              <w:t xml:space="preserve">                 </w:t>
            </w:r>
            <w:r w:rsidRPr="00266741">
              <w:rPr>
                <w:b/>
              </w:rPr>
              <w:t>Comments</w:t>
            </w:r>
          </w:p>
        </w:tc>
      </w:tr>
      <w:tr w:rsidR="00933C62" w:rsidRPr="00266741" w14:paraId="643EC5C1" w14:textId="77777777" w:rsidTr="006E6C4E">
        <w:tc>
          <w:tcPr>
            <w:tcW w:w="1222" w:type="dxa"/>
          </w:tcPr>
          <w:p w14:paraId="7D092F17" w14:textId="77777777" w:rsidR="00933C62" w:rsidRPr="00266741" w:rsidRDefault="00933C62" w:rsidP="006E6C4E">
            <w:pPr>
              <w:spacing w:line="240" w:lineRule="auto"/>
            </w:pPr>
            <w:r w:rsidRPr="00266741">
              <w:t>L  Humerus</w:t>
            </w:r>
          </w:p>
        </w:tc>
        <w:tc>
          <w:tcPr>
            <w:tcW w:w="525" w:type="dxa"/>
          </w:tcPr>
          <w:p w14:paraId="64608ED9" w14:textId="77777777" w:rsidR="00933C62" w:rsidRPr="00266741" w:rsidRDefault="00933C62" w:rsidP="006E6C4E">
            <w:pPr>
              <w:spacing w:line="240" w:lineRule="auto"/>
              <w:jc w:val="right"/>
            </w:pPr>
            <w:r w:rsidRPr="00266741">
              <w:t>1</w:t>
            </w:r>
          </w:p>
        </w:tc>
        <w:tc>
          <w:tcPr>
            <w:tcW w:w="516" w:type="dxa"/>
          </w:tcPr>
          <w:p w14:paraId="675500A8" w14:textId="77777777" w:rsidR="00933C62" w:rsidRPr="00266741" w:rsidRDefault="00933C62" w:rsidP="006E6C4E">
            <w:pPr>
              <w:spacing w:line="240" w:lineRule="auto"/>
              <w:jc w:val="right"/>
            </w:pPr>
            <w:r w:rsidRPr="00266741">
              <w:t>66</w:t>
            </w:r>
          </w:p>
        </w:tc>
        <w:tc>
          <w:tcPr>
            <w:tcW w:w="488" w:type="dxa"/>
          </w:tcPr>
          <w:p w14:paraId="43072777" w14:textId="77777777" w:rsidR="00933C62" w:rsidRPr="00266741" w:rsidRDefault="00933C62" w:rsidP="006E6C4E">
            <w:pPr>
              <w:spacing w:line="240" w:lineRule="auto"/>
              <w:jc w:val="right"/>
            </w:pPr>
            <w:r w:rsidRPr="00266741">
              <w:t>2</w:t>
            </w:r>
          </w:p>
        </w:tc>
        <w:tc>
          <w:tcPr>
            <w:tcW w:w="962" w:type="dxa"/>
          </w:tcPr>
          <w:p w14:paraId="0481D26E" w14:textId="77777777" w:rsidR="00933C62" w:rsidRPr="00266741" w:rsidRDefault="00933C62" w:rsidP="006E6C4E">
            <w:pPr>
              <w:spacing w:line="240" w:lineRule="auto"/>
            </w:pPr>
            <w:r w:rsidRPr="00266741">
              <w:t>161</w:t>
            </w:r>
          </w:p>
        </w:tc>
        <w:tc>
          <w:tcPr>
            <w:tcW w:w="582" w:type="dxa"/>
          </w:tcPr>
          <w:p w14:paraId="03728368" w14:textId="77777777" w:rsidR="00933C62" w:rsidRPr="00266741" w:rsidRDefault="00933C62" w:rsidP="006E6C4E">
            <w:pPr>
              <w:spacing w:line="240" w:lineRule="auto"/>
            </w:pPr>
            <w:r>
              <w:t>MA</w:t>
            </w:r>
          </w:p>
        </w:tc>
        <w:tc>
          <w:tcPr>
            <w:tcW w:w="616" w:type="dxa"/>
          </w:tcPr>
          <w:p w14:paraId="5B27DE28" w14:textId="77777777" w:rsidR="00933C62" w:rsidRPr="00266741" w:rsidRDefault="00933C62" w:rsidP="006E6C4E">
            <w:pPr>
              <w:spacing w:line="240" w:lineRule="auto"/>
            </w:pPr>
            <w:r w:rsidRPr="00266741">
              <w:t>M?</w:t>
            </w:r>
          </w:p>
        </w:tc>
        <w:tc>
          <w:tcPr>
            <w:tcW w:w="3009" w:type="dxa"/>
          </w:tcPr>
          <w:p w14:paraId="23829946" w14:textId="77777777" w:rsidR="00933C62" w:rsidRPr="00266741" w:rsidRDefault="00933C62" w:rsidP="006E6C4E">
            <w:pPr>
              <w:spacing w:line="240" w:lineRule="auto"/>
              <w:ind w:left="-796" w:right="-1858" w:firstLine="796"/>
            </w:pPr>
            <w:r>
              <w:t>Healed</w:t>
            </w:r>
            <w:r w:rsidRPr="00266741">
              <w:t>, midshaft</w:t>
            </w:r>
          </w:p>
        </w:tc>
      </w:tr>
      <w:tr w:rsidR="00933C62" w:rsidRPr="00266741" w14:paraId="35871E15" w14:textId="77777777" w:rsidTr="006E6C4E">
        <w:tc>
          <w:tcPr>
            <w:tcW w:w="1222" w:type="dxa"/>
          </w:tcPr>
          <w:p w14:paraId="57356736" w14:textId="77777777" w:rsidR="00933C62" w:rsidRPr="00266741" w:rsidRDefault="00933C62" w:rsidP="006E6C4E">
            <w:pPr>
              <w:spacing w:line="240" w:lineRule="auto"/>
            </w:pPr>
            <w:r w:rsidRPr="00266741">
              <w:t>R Humerus</w:t>
            </w:r>
          </w:p>
        </w:tc>
        <w:tc>
          <w:tcPr>
            <w:tcW w:w="525" w:type="dxa"/>
          </w:tcPr>
          <w:p w14:paraId="36C56440" w14:textId="77777777" w:rsidR="00933C62" w:rsidRPr="00266741" w:rsidRDefault="00933C62" w:rsidP="006E6C4E">
            <w:pPr>
              <w:spacing w:line="240" w:lineRule="auto"/>
              <w:jc w:val="right"/>
            </w:pPr>
            <w:r w:rsidRPr="00266741">
              <w:t>1</w:t>
            </w:r>
          </w:p>
        </w:tc>
        <w:tc>
          <w:tcPr>
            <w:tcW w:w="516" w:type="dxa"/>
          </w:tcPr>
          <w:p w14:paraId="4DA3B8BA" w14:textId="77777777" w:rsidR="00933C62" w:rsidRPr="00266741" w:rsidRDefault="00933C62" w:rsidP="006E6C4E">
            <w:pPr>
              <w:spacing w:line="240" w:lineRule="auto"/>
              <w:jc w:val="right"/>
            </w:pPr>
            <w:r w:rsidRPr="00266741">
              <w:t>73</w:t>
            </w:r>
          </w:p>
        </w:tc>
        <w:tc>
          <w:tcPr>
            <w:tcW w:w="488" w:type="dxa"/>
          </w:tcPr>
          <w:p w14:paraId="1CF28A5E" w14:textId="77777777" w:rsidR="00933C62" w:rsidRPr="00266741" w:rsidRDefault="00933C62" w:rsidP="006E6C4E">
            <w:pPr>
              <w:spacing w:line="240" w:lineRule="auto"/>
              <w:jc w:val="right"/>
            </w:pPr>
            <w:r w:rsidRPr="00266741">
              <w:t>1</w:t>
            </w:r>
          </w:p>
        </w:tc>
        <w:tc>
          <w:tcPr>
            <w:tcW w:w="962" w:type="dxa"/>
          </w:tcPr>
          <w:p w14:paraId="1FB306FA" w14:textId="77777777" w:rsidR="00933C62" w:rsidRPr="00266741" w:rsidRDefault="00933C62" w:rsidP="006E6C4E">
            <w:pPr>
              <w:spacing w:line="240" w:lineRule="auto"/>
            </w:pPr>
            <w:r w:rsidRPr="00266741">
              <w:t>58</w:t>
            </w:r>
          </w:p>
        </w:tc>
        <w:tc>
          <w:tcPr>
            <w:tcW w:w="582" w:type="dxa"/>
          </w:tcPr>
          <w:p w14:paraId="321F5B98" w14:textId="77777777" w:rsidR="00933C62" w:rsidRPr="00266741" w:rsidRDefault="00933C62" w:rsidP="006E6C4E">
            <w:pPr>
              <w:spacing w:line="240" w:lineRule="auto"/>
            </w:pPr>
            <w:r>
              <w:t>YA</w:t>
            </w:r>
          </w:p>
        </w:tc>
        <w:tc>
          <w:tcPr>
            <w:tcW w:w="616" w:type="dxa"/>
          </w:tcPr>
          <w:p w14:paraId="7809A796" w14:textId="77777777" w:rsidR="00933C62" w:rsidRPr="00266741" w:rsidRDefault="00933C62" w:rsidP="006E6C4E">
            <w:pPr>
              <w:spacing w:line="240" w:lineRule="auto"/>
            </w:pPr>
            <w:r w:rsidRPr="00266741">
              <w:t>F</w:t>
            </w:r>
          </w:p>
        </w:tc>
        <w:tc>
          <w:tcPr>
            <w:tcW w:w="3009" w:type="dxa"/>
          </w:tcPr>
          <w:p w14:paraId="256F2FBD" w14:textId="77777777" w:rsidR="00933C62" w:rsidRPr="00266741" w:rsidRDefault="00933C62" w:rsidP="006E6C4E">
            <w:pPr>
              <w:spacing w:line="240" w:lineRule="auto"/>
              <w:ind w:left="-796" w:right="-1858" w:firstLine="796"/>
            </w:pPr>
            <w:r>
              <w:t>Healed</w:t>
            </w:r>
            <w:r w:rsidRPr="00266741">
              <w:t>,</w:t>
            </w:r>
            <w:r>
              <w:t xml:space="preserve"> distal (also distal R radius</w:t>
            </w:r>
            <w:r w:rsidRPr="00266741">
              <w:t>)</w:t>
            </w:r>
          </w:p>
        </w:tc>
      </w:tr>
      <w:tr w:rsidR="00933C62" w:rsidRPr="00266741" w14:paraId="113AA009" w14:textId="77777777" w:rsidTr="006E6C4E">
        <w:tc>
          <w:tcPr>
            <w:tcW w:w="1222" w:type="dxa"/>
          </w:tcPr>
          <w:p w14:paraId="1B99DCDB" w14:textId="77777777" w:rsidR="00933C62" w:rsidRPr="00266741" w:rsidRDefault="00933C62" w:rsidP="006E6C4E">
            <w:pPr>
              <w:spacing w:line="240" w:lineRule="auto"/>
            </w:pPr>
            <w:r w:rsidRPr="00266741">
              <w:t>L ulna</w:t>
            </w:r>
          </w:p>
        </w:tc>
        <w:tc>
          <w:tcPr>
            <w:tcW w:w="525" w:type="dxa"/>
          </w:tcPr>
          <w:p w14:paraId="78BA6D23" w14:textId="77777777" w:rsidR="00933C62" w:rsidRPr="00266741" w:rsidRDefault="00933C62" w:rsidP="006E6C4E">
            <w:pPr>
              <w:spacing w:line="240" w:lineRule="auto"/>
              <w:jc w:val="right"/>
            </w:pPr>
            <w:r w:rsidRPr="00266741">
              <w:t>0</w:t>
            </w:r>
          </w:p>
        </w:tc>
        <w:tc>
          <w:tcPr>
            <w:tcW w:w="516" w:type="dxa"/>
          </w:tcPr>
          <w:p w14:paraId="22F9BEAB" w14:textId="77777777" w:rsidR="00933C62" w:rsidRPr="00266741" w:rsidRDefault="00933C62" w:rsidP="006E6C4E">
            <w:pPr>
              <w:spacing w:line="240" w:lineRule="auto"/>
              <w:jc w:val="right"/>
            </w:pPr>
            <w:r w:rsidRPr="00266741">
              <w:t>54</w:t>
            </w:r>
          </w:p>
        </w:tc>
        <w:tc>
          <w:tcPr>
            <w:tcW w:w="488" w:type="dxa"/>
          </w:tcPr>
          <w:p w14:paraId="62146FC6" w14:textId="77777777" w:rsidR="00933C62" w:rsidRPr="00266741" w:rsidRDefault="00933C62" w:rsidP="006E6C4E">
            <w:pPr>
              <w:spacing w:line="240" w:lineRule="auto"/>
              <w:jc w:val="right"/>
            </w:pPr>
            <w:r w:rsidRPr="00266741">
              <w:t>0</w:t>
            </w:r>
          </w:p>
        </w:tc>
        <w:tc>
          <w:tcPr>
            <w:tcW w:w="962" w:type="dxa"/>
          </w:tcPr>
          <w:p w14:paraId="4510EDF9" w14:textId="77777777" w:rsidR="00933C62" w:rsidRPr="00266741" w:rsidRDefault="00933C62" w:rsidP="006E6C4E">
            <w:pPr>
              <w:spacing w:line="240" w:lineRule="auto"/>
            </w:pPr>
          </w:p>
        </w:tc>
        <w:tc>
          <w:tcPr>
            <w:tcW w:w="582" w:type="dxa"/>
          </w:tcPr>
          <w:p w14:paraId="35864AA4" w14:textId="77777777" w:rsidR="00933C62" w:rsidRPr="00266741" w:rsidRDefault="00933C62" w:rsidP="006E6C4E">
            <w:pPr>
              <w:spacing w:line="240" w:lineRule="auto"/>
            </w:pPr>
          </w:p>
        </w:tc>
        <w:tc>
          <w:tcPr>
            <w:tcW w:w="616" w:type="dxa"/>
          </w:tcPr>
          <w:p w14:paraId="7BEA3F9B" w14:textId="77777777" w:rsidR="00933C62" w:rsidRPr="00266741" w:rsidRDefault="00933C62" w:rsidP="006E6C4E">
            <w:pPr>
              <w:spacing w:line="240" w:lineRule="auto"/>
            </w:pPr>
          </w:p>
        </w:tc>
        <w:tc>
          <w:tcPr>
            <w:tcW w:w="3009" w:type="dxa"/>
          </w:tcPr>
          <w:p w14:paraId="649708D4" w14:textId="77777777" w:rsidR="00933C62" w:rsidRPr="00266741" w:rsidRDefault="00933C62" w:rsidP="006E6C4E">
            <w:pPr>
              <w:spacing w:line="240" w:lineRule="auto"/>
              <w:ind w:left="-796" w:right="-1858" w:firstLine="796"/>
            </w:pPr>
          </w:p>
        </w:tc>
      </w:tr>
      <w:tr w:rsidR="00933C62" w:rsidRPr="00266741" w14:paraId="7626D2F9" w14:textId="77777777" w:rsidTr="006E6C4E">
        <w:tc>
          <w:tcPr>
            <w:tcW w:w="1222" w:type="dxa"/>
          </w:tcPr>
          <w:p w14:paraId="111A25C8" w14:textId="77777777" w:rsidR="00933C62" w:rsidRPr="00266741" w:rsidRDefault="00933C62" w:rsidP="006E6C4E">
            <w:pPr>
              <w:spacing w:line="240" w:lineRule="auto"/>
            </w:pPr>
            <w:r w:rsidRPr="00266741">
              <w:t>R ulna</w:t>
            </w:r>
          </w:p>
        </w:tc>
        <w:tc>
          <w:tcPr>
            <w:tcW w:w="525" w:type="dxa"/>
          </w:tcPr>
          <w:p w14:paraId="33281916" w14:textId="77777777" w:rsidR="00933C62" w:rsidRPr="00266741" w:rsidRDefault="00933C62" w:rsidP="006E6C4E">
            <w:pPr>
              <w:spacing w:line="240" w:lineRule="auto"/>
              <w:jc w:val="right"/>
            </w:pPr>
            <w:r w:rsidRPr="00266741">
              <w:t>6</w:t>
            </w:r>
          </w:p>
        </w:tc>
        <w:tc>
          <w:tcPr>
            <w:tcW w:w="516" w:type="dxa"/>
          </w:tcPr>
          <w:p w14:paraId="24573A02" w14:textId="77777777" w:rsidR="00933C62" w:rsidRPr="00266741" w:rsidRDefault="00933C62" w:rsidP="006E6C4E">
            <w:pPr>
              <w:spacing w:line="240" w:lineRule="auto"/>
              <w:jc w:val="right"/>
            </w:pPr>
            <w:r w:rsidRPr="00266741">
              <w:t>56</w:t>
            </w:r>
          </w:p>
        </w:tc>
        <w:tc>
          <w:tcPr>
            <w:tcW w:w="488" w:type="dxa"/>
          </w:tcPr>
          <w:p w14:paraId="41593079" w14:textId="77777777" w:rsidR="00933C62" w:rsidRPr="00266741" w:rsidRDefault="00933C62" w:rsidP="006E6C4E">
            <w:pPr>
              <w:spacing w:line="240" w:lineRule="auto"/>
              <w:jc w:val="right"/>
            </w:pPr>
            <w:r w:rsidRPr="00266741">
              <w:t>11</w:t>
            </w:r>
          </w:p>
        </w:tc>
        <w:tc>
          <w:tcPr>
            <w:tcW w:w="962" w:type="dxa"/>
          </w:tcPr>
          <w:p w14:paraId="15A57251" w14:textId="77777777" w:rsidR="00933C62" w:rsidRPr="00266741" w:rsidRDefault="00933C62" w:rsidP="006E6C4E">
            <w:pPr>
              <w:spacing w:line="240" w:lineRule="auto"/>
            </w:pPr>
            <w:r w:rsidRPr="00266741">
              <w:t>9A</w:t>
            </w:r>
          </w:p>
          <w:p w14:paraId="071F5789" w14:textId="77777777" w:rsidR="00933C62" w:rsidRPr="00266741" w:rsidRDefault="00933C62" w:rsidP="006E6C4E">
            <w:pPr>
              <w:spacing w:line="240" w:lineRule="auto"/>
            </w:pPr>
            <w:r w:rsidRPr="00266741">
              <w:t>13</w:t>
            </w:r>
          </w:p>
          <w:p w14:paraId="586DC888" w14:textId="77777777" w:rsidR="00933C62" w:rsidRPr="00266741" w:rsidRDefault="00933C62" w:rsidP="006E6C4E">
            <w:pPr>
              <w:spacing w:line="240" w:lineRule="auto"/>
            </w:pPr>
            <w:r w:rsidRPr="00266741">
              <w:t>51</w:t>
            </w:r>
          </w:p>
          <w:p w14:paraId="06B2F83B" w14:textId="77777777" w:rsidR="00933C62" w:rsidRPr="00266741" w:rsidRDefault="00933C62" w:rsidP="006E6C4E">
            <w:pPr>
              <w:spacing w:line="240" w:lineRule="auto"/>
            </w:pPr>
            <w:r w:rsidRPr="00266741">
              <w:t>66</w:t>
            </w:r>
          </w:p>
          <w:p w14:paraId="1AE9955A" w14:textId="77777777" w:rsidR="00933C62" w:rsidRPr="00266741" w:rsidRDefault="00933C62" w:rsidP="006E6C4E">
            <w:pPr>
              <w:spacing w:line="240" w:lineRule="auto"/>
            </w:pPr>
            <w:r w:rsidRPr="00266741">
              <w:t>72</w:t>
            </w:r>
          </w:p>
          <w:p w14:paraId="0E134DBA" w14:textId="77777777" w:rsidR="00933C62" w:rsidRPr="00266741" w:rsidRDefault="00933C62" w:rsidP="006E6C4E">
            <w:pPr>
              <w:spacing w:line="240" w:lineRule="auto"/>
            </w:pPr>
            <w:r w:rsidRPr="00266741">
              <w:t>81</w:t>
            </w:r>
          </w:p>
        </w:tc>
        <w:tc>
          <w:tcPr>
            <w:tcW w:w="582" w:type="dxa"/>
          </w:tcPr>
          <w:p w14:paraId="15999C9C" w14:textId="77777777" w:rsidR="00933C62" w:rsidRDefault="00933C62" w:rsidP="006E6C4E">
            <w:pPr>
              <w:spacing w:line="240" w:lineRule="auto"/>
            </w:pPr>
            <w:r>
              <w:t>MA</w:t>
            </w:r>
          </w:p>
          <w:p w14:paraId="4119BD73" w14:textId="77777777" w:rsidR="00933C62" w:rsidRDefault="00933C62" w:rsidP="006E6C4E">
            <w:pPr>
              <w:spacing w:line="240" w:lineRule="auto"/>
            </w:pPr>
            <w:r>
              <w:t>OA</w:t>
            </w:r>
          </w:p>
          <w:p w14:paraId="1385C823" w14:textId="77777777" w:rsidR="00933C62" w:rsidRDefault="00933C62" w:rsidP="006E6C4E">
            <w:pPr>
              <w:spacing w:line="240" w:lineRule="auto"/>
            </w:pPr>
            <w:r>
              <w:t>MA</w:t>
            </w:r>
          </w:p>
          <w:p w14:paraId="0E5B94A6" w14:textId="77777777" w:rsidR="00933C62" w:rsidRDefault="00933C62" w:rsidP="006E6C4E">
            <w:pPr>
              <w:spacing w:line="240" w:lineRule="auto"/>
            </w:pPr>
            <w:r>
              <w:t>OA</w:t>
            </w:r>
          </w:p>
          <w:p w14:paraId="6A62650A" w14:textId="77777777" w:rsidR="00933C62" w:rsidRDefault="00933C62" w:rsidP="006E6C4E">
            <w:pPr>
              <w:spacing w:line="240" w:lineRule="auto"/>
            </w:pPr>
            <w:r>
              <w:t>YA</w:t>
            </w:r>
          </w:p>
          <w:p w14:paraId="5BCB2E70" w14:textId="77777777" w:rsidR="00933C62" w:rsidRPr="00266741" w:rsidRDefault="00933C62" w:rsidP="006E6C4E">
            <w:pPr>
              <w:spacing w:line="240" w:lineRule="auto"/>
            </w:pPr>
            <w:r>
              <w:t>MA</w:t>
            </w:r>
          </w:p>
        </w:tc>
        <w:tc>
          <w:tcPr>
            <w:tcW w:w="616" w:type="dxa"/>
          </w:tcPr>
          <w:p w14:paraId="1CC1578E" w14:textId="77777777" w:rsidR="00933C62" w:rsidRPr="00266741" w:rsidRDefault="00933C62" w:rsidP="006E6C4E">
            <w:pPr>
              <w:spacing w:line="240" w:lineRule="auto"/>
            </w:pPr>
            <w:r w:rsidRPr="00266741">
              <w:t>M</w:t>
            </w:r>
          </w:p>
          <w:p w14:paraId="4048A665" w14:textId="77777777" w:rsidR="00933C62" w:rsidRPr="00266741" w:rsidRDefault="00933C62" w:rsidP="006E6C4E">
            <w:pPr>
              <w:spacing w:line="240" w:lineRule="auto"/>
            </w:pPr>
            <w:r w:rsidRPr="00266741">
              <w:t>M?</w:t>
            </w:r>
          </w:p>
          <w:p w14:paraId="3E24594B" w14:textId="77777777" w:rsidR="00933C62" w:rsidRPr="00266741" w:rsidRDefault="00933C62" w:rsidP="006E6C4E">
            <w:pPr>
              <w:spacing w:line="240" w:lineRule="auto"/>
            </w:pPr>
            <w:r w:rsidRPr="00266741">
              <w:t>M?</w:t>
            </w:r>
          </w:p>
          <w:p w14:paraId="13825B9B" w14:textId="77777777" w:rsidR="00933C62" w:rsidRPr="00266741" w:rsidRDefault="00933C62" w:rsidP="006E6C4E">
            <w:pPr>
              <w:spacing w:line="240" w:lineRule="auto"/>
            </w:pPr>
            <w:r w:rsidRPr="00266741">
              <w:t>M?</w:t>
            </w:r>
          </w:p>
          <w:p w14:paraId="0B00F61F" w14:textId="77777777" w:rsidR="00933C62" w:rsidRPr="00266741" w:rsidRDefault="00933C62" w:rsidP="006E6C4E">
            <w:pPr>
              <w:spacing w:line="240" w:lineRule="auto"/>
            </w:pPr>
            <w:r w:rsidRPr="00266741">
              <w:t>M</w:t>
            </w:r>
          </w:p>
          <w:p w14:paraId="3EEEA834" w14:textId="77777777" w:rsidR="00933C62" w:rsidRPr="00266741" w:rsidRDefault="00933C62" w:rsidP="006E6C4E">
            <w:pPr>
              <w:spacing w:line="240" w:lineRule="auto"/>
            </w:pPr>
            <w:r w:rsidRPr="00266741">
              <w:t>M?</w:t>
            </w:r>
          </w:p>
        </w:tc>
        <w:tc>
          <w:tcPr>
            <w:tcW w:w="3009" w:type="dxa"/>
          </w:tcPr>
          <w:p w14:paraId="64B79B6B" w14:textId="77777777" w:rsidR="00933C62" w:rsidRPr="00266741" w:rsidRDefault="00933C62" w:rsidP="006E6C4E">
            <w:pPr>
              <w:spacing w:line="240" w:lineRule="auto"/>
              <w:ind w:left="-796" w:right="-1858" w:firstLine="796"/>
            </w:pPr>
            <w:r>
              <w:t>Healed</w:t>
            </w:r>
            <w:r w:rsidRPr="00266741">
              <w:t>, midshaft (psuedoarthrosis)</w:t>
            </w:r>
          </w:p>
          <w:p w14:paraId="72D2517A" w14:textId="77777777" w:rsidR="00933C62" w:rsidRPr="00266741" w:rsidRDefault="00933C62" w:rsidP="006E6C4E">
            <w:pPr>
              <w:spacing w:line="240" w:lineRule="auto"/>
              <w:ind w:left="-796" w:right="-1858" w:firstLine="796"/>
            </w:pPr>
            <w:r>
              <w:t>Healed</w:t>
            </w:r>
            <w:r w:rsidRPr="00266741">
              <w:t>, midshaft</w:t>
            </w:r>
          </w:p>
          <w:p w14:paraId="098CADF5" w14:textId="77777777" w:rsidR="00933C62" w:rsidRPr="00266741" w:rsidRDefault="00933C62" w:rsidP="006E6C4E">
            <w:pPr>
              <w:spacing w:line="240" w:lineRule="auto"/>
              <w:ind w:left="-796" w:right="-1858" w:firstLine="796"/>
            </w:pPr>
            <w:r>
              <w:t>Healed</w:t>
            </w:r>
            <w:r w:rsidRPr="00266741">
              <w:t>, distal</w:t>
            </w:r>
          </w:p>
          <w:p w14:paraId="74FA548F" w14:textId="77777777" w:rsidR="00933C62" w:rsidRPr="00266741" w:rsidRDefault="00933C62" w:rsidP="006E6C4E">
            <w:pPr>
              <w:spacing w:line="240" w:lineRule="auto"/>
              <w:ind w:left="-796" w:right="-1858" w:firstLine="796"/>
            </w:pPr>
            <w:r>
              <w:t>Healing</w:t>
            </w:r>
            <w:r w:rsidRPr="00266741">
              <w:t>, distal</w:t>
            </w:r>
          </w:p>
          <w:p w14:paraId="428AF9DF" w14:textId="77777777" w:rsidR="00933C62" w:rsidRPr="00266741" w:rsidRDefault="00933C62" w:rsidP="006E6C4E">
            <w:pPr>
              <w:spacing w:line="240" w:lineRule="auto"/>
              <w:ind w:left="-796" w:right="-1858" w:firstLine="796"/>
            </w:pPr>
            <w:r>
              <w:t>Healing</w:t>
            </w:r>
            <w:r w:rsidRPr="00266741">
              <w:t>, distal</w:t>
            </w:r>
          </w:p>
          <w:p w14:paraId="68A0A6AB" w14:textId="77777777" w:rsidR="00933C62" w:rsidRPr="00266741" w:rsidRDefault="00933C62" w:rsidP="006E6C4E">
            <w:pPr>
              <w:spacing w:line="240" w:lineRule="auto"/>
              <w:ind w:left="-796" w:right="-1858" w:firstLine="796"/>
            </w:pPr>
            <w:r>
              <w:t>Healing</w:t>
            </w:r>
            <w:r w:rsidRPr="00266741">
              <w:t>, distal</w:t>
            </w:r>
          </w:p>
        </w:tc>
      </w:tr>
      <w:tr w:rsidR="00933C62" w:rsidRPr="00266741" w14:paraId="775D1CB8" w14:textId="77777777" w:rsidTr="006E6C4E">
        <w:tc>
          <w:tcPr>
            <w:tcW w:w="1222" w:type="dxa"/>
          </w:tcPr>
          <w:p w14:paraId="4A788707" w14:textId="77777777" w:rsidR="00933C62" w:rsidRPr="00266741" w:rsidRDefault="00933C62" w:rsidP="006E6C4E">
            <w:pPr>
              <w:spacing w:line="240" w:lineRule="auto"/>
            </w:pPr>
            <w:r w:rsidRPr="00266741">
              <w:t>L  Radius</w:t>
            </w:r>
          </w:p>
        </w:tc>
        <w:tc>
          <w:tcPr>
            <w:tcW w:w="525" w:type="dxa"/>
          </w:tcPr>
          <w:p w14:paraId="0CE0F907" w14:textId="77777777" w:rsidR="00933C62" w:rsidRPr="00266741" w:rsidRDefault="00933C62" w:rsidP="006E6C4E">
            <w:pPr>
              <w:spacing w:line="240" w:lineRule="auto"/>
              <w:jc w:val="right"/>
            </w:pPr>
            <w:r w:rsidRPr="00266741">
              <w:t>2</w:t>
            </w:r>
          </w:p>
        </w:tc>
        <w:tc>
          <w:tcPr>
            <w:tcW w:w="516" w:type="dxa"/>
          </w:tcPr>
          <w:p w14:paraId="2DBE4115" w14:textId="77777777" w:rsidR="00933C62" w:rsidRPr="00266741" w:rsidRDefault="00933C62" w:rsidP="006E6C4E">
            <w:pPr>
              <w:spacing w:line="240" w:lineRule="auto"/>
              <w:jc w:val="right"/>
            </w:pPr>
            <w:r w:rsidRPr="00266741">
              <w:t>42</w:t>
            </w:r>
          </w:p>
        </w:tc>
        <w:tc>
          <w:tcPr>
            <w:tcW w:w="488" w:type="dxa"/>
          </w:tcPr>
          <w:p w14:paraId="76D39DAA" w14:textId="77777777" w:rsidR="00933C62" w:rsidRPr="00266741" w:rsidRDefault="00933C62" w:rsidP="006E6C4E">
            <w:pPr>
              <w:spacing w:line="240" w:lineRule="auto"/>
              <w:jc w:val="right"/>
            </w:pPr>
            <w:r w:rsidRPr="00266741">
              <w:t>5</w:t>
            </w:r>
          </w:p>
        </w:tc>
        <w:tc>
          <w:tcPr>
            <w:tcW w:w="962" w:type="dxa"/>
          </w:tcPr>
          <w:p w14:paraId="2F547733" w14:textId="77777777" w:rsidR="00933C62" w:rsidRPr="00266741" w:rsidRDefault="00933C62" w:rsidP="006E6C4E">
            <w:pPr>
              <w:spacing w:line="240" w:lineRule="auto"/>
            </w:pPr>
            <w:r w:rsidRPr="00266741">
              <w:t>31</w:t>
            </w:r>
          </w:p>
          <w:p w14:paraId="566D9D7E" w14:textId="77777777" w:rsidR="00933C62" w:rsidRPr="00266741" w:rsidRDefault="00933C62" w:rsidP="006E6C4E">
            <w:pPr>
              <w:spacing w:line="240" w:lineRule="auto"/>
            </w:pPr>
            <w:r w:rsidRPr="00266741">
              <w:t>130B</w:t>
            </w:r>
          </w:p>
        </w:tc>
        <w:tc>
          <w:tcPr>
            <w:tcW w:w="582" w:type="dxa"/>
          </w:tcPr>
          <w:p w14:paraId="463FCCEE" w14:textId="77777777" w:rsidR="00933C62" w:rsidRDefault="00933C62" w:rsidP="006E6C4E">
            <w:pPr>
              <w:spacing w:line="240" w:lineRule="auto"/>
            </w:pPr>
            <w:r>
              <w:t>MA</w:t>
            </w:r>
          </w:p>
          <w:p w14:paraId="18A59E5B" w14:textId="77777777" w:rsidR="00933C62" w:rsidRPr="00266741" w:rsidRDefault="00933C62" w:rsidP="006E6C4E">
            <w:pPr>
              <w:spacing w:line="240" w:lineRule="auto"/>
            </w:pPr>
            <w:r>
              <w:t>MA</w:t>
            </w:r>
          </w:p>
        </w:tc>
        <w:tc>
          <w:tcPr>
            <w:tcW w:w="616" w:type="dxa"/>
          </w:tcPr>
          <w:p w14:paraId="24B8BF02" w14:textId="77777777" w:rsidR="00933C62" w:rsidRPr="00266741" w:rsidRDefault="00933C62" w:rsidP="006E6C4E">
            <w:pPr>
              <w:spacing w:line="240" w:lineRule="auto"/>
            </w:pPr>
            <w:r w:rsidRPr="00266741">
              <w:t>M?</w:t>
            </w:r>
          </w:p>
          <w:p w14:paraId="5E84812C" w14:textId="77777777" w:rsidR="00933C62" w:rsidRPr="00266741" w:rsidRDefault="00933C62" w:rsidP="006E6C4E">
            <w:pPr>
              <w:spacing w:line="240" w:lineRule="auto"/>
            </w:pPr>
            <w:r w:rsidRPr="00266741">
              <w:t>F</w:t>
            </w:r>
          </w:p>
        </w:tc>
        <w:tc>
          <w:tcPr>
            <w:tcW w:w="3009" w:type="dxa"/>
          </w:tcPr>
          <w:p w14:paraId="1C5C5FD6" w14:textId="77777777" w:rsidR="00933C62" w:rsidRPr="00266741" w:rsidRDefault="00933C62" w:rsidP="006E6C4E">
            <w:pPr>
              <w:spacing w:line="240" w:lineRule="auto"/>
              <w:ind w:left="-796" w:right="-1858" w:firstLine="796"/>
            </w:pPr>
            <w:r>
              <w:t>Healed</w:t>
            </w:r>
            <w:r w:rsidRPr="00266741">
              <w:t>, midshaft</w:t>
            </w:r>
          </w:p>
          <w:p w14:paraId="1ED548F8" w14:textId="7AEDD7F4" w:rsidR="00933C62" w:rsidRPr="00266741" w:rsidRDefault="00933C62" w:rsidP="006E6C4E">
            <w:pPr>
              <w:spacing w:line="240" w:lineRule="auto"/>
              <w:ind w:left="-796" w:right="-1858" w:firstLine="796"/>
            </w:pPr>
            <w:r>
              <w:t>Well-healed</w:t>
            </w:r>
            <w:r w:rsidRPr="00266741">
              <w:t>, distal (</w:t>
            </w:r>
            <w:r w:rsidR="005544F1" w:rsidRPr="00266741">
              <w:t>bilat</w:t>
            </w:r>
            <w:r w:rsidR="005544F1">
              <w:t>eral</w:t>
            </w:r>
            <w:r w:rsidRPr="00266741">
              <w:t xml:space="preserve"> radii)</w:t>
            </w:r>
          </w:p>
        </w:tc>
      </w:tr>
      <w:tr w:rsidR="00933C62" w:rsidRPr="00266741" w14:paraId="0A01678F" w14:textId="77777777" w:rsidTr="006E6C4E">
        <w:tc>
          <w:tcPr>
            <w:tcW w:w="1222" w:type="dxa"/>
          </w:tcPr>
          <w:p w14:paraId="4A23BBC0" w14:textId="77777777" w:rsidR="00933C62" w:rsidRPr="00266741" w:rsidRDefault="00933C62" w:rsidP="006E6C4E">
            <w:pPr>
              <w:spacing w:line="240" w:lineRule="auto"/>
            </w:pPr>
            <w:r w:rsidRPr="00266741">
              <w:t>R Radius</w:t>
            </w:r>
          </w:p>
        </w:tc>
        <w:tc>
          <w:tcPr>
            <w:tcW w:w="525" w:type="dxa"/>
          </w:tcPr>
          <w:p w14:paraId="57E686CC" w14:textId="77777777" w:rsidR="00933C62" w:rsidRPr="00266741" w:rsidRDefault="00933C62" w:rsidP="006E6C4E">
            <w:pPr>
              <w:spacing w:line="240" w:lineRule="auto"/>
              <w:jc w:val="right"/>
            </w:pPr>
            <w:r w:rsidRPr="00266741">
              <w:t>7</w:t>
            </w:r>
          </w:p>
        </w:tc>
        <w:tc>
          <w:tcPr>
            <w:tcW w:w="516" w:type="dxa"/>
          </w:tcPr>
          <w:p w14:paraId="41CE15FA" w14:textId="77777777" w:rsidR="00933C62" w:rsidRPr="00266741" w:rsidRDefault="00933C62" w:rsidP="006E6C4E">
            <w:pPr>
              <w:spacing w:line="240" w:lineRule="auto"/>
              <w:jc w:val="right"/>
            </w:pPr>
            <w:r w:rsidRPr="00266741">
              <w:t>50</w:t>
            </w:r>
          </w:p>
        </w:tc>
        <w:tc>
          <w:tcPr>
            <w:tcW w:w="488" w:type="dxa"/>
          </w:tcPr>
          <w:p w14:paraId="1A2DF7CE" w14:textId="77777777" w:rsidR="00933C62" w:rsidRPr="00266741" w:rsidRDefault="00933C62" w:rsidP="006E6C4E">
            <w:pPr>
              <w:spacing w:line="240" w:lineRule="auto"/>
              <w:jc w:val="right"/>
            </w:pPr>
            <w:r w:rsidRPr="00266741">
              <w:t>14</w:t>
            </w:r>
          </w:p>
        </w:tc>
        <w:tc>
          <w:tcPr>
            <w:tcW w:w="962" w:type="dxa"/>
          </w:tcPr>
          <w:p w14:paraId="70886776" w14:textId="77777777" w:rsidR="00933C62" w:rsidRPr="00266741" w:rsidRDefault="00933C62" w:rsidP="006E6C4E">
            <w:pPr>
              <w:spacing w:line="240" w:lineRule="auto"/>
            </w:pPr>
            <w:r w:rsidRPr="00266741">
              <w:t>23</w:t>
            </w:r>
          </w:p>
          <w:p w14:paraId="3BF5FA9A" w14:textId="77777777" w:rsidR="00933C62" w:rsidRPr="00266741" w:rsidRDefault="00933C62" w:rsidP="006E6C4E">
            <w:pPr>
              <w:spacing w:line="240" w:lineRule="auto"/>
            </w:pPr>
            <w:r w:rsidRPr="00266741">
              <w:t>58</w:t>
            </w:r>
          </w:p>
          <w:p w14:paraId="669BAC9A" w14:textId="77777777" w:rsidR="00933C62" w:rsidRPr="00266741" w:rsidRDefault="00933C62" w:rsidP="006E6C4E">
            <w:pPr>
              <w:spacing w:line="240" w:lineRule="auto"/>
            </w:pPr>
            <w:r w:rsidRPr="00266741">
              <w:t>72</w:t>
            </w:r>
          </w:p>
          <w:p w14:paraId="7D3974CC" w14:textId="77777777" w:rsidR="00933C62" w:rsidRPr="00266741" w:rsidRDefault="00933C62" w:rsidP="006E6C4E">
            <w:pPr>
              <w:spacing w:line="240" w:lineRule="auto"/>
            </w:pPr>
            <w:r w:rsidRPr="00266741">
              <w:t>118A</w:t>
            </w:r>
          </w:p>
          <w:p w14:paraId="2042A2AF" w14:textId="77777777" w:rsidR="00933C62" w:rsidRPr="00266741" w:rsidRDefault="00933C62" w:rsidP="006E6C4E">
            <w:pPr>
              <w:spacing w:line="240" w:lineRule="auto"/>
            </w:pPr>
            <w:r w:rsidRPr="00266741">
              <w:t>130B</w:t>
            </w:r>
          </w:p>
          <w:p w14:paraId="3767CEB2" w14:textId="77777777" w:rsidR="00933C62" w:rsidRPr="00266741" w:rsidRDefault="00933C62" w:rsidP="006E6C4E">
            <w:pPr>
              <w:spacing w:line="240" w:lineRule="auto"/>
            </w:pPr>
            <w:r w:rsidRPr="00266741">
              <w:t>147</w:t>
            </w:r>
          </w:p>
          <w:p w14:paraId="24714235" w14:textId="77777777" w:rsidR="00933C62" w:rsidRPr="00266741" w:rsidRDefault="00933C62" w:rsidP="006E6C4E">
            <w:pPr>
              <w:spacing w:line="240" w:lineRule="auto"/>
            </w:pPr>
            <w:r w:rsidRPr="00266741">
              <w:t>160</w:t>
            </w:r>
          </w:p>
        </w:tc>
        <w:tc>
          <w:tcPr>
            <w:tcW w:w="582" w:type="dxa"/>
          </w:tcPr>
          <w:p w14:paraId="28059FEE" w14:textId="77777777" w:rsidR="00933C62" w:rsidRDefault="00933C62" w:rsidP="006E6C4E">
            <w:pPr>
              <w:spacing w:line="240" w:lineRule="auto"/>
            </w:pPr>
            <w:r>
              <w:t>MA</w:t>
            </w:r>
          </w:p>
          <w:p w14:paraId="7AD53B88" w14:textId="77777777" w:rsidR="00933C62" w:rsidRDefault="00933C62" w:rsidP="006E6C4E">
            <w:pPr>
              <w:spacing w:line="240" w:lineRule="auto"/>
            </w:pPr>
            <w:r>
              <w:t>YA</w:t>
            </w:r>
          </w:p>
          <w:p w14:paraId="6159DAF2" w14:textId="77777777" w:rsidR="00933C62" w:rsidRDefault="00933C62" w:rsidP="006E6C4E">
            <w:pPr>
              <w:spacing w:line="240" w:lineRule="auto"/>
            </w:pPr>
            <w:r>
              <w:t>YA</w:t>
            </w:r>
          </w:p>
          <w:p w14:paraId="4F317092" w14:textId="77777777" w:rsidR="00933C62" w:rsidRDefault="00933C62" w:rsidP="006E6C4E">
            <w:pPr>
              <w:spacing w:line="240" w:lineRule="auto"/>
            </w:pPr>
            <w:r>
              <w:t>YA</w:t>
            </w:r>
          </w:p>
          <w:p w14:paraId="36B87824" w14:textId="77777777" w:rsidR="00933C62" w:rsidRDefault="00933C62" w:rsidP="006E6C4E">
            <w:pPr>
              <w:spacing w:line="240" w:lineRule="auto"/>
            </w:pPr>
            <w:r>
              <w:t>MA</w:t>
            </w:r>
          </w:p>
          <w:p w14:paraId="5DE5D485" w14:textId="77777777" w:rsidR="00933C62" w:rsidRDefault="00933C62" w:rsidP="006E6C4E">
            <w:pPr>
              <w:spacing w:line="240" w:lineRule="auto"/>
            </w:pPr>
            <w:r>
              <w:t>OA</w:t>
            </w:r>
          </w:p>
          <w:p w14:paraId="5516CB2E" w14:textId="77777777" w:rsidR="00933C62" w:rsidRPr="00266741" w:rsidRDefault="00933C62" w:rsidP="006E6C4E">
            <w:pPr>
              <w:spacing w:line="240" w:lineRule="auto"/>
            </w:pPr>
            <w:r>
              <w:t>MA</w:t>
            </w:r>
          </w:p>
        </w:tc>
        <w:tc>
          <w:tcPr>
            <w:tcW w:w="616" w:type="dxa"/>
          </w:tcPr>
          <w:p w14:paraId="667D8DE2" w14:textId="77777777" w:rsidR="00933C62" w:rsidRPr="00266741" w:rsidRDefault="00933C62" w:rsidP="006E6C4E">
            <w:pPr>
              <w:spacing w:line="240" w:lineRule="auto"/>
            </w:pPr>
            <w:r w:rsidRPr="00266741">
              <w:t>F</w:t>
            </w:r>
          </w:p>
          <w:p w14:paraId="79B8FFB3" w14:textId="77777777" w:rsidR="00933C62" w:rsidRPr="00266741" w:rsidRDefault="00933C62" w:rsidP="006E6C4E">
            <w:pPr>
              <w:spacing w:line="240" w:lineRule="auto"/>
            </w:pPr>
            <w:r w:rsidRPr="00266741">
              <w:t>F</w:t>
            </w:r>
          </w:p>
          <w:p w14:paraId="493665BF" w14:textId="77777777" w:rsidR="00933C62" w:rsidRPr="00266741" w:rsidRDefault="00933C62" w:rsidP="006E6C4E">
            <w:pPr>
              <w:spacing w:line="240" w:lineRule="auto"/>
            </w:pPr>
            <w:r w:rsidRPr="00266741">
              <w:t>M</w:t>
            </w:r>
          </w:p>
          <w:p w14:paraId="46EA23A2" w14:textId="77777777" w:rsidR="00933C62" w:rsidRPr="00266741" w:rsidRDefault="00933C62" w:rsidP="006E6C4E">
            <w:pPr>
              <w:spacing w:line="240" w:lineRule="auto"/>
            </w:pPr>
            <w:r w:rsidRPr="00266741">
              <w:t>F</w:t>
            </w:r>
          </w:p>
          <w:p w14:paraId="1F65D020" w14:textId="77777777" w:rsidR="00933C62" w:rsidRPr="00266741" w:rsidRDefault="00933C62" w:rsidP="006E6C4E">
            <w:pPr>
              <w:spacing w:line="240" w:lineRule="auto"/>
            </w:pPr>
            <w:r w:rsidRPr="00266741">
              <w:t>F</w:t>
            </w:r>
          </w:p>
          <w:p w14:paraId="1FEE2009" w14:textId="77777777" w:rsidR="00933C62" w:rsidRPr="00266741" w:rsidRDefault="00933C62" w:rsidP="006E6C4E">
            <w:pPr>
              <w:spacing w:line="240" w:lineRule="auto"/>
            </w:pPr>
            <w:r w:rsidRPr="00266741">
              <w:t>F</w:t>
            </w:r>
          </w:p>
          <w:p w14:paraId="0D4FCCE5" w14:textId="77777777" w:rsidR="00933C62" w:rsidRPr="00266741" w:rsidRDefault="00933C62" w:rsidP="006E6C4E">
            <w:pPr>
              <w:spacing w:line="240" w:lineRule="auto"/>
            </w:pPr>
            <w:r w:rsidRPr="00266741">
              <w:t>M?</w:t>
            </w:r>
          </w:p>
        </w:tc>
        <w:tc>
          <w:tcPr>
            <w:tcW w:w="3009" w:type="dxa"/>
          </w:tcPr>
          <w:p w14:paraId="49741594" w14:textId="77777777" w:rsidR="00933C62" w:rsidRPr="00266741" w:rsidRDefault="00933C62" w:rsidP="006E6C4E">
            <w:pPr>
              <w:spacing w:line="240" w:lineRule="auto"/>
              <w:ind w:left="-796" w:right="-1858" w:firstLine="796"/>
            </w:pPr>
            <w:r>
              <w:t>Healed</w:t>
            </w:r>
            <w:r w:rsidRPr="00266741">
              <w:t>, distal</w:t>
            </w:r>
          </w:p>
          <w:p w14:paraId="056CA4F0" w14:textId="77777777" w:rsidR="00933C62" w:rsidRPr="00266741" w:rsidRDefault="00933C62" w:rsidP="006E6C4E">
            <w:pPr>
              <w:spacing w:line="240" w:lineRule="auto"/>
              <w:ind w:left="-796" w:right="-1858" w:firstLine="796"/>
            </w:pPr>
            <w:r>
              <w:t>Healed, distal (also R hum</w:t>
            </w:r>
            <w:r w:rsidRPr="00266741">
              <w:t>)</w:t>
            </w:r>
          </w:p>
          <w:p w14:paraId="34003A52" w14:textId="77777777" w:rsidR="00933C62" w:rsidRPr="00266741" w:rsidRDefault="00933C62" w:rsidP="006E6C4E">
            <w:pPr>
              <w:spacing w:line="240" w:lineRule="auto"/>
              <w:ind w:left="-796" w:right="-1858" w:firstLine="796"/>
            </w:pPr>
            <w:r>
              <w:t>Healing</w:t>
            </w:r>
            <w:r w:rsidRPr="00266741">
              <w:t>, distal</w:t>
            </w:r>
          </w:p>
          <w:p w14:paraId="07CA18EF" w14:textId="77777777" w:rsidR="00933C62" w:rsidRPr="00266741" w:rsidRDefault="00933C62" w:rsidP="006E6C4E">
            <w:pPr>
              <w:spacing w:line="240" w:lineRule="auto"/>
              <w:ind w:left="-796" w:right="-1858" w:firstLine="796"/>
            </w:pPr>
            <w:r>
              <w:t>Healed, midshaft (also metacarpal</w:t>
            </w:r>
            <w:r w:rsidRPr="00266741">
              <w:t>)</w:t>
            </w:r>
          </w:p>
          <w:p w14:paraId="6F2B44B0" w14:textId="5A77ECB3" w:rsidR="00933C62" w:rsidRPr="00266741" w:rsidRDefault="00933C62" w:rsidP="006E6C4E">
            <w:pPr>
              <w:spacing w:line="240" w:lineRule="auto"/>
              <w:ind w:left="-796" w:right="-1858" w:firstLine="796"/>
            </w:pPr>
            <w:r>
              <w:t>Well-healed</w:t>
            </w:r>
            <w:r w:rsidRPr="00266741">
              <w:t>, distal (</w:t>
            </w:r>
            <w:r w:rsidR="005544F1" w:rsidRPr="00266741">
              <w:t>bilat</w:t>
            </w:r>
            <w:r w:rsidR="005544F1">
              <w:t>eral</w:t>
            </w:r>
            <w:r w:rsidRPr="00266741">
              <w:t xml:space="preserve"> radii)</w:t>
            </w:r>
          </w:p>
          <w:p w14:paraId="69F71928" w14:textId="77777777" w:rsidR="00933C62" w:rsidRPr="00266741" w:rsidRDefault="00933C62" w:rsidP="006E6C4E">
            <w:pPr>
              <w:spacing w:line="240" w:lineRule="auto"/>
              <w:ind w:left="-796" w:right="-1858" w:firstLine="796"/>
            </w:pPr>
            <w:r>
              <w:t>Healed</w:t>
            </w:r>
            <w:r w:rsidRPr="00266741">
              <w:t>, distal</w:t>
            </w:r>
          </w:p>
          <w:p w14:paraId="478D123C" w14:textId="77777777" w:rsidR="00933C62" w:rsidRPr="00266741" w:rsidRDefault="00933C62" w:rsidP="006E6C4E">
            <w:pPr>
              <w:spacing w:line="240" w:lineRule="auto"/>
              <w:ind w:left="-796" w:right="-1858" w:firstLine="796"/>
            </w:pPr>
            <w:r w:rsidRPr="00266741">
              <w:t>Poorly healed, distal</w:t>
            </w:r>
          </w:p>
        </w:tc>
      </w:tr>
      <w:tr w:rsidR="00933C62" w:rsidRPr="00266741" w14:paraId="2AD8E2D3" w14:textId="77777777" w:rsidTr="006E6C4E">
        <w:tc>
          <w:tcPr>
            <w:tcW w:w="1222" w:type="dxa"/>
          </w:tcPr>
          <w:p w14:paraId="72EE91AB" w14:textId="77777777" w:rsidR="00933C62" w:rsidRPr="00266741" w:rsidRDefault="00933C62" w:rsidP="006E6C4E">
            <w:pPr>
              <w:spacing w:line="240" w:lineRule="auto"/>
            </w:pPr>
            <w:r>
              <w:t>Upper limb Totals</w:t>
            </w:r>
          </w:p>
        </w:tc>
        <w:tc>
          <w:tcPr>
            <w:tcW w:w="525" w:type="dxa"/>
          </w:tcPr>
          <w:p w14:paraId="45573A37" w14:textId="77777777" w:rsidR="00933C62" w:rsidRPr="00266741" w:rsidRDefault="00933C62" w:rsidP="006E6C4E">
            <w:pPr>
              <w:spacing w:line="240" w:lineRule="auto"/>
              <w:jc w:val="right"/>
            </w:pPr>
            <w:r>
              <w:t>17</w:t>
            </w:r>
          </w:p>
        </w:tc>
        <w:tc>
          <w:tcPr>
            <w:tcW w:w="516" w:type="dxa"/>
          </w:tcPr>
          <w:p w14:paraId="3E613BCD" w14:textId="77777777" w:rsidR="00933C62" w:rsidRPr="00266741" w:rsidRDefault="00933C62" w:rsidP="006E6C4E">
            <w:pPr>
              <w:spacing w:line="240" w:lineRule="auto"/>
              <w:jc w:val="right"/>
            </w:pPr>
            <w:r>
              <w:t>341</w:t>
            </w:r>
          </w:p>
        </w:tc>
        <w:tc>
          <w:tcPr>
            <w:tcW w:w="488" w:type="dxa"/>
          </w:tcPr>
          <w:p w14:paraId="33400FEC" w14:textId="77777777" w:rsidR="00933C62" w:rsidRPr="00266741" w:rsidRDefault="00933C62" w:rsidP="006E6C4E">
            <w:pPr>
              <w:spacing w:line="240" w:lineRule="auto"/>
              <w:jc w:val="right"/>
            </w:pPr>
            <w:r>
              <w:t>5</w:t>
            </w:r>
          </w:p>
        </w:tc>
        <w:tc>
          <w:tcPr>
            <w:tcW w:w="962" w:type="dxa"/>
          </w:tcPr>
          <w:p w14:paraId="3BAFB284" w14:textId="77777777" w:rsidR="00933C62" w:rsidRPr="00266741" w:rsidRDefault="00933C62" w:rsidP="006E6C4E">
            <w:pPr>
              <w:spacing w:line="240" w:lineRule="auto"/>
            </w:pPr>
          </w:p>
        </w:tc>
        <w:tc>
          <w:tcPr>
            <w:tcW w:w="582" w:type="dxa"/>
          </w:tcPr>
          <w:p w14:paraId="5E604D5D" w14:textId="77777777" w:rsidR="00933C62" w:rsidRPr="00266741" w:rsidRDefault="00933C62" w:rsidP="006E6C4E">
            <w:pPr>
              <w:spacing w:line="240" w:lineRule="auto"/>
            </w:pPr>
          </w:p>
        </w:tc>
        <w:tc>
          <w:tcPr>
            <w:tcW w:w="616" w:type="dxa"/>
          </w:tcPr>
          <w:p w14:paraId="2F84D9B4" w14:textId="77777777" w:rsidR="00933C62" w:rsidRPr="00266741" w:rsidRDefault="00933C62" w:rsidP="006E6C4E">
            <w:pPr>
              <w:spacing w:line="240" w:lineRule="auto"/>
            </w:pPr>
          </w:p>
        </w:tc>
        <w:tc>
          <w:tcPr>
            <w:tcW w:w="3009" w:type="dxa"/>
          </w:tcPr>
          <w:p w14:paraId="16A09DF8" w14:textId="77777777" w:rsidR="00933C62" w:rsidRDefault="00933C62" w:rsidP="006E6C4E">
            <w:pPr>
              <w:spacing w:line="240" w:lineRule="auto"/>
              <w:ind w:left="-796" w:right="-1858" w:firstLine="796"/>
            </w:pPr>
          </w:p>
        </w:tc>
      </w:tr>
    </w:tbl>
    <w:p w14:paraId="5D82872D" w14:textId="77777777" w:rsidR="00933C62" w:rsidRDefault="00933C62" w:rsidP="00933C62">
      <w:pPr>
        <w:ind w:firstLine="720"/>
        <w:rPr>
          <w:rFonts w:ascii="Times New Roman" w:hAnsi="Times New Roman"/>
        </w:rPr>
      </w:pPr>
    </w:p>
    <w:p w14:paraId="7388B0F8" w14:textId="77777777" w:rsidR="00933C62" w:rsidRDefault="00933C62" w:rsidP="00933C62">
      <w:pPr>
        <w:ind w:firstLine="720"/>
        <w:rPr>
          <w:rFonts w:ascii="Times New Roman" w:hAnsi="Times New Roman"/>
        </w:rPr>
      </w:pPr>
      <w:r>
        <w:rPr>
          <w:rFonts w:ascii="Times New Roman" w:hAnsi="Times New Roman"/>
        </w:rPr>
        <w:t xml:space="preserve">The two humeral fractures were to one male and one female.  There were no left ulnar fractures, but six </w:t>
      </w:r>
      <w:r w:rsidRPr="00266741">
        <w:rPr>
          <w:rFonts w:ascii="Times New Roman" w:hAnsi="Times New Roman"/>
        </w:rPr>
        <w:t>right ulnar fractures</w:t>
      </w:r>
      <w:r>
        <w:rPr>
          <w:rFonts w:ascii="Times New Roman" w:hAnsi="Times New Roman"/>
        </w:rPr>
        <w:t>, all to adult males.</w:t>
      </w:r>
      <w:r w:rsidRPr="00266741">
        <w:rPr>
          <w:rFonts w:ascii="Times New Roman" w:hAnsi="Times New Roman"/>
        </w:rPr>
        <w:t xml:space="preserve">  </w:t>
      </w:r>
      <w:r>
        <w:rPr>
          <w:rFonts w:ascii="Times New Roman" w:hAnsi="Times New Roman"/>
        </w:rPr>
        <w:t>Of the nine radius fractures, two</w:t>
      </w:r>
      <w:r w:rsidRPr="00266741">
        <w:rPr>
          <w:rFonts w:ascii="Times New Roman" w:hAnsi="Times New Roman"/>
        </w:rPr>
        <w:t xml:space="preserve"> </w:t>
      </w:r>
      <w:r>
        <w:rPr>
          <w:rFonts w:ascii="Times New Roman" w:hAnsi="Times New Roman"/>
        </w:rPr>
        <w:t>were left radius fractures (1 male and 1 female) and seven</w:t>
      </w:r>
      <w:r w:rsidRPr="00266741">
        <w:rPr>
          <w:rFonts w:ascii="Times New Roman" w:hAnsi="Times New Roman"/>
        </w:rPr>
        <w:t xml:space="preserve"> were right radius fractures</w:t>
      </w:r>
      <w:r>
        <w:rPr>
          <w:rFonts w:ascii="Times New Roman" w:hAnsi="Times New Roman"/>
        </w:rPr>
        <w:t xml:space="preserve"> (2 males and 5 females).  The</w:t>
      </w:r>
      <w:r w:rsidRPr="00266741">
        <w:rPr>
          <w:rFonts w:ascii="Times New Roman" w:hAnsi="Times New Roman"/>
        </w:rPr>
        <w:t xml:space="preserve"> high</w:t>
      </w:r>
      <w:r>
        <w:rPr>
          <w:rFonts w:ascii="Times New Roman" w:hAnsi="Times New Roman"/>
        </w:rPr>
        <w:t>er</w:t>
      </w:r>
      <w:r w:rsidRPr="00266741">
        <w:rPr>
          <w:rFonts w:ascii="Times New Roman" w:hAnsi="Times New Roman"/>
        </w:rPr>
        <w:t xml:space="preserve"> prevalence of right-sided forearm fractures </w:t>
      </w:r>
      <w:r>
        <w:rPr>
          <w:rFonts w:ascii="Times New Roman" w:hAnsi="Times New Roman"/>
        </w:rPr>
        <w:t>may be</w:t>
      </w:r>
      <w:r w:rsidRPr="00266741">
        <w:rPr>
          <w:rFonts w:ascii="Times New Roman" w:hAnsi="Times New Roman"/>
        </w:rPr>
        <w:t xml:space="preserve"> due to most individuals being right-handed.  </w:t>
      </w:r>
    </w:p>
    <w:p w14:paraId="5DFA2250" w14:textId="77777777" w:rsidR="00933C62" w:rsidRDefault="00933C62" w:rsidP="00933C62">
      <w:pPr>
        <w:ind w:firstLine="720"/>
        <w:rPr>
          <w:rFonts w:ascii="Times New Roman" w:hAnsi="Times New Roman"/>
        </w:rPr>
      </w:pPr>
      <w:r w:rsidRPr="00266741">
        <w:rPr>
          <w:rFonts w:ascii="Times New Roman" w:hAnsi="Times New Roman"/>
        </w:rPr>
        <w:t xml:space="preserve">Burial 9A, a </w:t>
      </w:r>
      <w:r>
        <w:rPr>
          <w:rFonts w:ascii="Times New Roman" w:hAnsi="Times New Roman"/>
        </w:rPr>
        <w:t>middle adult male,</w:t>
      </w:r>
      <w:r w:rsidRPr="00266741">
        <w:rPr>
          <w:rFonts w:ascii="Times New Roman" w:hAnsi="Times New Roman"/>
        </w:rPr>
        <w:t xml:space="preserve"> had an unusual midshaft ulna fracture with an articulating and well-healed pseudoarthrosis (shown in Figure </w:t>
      </w:r>
      <w:r>
        <w:rPr>
          <w:rFonts w:ascii="Times New Roman" w:hAnsi="Times New Roman"/>
        </w:rPr>
        <w:t>14</w:t>
      </w:r>
      <w:r w:rsidRPr="00266741">
        <w:rPr>
          <w:rFonts w:ascii="Times New Roman" w:hAnsi="Times New Roman"/>
        </w:rPr>
        <w:t>).  In a pseudoarthrosis, a bone experiences a complete transverse fracture and the ends are joined by connective tissue, but fail to mineralize properly due to a lack of osteoid (Ortner 2003:131).  Although this type of malunion often causes severe functional problems, in this case, given both the degree of healing and the lack of atrophy in either the radius or ulna, it is likely that this individual retained quite a bit of function in this arm.</w:t>
      </w:r>
      <w:r>
        <w:rPr>
          <w:rFonts w:ascii="Times New Roman" w:hAnsi="Times New Roman"/>
        </w:rPr>
        <w:t xml:space="preserve">  As discussed in Chapter 3, this type of complete transverse fracture to the midshaft of the ulna is referred to as a parry fracture, and usually considered to be a defensive wound </w:t>
      </w:r>
      <w:r w:rsidRPr="00A00300">
        <w:rPr>
          <w:rFonts w:ascii="Times New Roman" w:hAnsi="Times New Roman"/>
        </w:rPr>
        <w:t>(Kimmerle and Baraybar 2008:173)</w:t>
      </w:r>
      <w:r>
        <w:rPr>
          <w:rFonts w:ascii="Times New Roman" w:hAnsi="Times New Roman"/>
        </w:rPr>
        <w:t>.  Only males from the Akers site were observed with parry fractures.</w:t>
      </w:r>
    </w:p>
    <w:p w14:paraId="407C80CC" w14:textId="77777777" w:rsidR="00874944" w:rsidRDefault="00874944" w:rsidP="00874944">
      <w:pPr>
        <w:spacing w:line="240" w:lineRule="auto"/>
        <w:ind w:firstLine="720"/>
        <w:rPr>
          <w:rFonts w:ascii="Times New Roman" w:hAnsi="Times New Roman"/>
        </w:rPr>
      </w:pPr>
    </w:p>
    <w:p w14:paraId="60033997" w14:textId="77777777" w:rsidR="00933C62" w:rsidRDefault="00933C62" w:rsidP="00933C62">
      <w:pPr>
        <w:spacing w:line="240" w:lineRule="auto"/>
        <w:rPr>
          <w:rFonts w:ascii="Times New Roman" w:hAnsi="Times New Roman"/>
        </w:rPr>
      </w:pPr>
    </w:p>
    <w:p w14:paraId="76C55096" w14:textId="77777777" w:rsidR="00933C62" w:rsidRPr="00266741" w:rsidRDefault="00933C62" w:rsidP="00933C62">
      <w:pPr>
        <w:jc w:val="center"/>
        <w:rPr>
          <w:rFonts w:ascii="Times New Roman" w:hAnsi="Times New Roman"/>
        </w:rPr>
      </w:pPr>
      <w:r w:rsidRPr="00266741">
        <w:rPr>
          <w:rFonts w:ascii="Times New Roman" w:hAnsi="Times New Roman"/>
          <w:noProof/>
          <w:lang w:bidi="ar-SA"/>
        </w:rPr>
        <w:drawing>
          <wp:inline distT="0" distB="0" distL="0" distR="0" wp14:anchorId="69B86052" wp14:editId="61542AE4">
            <wp:extent cx="5257800" cy="142948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Psuedoarthrosis.tiff"/>
                    <pic:cNvPicPr/>
                  </pic:nvPicPr>
                  <pic:blipFill>
                    <a:blip r:embed="rId24">
                      <a:extLst>
                        <a:ext uri="{28A0092B-C50C-407E-A947-70E740481C1C}">
                          <a14:useLocalDpi xmlns:a14="http://schemas.microsoft.com/office/drawing/2010/main" val="0"/>
                        </a:ext>
                      </a:extLst>
                    </a:blip>
                    <a:stretch>
                      <a:fillRect/>
                    </a:stretch>
                  </pic:blipFill>
                  <pic:spPr>
                    <a:xfrm>
                      <a:off x="0" y="0"/>
                      <a:ext cx="5261832" cy="1430577"/>
                    </a:xfrm>
                    <a:prstGeom prst="rect">
                      <a:avLst/>
                    </a:prstGeom>
                  </pic:spPr>
                </pic:pic>
              </a:graphicData>
            </a:graphic>
          </wp:inline>
        </w:drawing>
      </w:r>
    </w:p>
    <w:p w14:paraId="0AB17891" w14:textId="77777777" w:rsidR="00933C62" w:rsidRDefault="00933C62" w:rsidP="00133F61">
      <w:pPr>
        <w:pStyle w:val="Caption"/>
      </w:pPr>
      <w:bookmarkStart w:id="77" w:name="_Toc261025216"/>
      <w:r>
        <w:t xml:space="preserve">Figure </w:t>
      </w:r>
      <w:fldSimple w:instr=" SEQ Figure \* ARABIC ">
        <w:r w:rsidR="00396EB3">
          <w:rPr>
            <w:noProof/>
          </w:rPr>
          <w:t>14</w:t>
        </w:r>
      </w:fldSimple>
      <w:r>
        <w:t xml:space="preserve">  Burial 9A from the Akers site, psuedoarthrosis of the right ulna</w:t>
      </w:r>
      <w:bookmarkEnd w:id="77"/>
    </w:p>
    <w:p w14:paraId="556AFFB5" w14:textId="77777777" w:rsidR="00933C62" w:rsidRDefault="00933C62" w:rsidP="00933C62">
      <w:pPr>
        <w:spacing w:line="240" w:lineRule="auto"/>
        <w:ind w:firstLine="720"/>
        <w:rPr>
          <w:rFonts w:ascii="Times New Roman" w:hAnsi="Times New Roman"/>
        </w:rPr>
      </w:pPr>
    </w:p>
    <w:p w14:paraId="04E0A2F7" w14:textId="77777777" w:rsidR="00933C62" w:rsidRDefault="00933C62" w:rsidP="00933C62">
      <w:pPr>
        <w:spacing w:line="240" w:lineRule="auto"/>
        <w:ind w:firstLine="720"/>
        <w:rPr>
          <w:rFonts w:ascii="Times New Roman" w:hAnsi="Times New Roman"/>
        </w:rPr>
      </w:pPr>
    </w:p>
    <w:p w14:paraId="38D899E6" w14:textId="78EE5160" w:rsidR="00933C62" w:rsidRDefault="00933C62" w:rsidP="00933C62">
      <w:pPr>
        <w:ind w:firstLine="720"/>
        <w:rPr>
          <w:rFonts w:ascii="Times New Roman" w:hAnsi="Times New Roman"/>
        </w:rPr>
      </w:pPr>
      <w:r>
        <w:rPr>
          <w:rFonts w:ascii="Times New Roman" w:hAnsi="Times New Roman"/>
        </w:rPr>
        <w:t xml:space="preserve">Upper limb fractures are presented by age class and sex in Table 12.  For each age class, the number of individuals with an upper limb </w:t>
      </w:r>
      <w:r w:rsidR="00874944">
        <w:rPr>
          <w:rFonts w:ascii="Times New Roman" w:hAnsi="Times New Roman"/>
        </w:rPr>
        <w:t>fracture</w:t>
      </w:r>
      <w:r>
        <w:rPr>
          <w:rFonts w:ascii="Times New Roman" w:hAnsi="Times New Roman"/>
        </w:rPr>
        <w:t xml:space="preserve"> is presented (+), the number of observable individuals (n), and the frequency (+/n).  The table also presents </w:t>
      </w:r>
      <w:r w:rsidRPr="005A1202">
        <w:rPr>
          <w:rFonts w:ascii="Times New Roman" w:hAnsi="Times New Roman"/>
          <w:i/>
        </w:rPr>
        <w:t xml:space="preserve">p </w:t>
      </w:r>
      <w:r>
        <w:rPr>
          <w:rFonts w:ascii="Times New Roman" w:hAnsi="Times New Roman"/>
        </w:rPr>
        <w:t>values from a two-tailed Fisher’s Exact Test for males and females in each age class.  A total of 14 individuals, or 18% of the examined population was observed with an upper limb fracture, evenly split between males and females.</w:t>
      </w:r>
    </w:p>
    <w:p w14:paraId="6894E0EC" w14:textId="77777777" w:rsidR="00933C62" w:rsidRDefault="00933C62" w:rsidP="00933C62">
      <w:pPr>
        <w:spacing w:line="240" w:lineRule="auto"/>
        <w:ind w:firstLine="720"/>
        <w:rPr>
          <w:rFonts w:ascii="Times New Roman" w:hAnsi="Times New Roman"/>
        </w:rPr>
      </w:pPr>
    </w:p>
    <w:p w14:paraId="3285ABCE" w14:textId="77777777" w:rsidR="00933C62" w:rsidRDefault="00933C62" w:rsidP="00133F61">
      <w:pPr>
        <w:pStyle w:val="Caption"/>
      </w:pPr>
      <w:bookmarkStart w:id="78" w:name="_Toc261025240"/>
      <w:r>
        <w:t xml:space="preserve">Table </w:t>
      </w:r>
      <w:fldSimple w:instr=" SEQ Table \* ARABIC ">
        <w:r w:rsidR="00396EB3">
          <w:rPr>
            <w:noProof/>
          </w:rPr>
          <w:t>12</w:t>
        </w:r>
      </w:fldSimple>
      <w:r>
        <w:t xml:space="preserve">  Upper limb fractures by age and sex</w:t>
      </w:r>
      <w:bookmarkEnd w:id="78"/>
    </w:p>
    <w:p w14:paraId="4D1CD128" w14:textId="77777777" w:rsidR="00933C62" w:rsidRPr="00BE3B40" w:rsidRDefault="00933C62" w:rsidP="00933C62">
      <w:pPr>
        <w:spacing w:line="240" w:lineRule="auto"/>
      </w:pPr>
    </w:p>
    <w:tbl>
      <w:tblPr>
        <w:tblStyle w:val="TableGrid"/>
        <w:tblW w:w="0" w:type="auto"/>
        <w:jc w:val="center"/>
        <w:tblLayout w:type="fixed"/>
        <w:tblLook w:val="04A0" w:firstRow="1" w:lastRow="0" w:firstColumn="1" w:lastColumn="0" w:noHBand="0" w:noVBand="1"/>
      </w:tblPr>
      <w:tblGrid>
        <w:gridCol w:w="828"/>
        <w:gridCol w:w="450"/>
        <w:gridCol w:w="630"/>
        <w:gridCol w:w="630"/>
        <w:gridCol w:w="630"/>
        <w:gridCol w:w="720"/>
        <w:gridCol w:w="666"/>
        <w:gridCol w:w="414"/>
        <w:gridCol w:w="558"/>
        <w:gridCol w:w="612"/>
        <w:gridCol w:w="558"/>
        <w:gridCol w:w="630"/>
        <w:gridCol w:w="630"/>
      </w:tblGrid>
      <w:tr w:rsidR="00933C62" w:rsidRPr="00084ACC" w14:paraId="705C1F2E" w14:textId="77777777" w:rsidTr="006E6C4E">
        <w:trPr>
          <w:jc w:val="center"/>
        </w:trPr>
        <w:tc>
          <w:tcPr>
            <w:tcW w:w="828" w:type="dxa"/>
          </w:tcPr>
          <w:p w14:paraId="6590C4C5" w14:textId="77777777" w:rsidR="00933C62" w:rsidRPr="00084ACC" w:rsidRDefault="00933C62" w:rsidP="006E6C4E">
            <w:pPr>
              <w:spacing w:line="240" w:lineRule="auto"/>
            </w:pPr>
          </w:p>
        </w:tc>
        <w:tc>
          <w:tcPr>
            <w:tcW w:w="1710" w:type="dxa"/>
            <w:gridSpan w:val="3"/>
          </w:tcPr>
          <w:p w14:paraId="7DD9A037" w14:textId="77777777" w:rsidR="00933C62" w:rsidRDefault="00933C62" w:rsidP="006E6C4E">
            <w:pPr>
              <w:spacing w:line="240" w:lineRule="auto"/>
              <w:jc w:val="center"/>
              <w:rPr>
                <w:b/>
              </w:rPr>
            </w:pPr>
            <w:r>
              <w:rPr>
                <w:b/>
              </w:rPr>
              <w:t xml:space="preserve">YA </w:t>
            </w:r>
          </w:p>
          <w:p w14:paraId="20E45857" w14:textId="77777777" w:rsidR="00933C62" w:rsidRPr="00084ACC" w:rsidRDefault="00933C62" w:rsidP="006E6C4E">
            <w:pPr>
              <w:spacing w:line="240" w:lineRule="auto"/>
              <w:jc w:val="center"/>
              <w:rPr>
                <w:b/>
              </w:rPr>
            </w:pPr>
            <w:r w:rsidRPr="00084ACC">
              <w:rPr>
                <w:b/>
              </w:rPr>
              <w:t>15-35 yrs</w:t>
            </w:r>
          </w:p>
        </w:tc>
        <w:tc>
          <w:tcPr>
            <w:tcW w:w="2016" w:type="dxa"/>
            <w:gridSpan w:val="3"/>
          </w:tcPr>
          <w:p w14:paraId="731DCCE8" w14:textId="77777777" w:rsidR="00933C62" w:rsidRDefault="00933C62" w:rsidP="006E6C4E">
            <w:pPr>
              <w:spacing w:line="240" w:lineRule="auto"/>
              <w:jc w:val="center"/>
              <w:rPr>
                <w:b/>
              </w:rPr>
            </w:pPr>
            <w:r>
              <w:rPr>
                <w:b/>
              </w:rPr>
              <w:t xml:space="preserve">MA </w:t>
            </w:r>
          </w:p>
          <w:p w14:paraId="594ACF2D" w14:textId="77777777" w:rsidR="00933C62" w:rsidRPr="00084ACC" w:rsidRDefault="00933C62" w:rsidP="006E6C4E">
            <w:pPr>
              <w:spacing w:line="240" w:lineRule="auto"/>
              <w:jc w:val="center"/>
              <w:rPr>
                <w:b/>
              </w:rPr>
            </w:pPr>
            <w:r w:rsidRPr="00084ACC">
              <w:rPr>
                <w:b/>
              </w:rPr>
              <w:t>35 – 50 yrs</w:t>
            </w:r>
          </w:p>
        </w:tc>
        <w:tc>
          <w:tcPr>
            <w:tcW w:w="1584" w:type="dxa"/>
            <w:gridSpan w:val="3"/>
          </w:tcPr>
          <w:p w14:paraId="25FAC498" w14:textId="77777777" w:rsidR="00933C62" w:rsidRDefault="00933C62" w:rsidP="006E6C4E">
            <w:pPr>
              <w:spacing w:line="240" w:lineRule="auto"/>
              <w:jc w:val="center"/>
              <w:rPr>
                <w:b/>
              </w:rPr>
            </w:pPr>
            <w:r w:rsidRPr="00084ACC">
              <w:rPr>
                <w:b/>
              </w:rPr>
              <w:t>OA = 50+ yrs</w:t>
            </w:r>
          </w:p>
        </w:tc>
        <w:tc>
          <w:tcPr>
            <w:tcW w:w="1818" w:type="dxa"/>
            <w:gridSpan w:val="3"/>
          </w:tcPr>
          <w:p w14:paraId="2054CD7E" w14:textId="77777777" w:rsidR="00933C62" w:rsidRDefault="00933C62" w:rsidP="006E6C4E">
            <w:pPr>
              <w:spacing w:line="240" w:lineRule="auto"/>
              <w:jc w:val="center"/>
              <w:rPr>
                <w:b/>
              </w:rPr>
            </w:pPr>
            <w:r>
              <w:rPr>
                <w:b/>
              </w:rPr>
              <w:t>Total</w:t>
            </w:r>
          </w:p>
        </w:tc>
      </w:tr>
      <w:tr w:rsidR="00933C62" w:rsidRPr="00084ACC" w14:paraId="7A3CE602" w14:textId="77777777" w:rsidTr="006E6C4E">
        <w:trPr>
          <w:jc w:val="center"/>
        </w:trPr>
        <w:tc>
          <w:tcPr>
            <w:tcW w:w="828" w:type="dxa"/>
          </w:tcPr>
          <w:p w14:paraId="192521B2" w14:textId="77777777" w:rsidR="00933C62" w:rsidRPr="00084ACC" w:rsidRDefault="00933C62" w:rsidP="006E6C4E">
            <w:pPr>
              <w:spacing w:line="240" w:lineRule="auto"/>
            </w:pPr>
          </w:p>
        </w:tc>
        <w:tc>
          <w:tcPr>
            <w:tcW w:w="450" w:type="dxa"/>
          </w:tcPr>
          <w:p w14:paraId="408A786A" w14:textId="77777777" w:rsidR="00933C62" w:rsidRPr="00084ACC" w:rsidRDefault="00933C62" w:rsidP="006E6C4E">
            <w:pPr>
              <w:spacing w:line="240" w:lineRule="auto"/>
              <w:jc w:val="center"/>
              <w:rPr>
                <w:b/>
              </w:rPr>
            </w:pPr>
            <w:r w:rsidRPr="00084ACC">
              <w:rPr>
                <w:b/>
              </w:rPr>
              <w:t>+</w:t>
            </w:r>
          </w:p>
        </w:tc>
        <w:tc>
          <w:tcPr>
            <w:tcW w:w="630" w:type="dxa"/>
          </w:tcPr>
          <w:p w14:paraId="1B3A50AE" w14:textId="77777777" w:rsidR="00933C62" w:rsidRPr="00084ACC" w:rsidRDefault="00933C62" w:rsidP="006E6C4E">
            <w:pPr>
              <w:spacing w:line="240" w:lineRule="auto"/>
              <w:jc w:val="center"/>
              <w:rPr>
                <w:b/>
              </w:rPr>
            </w:pPr>
            <w:r>
              <w:rPr>
                <w:b/>
              </w:rPr>
              <w:t>n</w:t>
            </w:r>
          </w:p>
        </w:tc>
        <w:tc>
          <w:tcPr>
            <w:tcW w:w="630" w:type="dxa"/>
          </w:tcPr>
          <w:p w14:paraId="2735D258" w14:textId="77777777" w:rsidR="00933C62" w:rsidRPr="00AF4B96" w:rsidRDefault="00933C62" w:rsidP="006E6C4E">
            <w:pPr>
              <w:spacing w:line="240" w:lineRule="auto"/>
              <w:jc w:val="center"/>
              <w:rPr>
                <w:b/>
                <w:i/>
              </w:rPr>
            </w:pPr>
            <w:r w:rsidRPr="00AF4B96">
              <w:rPr>
                <w:b/>
                <w:i/>
              </w:rPr>
              <w:t>f</w:t>
            </w:r>
          </w:p>
        </w:tc>
        <w:tc>
          <w:tcPr>
            <w:tcW w:w="630" w:type="dxa"/>
          </w:tcPr>
          <w:p w14:paraId="56D3371C" w14:textId="77777777" w:rsidR="00933C62" w:rsidRPr="00084ACC" w:rsidRDefault="00933C62" w:rsidP="006E6C4E">
            <w:pPr>
              <w:spacing w:line="240" w:lineRule="auto"/>
              <w:jc w:val="center"/>
              <w:rPr>
                <w:b/>
              </w:rPr>
            </w:pPr>
            <w:r w:rsidRPr="00084ACC">
              <w:rPr>
                <w:b/>
              </w:rPr>
              <w:t>+</w:t>
            </w:r>
          </w:p>
        </w:tc>
        <w:tc>
          <w:tcPr>
            <w:tcW w:w="720" w:type="dxa"/>
          </w:tcPr>
          <w:p w14:paraId="7FF60F66" w14:textId="77777777" w:rsidR="00933C62" w:rsidRPr="00084ACC" w:rsidRDefault="00933C62" w:rsidP="006E6C4E">
            <w:pPr>
              <w:spacing w:line="240" w:lineRule="auto"/>
              <w:jc w:val="center"/>
              <w:rPr>
                <w:b/>
              </w:rPr>
            </w:pPr>
            <w:r>
              <w:rPr>
                <w:b/>
              </w:rPr>
              <w:t>n</w:t>
            </w:r>
          </w:p>
        </w:tc>
        <w:tc>
          <w:tcPr>
            <w:tcW w:w="666" w:type="dxa"/>
          </w:tcPr>
          <w:p w14:paraId="1DB9C148" w14:textId="77777777" w:rsidR="00933C62" w:rsidRPr="00AF4B96" w:rsidRDefault="00933C62" w:rsidP="006E6C4E">
            <w:pPr>
              <w:spacing w:line="240" w:lineRule="auto"/>
              <w:jc w:val="center"/>
              <w:rPr>
                <w:b/>
                <w:i/>
              </w:rPr>
            </w:pPr>
            <w:r w:rsidRPr="00AF4B96">
              <w:rPr>
                <w:b/>
                <w:i/>
              </w:rPr>
              <w:t>f</w:t>
            </w:r>
          </w:p>
        </w:tc>
        <w:tc>
          <w:tcPr>
            <w:tcW w:w="414" w:type="dxa"/>
          </w:tcPr>
          <w:p w14:paraId="7A389921" w14:textId="77777777" w:rsidR="00933C62" w:rsidRPr="00084ACC" w:rsidRDefault="00933C62" w:rsidP="006E6C4E">
            <w:pPr>
              <w:spacing w:line="240" w:lineRule="auto"/>
              <w:jc w:val="center"/>
              <w:rPr>
                <w:b/>
              </w:rPr>
            </w:pPr>
            <w:r w:rsidRPr="00084ACC">
              <w:rPr>
                <w:b/>
              </w:rPr>
              <w:t>+</w:t>
            </w:r>
          </w:p>
        </w:tc>
        <w:tc>
          <w:tcPr>
            <w:tcW w:w="558" w:type="dxa"/>
          </w:tcPr>
          <w:p w14:paraId="68578D1C" w14:textId="77777777" w:rsidR="00933C62" w:rsidRPr="00084ACC" w:rsidRDefault="00933C62" w:rsidP="006E6C4E">
            <w:pPr>
              <w:spacing w:line="240" w:lineRule="auto"/>
              <w:jc w:val="center"/>
              <w:rPr>
                <w:b/>
              </w:rPr>
            </w:pPr>
            <w:r>
              <w:rPr>
                <w:b/>
              </w:rPr>
              <w:t>n</w:t>
            </w:r>
          </w:p>
        </w:tc>
        <w:tc>
          <w:tcPr>
            <w:tcW w:w="612" w:type="dxa"/>
          </w:tcPr>
          <w:p w14:paraId="01CD4A69" w14:textId="77777777" w:rsidR="00933C62" w:rsidRPr="00AF4B96" w:rsidRDefault="00933C62" w:rsidP="006E6C4E">
            <w:pPr>
              <w:spacing w:line="240" w:lineRule="auto"/>
              <w:jc w:val="center"/>
              <w:rPr>
                <w:b/>
                <w:i/>
              </w:rPr>
            </w:pPr>
            <w:r w:rsidRPr="00AF4B96">
              <w:rPr>
                <w:b/>
                <w:i/>
              </w:rPr>
              <w:t>f</w:t>
            </w:r>
          </w:p>
        </w:tc>
        <w:tc>
          <w:tcPr>
            <w:tcW w:w="558" w:type="dxa"/>
          </w:tcPr>
          <w:p w14:paraId="3BAC4C73" w14:textId="77777777" w:rsidR="00933C62" w:rsidRPr="00084ACC" w:rsidRDefault="00933C62" w:rsidP="006E6C4E">
            <w:pPr>
              <w:spacing w:line="240" w:lineRule="auto"/>
              <w:jc w:val="center"/>
              <w:rPr>
                <w:b/>
              </w:rPr>
            </w:pPr>
            <w:r w:rsidRPr="00084ACC">
              <w:rPr>
                <w:b/>
              </w:rPr>
              <w:t>n</w:t>
            </w:r>
          </w:p>
        </w:tc>
        <w:tc>
          <w:tcPr>
            <w:tcW w:w="630" w:type="dxa"/>
          </w:tcPr>
          <w:p w14:paraId="5BFDBB5C" w14:textId="77777777" w:rsidR="00933C62" w:rsidRPr="00084ACC" w:rsidRDefault="00933C62" w:rsidP="006E6C4E">
            <w:pPr>
              <w:spacing w:line="240" w:lineRule="auto"/>
              <w:jc w:val="center"/>
              <w:rPr>
                <w:b/>
              </w:rPr>
            </w:pPr>
            <w:r w:rsidRPr="00084ACC">
              <w:rPr>
                <w:b/>
              </w:rPr>
              <w:t>N</w:t>
            </w:r>
          </w:p>
        </w:tc>
        <w:tc>
          <w:tcPr>
            <w:tcW w:w="630" w:type="dxa"/>
          </w:tcPr>
          <w:p w14:paraId="30099243" w14:textId="77777777" w:rsidR="00933C62" w:rsidRPr="00AF4B96" w:rsidRDefault="00933C62" w:rsidP="006E6C4E">
            <w:pPr>
              <w:spacing w:line="240" w:lineRule="auto"/>
              <w:jc w:val="center"/>
              <w:rPr>
                <w:b/>
                <w:i/>
              </w:rPr>
            </w:pPr>
            <w:r w:rsidRPr="00AF4B96">
              <w:rPr>
                <w:b/>
                <w:i/>
              </w:rPr>
              <w:t>f</w:t>
            </w:r>
          </w:p>
        </w:tc>
      </w:tr>
      <w:tr w:rsidR="00933C62" w:rsidRPr="00084ACC" w14:paraId="4FAD9F6D" w14:textId="77777777" w:rsidTr="006E6C4E">
        <w:trPr>
          <w:jc w:val="center"/>
        </w:trPr>
        <w:tc>
          <w:tcPr>
            <w:tcW w:w="828" w:type="dxa"/>
          </w:tcPr>
          <w:p w14:paraId="0D50DA7C" w14:textId="77777777" w:rsidR="00933C62" w:rsidRPr="00084ACC" w:rsidRDefault="00933C62" w:rsidP="006E6C4E">
            <w:pPr>
              <w:spacing w:line="240" w:lineRule="auto"/>
              <w:rPr>
                <w:b/>
              </w:rPr>
            </w:pPr>
            <w:r w:rsidRPr="00084ACC">
              <w:rPr>
                <w:b/>
              </w:rPr>
              <w:t>M</w:t>
            </w:r>
          </w:p>
        </w:tc>
        <w:tc>
          <w:tcPr>
            <w:tcW w:w="450" w:type="dxa"/>
          </w:tcPr>
          <w:p w14:paraId="71DA6EFB" w14:textId="77777777" w:rsidR="00933C62" w:rsidRPr="00084ACC" w:rsidRDefault="00933C62" w:rsidP="006E6C4E">
            <w:pPr>
              <w:spacing w:line="240" w:lineRule="auto"/>
              <w:jc w:val="right"/>
            </w:pPr>
            <w:r>
              <w:t>1</w:t>
            </w:r>
          </w:p>
        </w:tc>
        <w:tc>
          <w:tcPr>
            <w:tcW w:w="630" w:type="dxa"/>
          </w:tcPr>
          <w:p w14:paraId="63E08C44" w14:textId="77777777" w:rsidR="00933C62" w:rsidRPr="00084ACC" w:rsidRDefault="00933C62" w:rsidP="006E6C4E">
            <w:pPr>
              <w:spacing w:line="240" w:lineRule="auto"/>
              <w:jc w:val="right"/>
            </w:pPr>
            <w:r>
              <w:t>9</w:t>
            </w:r>
          </w:p>
        </w:tc>
        <w:tc>
          <w:tcPr>
            <w:tcW w:w="630" w:type="dxa"/>
          </w:tcPr>
          <w:p w14:paraId="3871FAEC" w14:textId="77777777" w:rsidR="00933C62" w:rsidRPr="00AF4B96" w:rsidRDefault="00933C62" w:rsidP="006E6C4E">
            <w:pPr>
              <w:spacing w:line="240" w:lineRule="auto"/>
              <w:jc w:val="right"/>
              <w:rPr>
                <w:i/>
              </w:rPr>
            </w:pPr>
            <w:r>
              <w:rPr>
                <w:i/>
              </w:rPr>
              <w:t>11</w:t>
            </w:r>
          </w:p>
        </w:tc>
        <w:tc>
          <w:tcPr>
            <w:tcW w:w="630" w:type="dxa"/>
          </w:tcPr>
          <w:p w14:paraId="07B410FF" w14:textId="77777777" w:rsidR="00933C62" w:rsidRPr="00084ACC" w:rsidRDefault="00933C62" w:rsidP="006E6C4E">
            <w:pPr>
              <w:spacing w:line="240" w:lineRule="auto"/>
              <w:jc w:val="right"/>
            </w:pPr>
            <w:r>
              <w:t>5</w:t>
            </w:r>
          </w:p>
        </w:tc>
        <w:tc>
          <w:tcPr>
            <w:tcW w:w="720" w:type="dxa"/>
          </w:tcPr>
          <w:p w14:paraId="21FCB146" w14:textId="77777777" w:rsidR="00933C62" w:rsidRPr="00084ACC" w:rsidRDefault="00933C62" w:rsidP="006E6C4E">
            <w:pPr>
              <w:spacing w:line="240" w:lineRule="auto"/>
              <w:jc w:val="right"/>
            </w:pPr>
            <w:r>
              <w:t>25</w:t>
            </w:r>
          </w:p>
        </w:tc>
        <w:tc>
          <w:tcPr>
            <w:tcW w:w="666" w:type="dxa"/>
          </w:tcPr>
          <w:p w14:paraId="76298B77" w14:textId="77777777" w:rsidR="00933C62" w:rsidRPr="00AF4B96" w:rsidRDefault="00933C62" w:rsidP="006E6C4E">
            <w:pPr>
              <w:spacing w:line="240" w:lineRule="auto"/>
              <w:jc w:val="right"/>
              <w:rPr>
                <w:i/>
              </w:rPr>
            </w:pPr>
            <w:r>
              <w:rPr>
                <w:i/>
              </w:rPr>
              <w:t>20</w:t>
            </w:r>
          </w:p>
        </w:tc>
        <w:tc>
          <w:tcPr>
            <w:tcW w:w="414" w:type="dxa"/>
          </w:tcPr>
          <w:p w14:paraId="32D8478C" w14:textId="77777777" w:rsidR="00933C62" w:rsidRPr="00084ACC" w:rsidRDefault="00933C62" w:rsidP="006E6C4E">
            <w:pPr>
              <w:spacing w:line="240" w:lineRule="auto"/>
              <w:jc w:val="right"/>
            </w:pPr>
            <w:r>
              <w:t>2</w:t>
            </w:r>
          </w:p>
        </w:tc>
        <w:tc>
          <w:tcPr>
            <w:tcW w:w="558" w:type="dxa"/>
          </w:tcPr>
          <w:p w14:paraId="2E3D8E51" w14:textId="77777777" w:rsidR="00933C62" w:rsidRPr="00084ACC" w:rsidRDefault="00933C62" w:rsidP="006E6C4E">
            <w:pPr>
              <w:spacing w:line="240" w:lineRule="auto"/>
              <w:jc w:val="right"/>
            </w:pPr>
            <w:r>
              <w:t>6</w:t>
            </w:r>
          </w:p>
        </w:tc>
        <w:tc>
          <w:tcPr>
            <w:tcW w:w="612" w:type="dxa"/>
          </w:tcPr>
          <w:p w14:paraId="0A8985B5" w14:textId="77777777" w:rsidR="00933C62" w:rsidRPr="00AF4B96" w:rsidRDefault="00933C62" w:rsidP="006E6C4E">
            <w:pPr>
              <w:spacing w:line="240" w:lineRule="auto"/>
              <w:jc w:val="right"/>
              <w:rPr>
                <w:i/>
              </w:rPr>
            </w:pPr>
            <w:r>
              <w:rPr>
                <w:i/>
              </w:rPr>
              <w:t>33</w:t>
            </w:r>
          </w:p>
        </w:tc>
        <w:tc>
          <w:tcPr>
            <w:tcW w:w="558" w:type="dxa"/>
          </w:tcPr>
          <w:p w14:paraId="58DB20C8" w14:textId="77777777" w:rsidR="00933C62" w:rsidRPr="00084ACC" w:rsidRDefault="00933C62" w:rsidP="006E6C4E">
            <w:pPr>
              <w:spacing w:line="240" w:lineRule="auto"/>
              <w:jc w:val="right"/>
            </w:pPr>
            <w:r>
              <w:t>8</w:t>
            </w:r>
          </w:p>
        </w:tc>
        <w:tc>
          <w:tcPr>
            <w:tcW w:w="630" w:type="dxa"/>
          </w:tcPr>
          <w:p w14:paraId="6985830D" w14:textId="77777777" w:rsidR="00933C62" w:rsidRPr="00084ACC" w:rsidRDefault="00933C62" w:rsidP="006E6C4E">
            <w:pPr>
              <w:spacing w:line="240" w:lineRule="auto"/>
              <w:jc w:val="right"/>
            </w:pPr>
            <w:r>
              <w:t>40</w:t>
            </w:r>
          </w:p>
        </w:tc>
        <w:tc>
          <w:tcPr>
            <w:tcW w:w="630" w:type="dxa"/>
          </w:tcPr>
          <w:p w14:paraId="4201873A" w14:textId="77777777" w:rsidR="00933C62" w:rsidRPr="00AF4B96" w:rsidRDefault="00933C62" w:rsidP="006E6C4E">
            <w:pPr>
              <w:spacing w:line="240" w:lineRule="auto"/>
              <w:jc w:val="right"/>
              <w:rPr>
                <w:i/>
              </w:rPr>
            </w:pPr>
            <w:r>
              <w:rPr>
                <w:i/>
              </w:rPr>
              <w:t>20</w:t>
            </w:r>
          </w:p>
        </w:tc>
      </w:tr>
      <w:tr w:rsidR="00933C62" w:rsidRPr="00084ACC" w14:paraId="1B658983" w14:textId="77777777" w:rsidTr="006E6C4E">
        <w:trPr>
          <w:jc w:val="center"/>
        </w:trPr>
        <w:tc>
          <w:tcPr>
            <w:tcW w:w="828" w:type="dxa"/>
          </w:tcPr>
          <w:p w14:paraId="52C9ECE4" w14:textId="77777777" w:rsidR="00933C62" w:rsidRPr="00084ACC" w:rsidRDefault="00933C62" w:rsidP="006E6C4E">
            <w:pPr>
              <w:spacing w:line="240" w:lineRule="auto"/>
              <w:rPr>
                <w:b/>
              </w:rPr>
            </w:pPr>
            <w:r w:rsidRPr="00084ACC">
              <w:rPr>
                <w:b/>
              </w:rPr>
              <w:t>F</w:t>
            </w:r>
          </w:p>
        </w:tc>
        <w:tc>
          <w:tcPr>
            <w:tcW w:w="450" w:type="dxa"/>
          </w:tcPr>
          <w:p w14:paraId="2791CDEE" w14:textId="77777777" w:rsidR="00933C62" w:rsidRPr="00084ACC" w:rsidRDefault="00933C62" w:rsidP="006E6C4E">
            <w:pPr>
              <w:spacing w:line="240" w:lineRule="auto"/>
              <w:jc w:val="right"/>
            </w:pPr>
            <w:r>
              <w:t>3</w:t>
            </w:r>
          </w:p>
        </w:tc>
        <w:tc>
          <w:tcPr>
            <w:tcW w:w="630" w:type="dxa"/>
          </w:tcPr>
          <w:p w14:paraId="1F95FAE8" w14:textId="77777777" w:rsidR="00933C62" w:rsidRPr="00084ACC" w:rsidRDefault="00933C62" w:rsidP="006E6C4E">
            <w:pPr>
              <w:spacing w:line="240" w:lineRule="auto"/>
              <w:jc w:val="right"/>
            </w:pPr>
            <w:r>
              <w:t>19</w:t>
            </w:r>
          </w:p>
        </w:tc>
        <w:tc>
          <w:tcPr>
            <w:tcW w:w="630" w:type="dxa"/>
          </w:tcPr>
          <w:p w14:paraId="57C748C8" w14:textId="77777777" w:rsidR="00933C62" w:rsidRPr="00AF4B96" w:rsidRDefault="00933C62" w:rsidP="006E6C4E">
            <w:pPr>
              <w:spacing w:line="240" w:lineRule="auto"/>
              <w:jc w:val="right"/>
              <w:rPr>
                <w:i/>
              </w:rPr>
            </w:pPr>
            <w:r>
              <w:rPr>
                <w:i/>
              </w:rPr>
              <w:t>16</w:t>
            </w:r>
          </w:p>
        </w:tc>
        <w:tc>
          <w:tcPr>
            <w:tcW w:w="630" w:type="dxa"/>
          </w:tcPr>
          <w:p w14:paraId="13400AD5" w14:textId="77777777" w:rsidR="00933C62" w:rsidRPr="00084ACC" w:rsidRDefault="00933C62" w:rsidP="006E6C4E">
            <w:pPr>
              <w:spacing w:line="240" w:lineRule="auto"/>
              <w:jc w:val="right"/>
            </w:pPr>
            <w:r>
              <w:t>2</w:t>
            </w:r>
          </w:p>
        </w:tc>
        <w:tc>
          <w:tcPr>
            <w:tcW w:w="720" w:type="dxa"/>
          </w:tcPr>
          <w:p w14:paraId="1AEC4F9E" w14:textId="77777777" w:rsidR="00933C62" w:rsidRPr="00084ACC" w:rsidRDefault="00933C62" w:rsidP="006E6C4E">
            <w:pPr>
              <w:spacing w:line="240" w:lineRule="auto"/>
              <w:jc w:val="right"/>
            </w:pPr>
            <w:r>
              <w:t>11</w:t>
            </w:r>
          </w:p>
        </w:tc>
        <w:tc>
          <w:tcPr>
            <w:tcW w:w="666" w:type="dxa"/>
          </w:tcPr>
          <w:p w14:paraId="76B729C0" w14:textId="77777777" w:rsidR="00933C62" w:rsidRPr="00AF4B96" w:rsidRDefault="00933C62" w:rsidP="006E6C4E">
            <w:pPr>
              <w:spacing w:line="240" w:lineRule="auto"/>
              <w:jc w:val="right"/>
              <w:rPr>
                <w:i/>
              </w:rPr>
            </w:pPr>
            <w:r>
              <w:rPr>
                <w:i/>
              </w:rPr>
              <w:t>18</w:t>
            </w:r>
          </w:p>
        </w:tc>
        <w:tc>
          <w:tcPr>
            <w:tcW w:w="414" w:type="dxa"/>
          </w:tcPr>
          <w:p w14:paraId="6BC9A448" w14:textId="77777777" w:rsidR="00933C62" w:rsidRPr="00084ACC" w:rsidRDefault="00933C62" w:rsidP="006E6C4E">
            <w:pPr>
              <w:spacing w:line="240" w:lineRule="auto"/>
              <w:jc w:val="right"/>
            </w:pPr>
            <w:r>
              <w:t>1</w:t>
            </w:r>
          </w:p>
        </w:tc>
        <w:tc>
          <w:tcPr>
            <w:tcW w:w="558" w:type="dxa"/>
          </w:tcPr>
          <w:p w14:paraId="31B04FF9" w14:textId="77777777" w:rsidR="00933C62" w:rsidRPr="00084ACC" w:rsidRDefault="00933C62" w:rsidP="006E6C4E">
            <w:pPr>
              <w:spacing w:line="240" w:lineRule="auto"/>
              <w:jc w:val="right"/>
            </w:pPr>
            <w:r>
              <w:t>8</w:t>
            </w:r>
          </w:p>
        </w:tc>
        <w:tc>
          <w:tcPr>
            <w:tcW w:w="612" w:type="dxa"/>
          </w:tcPr>
          <w:p w14:paraId="53F8DA00" w14:textId="77777777" w:rsidR="00933C62" w:rsidRPr="00AF4B96" w:rsidRDefault="00933C62" w:rsidP="006E6C4E">
            <w:pPr>
              <w:spacing w:line="240" w:lineRule="auto"/>
              <w:jc w:val="right"/>
              <w:rPr>
                <w:i/>
              </w:rPr>
            </w:pPr>
            <w:r>
              <w:rPr>
                <w:i/>
              </w:rPr>
              <w:t>13</w:t>
            </w:r>
          </w:p>
        </w:tc>
        <w:tc>
          <w:tcPr>
            <w:tcW w:w="558" w:type="dxa"/>
          </w:tcPr>
          <w:p w14:paraId="0CD003FA" w14:textId="77777777" w:rsidR="00933C62" w:rsidRPr="00084ACC" w:rsidRDefault="00933C62" w:rsidP="006E6C4E">
            <w:pPr>
              <w:spacing w:line="240" w:lineRule="auto"/>
              <w:jc w:val="right"/>
            </w:pPr>
            <w:r>
              <w:t>6</w:t>
            </w:r>
          </w:p>
        </w:tc>
        <w:tc>
          <w:tcPr>
            <w:tcW w:w="630" w:type="dxa"/>
          </w:tcPr>
          <w:p w14:paraId="2335365C" w14:textId="77777777" w:rsidR="00933C62" w:rsidRPr="00084ACC" w:rsidRDefault="00933C62" w:rsidP="006E6C4E">
            <w:pPr>
              <w:spacing w:line="240" w:lineRule="auto"/>
              <w:jc w:val="right"/>
            </w:pPr>
            <w:r>
              <w:t>38</w:t>
            </w:r>
          </w:p>
        </w:tc>
        <w:tc>
          <w:tcPr>
            <w:tcW w:w="630" w:type="dxa"/>
          </w:tcPr>
          <w:p w14:paraId="4B73252A" w14:textId="77777777" w:rsidR="00933C62" w:rsidRPr="00AF4B96" w:rsidRDefault="00933C62" w:rsidP="006E6C4E">
            <w:pPr>
              <w:spacing w:line="240" w:lineRule="auto"/>
              <w:jc w:val="right"/>
              <w:rPr>
                <w:i/>
              </w:rPr>
            </w:pPr>
            <w:r>
              <w:rPr>
                <w:i/>
              </w:rPr>
              <w:t>16</w:t>
            </w:r>
          </w:p>
        </w:tc>
      </w:tr>
      <w:tr w:rsidR="00933C62" w:rsidRPr="00084ACC" w14:paraId="6CE75BF1" w14:textId="77777777" w:rsidTr="006E6C4E">
        <w:trPr>
          <w:jc w:val="center"/>
        </w:trPr>
        <w:tc>
          <w:tcPr>
            <w:tcW w:w="828" w:type="dxa"/>
          </w:tcPr>
          <w:p w14:paraId="2159247C" w14:textId="77777777" w:rsidR="00933C62" w:rsidRPr="00ED156C" w:rsidRDefault="00933C62" w:rsidP="006E6C4E">
            <w:pPr>
              <w:spacing w:line="240" w:lineRule="auto"/>
              <w:rPr>
                <w:b/>
                <w:i/>
              </w:rPr>
            </w:pPr>
          </w:p>
        </w:tc>
        <w:tc>
          <w:tcPr>
            <w:tcW w:w="450" w:type="dxa"/>
          </w:tcPr>
          <w:p w14:paraId="73D95DDE" w14:textId="77777777" w:rsidR="00933C62" w:rsidRPr="00ED156C" w:rsidRDefault="00933C62" w:rsidP="006E6C4E">
            <w:pPr>
              <w:spacing w:line="240" w:lineRule="auto"/>
              <w:jc w:val="right"/>
            </w:pPr>
          </w:p>
        </w:tc>
        <w:tc>
          <w:tcPr>
            <w:tcW w:w="630" w:type="dxa"/>
          </w:tcPr>
          <w:p w14:paraId="74F31005" w14:textId="77777777" w:rsidR="00933C62" w:rsidRPr="00ED156C" w:rsidRDefault="00933C62" w:rsidP="006E6C4E">
            <w:pPr>
              <w:spacing w:line="240" w:lineRule="auto"/>
              <w:jc w:val="right"/>
            </w:pPr>
          </w:p>
        </w:tc>
        <w:tc>
          <w:tcPr>
            <w:tcW w:w="630" w:type="dxa"/>
          </w:tcPr>
          <w:p w14:paraId="2BBA921E" w14:textId="77777777" w:rsidR="00933C62" w:rsidRPr="00ED156C" w:rsidRDefault="00933C62" w:rsidP="006E6C4E">
            <w:pPr>
              <w:spacing w:line="240" w:lineRule="auto"/>
              <w:jc w:val="right"/>
              <w:rPr>
                <w:i/>
              </w:rPr>
            </w:pPr>
            <w:r>
              <w:rPr>
                <w:i/>
              </w:rPr>
              <w:t>p=1</w:t>
            </w:r>
          </w:p>
        </w:tc>
        <w:tc>
          <w:tcPr>
            <w:tcW w:w="630" w:type="dxa"/>
          </w:tcPr>
          <w:p w14:paraId="2F845DF2" w14:textId="77777777" w:rsidR="00933C62" w:rsidRPr="00ED156C" w:rsidRDefault="00933C62" w:rsidP="006E6C4E">
            <w:pPr>
              <w:spacing w:line="240" w:lineRule="auto"/>
              <w:jc w:val="right"/>
            </w:pPr>
          </w:p>
        </w:tc>
        <w:tc>
          <w:tcPr>
            <w:tcW w:w="720" w:type="dxa"/>
          </w:tcPr>
          <w:p w14:paraId="0414C69D" w14:textId="77777777" w:rsidR="00933C62" w:rsidRPr="00ED156C" w:rsidRDefault="00933C62" w:rsidP="006E6C4E">
            <w:pPr>
              <w:spacing w:line="240" w:lineRule="auto"/>
              <w:jc w:val="right"/>
            </w:pPr>
          </w:p>
        </w:tc>
        <w:tc>
          <w:tcPr>
            <w:tcW w:w="666" w:type="dxa"/>
          </w:tcPr>
          <w:p w14:paraId="2C142344" w14:textId="77777777" w:rsidR="00933C62" w:rsidRPr="00ED156C" w:rsidRDefault="00933C62" w:rsidP="006E6C4E">
            <w:pPr>
              <w:spacing w:line="240" w:lineRule="auto"/>
              <w:jc w:val="right"/>
              <w:rPr>
                <w:i/>
              </w:rPr>
            </w:pPr>
            <w:r>
              <w:rPr>
                <w:i/>
              </w:rPr>
              <w:t>p=1</w:t>
            </w:r>
          </w:p>
        </w:tc>
        <w:tc>
          <w:tcPr>
            <w:tcW w:w="414" w:type="dxa"/>
          </w:tcPr>
          <w:p w14:paraId="1B99C451" w14:textId="77777777" w:rsidR="00933C62" w:rsidRPr="00ED156C" w:rsidRDefault="00933C62" w:rsidP="006E6C4E">
            <w:pPr>
              <w:spacing w:line="240" w:lineRule="auto"/>
              <w:jc w:val="right"/>
            </w:pPr>
          </w:p>
        </w:tc>
        <w:tc>
          <w:tcPr>
            <w:tcW w:w="558" w:type="dxa"/>
          </w:tcPr>
          <w:p w14:paraId="750D1E61" w14:textId="77777777" w:rsidR="00933C62" w:rsidRPr="00ED156C" w:rsidRDefault="00933C62" w:rsidP="006E6C4E">
            <w:pPr>
              <w:spacing w:line="240" w:lineRule="auto"/>
              <w:jc w:val="right"/>
            </w:pPr>
          </w:p>
        </w:tc>
        <w:tc>
          <w:tcPr>
            <w:tcW w:w="612" w:type="dxa"/>
          </w:tcPr>
          <w:p w14:paraId="13536FF8" w14:textId="77777777" w:rsidR="00933C62" w:rsidRPr="00ED156C" w:rsidRDefault="00933C62" w:rsidP="006E6C4E">
            <w:pPr>
              <w:spacing w:line="240" w:lineRule="auto"/>
              <w:jc w:val="right"/>
              <w:rPr>
                <w:i/>
              </w:rPr>
            </w:pPr>
            <w:r w:rsidRPr="00ED156C">
              <w:rPr>
                <w:i/>
              </w:rPr>
              <w:t>p=.</w:t>
            </w:r>
            <w:r>
              <w:rPr>
                <w:i/>
              </w:rPr>
              <w:t>5</w:t>
            </w:r>
          </w:p>
        </w:tc>
        <w:tc>
          <w:tcPr>
            <w:tcW w:w="558" w:type="dxa"/>
          </w:tcPr>
          <w:p w14:paraId="02FB32F9" w14:textId="77777777" w:rsidR="00933C62" w:rsidRPr="00ED156C" w:rsidRDefault="00933C62" w:rsidP="006E6C4E">
            <w:pPr>
              <w:spacing w:line="240" w:lineRule="auto"/>
              <w:jc w:val="right"/>
            </w:pPr>
          </w:p>
        </w:tc>
        <w:tc>
          <w:tcPr>
            <w:tcW w:w="630" w:type="dxa"/>
          </w:tcPr>
          <w:p w14:paraId="79DF1E92" w14:textId="77777777" w:rsidR="00933C62" w:rsidRPr="00ED156C" w:rsidRDefault="00933C62" w:rsidP="006E6C4E">
            <w:pPr>
              <w:spacing w:line="240" w:lineRule="auto"/>
              <w:jc w:val="right"/>
            </w:pPr>
          </w:p>
        </w:tc>
        <w:tc>
          <w:tcPr>
            <w:tcW w:w="630" w:type="dxa"/>
          </w:tcPr>
          <w:p w14:paraId="7FA4B602" w14:textId="77777777" w:rsidR="00933C62" w:rsidRPr="00ED156C" w:rsidRDefault="00933C62" w:rsidP="006E6C4E">
            <w:pPr>
              <w:spacing w:line="240" w:lineRule="auto"/>
              <w:jc w:val="right"/>
              <w:rPr>
                <w:i/>
              </w:rPr>
            </w:pPr>
            <w:r w:rsidRPr="00ED156C">
              <w:rPr>
                <w:i/>
              </w:rPr>
              <w:t>p=.</w:t>
            </w:r>
            <w:r>
              <w:rPr>
                <w:i/>
              </w:rPr>
              <w:t>8</w:t>
            </w:r>
          </w:p>
        </w:tc>
      </w:tr>
      <w:tr w:rsidR="00933C62" w:rsidRPr="00084ACC" w14:paraId="7631BFDC" w14:textId="77777777" w:rsidTr="006E6C4E">
        <w:trPr>
          <w:jc w:val="center"/>
        </w:trPr>
        <w:tc>
          <w:tcPr>
            <w:tcW w:w="828" w:type="dxa"/>
          </w:tcPr>
          <w:p w14:paraId="02BF1814" w14:textId="77777777" w:rsidR="00933C62" w:rsidRPr="00AF4B96" w:rsidRDefault="00933C62" w:rsidP="006E6C4E">
            <w:pPr>
              <w:spacing w:line="240" w:lineRule="auto"/>
              <w:rPr>
                <w:b/>
              </w:rPr>
            </w:pPr>
            <w:r w:rsidRPr="00AF4B96">
              <w:rPr>
                <w:b/>
              </w:rPr>
              <w:t>Total</w:t>
            </w:r>
          </w:p>
        </w:tc>
        <w:tc>
          <w:tcPr>
            <w:tcW w:w="450" w:type="dxa"/>
          </w:tcPr>
          <w:p w14:paraId="780B5D8D" w14:textId="77777777" w:rsidR="00933C62" w:rsidRPr="00AF4B96" w:rsidRDefault="00933C62" w:rsidP="006E6C4E">
            <w:pPr>
              <w:spacing w:line="240" w:lineRule="auto"/>
              <w:jc w:val="right"/>
              <w:rPr>
                <w:b/>
              </w:rPr>
            </w:pPr>
            <w:r>
              <w:rPr>
                <w:b/>
              </w:rPr>
              <w:t>4</w:t>
            </w:r>
          </w:p>
        </w:tc>
        <w:tc>
          <w:tcPr>
            <w:tcW w:w="630" w:type="dxa"/>
          </w:tcPr>
          <w:p w14:paraId="6710E375" w14:textId="77777777" w:rsidR="00933C62" w:rsidRPr="00AF4B96" w:rsidRDefault="00933C62" w:rsidP="006E6C4E">
            <w:pPr>
              <w:spacing w:line="240" w:lineRule="auto"/>
              <w:jc w:val="right"/>
              <w:rPr>
                <w:b/>
              </w:rPr>
            </w:pPr>
            <w:r>
              <w:rPr>
                <w:b/>
              </w:rPr>
              <w:t>28</w:t>
            </w:r>
          </w:p>
        </w:tc>
        <w:tc>
          <w:tcPr>
            <w:tcW w:w="630" w:type="dxa"/>
          </w:tcPr>
          <w:p w14:paraId="0DF2EC61" w14:textId="77777777" w:rsidR="00933C62" w:rsidRPr="00AF4B96" w:rsidRDefault="00933C62" w:rsidP="006E6C4E">
            <w:pPr>
              <w:spacing w:line="240" w:lineRule="auto"/>
              <w:jc w:val="right"/>
              <w:rPr>
                <w:b/>
                <w:i/>
              </w:rPr>
            </w:pPr>
            <w:r>
              <w:rPr>
                <w:b/>
                <w:i/>
              </w:rPr>
              <w:t>14</w:t>
            </w:r>
          </w:p>
        </w:tc>
        <w:tc>
          <w:tcPr>
            <w:tcW w:w="630" w:type="dxa"/>
          </w:tcPr>
          <w:p w14:paraId="3B62F5CB" w14:textId="77777777" w:rsidR="00933C62" w:rsidRPr="00AF4B96" w:rsidRDefault="00933C62" w:rsidP="006E6C4E">
            <w:pPr>
              <w:spacing w:line="240" w:lineRule="auto"/>
              <w:jc w:val="right"/>
              <w:rPr>
                <w:b/>
              </w:rPr>
            </w:pPr>
            <w:r>
              <w:rPr>
                <w:b/>
              </w:rPr>
              <w:t>7</w:t>
            </w:r>
          </w:p>
        </w:tc>
        <w:tc>
          <w:tcPr>
            <w:tcW w:w="720" w:type="dxa"/>
          </w:tcPr>
          <w:p w14:paraId="5E7C3B32" w14:textId="77777777" w:rsidR="00933C62" w:rsidRPr="00AF4B96" w:rsidRDefault="00933C62" w:rsidP="006E6C4E">
            <w:pPr>
              <w:spacing w:line="240" w:lineRule="auto"/>
              <w:jc w:val="right"/>
              <w:rPr>
                <w:b/>
              </w:rPr>
            </w:pPr>
            <w:r>
              <w:rPr>
                <w:b/>
              </w:rPr>
              <w:t>36</w:t>
            </w:r>
          </w:p>
        </w:tc>
        <w:tc>
          <w:tcPr>
            <w:tcW w:w="666" w:type="dxa"/>
          </w:tcPr>
          <w:p w14:paraId="5EF7CDD2" w14:textId="77777777" w:rsidR="00933C62" w:rsidRPr="00AF4B96" w:rsidRDefault="00933C62" w:rsidP="006E6C4E">
            <w:pPr>
              <w:spacing w:line="240" w:lineRule="auto"/>
              <w:jc w:val="right"/>
              <w:rPr>
                <w:b/>
                <w:i/>
              </w:rPr>
            </w:pPr>
            <w:r>
              <w:rPr>
                <w:b/>
                <w:i/>
              </w:rPr>
              <w:t>19</w:t>
            </w:r>
          </w:p>
        </w:tc>
        <w:tc>
          <w:tcPr>
            <w:tcW w:w="414" w:type="dxa"/>
          </w:tcPr>
          <w:p w14:paraId="639FD744" w14:textId="77777777" w:rsidR="00933C62" w:rsidRPr="00AF4B96" w:rsidRDefault="00933C62" w:rsidP="006E6C4E">
            <w:pPr>
              <w:spacing w:line="240" w:lineRule="auto"/>
              <w:jc w:val="right"/>
              <w:rPr>
                <w:b/>
              </w:rPr>
            </w:pPr>
            <w:r>
              <w:rPr>
                <w:b/>
              </w:rPr>
              <w:t>3</w:t>
            </w:r>
          </w:p>
        </w:tc>
        <w:tc>
          <w:tcPr>
            <w:tcW w:w="558" w:type="dxa"/>
          </w:tcPr>
          <w:p w14:paraId="06122DB7" w14:textId="77777777" w:rsidR="00933C62" w:rsidRPr="00AF4B96" w:rsidRDefault="00933C62" w:rsidP="006E6C4E">
            <w:pPr>
              <w:spacing w:line="240" w:lineRule="auto"/>
              <w:jc w:val="right"/>
              <w:rPr>
                <w:b/>
              </w:rPr>
            </w:pPr>
            <w:r>
              <w:rPr>
                <w:b/>
              </w:rPr>
              <w:t>14</w:t>
            </w:r>
          </w:p>
        </w:tc>
        <w:tc>
          <w:tcPr>
            <w:tcW w:w="612" w:type="dxa"/>
          </w:tcPr>
          <w:p w14:paraId="02706913" w14:textId="77777777" w:rsidR="00933C62" w:rsidRPr="00AF4B96" w:rsidRDefault="00933C62" w:rsidP="006E6C4E">
            <w:pPr>
              <w:spacing w:line="240" w:lineRule="auto"/>
              <w:jc w:val="right"/>
              <w:rPr>
                <w:b/>
                <w:i/>
              </w:rPr>
            </w:pPr>
            <w:r>
              <w:rPr>
                <w:b/>
                <w:i/>
              </w:rPr>
              <w:t>21</w:t>
            </w:r>
          </w:p>
        </w:tc>
        <w:tc>
          <w:tcPr>
            <w:tcW w:w="558" w:type="dxa"/>
          </w:tcPr>
          <w:p w14:paraId="2D7BBC18" w14:textId="77777777" w:rsidR="00933C62" w:rsidRPr="00AF4B96" w:rsidRDefault="00933C62" w:rsidP="006E6C4E">
            <w:pPr>
              <w:spacing w:line="240" w:lineRule="auto"/>
              <w:jc w:val="right"/>
              <w:rPr>
                <w:b/>
              </w:rPr>
            </w:pPr>
            <w:r>
              <w:rPr>
                <w:b/>
              </w:rPr>
              <w:t>14</w:t>
            </w:r>
          </w:p>
        </w:tc>
        <w:tc>
          <w:tcPr>
            <w:tcW w:w="630" w:type="dxa"/>
          </w:tcPr>
          <w:p w14:paraId="7EEBB56A" w14:textId="77777777" w:rsidR="00933C62" w:rsidRPr="00AF4B96" w:rsidRDefault="00933C62" w:rsidP="006E6C4E">
            <w:pPr>
              <w:spacing w:line="240" w:lineRule="auto"/>
              <w:jc w:val="right"/>
              <w:rPr>
                <w:b/>
              </w:rPr>
            </w:pPr>
            <w:r>
              <w:rPr>
                <w:b/>
              </w:rPr>
              <w:t>78</w:t>
            </w:r>
          </w:p>
        </w:tc>
        <w:tc>
          <w:tcPr>
            <w:tcW w:w="630" w:type="dxa"/>
          </w:tcPr>
          <w:p w14:paraId="339BAC67" w14:textId="77777777" w:rsidR="00933C62" w:rsidRPr="00AF4B96" w:rsidRDefault="00933C62" w:rsidP="006E6C4E">
            <w:pPr>
              <w:spacing w:line="240" w:lineRule="auto"/>
              <w:jc w:val="right"/>
              <w:rPr>
                <w:b/>
                <w:i/>
              </w:rPr>
            </w:pPr>
            <w:r>
              <w:rPr>
                <w:b/>
                <w:i/>
              </w:rPr>
              <w:t>18</w:t>
            </w:r>
          </w:p>
        </w:tc>
      </w:tr>
    </w:tbl>
    <w:p w14:paraId="6D9A4FF5" w14:textId="77777777" w:rsidR="00933C62" w:rsidRDefault="00933C62" w:rsidP="00933C62">
      <w:pPr>
        <w:ind w:firstLine="720"/>
        <w:rPr>
          <w:rFonts w:ascii="Times New Roman" w:hAnsi="Times New Roman"/>
        </w:rPr>
      </w:pPr>
    </w:p>
    <w:p w14:paraId="53FA5FB7" w14:textId="49FD99F0" w:rsidR="00933C62" w:rsidRDefault="00933C62" w:rsidP="00933C62">
      <w:pPr>
        <w:ind w:firstLine="720"/>
        <w:rPr>
          <w:rFonts w:ascii="Times New Roman" w:hAnsi="Times New Roman"/>
        </w:rPr>
      </w:pPr>
      <w:r>
        <w:rPr>
          <w:rFonts w:ascii="Times New Roman" w:hAnsi="Times New Roman"/>
        </w:rPr>
        <w:t>For males, the frequency of upper limb fractures increased with age class, however there is no significant difference between th</w:t>
      </w:r>
      <w:r w:rsidR="00874944">
        <w:rPr>
          <w:rFonts w:ascii="Times New Roman" w:hAnsi="Times New Roman"/>
        </w:rPr>
        <w:t>e lowest frequency (young adult males</w:t>
      </w:r>
      <w:r>
        <w:rPr>
          <w:rFonts w:ascii="Times New Roman" w:hAnsi="Times New Roman"/>
        </w:rPr>
        <w:t xml:space="preserve"> 11%) and t</w:t>
      </w:r>
      <w:r w:rsidR="00874944">
        <w:rPr>
          <w:rFonts w:ascii="Times New Roman" w:hAnsi="Times New Roman"/>
        </w:rPr>
        <w:t>he highest frequency (old adult males</w:t>
      </w:r>
      <w:r>
        <w:rPr>
          <w:rFonts w:ascii="Times New Roman" w:hAnsi="Times New Roman"/>
        </w:rPr>
        <w:t xml:space="preserve"> 33%) (</w:t>
      </w:r>
      <w:r w:rsidRPr="00B66485">
        <w:rPr>
          <w:rFonts w:ascii="Times New Roman" w:hAnsi="Times New Roman"/>
          <w:i/>
        </w:rPr>
        <w:t>p</w:t>
      </w:r>
      <w:r>
        <w:rPr>
          <w:rFonts w:ascii="Times New Roman" w:hAnsi="Times New Roman"/>
        </w:rPr>
        <w:t>=.5 two-tailed Fisher’s Exact Test).  For females, the frequency of upper limb fractures was about equal between age classes.  There was no significant difference between males and females for any of the age classes (</w:t>
      </w:r>
      <w:r w:rsidRPr="00874944">
        <w:rPr>
          <w:rFonts w:ascii="Times New Roman" w:hAnsi="Times New Roman"/>
          <w:i/>
        </w:rPr>
        <w:t>p</w:t>
      </w:r>
      <w:r>
        <w:rPr>
          <w:rFonts w:ascii="Times New Roman" w:hAnsi="Times New Roman"/>
        </w:rPr>
        <w:t xml:space="preserve"> values reported in Table 12).</w:t>
      </w:r>
    </w:p>
    <w:p w14:paraId="4736D71B" w14:textId="77777777" w:rsidR="00933C62" w:rsidRDefault="00933C62" w:rsidP="00933C62">
      <w:pPr>
        <w:ind w:firstLine="720"/>
        <w:rPr>
          <w:rFonts w:ascii="Times New Roman" w:hAnsi="Times New Roman"/>
        </w:rPr>
      </w:pPr>
      <w:r>
        <w:rPr>
          <w:rFonts w:ascii="Times New Roman" w:hAnsi="Times New Roman"/>
        </w:rPr>
        <w:t>One m</w:t>
      </w:r>
      <w:r w:rsidRPr="00266741">
        <w:rPr>
          <w:rFonts w:ascii="Times New Roman" w:hAnsi="Times New Roman"/>
        </w:rPr>
        <w:t>ale had multiple upper body fractures.</w:t>
      </w:r>
      <w:r>
        <w:rPr>
          <w:rFonts w:ascii="Times New Roman" w:hAnsi="Times New Roman"/>
        </w:rPr>
        <w:t xml:space="preserve">  This was B72, a young adult</w:t>
      </w:r>
      <w:r w:rsidRPr="00266741">
        <w:rPr>
          <w:rFonts w:ascii="Times New Roman" w:hAnsi="Times New Roman"/>
        </w:rPr>
        <w:t xml:space="preserve"> with healing fractures to the right distal ulna and right distal radius.  These injuries are consistent with a fall.  </w:t>
      </w:r>
      <w:r>
        <w:rPr>
          <w:rFonts w:ascii="Times New Roman" w:hAnsi="Times New Roman"/>
        </w:rPr>
        <w:t>Similarly one f</w:t>
      </w:r>
      <w:r w:rsidRPr="00266741">
        <w:rPr>
          <w:rFonts w:ascii="Times New Roman" w:hAnsi="Times New Roman"/>
        </w:rPr>
        <w:t>emale had multiple upper limb fractures.  This was B130</w:t>
      </w:r>
      <w:r>
        <w:rPr>
          <w:rFonts w:ascii="Times New Roman" w:hAnsi="Times New Roman"/>
        </w:rPr>
        <w:t>, a middle adult</w:t>
      </w:r>
      <w:r w:rsidRPr="00266741">
        <w:rPr>
          <w:rFonts w:ascii="Times New Roman" w:hAnsi="Times New Roman"/>
        </w:rPr>
        <w:t xml:space="preserve"> with distal radius fractures bilaterally.  These injuries are </w:t>
      </w:r>
      <w:r>
        <w:rPr>
          <w:rFonts w:ascii="Times New Roman" w:hAnsi="Times New Roman"/>
        </w:rPr>
        <w:t>also consistent with a</w:t>
      </w:r>
      <w:r w:rsidRPr="00266741">
        <w:rPr>
          <w:rFonts w:ascii="Times New Roman" w:hAnsi="Times New Roman"/>
        </w:rPr>
        <w:t xml:space="preserve"> fall.  As noted in Chapter 3, the majority</w:t>
      </w:r>
      <w:r>
        <w:rPr>
          <w:rFonts w:ascii="Times New Roman" w:hAnsi="Times New Roman"/>
        </w:rPr>
        <w:t xml:space="preserve"> of upper body fractures are most parsimoniously </w:t>
      </w:r>
      <w:r w:rsidRPr="00266741">
        <w:rPr>
          <w:rFonts w:ascii="Times New Roman" w:hAnsi="Times New Roman"/>
        </w:rPr>
        <w:t>attributed to falls.  However there were also two burials with classic parry fractures to the ulna</w:t>
      </w:r>
      <w:r>
        <w:rPr>
          <w:rFonts w:ascii="Times New Roman" w:hAnsi="Times New Roman"/>
        </w:rPr>
        <w:t xml:space="preserve"> (both male)</w:t>
      </w:r>
      <w:r w:rsidRPr="00266741">
        <w:rPr>
          <w:rFonts w:ascii="Times New Roman" w:hAnsi="Times New Roman"/>
        </w:rPr>
        <w:t xml:space="preserve">, which </w:t>
      </w:r>
      <w:r>
        <w:rPr>
          <w:rFonts w:ascii="Times New Roman" w:hAnsi="Times New Roman"/>
        </w:rPr>
        <w:t>may indicate</w:t>
      </w:r>
      <w:r w:rsidRPr="00266741">
        <w:rPr>
          <w:rFonts w:ascii="Times New Roman" w:hAnsi="Times New Roman"/>
        </w:rPr>
        <w:t xml:space="preserve"> interpersonal violence</w:t>
      </w:r>
      <w:r>
        <w:rPr>
          <w:rFonts w:ascii="Times New Roman" w:hAnsi="Times New Roman"/>
        </w:rPr>
        <w:t xml:space="preserve"> </w:t>
      </w:r>
      <w:r w:rsidRPr="00A00300">
        <w:rPr>
          <w:rFonts w:ascii="Times New Roman" w:hAnsi="Times New Roman"/>
        </w:rPr>
        <w:t>(Kimmerle and Baraybar 2008:173)</w:t>
      </w:r>
      <w:r w:rsidRPr="00266741">
        <w:rPr>
          <w:rFonts w:ascii="Times New Roman" w:hAnsi="Times New Roman"/>
        </w:rPr>
        <w:t xml:space="preserve">.  </w:t>
      </w:r>
    </w:p>
    <w:p w14:paraId="1DE708AB" w14:textId="77777777" w:rsidR="00933C62" w:rsidRPr="002A0C69" w:rsidRDefault="00933C62" w:rsidP="007F6BCD">
      <w:pPr>
        <w:pStyle w:val="Heading4"/>
      </w:pPr>
      <w:r>
        <w:t>Lower Limb</w:t>
      </w:r>
      <w:r w:rsidRPr="002A0C69">
        <w:t xml:space="preserve"> Fractures</w:t>
      </w:r>
    </w:p>
    <w:p w14:paraId="43444424" w14:textId="77777777" w:rsidR="00933C62" w:rsidRDefault="00933C62" w:rsidP="00933C62">
      <w:pPr>
        <w:ind w:firstLine="720"/>
        <w:rPr>
          <w:rFonts w:ascii="Times New Roman" w:hAnsi="Times New Roman"/>
        </w:rPr>
      </w:pPr>
      <w:r>
        <w:rPr>
          <w:rFonts w:ascii="Times New Roman" w:hAnsi="Times New Roman"/>
        </w:rPr>
        <w:t>A total of 93 (47 male and 46 female) individuals</w:t>
      </w:r>
      <w:r w:rsidRPr="00CE32CF">
        <w:rPr>
          <w:rFonts w:ascii="Times New Roman" w:hAnsi="Times New Roman"/>
        </w:rPr>
        <w:t xml:space="preserve"> </w:t>
      </w:r>
      <w:r>
        <w:rPr>
          <w:rFonts w:ascii="Times New Roman" w:hAnsi="Times New Roman"/>
        </w:rPr>
        <w:t xml:space="preserve">had at least 50% of their lower limbs available for study and were included in the lower limb analysis.  </w:t>
      </w:r>
      <w:r w:rsidRPr="00266741">
        <w:rPr>
          <w:rFonts w:ascii="Times New Roman" w:hAnsi="Times New Roman"/>
        </w:rPr>
        <w:t>The femur, tibia, and fibula were examined for trauma.  Both fractures and projectile po</w:t>
      </w:r>
      <w:r>
        <w:rPr>
          <w:rFonts w:ascii="Times New Roman" w:hAnsi="Times New Roman"/>
        </w:rPr>
        <w:t>int trauma were observed on these elements</w:t>
      </w:r>
      <w:r w:rsidRPr="00266741">
        <w:rPr>
          <w:rFonts w:ascii="Times New Roman" w:hAnsi="Times New Roman"/>
        </w:rPr>
        <w:t>.</w:t>
      </w:r>
      <w:r>
        <w:rPr>
          <w:rFonts w:ascii="Times New Roman" w:hAnsi="Times New Roman"/>
        </w:rPr>
        <w:t xml:space="preserve">  This section reviews fractures and the following section covers sharp force trauma injuries.</w:t>
      </w:r>
    </w:p>
    <w:p w14:paraId="2CF6DF83" w14:textId="77777777" w:rsidR="00933C62" w:rsidRPr="00266741" w:rsidRDefault="00933C62" w:rsidP="00933C62">
      <w:pPr>
        <w:ind w:firstLine="720"/>
        <w:rPr>
          <w:rFonts w:ascii="Times New Roman" w:hAnsi="Times New Roman"/>
        </w:rPr>
      </w:pPr>
      <w:r>
        <w:rPr>
          <w:rFonts w:ascii="Times New Roman" w:hAnsi="Times New Roman"/>
        </w:rPr>
        <w:t>Ten individuals, or 13% of the examined population, were observed with a lower limb fracture.  This breaks down to five femur fractures, four</w:t>
      </w:r>
      <w:r w:rsidRPr="00266741">
        <w:rPr>
          <w:rFonts w:ascii="Times New Roman" w:hAnsi="Times New Roman"/>
        </w:rPr>
        <w:t xml:space="preserve"> tibia fractures, and</w:t>
      </w:r>
      <w:r>
        <w:rPr>
          <w:rFonts w:ascii="Times New Roman" w:hAnsi="Times New Roman"/>
        </w:rPr>
        <w:t xml:space="preserve"> six fibula fractures (detailed in Table 13), </w:t>
      </w:r>
      <w:r w:rsidRPr="00266741">
        <w:rPr>
          <w:rFonts w:ascii="Times New Roman" w:hAnsi="Times New Roman"/>
        </w:rPr>
        <w:t xml:space="preserve">evenly distributed between left and right sides.  </w:t>
      </w:r>
      <w:r>
        <w:rPr>
          <w:rFonts w:ascii="Times New Roman" w:hAnsi="Times New Roman"/>
        </w:rPr>
        <w:t>Results are reported by element (bone).  For each element, males are reported before females.  Note that the frequency rates (</w:t>
      </w:r>
      <w:r w:rsidRPr="00796E88">
        <w:rPr>
          <w:rFonts w:ascii="Times New Roman" w:hAnsi="Times New Roman"/>
          <w:i/>
        </w:rPr>
        <w:t>f</w:t>
      </w:r>
      <w:r>
        <w:rPr>
          <w:rFonts w:ascii="Times New Roman" w:hAnsi="Times New Roman"/>
        </w:rPr>
        <w:t>) reported in Table 13 refer to element totals, and thus the overall frequency of 3% (15 fractures divided by 469 elements) lower limb fractures is much lower than the actual prevalence rate of 13%, which was calculated by dividing the total number of individuals with a lower limb fracture (10) by the total number of observable individuals (78).</w:t>
      </w:r>
    </w:p>
    <w:p w14:paraId="15E9748B" w14:textId="77777777" w:rsidR="00933C62" w:rsidRDefault="00933C62" w:rsidP="00933C62">
      <w:pPr>
        <w:rPr>
          <w:rFonts w:ascii="Times New Roman" w:hAnsi="Times New Roman"/>
        </w:rPr>
      </w:pPr>
      <w:r>
        <w:rPr>
          <w:rFonts w:ascii="Times New Roman" w:hAnsi="Times New Roman"/>
        </w:rPr>
        <w:tab/>
        <w:t>There were a total of</w:t>
      </w:r>
      <w:r w:rsidRPr="00266741">
        <w:rPr>
          <w:rFonts w:ascii="Times New Roman" w:hAnsi="Times New Roman"/>
        </w:rPr>
        <w:t xml:space="preserve"> 15 lower body fract</w:t>
      </w:r>
      <w:r>
        <w:rPr>
          <w:rFonts w:ascii="Times New Roman" w:hAnsi="Times New Roman"/>
        </w:rPr>
        <w:t>ures distributed amongst 10</w:t>
      </w:r>
      <w:r w:rsidRPr="00266741">
        <w:rPr>
          <w:rFonts w:ascii="Times New Roman" w:hAnsi="Times New Roman"/>
        </w:rPr>
        <w:t xml:space="preserve"> individuals, most of them female. </w:t>
      </w:r>
      <w:r>
        <w:rPr>
          <w:rFonts w:ascii="Times New Roman" w:hAnsi="Times New Roman"/>
        </w:rPr>
        <w:t xml:space="preserve"> Only one lower body fracture was to a male;</w:t>
      </w:r>
      <w:r w:rsidRPr="00266741">
        <w:rPr>
          <w:rFonts w:ascii="Times New Roman" w:hAnsi="Times New Roman"/>
        </w:rPr>
        <w:t xml:space="preserve"> all other l</w:t>
      </w:r>
      <w:r>
        <w:rPr>
          <w:rFonts w:ascii="Times New Roman" w:hAnsi="Times New Roman"/>
        </w:rPr>
        <w:t>ower body fractures were to f</w:t>
      </w:r>
      <w:r w:rsidRPr="00266741">
        <w:rPr>
          <w:rFonts w:ascii="Times New Roman" w:hAnsi="Times New Roman"/>
        </w:rPr>
        <w:t>emales.  Six females experienced multiple lower body fractures.  Burial 142 was notable for multiple fractures</w:t>
      </w:r>
      <w:r>
        <w:rPr>
          <w:rFonts w:ascii="Times New Roman" w:hAnsi="Times New Roman"/>
        </w:rPr>
        <w:t xml:space="preserve"> in various stages of healing (further discussed below).</w:t>
      </w:r>
    </w:p>
    <w:p w14:paraId="3828A4B4" w14:textId="77777777" w:rsidR="00933C62" w:rsidRDefault="00933C62" w:rsidP="00133F61">
      <w:pPr>
        <w:pStyle w:val="Caption"/>
      </w:pPr>
    </w:p>
    <w:p w14:paraId="6A464724" w14:textId="77777777" w:rsidR="00D70C0E" w:rsidRDefault="00933C62" w:rsidP="00133F61">
      <w:pPr>
        <w:pStyle w:val="Caption"/>
      </w:pPr>
      <w:r>
        <w:t xml:space="preserve"> </w:t>
      </w:r>
    </w:p>
    <w:p w14:paraId="0A436DAD" w14:textId="25241E00" w:rsidR="00933C62" w:rsidRDefault="00933C62" w:rsidP="00133F61">
      <w:pPr>
        <w:pStyle w:val="Caption"/>
      </w:pPr>
      <w:bookmarkStart w:id="79" w:name="_Toc261025241"/>
      <w:r>
        <w:t xml:space="preserve">Table </w:t>
      </w:r>
      <w:fldSimple w:instr=" SEQ Table \* ARABIC ">
        <w:r w:rsidR="00396EB3">
          <w:rPr>
            <w:noProof/>
          </w:rPr>
          <w:t>13</w:t>
        </w:r>
      </w:fldSimple>
      <w:r>
        <w:t xml:space="preserve">  Lower limb fractures by bone and sex</w:t>
      </w:r>
      <w:bookmarkEnd w:id="79"/>
    </w:p>
    <w:p w14:paraId="57D348FB" w14:textId="77777777" w:rsidR="00933C62" w:rsidRPr="00266741" w:rsidRDefault="00933C62" w:rsidP="00133F61">
      <w:pPr>
        <w:pStyle w:val="Caption"/>
      </w:pPr>
    </w:p>
    <w:tbl>
      <w:tblPr>
        <w:tblStyle w:val="TableGrid"/>
        <w:tblW w:w="7614" w:type="dxa"/>
        <w:tblInd w:w="738" w:type="dxa"/>
        <w:tblLook w:val="04A0" w:firstRow="1" w:lastRow="0" w:firstColumn="1" w:lastColumn="0" w:noHBand="0" w:noVBand="1"/>
      </w:tblPr>
      <w:tblGrid>
        <w:gridCol w:w="1149"/>
        <w:gridCol w:w="471"/>
        <w:gridCol w:w="516"/>
        <w:gridCol w:w="316"/>
        <w:gridCol w:w="788"/>
        <w:gridCol w:w="550"/>
        <w:gridCol w:w="620"/>
        <w:gridCol w:w="3204"/>
      </w:tblGrid>
      <w:tr w:rsidR="00933C62" w:rsidRPr="00266741" w14:paraId="0D1A5D80" w14:textId="77777777" w:rsidTr="006E6C4E">
        <w:tc>
          <w:tcPr>
            <w:tcW w:w="1149" w:type="dxa"/>
          </w:tcPr>
          <w:p w14:paraId="5FA3BBCB" w14:textId="77777777" w:rsidR="00933C62" w:rsidRPr="00266741" w:rsidRDefault="00933C62" w:rsidP="006E6C4E">
            <w:pPr>
              <w:spacing w:line="240" w:lineRule="auto"/>
              <w:rPr>
                <w:b/>
              </w:rPr>
            </w:pPr>
          </w:p>
        </w:tc>
        <w:tc>
          <w:tcPr>
            <w:tcW w:w="471" w:type="dxa"/>
          </w:tcPr>
          <w:p w14:paraId="27684931" w14:textId="77777777" w:rsidR="00933C62" w:rsidRPr="00266741" w:rsidRDefault="00933C62" w:rsidP="006E6C4E">
            <w:pPr>
              <w:spacing w:line="240" w:lineRule="auto"/>
              <w:jc w:val="center"/>
              <w:rPr>
                <w:b/>
              </w:rPr>
            </w:pPr>
            <w:r w:rsidRPr="00266741">
              <w:rPr>
                <w:b/>
              </w:rPr>
              <w:t>n</w:t>
            </w:r>
          </w:p>
        </w:tc>
        <w:tc>
          <w:tcPr>
            <w:tcW w:w="516" w:type="dxa"/>
          </w:tcPr>
          <w:p w14:paraId="66CCAC99" w14:textId="77777777" w:rsidR="00933C62" w:rsidRPr="00266741" w:rsidRDefault="00933C62" w:rsidP="006E6C4E">
            <w:pPr>
              <w:spacing w:line="240" w:lineRule="auto"/>
              <w:rPr>
                <w:b/>
              </w:rPr>
            </w:pPr>
            <w:r w:rsidRPr="00266741">
              <w:rPr>
                <w:b/>
              </w:rPr>
              <w:t>N</w:t>
            </w:r>
          </w:p>
        </w:tc>
        <w:tc>
          <w:tcPr>
            <w:tcW w:w="316" w:type="dxa"/>
          </w:tcPr>
          <w:p w14:paraId="55065494" w14:textId="77777777" w:rsidR="00933C62" w:rsidRPr="00B464A8" w:rsidRDefault="00933C62" w:rsidP="006E6C4E">
            <w:pPr>
              <w:spacing w:line="240" w:lineRule="auto"/>
              <w:rPr>
                <w:b/>
                <w:i/>
              </w:rPr>
            </w:pPr>
            <w:r>
              <w:rPr>
                <w:b/>
                <w:i/>
              </w:rPr>
              <w:t>f</w:t>
            </w:r>
          </w:p>
        </w:tc>
        <w:tc>
          <w:tcPr>
            <w:tcW w:w="788" w:type="dxa"/>
          </w:tcPr>
          <w:p w14:paraId="6EE79A4A" w14:textId="77777777" w:rsidR="00933C62" w:rsidRPr="00266741" w:rsidRDefault="00933C62" w:rsidP="006E6C4E">
            <w:pPr>
              <w:spacing w:line="240" w:lineRule="auto"/>
              <w:rPr>
                <w:b/>
              </w:rPr>
            </w:pPr>
            <w:r w:rsidRPr="00266741">
              <w:rPr>
                <w:b/>
              </w:rPr>
              <w:t>Burial</w:t>
            </w:r>
          </w:p>
        </w:tc>
        <w:tc>
          <w:tcPr>
            <w:tcW w:w="550" w:type="dxa"/>
          </w:tcPr>
          <w:p w14:paraId="4616F1A2" w14:textId="77777777" w:rsidR="00933C62" w:rsidRPr="00266741" w:rsidRDefault="00933C62" w:rsidP="006E6C4E">
            <w:pPr>
              <w:spacing w:line="240" w:lineRule="auto"/>
              <w:rPr>
                <w:b/>
              </w:rPr>
            </w:pPr>
            <w:r>
              <w:rPr>
                <w:b/>
              </w:rPr>
              <w:t>Age</w:t>
            </w:r>
          </w:p>
        </w:tc>
        <w:tc>
          <w:tcPr>
            <w:tcW w:w="620" w:type="dxa"/>
          </w:tcPr>
          <w:p w14:paraId="7940AB4A" w14:textId="77777777" w:rsidR="00933C62" w:rsidRPr="00266741" w:rsidRDefault="00933C62" w:rsidP="006E6C4E">
            <w:pPr>
              <w:spacing w:line="240" w:lineRule="auto"/>
              <w:rPr>
                <w:b/>
              </w:rPr>
            </w:pPr>
            <w:r w:rsidRPr="00266741">
              <w:rPr>
                <w:b/>
              </w:rPr>
              <w:t>Sex</w:t>
            </w:r>
          </w:p>
        </w:tc>
        <w:tc>
          <w:tcPr>
            <w:tcW w:w="3204" w:type="dxa"/>
          </w:tcPr>
          <w:p w14:paraId="40F8351D" w14:textId="77777777" w:rsidR="00933C62" w:rsidRPr="00266741" w:rsidRDefault="00933C62" w:rsidP="006E6C4E">
            <w:pPr>
              <w:spacing w:line="240" w:lineRule="auto"/>
              <w:ind w:left="-796" w:right="-1858" w:firstLine="796"/>
              <w:rPr>
                <w:b/>
              </w:rPr>
            </w:pPr>
            <w:r w:rsidRPr="00266741">
              <w:rPr>
                <w:b/>
              </w:rPr>
              <w:t>Comments</w:t>
            </w:r>
          </w:p>
        </w:tc>
      </w:tr>
      <w:tr w:rsidR="00933C62" w:rsidRPr="00266741" w14:paraId="68EC169D" w14:textId="77777777" w:rsidTr="006E6C4E">
        <w:tc>
          <w:tcPr>
            <w:tcW w:w="1149" w:type="dxa"/>
          </w:tcPr>
          <w:p w14:paraId="4781A14F" w14:textId="77777777" w:rsidR="00933C62" w:rsidRPr="00266741" w:rsidRDefault="00933C62" w:rsidP="006E6C4E">
            <w:pPr>
              <w:spacing w:line="240" w:lineRule="auto"/>
            </w:pPr>
            <w:r w:rsidRPr="00266741">
              <w:t>L femur</w:t>
            </w:r>
          </w:p>
        </w:tc>
        <w:tc>
          <w:tcPr>
            <w:tcW w:w="471" w:type="dxa"/>
          </w:tcPr>
          <w:p w14:paraId="53163B2D" w14:textId="77777777" w:rsidR="00933C62" w:rsidRPr="00266741" w:rsidRDefault="00933C62" w:rsidP="006E6C4E">
            <w:pPr>
              <w:spacing w:line="240" w:lineRule="auto"/>
              <w:jc w:val="right"/>
            </w:pPr>
            <w:r w:rsidRPr="00266741">
              <w:t>3</w:t>
            </w:r>
          </w:p>
        </w:tc>
        <w:tc>
          <w:tcPr>
            <w:tcW w:w="516" w:type="dxa"/>
          </w:tcPr>
          <w:p w14:paraId="16E90145" w14:textId="77777777" w:rsidR="00933C62" w:rsidRPr="00266741" w:rsidRDefault="00933C62" w:rsidP="006E6C4E">
            <w:pPr>
              <w:spacing w:line="240" w:lineRule="auto"/>
              <w:jc w:val="right"/>
            </w:pPr>
            <w:r w:rsidRPr="00266741">
              <w:t>90</w:t>
            </w:r>
          </w:p>
        </w:tc>
        <w:tc>
          <w:tcPr>
            <w:tcW w:w="316" w:type="dxa"/>
          </w:tcPr>
          <w:p w14:paraId="03E27854" w14:textId="77777777" w:rsidR="00933C62" w:rsidRPr="00266741" w:rsidRDefault="00933C62" w:rsidP="006E6C4E">
            <w:pPr>
              <w:spacing w:line="240" w:lineRule="auto"/>
              <w:jc w:val="right"/>
            </w:pPr>
            <w:r w:rsidRPr="00266741">
              <w:t>3</w:t>
            </w:r>
          </w:p>
        </w:tc>
        <w:tc>
          <w:tcPr>
            <w:tcW w:w="788" w:type="dxa"/>
          </w:tcPr>
          <w:p w14:paraId="222EF433" w14:textId="77777777" w:rsidR="00933C62" w:rsidRPr="00266741" w:rsidRDefault="00933C62" w:rsidP="006E6C4E">
            <w:pPr>
              <w:spacing w:line="240" w:lineRule="auto"/>
            </w:pPr>
            <w:r w:rsidRPr="00266741">
              <w:t>15</w:t>
            </w:r>
          </w:p>
          <w:p w14:paraId="7E5B1F84" w14:textId="77777777" w:rsidR="00933C62" w:rsidRPr="00266741" w:rsidRDefault="00933C62" w:rsidP="006E6C4E">
            <w:pPr>
              <w:spacing w:line="240" w:lineRule="auto"/>
            </w:pPr>
            <w:r w:rsidRPr="00266741">
              <w:t>19</w:t>
            </w:r>
          </w:p>
          <w:p w14:paraId="08D506BD" w14:textId="77777777" w:rsidR="00933C62" w:rsidRPr="00266741" w:rsidRDefault="00933C62" w:rsidP="006E6C4E">
            <w:pPr>
              <w:spacing w:line="240" w:lineRule="auto"/>
            </w:pPr>
            <w:r w:rsidRPr="00266741">
              <w:t>142</w:t>
            </w:r>
          </w:p>
        </w:tc>
        <w:tc>
          <w:tcPr>
            <w:tcW w:w="550" w:type="dxa"/>
          </w:tcPr>
          <w:p w14:paraId="6F7036D5" w14:textId="77777777" w:rsidR="00933C62" w:rsidRDefault="00933C62" w:rsidP="006E6C4E">
            <w:pPr>
              <w:spacing w:line="240" w:lineRule="auto"/>
            </w:pPr>
            <w:r>
              <w:t>YA</w:t>
            </w:r>
          </w:p>
          <w:p w14:paraId="3EF46FBB" w14:textId="77777777" w:rsidR="00933C62" w:rsidRDefault="00933C62" w:rsidP="006E6C4E">
            <w:pPr>
              <w:spacing w:line="240" w:lineRule="auto"/>
            </w:pPr>
            <w:r>
              <w:t>YA</w:t>
            </w:r>
          </w:p>
          <w:p w14:paraId="426F3791" w14:textId="77777777" w:rsidR="00933C62" w:rsidRPr="00266741" w:rsidRDefault="00933C62" w:rsidP="006E6C4E">
            <w:pPr>
              <w:spacing w:line="240" w:lineRule="auto"/>
            </w:pPr>
            <w:r>
              <w:t>YA</w:t>
            </w:r>
          </w:p>
        </w:tc>
        <w:tc>
          <w:tcPr>
            <w:tcW w:w="620" w:type="dxa"/>
          </w:tcPr>
          <w:p w14:paraId="3FB39F53" w14:textId="77777777" w:rsidR="00933C62" w:rsidRPr="00266741" w:rsidRDefault="00933C62" w:rsidP="006E6C4E">
            <w:pPr>
              <w:spacing w:line="240" w:lineRule="auto"/>
            </w:pPr>
            <w:r w:rsidRPr="00266741">
              <w:t>F?</w:t>
            </w:r>
          </w:p>
          <w:p w14:paraId="68F41156" w14:textId="77777777" w:rsidR="00933C62" w:rsidRPr="00266741" w:rsidRDefault="00933C62" w:rsidP="006E6C4E">
            <w:pPr>
              <w:spacing w:line="240" w:lineRule="auto"/>
            </w:pPr>
            <w:r w:rsidRPr="00266741">
              <w:t>F</w:t>
            </w:r>
          </w:p>
          <w:p w14:paraId="7649F671" w14:textId="77777777" w:rsidR="00933C62" w:rsidRPr="00266741" w:rsidRDefault="00933C62" w:rsidP="006E6C4E">
            <w:pPr>
              <w:spacing w:line="240" w:lineRule="auto"/>
            </w:pPr>
            <w:r w:rsidRPr="00266741">
              <w:t>F</w:t>
            </w:r>
          </w:p>
        </w:tc>
        <w:tc>
          <w:tcPr>
            <w:tcW w:w="3204" w:type="dxa"/>
          </w:tcPr>
          <w:p w14:paraId="0E8043F7" w14:textId="77777777" w:rsidR="00933C62" w:rsidRPr="00266741" w:rsidRDefault="00933C62" w:rsidP="006E6C4E">
            <w:pPr>
              <w:spacing w:line="240" w:lineRule="auto"/>
            </w:pPr>
            <w:r>
              <w:t>Healing</w:t>
            </w:r>
            <w:r w:rsidRPr="00266741">
              <w:t xml:space="preserve"> with systemic osteomyelitis</w:t>
            </w:r>
          </w:p>
          <w:p w14:paraId="69BC1865" w14:textId="77777777" w:rsidR="00933C62" w:rsidRPr="00266741" w:rsidRDefault="00933C62" w:rsidP="006E6C4E">
            <w:pPr>
              <w:spacing w:line="240" w:lineRule="auto"/>
            </w:pPr>
            <w:r>
              <w:t>Displaced healing</w:t>
            </w:r>
            <w:r w:rsidRPr="00266741">
              <w:t xml:space="preserve"> with osteomyelitis</w:t>
            </w:r>
          </w:p>
          <w:p w14:paraId="7000C756" w14:textId="77777777" w:rsidR="00933C62" w:rsidRPr="00266741" w:rsidRDefault="00933C62" w:rsidP="006E6C4E">
            <w:pPr>
              <w:spacing w:line="240" w:lineRule="auto"/>
              <w:ind w:left="-796" w:right="-1858" w:firstLine="796"/>
            </w:pPr>
            <w:r>
              <w:t>Healing but infected (multiple</w:t>
            </w:r>
            <w:r w:rsidRPr="00266741">
              <w:t>)</w:t>
            </w:r>
          </w:p>
        </w:tc>
      </w:tr>
      <w:tr w:rsidR="00933C62" w:rsidRPr="00266741" w14:paraId="0FD607BF" w14:textId="77777777" w:rsidTr="006E6C4E">
        <w:tc>
          <w:tcPr>
            <w:tcW w:w="1149" w:type="dxa"/>
          </w:tcPr>
          <w:p w14:paraId="442C8649" w14:textId="77777777" w:rsidR="00933C62" w:rsidRPr="00266741" w:rsidRDefault="00933C62" w:rsidP="006E6C4E">
            <w:pPr>
              <w:spacing w:line="240" w:lineRule="auto"/>
            </w:pPr>
            <w:r w:rsidRPr="00266741">
              <w:t>R femur</w:t>
            </w:r>
          </w:p>
        </w:tc>
        <w:tc>
          <w:tcPr>
            <w:tcW w:w="471" w:type="dxa"/>
          </w:tcPr>
          <w:p w14:paraId="7B288505" w14:textId="77777777" w:rsidR="00933C62" w:rsidRPr="00266741" w:rsidRDefault="00933C62" w:rsidP="006E6C4E">
            <w:pPr>
              <w:spacing w:line="240" w:lineRule="auto"/>
              <w:jc w:val="right"/>
            </w:pPr>
            <w:r w:rsidRPr="00266741">
              <w:t>2</w:t>
            </w:r>
          </w:p>
        </w:tc>
        <w:tc>
          <w:tcPr>
            <w:tcW w:w="516" w:type="dxa"/>
          </w:tcPr>
          <w:p w14:paraId="5C83FD3C" w14:textId="77777777" w:rsidR="00933C62" w:rsidRPr="00266741" w:rsidRDefault="00933C62" w:rsidP="006E6C4E">
            <w:pPr>
              <w:spacing w:line="240" w:lineRule="auto"/>
              <w:jc w:val="right"/>
            </w:pPr>
            <w:r w:rsidRPr="00266741">
              <w:t>91</w:t>
            </w:r>
          </w:p>
        </w:tc>
        <w:tc>
          <w:tcPr>
            <w:tcW w:w="316" w:type="dxa"/>
          </w:tcPr>
          <w:p w14:paraId="4E96E0B4" w14:textId="77777777" w:rsidR="00933C62" w:rsidRPr="00266741" w:rsidRDefault="00933C62" w:rsidP="006E6C4E">
            <w:pPr>
              <w:spacing w:line="240" w:lineRule="auto"/>
              <w:jc w:val="right"/>
            </w:pPr>
            <w:r w:rsidRPr="00266741">
              <w:t>2</w:t>
            </w:r>
          </w:p>
        </w:tc>
        <w:tc>
          <w:tcPr>
            <w:tcW w:w="788" w:type="dxa"/>
          </w:tcPr>
          <w:p w14:paraId="0D37478A" w14:textId="77777777" w:rsidR="00933C62" w:rsidRPr="00266741" w:rsidRDefault="00933C62" w:rsidP="006E6C4E">
            <w:pPr>
              <w:spacing w:line="240" w:lineRule="auto"/>
            </w:pPr>
            <w:r w:rsidRPr="00266741">
              <w:t>130B</w:t>
            </w:r>
          </w:p>
          <w:p w14:paraId="1CC02D10" w14:textId="77777777" w:rsidR="00933C62" w:rsidRPr="00266741" w:rsidRDefault="00933C62" w:rsidP="006E6C4E">
            <w:pPr>
              <w:spacing w:line="240" w:lineRule="auto"/>
            </w:pPr>
            <w:r w:rsidRPr="00266741">
              <w:t>142</w:t>
            </w:r>
          </w:p>
        </w:tc>
        <w:tc>
          <w:tcPr>
            <w:tcW w:w="550" w:type="dxa"/>
          </w:tcPr>
          <w:p w14:paraId="138D6D92" w14:textId="77777777" w:rsidR="00933C62" w:rsidRDefault="00933C62" w:rsidP="006E6C4E">
            <w:pPr>
              <w:spacing w:line="240" w:lineRule="auto"/>
            </w:pPr>
            <w:r>
              <w:t>MA</w:t>
            </w:r>
          </w:p>
          <w:p w14:paraId="33B13AB4" w14:textId="77777777" w:rsidR="00933C62" w:rsidRPr="00266741" w:rsidRDefault="00933C62" w:rsidP="006E6C4E">
            <w:pPr>
              <w:spacing w:line="240" w:lineRule="auto"/>
            </w:pPr>
            <w:r>
              <w:t>YA</w:t>
            </w:r>
          </w:p>
        </w:tc>
        <w:tc>
          <w:tcPr>
            <w:tcW w:w="620" w:type="dxa"/>
          </w:tcPr>
          <w:p w14:paraId="3125DBDD" w14:textId="77777777" w:rsidR="00933C62" w:rsidRPr="00266741" w:rsidRDefault="00933C62" w:rsidP="006E6C4E">
            <w:pPr>
              <w:spacing w:line="240" w:lineRule="auto"/>
            </w:pPr>
            <w:r w:rsidRPr="00266741">
              <w:t>F</w:t>
            </w:r>
          </w:p>
          <w:p w14:paraId="14708A46" w14:textId="77777777" w:rsidR="00933C62" w:rsidRPr="00266741" w:rsidRDefault="00933C62" w:rsidP="006E6C4E">
            <w:pPr>
              <w:spacing w:line="240" w:lineRule="auto"/>
            </w:pPr>
            <w:r w:rsidRPr="00266741">
              <w:t>F</w:t>
            </w:r>
          </w:p>
        </w:tc>
        <w:tc>
          <w:tcPr>
            <w:tcW w:w="3204" w:type="dxa"/>
          </w:tcPr>
          <w:p w14:paraId="3C7562DE" w14:textId="77777777" w:rsidR="00933C62" w:rsidRPr="00266741" w:rsidRDefault="00933C62" w:rsidP="006E6C4E">
            <w:pPr>
              <w:spacing w:line="240" w:lineRule="auto"/>
            </w:pPr>
            <w:r>
              <w:t xml:space="preserve">Compression </w:t>
            </w:r>
            <w:r w:rsidRPr="00266741">
              <w:t>to R fem head</w:t>
            </w:r>
          </w:p>
          <w:p w14:paraId="7E5EA467" w14:textId="77777777" w:rsidR="00933C62" w:rsidRPr="00266741" w:rsidRDefault="00933C62" w:rsidP="006E6C4E">
            <w:pPr>
              <w:spacing w:line="240" w:lineRule="auto"/>
              <w:ind w:left="-796" w:right="-1858" w:firstLine="796"/>
            </w:pPr>
            <w:r>
              <w:t>Healing but infected (multiple</w:t>
            </w:r>
            <w:r w:rsidRPr="00266741">
              <w:t>)</w:t>
            </w:r>
          </w:p>
        </w:tc>
      </w:tr>
      <w:tr w:rsidR="00933C62" w:rsidRPr="00266741" w14:paraId="6380D969" w14:textId="77777777" w:rsidTr="006E6C4E">
        <w:tc>
          <w:tcPr>
            <w:tcW w:w="1149" w:type="dxa"/>
          </w:tcPr>
          <w:p w14:paraId="20F3D579" w14:textId="77777777" w:rsidR="00933C62" w:rsidRPr="00266741" w:rsidRDefault="00933C62" w:rsidP="006E6C4E">
            <w:pPr>
              <w:spacing w:line="240" w:lineRule="auto"/>
            </w:pPr>
            <w:r w:rsidRPr="00266741">
              <w:t>L tibia</w:t>
            </w:r>
          </w:p>
        </w:tc>
        <w:tc>
          <w:tcPr>
            <w:tcW w:w="471" w:type="dxa"/>
          </w:tcPr>
          <w:p w14:paraId="45514771" w14:textId="77777777" w:rsidR="00933C62" w:rsidRPr="00266741" w:rsidRDefault="00933C62" w:rsidP="006E6C4E">
            <w:pPr>
              <w:spacing w:line="240" w:lineRule="auto"/>
              <w:jc w:val="right"/>
            </w:pPr>
            <w:r w:rsidRPr="00266741">
              <w:t>2</w:t>
            </w:r>
          </w:p>
        </w:tc>
        <w:tc>
          <w:tcPr>
            <w:tcW w:w="516" w:type="dxa"/>
          </w:tcPr>
          <w:p w14:paraId="5A2E94A3" w14:textId="77777777" w:rsidR="00933C62" w:rsidRPr="00266741" w:rsidRDefault="00933C62" w:rsidP="006E6C4E">
            <w:pPr>
              <w:spacing w:line="240" w:lineRule="auto"/>
              <w:jc w:val="right"/>
            </w:pPr>
            <w:r w:rsidRPr="00266741">
              <w:t>88</w:t>
            </w:r>
          </w:p>
        </w:tc>
        <w:tc>
          <w:tcPr>
            <w:tcW w:w="316" w:type="dxa"/>
          </w:tcPr>
          <w:p w14:paraId="48092235" w14:textId="77777777" w:rsidR="00933C62" w:rsidRPr="00266741" w:rsidRDefault="00933C62" w:rsidP="006E6C4E">
            <w:pPr>
              <w:spacing w:line="240" w:lineRule="auto"/>
              <w:jc w:val="right"/>
            </w:pPr>
            <w:r w:rsidRPr="00266741">
              <w:t>2</w:t>
            </w:r>
          </w:p>
        </w:tc>
        <w:tc>
          <w:tcPr>
            <w:tcW w:w="788" w:type="dxa"/>
          </w:tcPr>
          <w:p w14:paraId="217221CC" w14:textId="77777777" w:rsidR="00933C62" w:rsidRPr="00266741" w:rsidRDefault="00933C62" w:rsidP="006E6C4E">
            <w:pPr>
              <w:spacing w:line="240" w:lineRule="auto"/>
            </w:pPr>
            <w:r w:rsidRPr="00266741">
              <w:t>68</w:t>
            </w:r>
          </w:p>
          <w:p w14:paraId="32876115" w14:textId="77777777" w:rsidR="00933C62" w:rsidRPr="00266741" w:rsidRDefault="00933C62" w:rsidP="006E6C4E">
            <w:pPr>
              <w:spacing w:line="240" w:lineRule="auto"/>
            </w:pPr>
            <w:r w:rsidRPr="00266741">
              <w:t>74A</w:t>
            </w:r>
          </w:p>
        </w:tc>
        <w:tc>
          <w:tcPr>
            <w:tcW w:w="550" w:type="dxa"/>
          </w:tcPr>
          <w:p w14:paraId="0EA43188" w14:textId="77777777" w:rsidR="00933C62" w:rsidRDefault="00933C62" w:rsidP="006E6C4E">
            <w:pPr>
              <w:spacing w:line="240" w:lineRule="auto"/>
            </w:pPr>
            <w:r>
              <w:t>MA</w:t>
            </w:r>
          </w:p>
          <w:p w14:paraId="4C0CEC26" w14:textId="77777777" w:rsidR="00933C62" w:rsidRPr="00266741" w:rsidRDefault="00933C62" w:rsidP="006E6C4E">
            <w:pPr>
              <w:spacing w:line="240" w:lineRule="auto"/>
            </w:pPr>
            <w:r>
              <w:t>MA</w:t>
            </w:r>
          </w:p>
        </w:tc>
        <w:tc>
          <w:tcPr>
            <w:tcW w:w="620" w:type="dxa"/>
          </w:tcPr>
          <w:p w14:paraId="26CC3B0F" w14:textId="77777777" w:rsidR="00933C62" w:rsidRPr="00266741" w:rsidRDefault="00933C62" w:rsidP="006E6C4E">
            <w:pPr>
              <w:spacing w:line="240" w:lineRule="auto"/>
            </w:pPr>
            <w:r w:rsidRPr="00266741">
              <w:t>F?</w:t>
            </w:r>
          </w:p>
          <w:p w14:paraId="04026C58" w14:textId="77777777" w:rsidR="00933C62" w:rsidRPr="00266741" w:rsidRDefault="00933C62" w:rsidP="006E6C4E">
            <w:pPr>
              <w:spacing w:line="240" w:lineRule="auto"/>
            </w:pPr>
            <w:r w:rsidRPr="00266741">
              <w:t>M?</w:t>
            </w:r>
          </w:p>
        </w:tc>
        <w:tc>
          <w:tcPr>
            <w:tcW w:w="3204" w:type="dxa"/>
          </w:tcPr>
          <w:p w14:paraId="6C0320CA" w14:textId="77777777" w:rsidR="00933C62" w:rsidRPr="00266741" w:rsidRDefault="00933C62" w:rsidP="006E6C4E">
            <w:pPr>
              <w:spacing w:line="240" w:lineRule="auto"/>
            </w:pPr>
            <w:r>
              <w:t xml:space="preserve">Healing </w:t>
            </w:r>
          </w:p>
          <w:p w14:paraId="4F0DE7C2" w14:textId="77777777" w:rsidR="00933C62" w:rsidRPr="00266741" w:rsidRDefault="00933C62" w:rsidP="006E6C4E">
            <w:pPr>
              <w:spacing w:line="240" w:lineRule="auto"/>
              <w:ind w:right="-1858"/>
            </w:pPr>
            <w:r>
              <w:t>Healing</w:t>
            </w:r>
            <w:r w:rsidRPr="00266741">
              <w:t xml:space="preserve"> with osteomyelitis</w:t>
            </w:r>
          </w:p>
        </w:tc>
      </w:tr>
      <w:tr w:rsidR="00933C62" w:rsidRPr="00266741" w14:paraId="34231FE8" w14:textId="77777777" w:rsidTr="006E6C4E">
        <w:tc>
          <w:tcPr>
            <w:tcW w:w="1149" w:type="dxa"/>
          </w:tcPr>
          <w:p w14:paraId="61218C7A" w14:textId="77777777" w:rsidR="00933C62" w:rsidRPr="00266741" w:rsidRDefault="00933C62" w:rsidP="006E6C4E">
            <w:pPr>
              <w:spacing w:line="240" w:lineRule="auto"/>
            </w:pPr>
            <w:r w:rsidRPr="00266741">
              <w:t>R tibia</w:t>
            </w:r>
          </w:p>
        </w:tc>
        <w:tc>
          <w:tcPr>
            <w:tcW w:w="471" w:type="dxa"/>
          </w:tcPr>
          <w:p w14:paraId="5F16FD69" w14:textId="77777777" w:rsidR="00933C62" w:rsidRPr="00266741" w:rsidRDefault="00933C62" w:rsidP="006E6C4E">
            <w:pPr>
              <w:spacing w:line="240" w:lineRule="auto"/>
              <w:jc w:val="right"/>
            </w:pPr>
            <w:r w:rsidRPr="00266741">
              <w:t>2</w:t>
            </w:r>
          </w:p>
        </w:tc>
        <w:tc>
          <w:tcPr>
            <w:tcW w:w="516" w:type="dxa"/>
          </w:tcPr>
          <w:p w14:paraId="10047DDD" w14:textId="77777777" w:rsidR="00933C62" w:rsidRPr="00266741" w:rsidRDefault="00933C62" w:rsidP="006E6C4E">
            <w:pPr>
              <w:spacing w:line="240" w:lineRule="auto"/>
              <w:jc w:val="right"/>
            </w:pPr>
            <w:r w:rsidRPr="00266741">
              <w:t>88</w:t>
            </w:r>
          </w:p>
        </w:tc>
        <w:tc>
          <w:tcPr>
            <w:tcW w:w="316" w:type="dxa"/>
          </w:tcPr>
          <w:p w14:paraId="175D3D29" w14:textId="77777777" w:rsidR="00933C62" w:rsidRPr="00266741" w:rsidRDefault="00933C62" w:rsidP="006E6C4E">
            <w:pPr>
              <w:spacing w:line="240" w:lineRule="auto"/>
              <w:jc w:val="right"/>
            </w:pPr>
            <w:r w:rsidRPr="00266741">
              <w:t>2</w:t>
            </w:r>
          </w:p>
        </w:tc>
        <w:tc>
          <w:tcPr>
            <w:tcW w:w="788" w:type="dxa"/>
          </w:tcPr>
          <w:p w14:paraId="6F00185F" w14:textId="77777777" w:rsidR="00933C62" w:rsidRPr="00266741" w:rsidRDefault="00933C62" w:rsidP="006E6C4E">
            <w:pPr>
              <w:spacing w:line="240" w:lineRule="auto"/>
            </w:pPr>
            <w:r w:rsidRPr="00266741">
              <w:t>112</w:t>
            </w:r>
          </w:p>
          <w:p w14:paraId="71B3E37A" w14:textId="77777777" w:rsidR="00933C62" w:rsidRPr="00266741" w:rsidRDefault="00933C62" w:rsidP="006E6C4E">
            <w:pPr>
              <w:spacing w:line="240" w:lineRule="auto"/>
            </w:pPr>
            <w:r w:rsidRPr="00266741">
              <w:t>142</w:t>
            </w:r>
          </w:p>
        </w:tc>
        <w:tc>
          <w:tcPr>
            <w:tcW w:w="550" w:type="dxa"/>
          </w:tcPr>
          <w:p w14:paraId="1D2ABFFA" w14:textId="77777777" w:rsidR="00933C62" w:rsidRDefault="00933C62" w:rsidP="006E6C4E">
            <w:pPr>
              <w:spacing w:line="240" w:lineRule="auto"/>
            </w:pPr>
            <w:r>
              <w:t>YA</w:t>
            </w:r>
          </w:p>
          <w:p w14:paraId="0C1388A7" w14:textId="77777777" w:rsidR="00933C62" w:rsidRPr="00266741" w:rsidRDefault="00933C62" w:rsidP="006E6C4E">
            <w:pPr>
              <w:spacing w:line="240" w:lineRule="auto"/>
            </w:pPr>
            <w:r>
              <w:t>YA</w:t>
            </w:r>
          </w:p>
        </w:tc>
        <w:tc>
          <w:tcPr>
            <w:tcW w:w="620" w:type="dxa"/>
          </w:tcPr>
          <w:p w14:paraId="646E364C" w14:textId="77777777" w:rsidR="00933C62" w:rsidRPr="00266741" w:rsidRDefault="00933C62" w:rsidP="006E6C4E">
            <w:pPr>
              <w:spacing w:line="240" w:lineRule="auto"/>
            </w:pPr>
            <w:r w:rsidRPr="00266741">
              <w:t>F?</w:t>
            </w:r>
          </w:p>
          <w:p w14:paraId="7325F452" w14:textId="77777777" w:rsidR="00933C62" w:rsidRPr="00266741" w:rsidRDefault="00933C62" w:rsidP="006E6C4E">
            <w:pPr>
              <w:spacing w:line="240" w:lineRule="auto"/>
            </w:pPr>
            <w:r w:rsidRPr="00266741">
              <w:t>F</w:t>
            </w:r>
          </w:p>
        </w:tc>
        <w:tc>
          <w:tcPr>
            <w:tcW w:w="3204" w:type="dxa"/>
          </w:tcPr>
          <w:p w14:paraId="121AF184" w14:textId="77777777" w:rsidR="00933C62" w:rsidRPr="00266741" w:rsidRDefault="00933C62" w:rsidP="006E6C4E">
            <w:pPr>
              <w:spacing w:line="240" w:lineRule="auto"/>
            </w:pPr>
            <w:r>
              <w:t>Healed</w:t>
            </w:r>
          </w:p>
          <w:p w14:paraId="2EB01505" w14:textId="77777777" w:rsidR="00933C62" w:rsidRPr="00266741" w:rsidRDefault="00933C62" w:rsidP="006E6C4E">
            <w:pPr>
              <w:spacing w:line="240" w:lineRule="auto"/>
              <w:ind w:right="-1858"/>
            </w:pPr>
            <w:r>
              <w:t>Healing infected (multiple</w:t>
            </w:r>
            <w:r w:rsidRPr="00266741">
              <w:t>)</w:t>
            </w:r>
          </w:p>
        </w:tc>
      </w:tr>
      <w:tr w:rsidR="00933C62" w:rsidRPr="00266741" w14:paraId="584F1323" w14:textId="77777777" w:rsidTr="006E6C4E">
        <w:tc>
          <w:tcPr>
            <w:tcW w:w="1149" w:type="dxa"/>
          </w:tcPr>
          <w:p w14:paraId="428BDEDF" w14:textId="77777777" w:rsidR="00933C62" w:rsidRPr="00266741" w:rsidRDefault="00933C62" w:rsidP="006E6C4E">
            <w:pPr>
              <w:spacing w:line="240" w:lineRule="auto"/>
            </w:pPr>
            <w:r w:rsidRPr="00266741">
              <w:t>L fibula</w:t>
            </w:r>
          </w:p>
        </w:tc>
        <w:tc>
          <w:tcPr>
            <w:tcW w:w="471" w:type="dxa"/>
          </w:tcPr>
          <w:p w14:paraId="0AF1F7D1" w14:textId="77777777" w:rsidR="00933C62" w:rsidRPr="00266741" w:rsidRDefault="00933C62" w:rsidP="006E6C4E">
            <w:pPr>
              <w:spacing w:line="240" w:lineRule="auto"/>
              <w:jc w:val="right"/>
            </w:pPr>
            <w:r w:rsidRPr="00266741">
              <w:t>3</w:t>
            </w:r>
          </w:p>
        </w:tc>
        <w:tc>
          <w:tcPr>
            <w:tcW w:w="516" w:type="dxa"/>
          </w:tcPr>
          <w:p w14:paraId="7FBCC87D" w14:textId="77777777" w:rsidR="00933C62" w:rsidRPr="00266741" w:rsidRDefault="00933C62" w:rsidP="006E6C4E">
            <w:pPr>
              <w:spacing w:line="240" w:lineRule="auto"/>
              <w:jc w:val="right"/>
            </w:pPr>
            <w:r w:rsidRPr="00266741">
              <w:t>58</w:t>
            </w:r>
          </w:p>
        </w:tc>
        <w:tc>
          <w:tcPr>
            <w:tcW w:w="316" w:type="dxa"/>
          </w:tcPr>
          <w:p w14:paraId="08647320" w14:textId="77777777" w:rsidR="00933C62" w:rsidRPr="00266741" w:rsidRDefault="00933C62" w:rsidP="006E6C4E">
            <w:pPr>
              <w:spacing w:line="240" w:lineRule="auto"/>
              <w:jc w:val="right"/>
            </w:pPr>
            <w:r w:rsidRPr="00266741">
              <w:t>5</w:t>
            </w:r>
          </w:p>
        </w:tc>
        <w:tc>
          <w:tcPr>
            <w:tcW w:w="788" w:type="dxa"/>
          </w:tcPr>
          <w:p w14:paraId="10A15517" w14:textId="77777777" w:rsidR="00933C62" w:rsidRPr="00266741" w:rsidRDefault="00933C62" w:rsidP="006E6C4E">
            <w:pPr>
              <w:spacing w:line="240" w:lineRule="auto"/>
            </w:pPr>
            <w:r w:rsidRPr="00266741">
              <w:t>23</w:t>
            </w:r>
          </w:p>
          <w:p w14:paraId="184A0B41" w14:textId="77777777" w:rsidR="00933C62" w:rsidRPr="00266741" w:rsidRDefault="00933C62" w:rsidP="006E6C4E">
            <w:pPr>
              <w:spacing w:line="240" w:lineRule="auto"/>
            </w:pPr>
            <w:r w:rsidRPr="00266741">
              <w:t>112</w:t>
            </w:r>
          </w:p>
          <w:p w14:paraId="6B9E836B" w14:textId="77777777" w:rsidR="00933C62" w:rsidRPr="00266741" w:rsidRDefault="00933C62" w:rsidP="006E6C4E">
            <w:pPr>
              <w:spacing w:line="240" w:lineRule="auto"/>
            </w:pPr>
            <w:r w:rsidRPr="00266741">
              <w:t>168</w:t>
            </w:r>
          </w:p>
        </w:tc>
        <w:tc>
          <w:tcPr>
            <w:tcW w:w="550" w:type="dxa"/>
          </w:tcPr>
          <w:p w14:paraId="3B2492A9" w14:textId="77777777" w:rsidR="00933C62" w:rsidRDefault="00933C62" w:rsidP="006E6C4E">
            <w:pPr>
              <w:spacing w:line="240" w:lineRule="auto"/>
            </w:pPr>
            <w:r>
              <w:t>MA</w:t>
            </w:r>
          </w:p>
          <w:p w14:paraId="051B41BA" w14:textId="77777777" w:rsidR="00933C62" w:rsidRDefault="00933C62" w:rsidP="006E6C4E">
            <w:pPr>
              <w:spacing w:line="240" w:lineRule="auto"/>
            </w:pPr>
            <w:r>
              <w:t>YA</w:t>
            </w:r>
          </w:p>
          <w:p w14:paraId="01B5385E" w14:textId="77777777" w:rsidR="00933C62" w:rsidRPr="00266741" w:rsidRDefault="00933C62" w:rsidP="006E6C4E">
            <w:pPr>
              <w:spacing w:line="240" w:lineRule="auto"/>
            </w:pPr>
            <w:r>
              <w:t>MA</w:t>
            </w:r>
          </w:p>
        </w:tc>
        <w:tc>
          <w:tcPr>
            <w:tcW w:w="620" w:type="dxa"/>
          </w:tcPr>
          <w:p w14:paraId="20401FAE" w14:textId="77777777" w:rsidR="00933C62" w:rsidRPr="00266741" w:rsidRDefault="00933C62" w:rsidP="006E6C4E">
            <w:pPr>
              <w:spacing w:line="240" w:lineRule="auto"/>
            </w:pPr>
            <w:r w:rsidRPr="00266741">
              <w:t>F</w:t>
            </w:r>
          </w:p>
          <w:p w14:paraId="570C0C29" w14:textId="77777777" w:rsidR="00933C62" w:rsidRPr="00266741" w:rsidRDefault="00933C62" w:rsidP="006E6C4E">
            <w:pPr>
              <w:spacing w:line="240" w:lineRule="auto"/>
            </w:pPr>
            <w:r w:rsidRPr="00266741">
              <w:t>F</w:t>
            </w:r>
          </w:p>
          <w:p w14:paraId="043B6959" w14:textId="77777777" w:rsidR="00933C62" w:rsidRPr="00266741" w:rsidRDefault="00933C62" w:rsidP="006E6C4E">
            <w:pPr>
              <w:spacing w:line="240" w:lineRule="auto"/>
            </w:pPr>
            <w:r w:rsidRPr="00266741">
              <w:t>F?</w:t>
            </w:r>
          </w:p>
        </w:tc>
        <w:tc>
          <w:tcPr>
            <w:tcW w:w="3204" w:type="dxa"/>
          </w:tcPr>
          <w:p w14:paraId="764536BF" w14:textId="0552527C" w:rsidR="00933C62" w:rsidRPr="00266741" w:rsidRDefault="00933C62" w:rsidP="006E6C4E">
            <w:pPr>
              <w:spacing w:line="240" w:lineRule="auto"/>
            </w:pPr>
            <w:r w:rsidRPr="00266741">
              <w:t>Hea</w:t>
            </w:r>
            <w:r>
              <w:t>led</w:t>
            </w:r>
            <w:r w:rsidRPr="00266741">
              <w:t xml:space="preserve"> (</w:t>
            </w:r>
            <w:r w:rsidR="005544F1" w:rsidRPr="00266741">
              <w:t>bilat</w:t>
            </w:r>
            <w:r w:rsidR="005544F1">
              <w:t>eral</w:t>
            </w:r>
            <w:r w:rsidRPr="00266741">
              <w:t>)</w:t>
            </w:r>
          </w:p>
          <w:p w14:paraId="58523F29" w14:textId="77777777" w:rsidR="00933C62" w:rsidRPr="00266741" w:rsidRDefault="00933C62" w:rsidP="006E6C4E">
            <w:pPr>
              <w:spacing w:line="240" w:lineRule="auto"/>
            </w:pPr>
            <w:r>
              <w:t>Healing</w:t>
            </w:r>
          </w:p>
          <w:p w14:paraId="664DF8CF" w14:textId="77777777" w:rsidR="00933C62" w:rsidRPr="00266741" w:rsidRDefault="00933C62" w:rsidP="006E6C4E">
            <w:pPr>
              <w:spacing w:line="240" w:lineRule="auto"/>
            </w:pPr>
            <w:r>
              <w:t>Healed</w:t>
            </w:r>
          </w:p>
        </w:tc>
      </w:tr>
      <w:tr w:rsidR="00933C62" w:rsidRPr="00266741" w14:paraId="7400D539" w14:textId="77777777" w:rsidTr="006E6C4E">
        <w:tc>
          <w:tcPr>
            <w:tcW w:w="1149" w:type="dxa"/>
          </w:tcPr>
          <w:p w14:paraId="6C9DFBCE" w14:textId="77777777" w:rsidR="00933C62" w:rsidRPr="00266741" w:rsidRDefault="00933C62" w:rsidP="006E6C4E">
            <w:pPr>
              <w:spacing w:line="240" w:lineRule="auto"/>
            </w:pPr>
            <w:r w:rsidRPr="00266741">
              <w:t>R fibula</w:t>
            </w:r>
          </w:p>
        </w:tc>
        <w:tc>
          <w:tcPr>
            <w:tcW w:w="471" w:type="dxa"/>
          </w:tcPr>
          <w:p w14:paraId="03D202BA" w14:textId="77777777" w:rsidR="00933C62" w:rsidRPr="00266741" w:rsidRDefault="00933C62" w:rsidP="006E6C4E">
            <w:pPr>
              <w:spacing w:line="240" w:lineRule="auto"/>
              <w:jc w:val="right"/>
            </w:pPr>
            <w:r w:rsidRPr="00266741">
              <w:t>3</w:t>
            </w:r>
          </w:p>
        </w:tc>
        <w:tc>
          <w:tcPr>
            <w:tcW w:w="516" w:type="dxa"/>
          </w:tcPr>
          <w:p w14:paraId="2ABF5AD6" w14:textId="77777777" w:rsidR="00933C62" w:rsidRPr="00266741" w:rsidRDefault="00933C62" w:rsidP="006E6C4E">
            <w:pPr>
              <w:spacing w:line="240" w:lineRule="auto"/>
              <w:jc w:val="right"/>
            </w:pPr>
            <w:r w:rsidRPr="00266741">
              <w:t>54</w:t>
            </w:r>
          </w:p>
        </w:tc>
        <w:tc>
          <w:tcPr>
            <w:tcW w:w="316" w:type="dxa"/>
          </w:tcPr>
          <w:p w14:paraId="0A0C7F3D" w14:textId="77777777" w:rsidR="00933C62" w:rsidRPr="00266741" w:rsidRDefault="00933C62" w:rsidP="006E6C4E">
            <w:pPr>
              <w:spacing w:line="240" w:lineRule="auto"/>
              <w:jc w:val="right"/>
            </w:pPr>
            <w:r w:rsidRPr="00266741">
              <w:t>6</w:t>
            </w:r>
          </w:p>
        </w:tc>
        <w:tc>
          <w:tcPr>
            <w:tcW w:w="788" w:type="dxa"/>
          </w:tcPr>
          <w:p w14:paraId="1C7A032E" w14:textId="77777777" w:rsidR="00933C62" w:rsidRPr="00266741" w:rsidRDefault="00933C62" w:rsidP="006E6C4E">
            <w:pPr>
              <w:spacing w:line="240" w:lineRule="auto"/>
            </w:pPr>
            <w:r w:rsidRPr="00266741">
              <w:t>14B</w:t>
            </w:r>
          </w:p>
          <w:p w14:paraId="0FD8C226" w14:textId="77777777" w:rsidR="00933C62" w:rsidRPr="00266741" w:rsidRDefault="00933C62" w:rsidP="006E6C4E">
            <w:pPr>
              <w:spacing w:line="240" w:lineRule="auto"/>
            </w:pPr>
            <w:r w:rsidRPr="00266741">
              <w:t>23</w:t>
            </w:r>
          </w:p>
          <w:p w14:paraId="099CD565" w14:textId="77777777" w:rsidR="00933C62" w:rsidRPr="00266741" w:rsidRDefault="00933C62" w:rsidP="006E6C4E">
            <w:pPr>
              <w:spacing w:line="240" w:lineRule="auto"/>
            </w:pPr>
            <w:r w:rsidRPr="00266741">
              <w:t>142</w:t>
            </w:r>
          </w:p>
        </w:tc>
        <w:tc>
          <w:tcPr>
            <w:tcW w:w="550" w:type="dxa"/>
          </w:tcPr>
          <w:p w14:paraId="60B32FE6" w14:textId="77777777" w:rsidR="00933C62" w:rsidRDefault="00933C62" w:rsidP="006E6C4E">
            <w:pPr>
              <w:spacing w:line="240" w:lineRule="auto"/>
            </w:pPr>
            <w:r>
              <w:t>MA</w:t>
            </w:r>
          </w:p>
          <w:p w14:paraId="55416AD6" w14:textId="77777777" w:rsidR="00933C62" w:rsidRDefault="00933C62" w:rsidP="006E6C4E">
            <w:pPr>
              <w:spacing w:line="240" w:lineRule="auto"/>
            </w:pPr>
            <w:r>
              <w:t>MA</w:t>
            </w:r>
          </w:p>
          <w:p w14:paraId="49AC7D3E" w14:textId="77777777" w:rsidR="00933C62" w:rsidRPr="00266741" w:rsidRDefault="00933C62" w:rsidP="006E6C4E">
            <w:pPr>
              <w:spacing w:line="240" w:lineRule="auto"/>
            </w:pPr>
            <w:r>
              <w:t>YA</w:t>
            </w:r>
          </w:p>
        </w:tc>
        <w:tc>
          <w:tcPr>
            <w:tcW w:w="620" w:type="dxa"/>
          </w:tcPr>
          <w:p w14:paraId="794D83C5" w14:textId="77777777" w:rsidR="00933C62" w:rsidRPr="00266741" w:rsidRDefault="00933C62" w:rsidP="006E6C4E">
            <w:pPr>
              <w:spacing w:line="240" w:lineRule="auto"/>
            </w:pPr>
            <w:r w:rsidRPr="00266741">
              <w:t>F</w:t>
            </w:r>
          </w:p>
          <w:p w14:paraId="2DC50B03" w14:textId="77777777" w:rsidR="00933C62" w:rsidRPr="00266741" w:rsidRDefault="00933C62" w:rsidP="006E6C4E">
            <w:pPr>
              <w:spacing w:line="240" w:lineRule="auto"/>
            </w:pPr>
            <w:r w:rsidRPr="00266741">
              <w:t>F</w:t>
            </w:r>
          </w:p>
          <w:p w14:paraId="7B444209" w14:textId="77777777" w:rsidR="00933C62" w:rsidRPr="00266741" w:rsidRDefault="00933C62" w:rsidP="006E6C4E">
            <w:pPr>
              <w:spacing w:line="240" w:lineRule="auto"/>
            </w:pPr>
            <w:r w:rsidRPr="00266741">
              <w:t>F</w:t>
            </w:r>
          </w:p>
        </w:tc>
        <w:tc>
          <w:tcPr>
            <w:tcW w:w="3204" w:type="dxa"/>
          </w:tcPr>
          <w:p w14:paraId="04A64C35" w14:textId="77777777" w:rsidR="00933C62" w:rsidRPr="00266741" w:rsidRDefault="00933C62" w:rsidP="006E6C4E">
            <w:pPr>
              <w:spacing w:line="240" w:lineRule="auto"/>
              <w:ind w:left="-796" w:right="-1858" w:firstLine="796"/>
            </w:pPr>
            <w:r>
              <w:t>Healed</w:t>
            </w:r>
            <w:r w:rsidRPr="00266741">
              <w:t xml:space="preserve"> (offset)</w:t>
            </w:r>
          </w:p>
          <w:p w14:paraId="7AC64752" w14:textId="39E4ECAD" w:rsidR="00933C62" w:rsidRPr="00266741" w:rsidRDefault="00933C62" w:rsidP="006E6C4E">
            <w:pPr>
              <w:spacing w:line="240" w:lineRule="auto"/>
            </w:pPr>
            <w:r>
              <w:t>Healed</w:t>
            </w:r>
            <w:r w:rsidRPr="00266741">
              <w:t xml:space="preserve"> (</w:t>
            </w:r>
            <w:r w:rsidR="005544F1" w:rsidRPr="00266741">
              <w:t>bilat</w:t>
            </w:r>
            <w:r w:rsidR="005544F1">
              <w:t>eral</w:t>
            </w:r>
            <w:r w:rsidRPr="00266741">
              <w:t>)</w:t>
            </w:r>
          </w:p>
          <w:p w14:paraId="23AB0C3A" w14:textId="41CEABD0" w:rsidR="00933C62" w:rsidRPr="00266741" w:rsidRDefault="00933C62" w:rsidP="006E6C4E">
            <w:pPr>
              <w:spacing w:line="240" w:lineRule="auto"/>
              <w:ind w:left="-796" w:right="-1858" w:firstLine="796"/>
            </w:pPr>
            <w:r>
              <w:t>Healing</w:t>
            </w:r>
            <w:r w:rsidRPr="00266741">
              <w:t xml:space="preserve"> (multiple </w:t>
            </w:r>
            <w:r w:rsidR="005544F1">
              <w:t>fractures</w:t>
            </w:r>
            <w:r w:rsidRPr="00266741">
              <w:t>)</w:t>
            </w:r>
          </w:p>
        </w:tc>
      </w:tr>
      <w:tr w:rsidR="00933C62" w:rsidRPr="00266741" w14:paraId="53725437" w14:textId="77777777" w:rsidTr="006E6C4E">
        <w:tc>
          <w:tcPr>
            <w:tcW w:w="1149" w:type="dxa"/>
          </w:tcPr>
          <w:p w14:paraId="5F00E8D6" w14:textId="77777777" w:rsidR="00933C62" w:rsidRPr="00266741" w:rsidRDefault="00933C62" w:rsidP="006E6C4E">
            <w:pPr>
              <w:spacing w:line="240" w:lineRule="auto"/>
            </w:pPr>
            <w:r>
              <w:t>Lower limb totals</w:t>
            </w:r>
          </w:p>
        </w:tc>
        <w:tc>
          <w:tcPr>
            <w:tcW w:w="471" w:type="dxa"/>
          </w:tcPr>
          <w:p w14:paraId="40F140C5" w14:textId="77777777" w:rsidR="00933C62" w:rsidRPr="00266741" w:rsidRDefault="00933C62" w:rsidP="006E6C4E">
            <w:pPr>
              <w:spacing w:line="240" w:lineRule="auto"/>
              <w:jc w:val="right"/>
            </w:pPr>
            <w:r>
              <w:t>15</w:t>
            </w:r>
          </w:p>
        </w:tc>
        <w:tc>
          <w:tcPr>
            <w:tcW w:w="516" w:type="dxa"/>
          </w:tcPr>
          <w:p w14:paraId="024E960B" w14:textId="77777777" w:rsidR="00933C62" w:rsidRPr="00266741" w:rsidRDefault="00933C62" w:rsidP="006E6C4E">
            <w:pPr>
              <w:spacing w:line="240" w:lineRule="auto"/>
              <w:jc w:val="right"/>
            </w:pPr>
            <w:r>
              <w:t>469</w:t>
            </w:r>
          </w:p>
        </w:tc>
        <w:tc>
          <w:tcPr>
            <w:tcW w:w="316" w:type="dxa"/>
          </w:tcPr>
          <w:p w14:paraId="1BDEDA9F" w14:textId="77777777" w:rsidR="00933C62" w:rsidRPr="00266741" w:rsidRDefault="00933C62" w:rsidP="006E6C4E">
            <w:pPr>
              <w:spacing w:line="240" w:lineRule="auto"/>
              <w:jc w:val="right"/>
            </w:pPr>
            <w:r>
              <w:t>3</w:t>
            </w:r>
          </w:p>
        </w:tc>
        <w:tc>
          <w:tcPr>
            <w:tcW w:w="788" w:type="dxa"/>
          </w:tcPr>
          <w:p w14:paraId="4F75C933" w14:textId="77777777" w:rsidR="00933C62" w:rsidRPr="00266741" w:rsidRDefault="00933C62" w:rsidP="006E6C4E">
            <w:pPr>
              <w:spacing w:line="240" w:lineRule="auto"/>
            </w:pPr>
          </w:p>
        </w:tc>
        <w:tc>
          <w:tcPr>
            <w:tcW w:w="550" w:type="dxa"/>
          </w:tcPr>
          <w:p w14:paraId="74B48649" w14:textId="77777777" w:rsidR="00933C62" w:rsidRPr="00266741" w:rsidRDefault="00933C62" w:rsidP="006E6C4E">
            <w:pPr>
              <w:spacing w:line="240" w:lineRule="auto"/>
            </w:pPr>
          </w:p>
        </w:tc>
        <w:tc>
          <w:tcPr>
            <w:tcW w:w="620" w:type="dxa"/>
          </w:tcPr>
          <w:p w14:paraId="4C9099C7" w14:textId="77777777" w:rsidR="00933C62" w:rsidRPr="00266741" w:rsidRDefault="00933C62" w:rsidP="006E6C4E">
            <w:pPr>
              <w:spacing w:line="240" w:lineRule="auto"/>
            </w:pPr>
          </w:p>
        </w:tc>
        <w:tc>
          <w:tcPr>
            <w:tcW w:w="3204" w:type="dxa"/>
          </w:tcPr>
          <w:p w14:paraId="6268397D" w14:textId="77777777" w:rsidR="00933C62" w:rsidRDefault="00933C62" w:rsidP="006E6C4E">
            <w:pPr>
              <w:spacing w:line="240" w:lineRule="auto"/>
              <w:ind w:left="-796" w:right="-1858" w:firstLine="796"/>
            </w:pPr>
          </w:p>
        </w:tc>
      </w:tr>
    </w:tbl>
    <w:p w14:paraId="641599B8" w14:textId="77777777" w:rsidR="00933C62" w:rsidRDefault="00933C62" w:rsidP="00933C62">
      <w:pPr>
        <w:rPr>
          <w:rFonts w:ascii="Times New Roman" w:hAnsi="Times New Roman"/>
        </w:rPr>
      </w:pPr>
    </w:p>
    <w:p w14:paraId="2BB71C95" w14:textId="77777777" w:rsidR="00933C62" w:rsidRDefault="00933C62" w:rsidP="00933C62">
      <w:pPr>
        <w:ind w:firstLine="720"/>
        <w:rPr>
          <w:rFonts w:ascii="Times New Roman" w:hAnsi="Times New Roman"/>
        </w:rPr>
      </w:pPr>
      <w:r>
        <w:rPr>
          <w:rFonts w:ascii="Times New Roman" w:hAnsi="Times New Roman"/>
        </w:rPr>
        <w:t>Three lower body fractures were infected with osteomyelitis (two femurs and a tibia).  It is probable that these were initially open fractures (where the fractured bone breaks through muscle, fat, and skin to protrude into the air), which allowed pathogen entry.  Three additional fractures had periosteal reactions.  It is difficult to tell if the periosteal reactions were infection or simply trauma related.</w:t>
      </w:r>
    </w:p>
    <w:p w14:paraId="16129107" w14:textId="59102C61" w:rsidR="00933C62" w:rsidRDefault="00933C62" w:rsidP="00D70C0E">
      <w:pPr>
        <w:ind w:firstLine="720"/>
        <w:rPr>
          <w:rFonts w:ascii="Times New Roman" w:hAnsi="Times New Roman"/>
        </w:rPr>
      </w:pPr>
      <w:r>
        <w:rPr>
          <w:rFonts w:ascii="Times New Roman" w:hAnsi="Times New Roman"/>
        </w:rPr>
        <w:t xml:space="preserve">Lower limb fractures are presented by age class and sex in Table 14.  For each age class, the number of individuals with a lower limb fracture is presented (+), the number of observable individuals (n), and the frequency (+/n).  The table also presents </w:t>
      </w:r>
      <w:r w:rsidRPr="005A1202">
        <w:rPr>
          <w:rFonts w:ascii="Times New Roman" w:hAnsi="Times New Roman"/>
          <w:i/>
        </w:rPr>
        <w:t xml:space="preserve">p </w:t>
      </w:r>
      <w:r>
        <w:rPr>
          <w:rFonts w:ascii="Times New Roman" w:hAnsi="Times New Roman"/>
        </w:rPr>
        <w:t>values from a two-tailed Fisher’s Exact Test for males and females in each age class.  A total of 10 individuals, or 11% of the examined</w:t>
      </w:r>
      <w:r w:rsidR="00D70C0E">
        <w:rPr>
          <w:rFonts w:ascii="Times New Roman" w:hAnsi="Times New Roman"/>
        </w:rPr>
        <w:t xml:space="preserve"> population was observed with a</w:t>
      </w:r>
      <w:r>
        <w:rPr>
          <w:rFonts w:ascii="Times New Roman" w:hAnsi="Times New Roman"/>
        </w:rPr>
        <w:t xml:space="preserve"> lower limb fracture.</w:t>
      </w:r>
    </w:p>
    <w:p w14:paraId="565EDB6D" w14:textId="5C8369CA" w:rsidR="00933C62" w:rsidRPr="00D70C0E" w:rsidRDefault="00D70C0E" w:rsidP="00D70C0E">
      <w:pPr>
        <w:ind w:firstLine="720"/>
        <w:rPr>
          <w:rFonts w:ascii="Times New Roman" w:hAnsi="Times New Roman"/>
        </w:rPr>
      </w:pPr>
      <w:r>
        <w:rPr>
          <w:rFonts w:ascii="Times New Roman" w:hAnsi="Times New Roman"/>
        </w:rPr>
        <w:t>Of the 10 individuals with a lower limb fracture (Table 14), only one was a male (middle adult).  This sex difference is statistically significant (p=.01, two-tailed Fisher’s Exact Probability Test).  Perhaps surprisingly, no older adults were observed with lower limb fractures.  However young and middle adult females were equally likely to experience a lower limb fracture.  Additionally, several females were observed with multiple lower limb fractures.  These individuals are discussed in some detail below in the Summary and Discussion of Skeletal Trauma Section.</w:t>
      </w:r>
    </w:p>
    <w:p w14:paraId="1014D9CA" w14:textId="77777777" w:rsidR="00933C62" w:rsidRDefault="00933C62" w:rsidP="00133F61">
      <w:pPr>
        <w:pStyle w:val="Caption"/>
      </w:pPr>
    </w:p>
    <w:p w14:paraId="0AF3D129" w14:textId="77777777" w:rsidR="00933C62" w:rsidRDefault="00933C62" w:rsidP="00133F61">
      <w:pPr>
        <w:pStyle w:val="Caption"/>
      </w:pPr>
      <w:bookmarkStart w:id="80" w:name="_Toc261025242"/>
      <w:r>
        <w:t xml:space="preserve">Table </w:t>
      </w:r>
      <w:fldSimple w:instr=" SEQ Table \* ARABIC ">
        <w:r w:rsidR="00396EB3">
          <w:rPr>
            <w:noProof/>
          </w:rPr>
          <w:t>14</w:t>
        </w:r>
      </w:fldSimple>
      <w:r>
        <w:t xml:space="preserve">  Lower limb fractures by age and sex</w:t>
      </w:r>
      <w:bookmarkEnd w:id="80"/>
    </w:p>
    <w:p w14:paraId="46ABBCE7" w14:textId="77777777" w:rsidR="00933C62" w:rsidRPr="001B546D" w:rsidRDefault="00933C62" w:rsidP="00933C62">
      <w:pPr>
        <w:spacing w:line="240" w:lineRule="auto"/>
      </w:pPr>
    </w:p>
    <w:tbl>
      <w:tblPr>
        <w:tblStyle w:val="TableGrid"/>
        <w:tblW w:w="0" w:type="auto"/>
        <w:jc w:val="center"/>
        <w:tblLayout w:type="fixed"/>
        <w:tblLook w:val="04A0" w:firstRow="1" w:lastRow="0" w:firstColumn="1" w:lastColumn="0" w:noHBand="0" w:noVBand="1"/>
      </w:tblPr>
      <w:tblGrid>
        <w:gridCol w:w="828"/>
        <w:gridCol w:w="450"/>
        <w:gridCol w:w="630"/>
        <w:gridCol w:w="630"/>
        <w:gridCol w:w="630"/>
        <w:gridCol w:w="630"/>
        <w:gridCol w:w="756"/>
        <w:gridCol w:w="414"/>
        <w:gridCol w:w="558"/>
        <w:gridCol w:w="540"/>
        <w:gridCol w:w="522"/>
        <w:gridCol w:w="540"/>
        <w:gridCol w:w="828"/>
      </w:tblGrid>
      <w:tr w:rsidR="00933C62" w:rsidRPr="00084ACC" w14:paraId="027DDA7F" w14:textId="77777777" w:rsidTr="006E6C4E">
        <w:trPr>
          <w:jc w:val="center"/>
        </w:trPr>
        <w:tc>
          <w:tcPr>
            <w:tcW w:w="828" w:type="dxa"/>
          </w:tcPr>
          <w:p w14:paraId="457ACDCC" w14:textId="77777777" w:rsidR="00933C62" w:rsidRPr="00084ACC" w:rsidRDefault="00933C62" w:rsidP="006E6C4E">
            <w:pPr>
              <w:spacing w:line="240" w:lineRule="auto"/>
            </w:pPr>
          </w:p>
        </w:tc>
        <w:tc>
          <w:tcPr>
            <w:tcW w:w="1710" w:type="dxa"/>
            <w:gridSpan w:val="3"/>
          </w:tcPr>
          <w:p w14:paraId="1335E9D2" w14:textId="77777777" w:rsidR="00933C62" w:rsidRDefault="00933C62" w:rsidP="006E6C4E">
            <w:pPr>
              <w:spacing w:line="240" w:lineRule="auto"/>
              <w:jc w:val="center"/>
              <w:rPr>
                <w:b/>
              </w:rPr>
            </w:pPr>
            <w:r>
              <w:rPr>
                <w:b/>
              </w:rPr>
              <w:t xml:space="preserve">YA </w:t>
            </w:r>
          </w:p>
          <w:p w14:paraId="1657E78C" w14:textId="77777777" w:rsidR="00933C62" w:rsidRPr="00084ACC" w:rsidRDefault="00933C62" w:rsidP="006E6C4E">
            <w:pPr>
              <w:spacing w:line="240" w:lineRule="auto"/>
              <w:jc w:val="center"/>
              <w:rPr>
                <w:b/>
              </w:rPr>
            </w:pPr>
            <w:r w:rsidRPr="00084ACC">
              <w:rPr>
                <w:b/>
              </w:rPr>
              <w:t>15-35 yrs</w:t>
            </w:r>
          </w:p>
        </w:tc>
        <w:tc>
          <w:tcPr>
            <w:tcW w:w="2016" w:type="dxa"/>
            <w:gridSpan w:val="3"/>
          </w:tcPr>
          <w:p w14:paraId="455A998F" w14:textId="77777777" w:rsidR="00933C62" w:rsidRDefault="00933C62" w:rsidP="006E6C4E">
            <w:pPr>
              <w:spacing w:line="240" w:lineRule="auto"/>
              <w:jc w:val="center"/>
              <w:rPr>
                <w:b/>
              </w:rPr>
            </w:pPr>
            <w:r>
              <w:rPr>
                <w:b/>
              </w:rPr>
              <w:t xml:space="preserve">MA </w:t>
            </w:r>
          </w:p>
          <w:p w14:paraId="3FC1E987" w14:textId="77777777" w:rsidR="00933C62" w:rsidRPr="00084ACC" w:rsidRDefault="00933C62" w:rsidP="006E6C4E">
            <w:pPr>
              <w:spacing w:line="240" w:lineRule="auto"/>
              <w:jc w:val="center"/>
              <w:rPr>
                <w:b/>
              </w:rPr>
            </w:pPr>
            <w:r w:rsidRPr="00084ACC">
              <w:rPr>
                <w:b/>
              </w:rPr>
              <w:t>35 – 50 yrs</w:t>
            </w:r>
          </w:p>
        </w:tc>
        <w:tc>
          <w:tcPr>
            <w:tcW w:w="1512" w:type="dxa"/>
            <w:gridSpan w:val="3"/>
          </w:tcPr>
          <w:p w14:paraId="0D28AD13" w14:textId="77777777" w:rsidR="00933C62" w:rsidRDefault="00933C62" w:rsidP="006E6C4E">
            <w:pPr>
              <w:spacing w:line="240" w:lineRule="auto"/>
              <w:jc w:val="center"/>
              <w:rPr>
                <w:b/>
              </w:rPr>
            </w:pPr>
            <w:r>
              <w:rPr>
                <w:b/>
              </w:rPr>
              <w:t xml:space="preserve">OA </w:t>
            </w:r>
          </w:p>
          <w:p w14:paraId="6C845AE3" w14:textId="77777777" w:rsidR="00933C62" w:rsidRDefault="00933C62" w:rsidP="006E6C4E">
            <w:pPr>
              <w:spacing w:line="240" w:lineRule="auto"/>
              <w:jc w:val="center"/>
              <w:rPr>
                <w:b/>
              </w:rPr>
            </w:pPr>
            <w:r w:rsidRPr="00084ACC">
              <w:rPr>
                <w:b/>
              </w:rPr>
              <w:t>50+ yrs</w:t>
            </w:r>
          </w:p>
        </w:tc>
        <w:tc>
          <w:tcPr>
            <w:tcW w:w="1890" w:type="dxa"/>
            <w:gridSpan w:val="3"/>
          </w:tcPr>
          <w:p w14:paraId="2C9F9E04" w14:textId="77777777" w:rsidR="00933C62" w:rsidRDefault="00933C62" w:rsidP="006E6C4E">
            <w:pPr>
              <w:spacing w:line="240" w:lineRule="auto"/>
              <w:jc w:val="center"/>
              <w:rPr>
                <w:b/>
              </w:rPr>
            </w:pPr>
            <w:r>
              <w:rPr>
                <w:b/>
              </w:rPr>
              <w:t>Total</w:t>
            </w:r>
          </w:p>
        </w:tc>
      </w:tr>
      <w:tr w:rsidR="00933C62" w:rsidRPr="00084ACC" w14:paraId="02BF43B7" w14:textId="77777777" w:rsidTr="006E6C4E">
        <w:trPr>
          <w:jc w:val="center"/>
        </w:trPr>
        <w:tc>
          <w:tcPr>
            <w:tcW w:w="828" w:type="dxa"/>
          </w:tcPr>
          <w:p w14:paraId="3133E1DA" w14:textId="77777777" w:rsidR="00933C62" w:rsidRPr="00084ACC" w:rsidRDefault="00933C62" w:rsidP="006E6C4E">
            <w:pPr>
              <w:spacing w:line="240" w:lineRule="auto"/>
            </w:pPr>
          </w:p>
        </w:tc>
        <w:tc>
          <w:tcPr>
            <w:tcW w:w="450" w:type="dxa"/>
          </w:tcPr>
          <w:p w14:paraId="2E6C2604" w14:textId="77777777" w:rsidR="00933C62" w:rsidRPr="00084ACC" w:rsidRDefault="00933C62" w:rsidP="006E6C4E">
            <w:pPr>
              <w:spacing w:line="240" w:lineRule="auto"/>
              <w:jc w:val="center"/>
              <w:rPr>
                <w:b/>
              </w:rPr>
            </w:pPr>
            <w:r w:rsidRPr="00084ACC">
              <w:rPr>
                <w:b/>
              </w:rPr>
              <w:t>+</w:t>
            </w:r>
          </w:p>
        </w:tc>
        <w:tc>
          <w:tcPr>
            <w:tcW w:w="630" w:type="dxa"/>
          </w:tcPr>
          <w:p w14:paraId="05FB2C51" w14:textId="77777777" w:rsidR="00933C62" w:rsidRPr="00084ACC" w:rsidRDefault="00933C62" w:rsidP="006E6C4E">
            <w:pPr>
              <w:spacing w:line="240" w:lineRule="auto"/>
              <w:jc w:val="center"/>
              <w:rPr>
                <w:b/>
              </w:rPr>
            </w:pPr>
            <w:r>
              <w:rPr>
                <w:b/>
              </w:rPr>
              <w:t>n</w:t>
            </w:r>
          </w:p>
        </w:tc>
        <w:tc>
          <w:tcPr>
            <w:tcW w:w="630" w:type="dxa"/>
          </w:tcPr>
          <w:p w14:paraId="0FDFD022" w14:textId="77777777" w:rsidR="00933C62" w:rsidRPr="00AF4B96" w:rsidRDefault="00933C62" w:rsidP="006E6C4E">
            <w:pPr>
              <w:spacing w:line="240" w:lineRule="auto"/>
              <w:jc w:val="center"/>
              <w:rPr>
                <w:b/>
                <w:i/>
              </w:rPr>
            </w:pPr>
            <w:r w:rsidRPr="00AF4B96">
              <w:rPr>
                <w:b/>
                <w:i/>
              </w:rPr>
              <w:t>f</w:t>
            </w:r>
          </w:p>
        </w:tc>
        <w:tc>
          <w:tcPr>
            <w:tcW w:w="630" w:type="dxa"/>
          </w:tcPr>
          <w:p w14:paraId="18405E61" w14:textId="77777777" w:rsidR="00933C62" w:rsidRPr="00084ACC" w:rsidRDefault="00933C62" w:rsidP="006E6C4E">
            <w:pPr>
              <w:spacing w:line="240" w:lineRule="auto"/>
              <w:jc w:val="center"/>
              <w:rPr>
                <w:b/>
              </w:rPr>
            </w:pPr>
            <w:r w:rsidRPr="00084ACC">
              <w:rPr>
                <w:b/>
              </w:rPr>
              <w:t>+</w:t>
            </w:r>
          </w:p>
        </w:tc>
        <w:tc>
          <w:tcPr>
            <w:tcW w:w="630" w:type="dxa"/>
          </w:tcPr>
          <w:p w14:paraId="7871614A" w14:textId="77777777" w:rsidR="00933C62" w:rsidRPr="00084ACC" w:rsidRDefault="00933C62" w:rsidP="006E6C4E">
            <w:pPr>
              <w:spacing w:line="240" w:lineRule="auto"/>
              <w:jc w:val="center"/>
              <w:rPr>
                <w:b/>
              </w:rPr>
            </w:pPr>
            <w:r>
              <w:rPr>
                <w:b/>
              </w:rPr>
              <w:t>n</w:t>
            </w:r>
          </w:p>
        </w:tc>
        <w:tc>
          <w:tcPr>
            <w:tcW w:w="756" w:type="dxa"/>
          </w:tcPr>
          <w:p w14:paraId="30AE3A9C" w14:textId="77777777" w:rsidR="00933C62" w:rsidRPr="00AF4B96" w:rsidRDefault="00933C62" w:rsidP="006E6C4E">
            <w:pPr>
              <w:spacing w:line="240" w:lineRule="auto"/>
              <w:jc w:val="center"/>
              <w:rPr>
                <w:b/>
                <w:i/>
              </w:rPr>
            </w:pPr>
            <w:r w:rsidRPr="00AF4B96">
              <w:rPr>
                <w:b/>
                <w:i/>
              </w:rPr>
              <w:t>f</w:t>
            </w:r>
          </w:p>
        </w:tc>
        <w:tc>
          <w:tcPr>
            <w:tcW w:w="414" w:type="dxa"/>
          </w:tcPr>
          <w:p w14:paraId="270B4DB6" w14:textId="77777777" w:rsidR="00933C62" w:rsidRPr="00084ACC" w:rsidRDefault="00933C62" w:rsidP="006E6C4E">
            <w:pPr>
              <w:spacing w:line="240" w:lineRule="auto"/>
              <w:jc w:val="center"/>
              <w:rPr>
                <w:b/>
              </w:rPr>
            </w:pPr>
            <w:r w:rsidRPr="00084ACC">
              <w:rPr>
                <w:b/>
              </w:rPr>
              <w:t>+</w:t>
            </w:r>
          </w:p>
        </w:tc>
        <w:tc>
          <w:tcPr>
            <w:tcW w:w="558" w:type="dxa"/>
          </w:tcPr>
          <w:p w14:paraId="77B10D30" w14:textId="77777777" w:rsidR="00933C62" w:rsidRPr="00084ACC" w:rsidRDefault="00933C62" w:rsidP="006E6C4E">
            <w:pPr>
              <w:spacing w:line="240" w:lineRule="auto"/>
              <w:jc w:val="center"/>
              <w:rPr>
                <w:b/>
              </w:rPr>
            </w:pPr>
            <w:r>
              <w:rPr>
                <w:b/>
              </w:rPr>
              <w:t>n</w:t>
            </w:r>
          </w:p>
        </w:tc>
        <w:tc>
          <w:tcPr>
            <w:tcW w:w="540" w:type="dxa"/>
          </w:tcPr>
          <w:p w14:paraId="5E53F4FA" w14:textId="77777777" w:rsidR="00933C62" w:rsidRPr="00AF4B96" w:rsidRDefault="00933C62" w:rsidP="006E6C4E">
            <w:pPr>
              <w:spacing w:line="240" w:lineRule="auto"/>
              <w:jc w:val="center"/>
              <w:rPr>
                <w:b/>
                <w:i/>
              </w:rPr>
            </w:pPr>
            <w:r w:rsidRPr="00AF4B96">
              <w:rPr>
                <w:b/>
                <w:i/>
              </w:rPr>
              <w:t>f</w:t>
            </w:r>
          </w:p>
        </w:tc>
        <w:tc>
          <w:tcPr>
            <w:tcW w:w="522" w:type="dxa"/>
          </w:tcPr>
          <w:p w14:paraId="55EA157A" w14:textId="77777777" w:rsidR="00933C62" w:rsidRPr="00084ACC" w:rsidRDefault="00933C62" w:rsidP="006E6C4E">
            <w:pPr>
              <w:spacing w:line="240" w:lineRule="auto"/>
              <w:jc w:val="center"/>
              <w:rPr>
                <w:b/>
              </w:rPr>
            </w:pPr>
            <w:r w:rsidRPr="00084ACC">
              <w:rPr>
                <w:b/>
              </w:rPr>
              <w:t>n</w:t>
            </w:r>
          </w:p>
        </w:tc>
        <w:tc>
          <w:tcPr>
            <w:tcW w:w="540" w:type="dxa"/>
          </w:tcPr>
          <w:p w14:paraId="1046D06D" w14:textId="77777777" w:rsidR="00933C62" w:rsidRPr="00084ACC" w:rsidRDefault="00933C62" w:rsidP="006E6C4E">
            <w:pPr>
              <w:spacing w:line="240" w:lineRule="auto"/>
              <w:jc w:val="center"/>
              <w:rPr>
                <w:b/>
              </w:rPr>
            </w:pPr>
            <w:r w:rsidRPr="00084ACC">
              <w:rPr>
                <w:b/>
              </w:rPr>
              <w:t>N</w:t>
            </w:r>
          </w:p>
        </w:tc>
        <w:tc>
          <w:tcPr>
            <w:tcW w:w="828" w:type="dxa"/>
          </w:tcPr>
          <w:p w14:paraId="07B696AE" w14:textId="77777777" w:rsidR="00933C62" w:rsidRPr="00AF4B96" w:rsidRDefault="00933C62" w:rsidP="006E6C4E">
            <w:pPr>
              <w:spacing w:line="240" w:lineRule="auto"/>
              <w:jc w:val="center"/>
              <w:rPr>
                <w:b/>
                <w:i/>
              </w:rPr>
            </w:pPr>
            <w:r w:rsidRPr="00AF4B96">
              <w:rPr>
                <w:b/>
                <w:i/>
              </w:rPr>
              <w:t>f</w:t>
            </w:r>
          </w:p>
        </w:tc>
      </w:tr>
      <w:tr w:rsidR="00933C62" w:rsidRPr="00084ACC" w14:paraId="083BC6E1" w14:textId="77777777" w:rsidTr="006E6C4E">
        <w:trPr>
          <w:jc w:val="center"/>
        </w:trPr>
        <w:tc>
          <w:tcPr>
            <w:tcW w:w="828" w:type="dxa"/>
          </w:tcPr>
          <w:p w14:paraId="7E958749" w14:textId="77777777" w:rsidR="00933C62" w:rsidRPr="00084ACC" w:rsidRDefault="00933C62" w:rsidP="006E6C4E">
            <w:pPr>
              <w:spacing w:line="240" w:lineRule="auto"/>
              <w:rPr>
                <w:b/>
              </w:rPr>
            </w:pPr>
            <w:r w:rsidRPr="00084ACC">
              <w:rPr>
                <w:b/>
              </w:rPr>
              <w:t>M</w:t>
            </w:r>
          </w:p>
        </w:tc>
        <w:tc>
          <w:tcPr>
            <w:tcW w:w="450" w:type="dxa"/>
          </w:tcPr>
          <w:p w14:paraId="49740A7C" w14:textId="77777777" w:rsidR="00933C62" w:rsidRPr="00084ACC" w:rsidRDefault="00933C62" w:rsidP="006E6C4E">
            <w:pPr>
              <w:spacing w:line="240" w:lineRule="auto"/>
              <w:jc w:val="right"/>
            </w:pPr>
            <w:r>
              <w:t>0</w:t>
            </w:r>
          </w:p>
        </w:tc>
        <w:tc>
          <w:tcPr>
            <w:tcW w:w="630" w:type="dxa"/>
          </w:tcPr>
          <w:p w14:paraId="03C3177C" w14:textId="77777777" w:rsidR="00933C62" w:rsidRPr="00084ACC" w:rsidRDefault="00933C62" w:rsidP="006E6C4E">
            <w:pPr>
              <w:spacing w:line="240" w:lineRule="auto"/>
              <w:jc w:val="right"/>
            </w:pPr>
            <w:r>
              <w:t>11</w:t>
            </w:r>
          </w:p>
        </w:tc>
        <w:tc>
          <w:tcPr>
            <w:tcW w:w="630" w:type="dxa"/>
          </w:tcPr>
          <w:p w14:paraId="6E689AC1" w14:textId="77777777" w:rsidR="00933C62" w:rsidRPr="00AF4B96" w:rsidRDefault="00933C62" w:rsidP="006E6C4E">
            <w:pPr>
              <w:spacing w:line="240" w:lineRule="auto"/>
              <w:jc w:val="right"/>
              <w:rPr>
                <w:i/>
              </w:rPr>
            </w:pPr>
            <w:r>
              <w:rPr>
                <w:i/>
              </w:rPr>
              <w:t>0</w:t>
            </w:r>
          </w:p>
        </w:tc>
        <w:tc>
          <w:tcPr>
            <w:tcW w:w="630" w:type="dxa"/>
          </w:tcPr>
          <w:p w14:paraId="3E05CC7C" w14:textId="77777777" w:rsidR="00933C62" w:rsidRPr="00084ACC" w:rsidRDefault="00933C62" w:rsidP="006E6C4E">
            <w:pPr>
              <w:spacing w:line="240" w:lineRule="auto"/>
              <w:jc w:val="right"/>
            </w:pPr>
            <w:r>
              <w:t>1</w:t>
            </w:r>
          </w:p>
        </w:tc>
        <w:tc>
          <w:tcPr>
            <w:tcW w:w="630" w:type="dxa"/>
          </w:tcPr>
          <w:p w14:paraId="7F8279F3" w14:textId="77777777" w:rsidR="00933C62" w:rsidRPr="00084ACC" w:rsidRDefault="00933C62" w:rsidP="006E6C4E">
            <w:pPr>
              <w:spacing w:line="240" w:lineRule="auto"/>
              <w:jc w:val="right"/>
            </w:pPr>
            <w:r>
              <w:t>28</w:t>
            </w:r>
          </w:p>
        </w:tc>
        <w:tc>
          <w:tcPr>
            <w:tcW w:w="756" w:type="dxa"/>
          </w:tcPr>
          <w:p w14:paraId="4B8D555D" w14:textId="77777777" w:rsidR="00933C62" w:rsidRPr="00AF4B96" w:rsidRDefault="00933C62" w:rsidP="006E6C4E">
            <w:pPr>
              <w:spacing w:line="240" w:lineRule="auto"/>
              <w:jc w:val="right"/>
              <w:rPr>
                <w:i/>
              </w:rPr>
            </w:pPr>
            <w:r>
              <w:rPr>
                <w:i/>
              </w:rPr>
              <w:t>4</w:t>
            </w:r>
          </w:p>
        </w:tc>
        <w:tc>
          <w:tcPr>
            <w:tcW w:w="414" w:type="dxa"/>
          </w:tcPr>
          <w:p w14:paraId="0810B4D1" w14:textId="77777777" w:rsidR="00933C62" w:rsidRPr="00084ACC" w:rsidRDefault="00933C62" w:rsidP="006E6C4E">
            <w:pPr>
              <w:spacing w:line="240" w:lineRule="auto"/>
              <w:jc w:val="right"/>
            </w:pPr>
            <w:r>
              <w:t>0</w:t>
            </w:r>
          </w:p>
        </w:tc>
        <w:tc>
          <w:tcPr>
            <w:tcW w:w="558" w:type="dxa"/>
          </w:tcPr>
          <w:p w14:paraId="03F57C36" w14:textId="77777777" w:rsidR="00933C62" w:rsidRPr="00084ACC" w:rsidRDefault="00933C62" w:rsidP="006E6C4E">
            <w:pPr>
              <w:spacing w:line="240" w:lineRule="auto"/>
              <w:jc w:val="right"/>
            </w:pPr>
            <w:r>
              <w:t>8</w:t>
            </w:r>
          </w:p>
        </w:tc>
        <w:tc>
          <w:tcPr>
            <w:tcW w:w="540" w:type="dxa"/>
          </w:tcPr>
          <w:p w14:paraId="7BAAE5A0" w14:textId="77777777" w:rsidR="00933C62" w:rsidRPr="00AF4B96" w:rsidRDefault="00933C62" w:rsidP="006E6C4E">
            <w:pPr>
              <w:spacing w:line="240" w:lineRule="auto"/>
              <w:jc w:val="right"/>
              <w:rPr>
                <w:i/>
              </w:rPr>
            </w:pPr>
            <w:r>
              <w:rPr>
                <w:i/>
              </w:rPr>
              <w:t>0</w:t>
            </w:r>
          </w:p>
        </w:tc>
        <w:tc>
          <w:tcPr>
            <w:tcW w:w="522" w:type="dxa"/>
          </w:tcPr>
          <w:p w14:paraId="66382C4D" w14:textId="77777777" w:rsidR="00933C62" w:rsidRPr="00084ACC" w:rsidRDefault="00933C62" w:rsidP="006E6C4E">
            <w:pPr>
              <w:spacing w:line="240" w:lineRule="auto"/>
              <w:jc w:val="right"/>
            </w:pPr>
            <w:r>
              <w:t>1</w:t>
            </w:r>
          </w:p>
        </w:tc>
        <w:tc>
          <w:tcPr>
            <w:tcW w:w="540" w:type="dxa"/>
          </w:tcPr>
          <w:p w14:paraId="14086582" w14:textId="77777777" w:rsidR="00933C62" w:rsidRPr="00084ACC" w:rsidRDefault="00933C62" w:rsidP="006E6C4E">
            <w:pPr>
              <w:spacing w:line="240" w:lineRule="auto"/>
              <w:jc w:val="right"/>
            </w:pPr>
            <w:r>
              <w:t>47</w:t>
            </w:r>
          </w:p>
        </w:tc>
        <w:tc>
          <w:tcPr>
            <w:tcW w:w="828" w:type="dxa"/>
          </w:tcPr>
          <w:p w14:paraId="212AF668" w14:textId="77777777" w:rsidR="00933C62" w:rsidRPr="00AF4B96" w:rsidRDefault="00933C62" w:rsidP="006E6C4E">
            <w:pPr>
              <w:spacing w:line="240" w:lineRule="auto"/>
              <w:jc w:val="right"/>
              <w:rPr>
                <w:i/>
              </w:rPr>
            </w:pPr>
            <w:r>
              <w:rPr>
                <w:i/>
              </w:rPr>
              <w:t>2</w:t>
            </w:r>
          </w:p>
        </w:tc>
      </w:tr>
      <w:tr w:rsidR="00933C62" w:rsidRPr="00084ACC" w14:paraId="6AD5B273" w14:textId="77777777" w:rsidTr="006E6C4E">
        <w:trPr>
          <w:jc w:val="center"/>
        </w:trPr>
        <w:tc>
          <w:tcPr>
            <w:tcW w:w="828" w:type="dxa"/>
          </w:tcPr>
          <w:p w14:paraId="78496A12" w14:textId="77777777" w:rsidR="00933C62" w:rsidRPr="00084ACC" w:rsidRDefault="00933C62" w:rsidP="006E6C4E">
            <w:pPr>
              <w:spacing w:line="240" w:lineRule="auto"/>
              <w:rPr>
                <w:b/>
              </w:rPr>
            </w:pPr>
            <w:r w:rsidRPr="00084ACC">
              <w:rPr>
                <w:b/>
              </w:rPr>
              <w:t>F</w:t>
            </w:r>
          </w:p>
        </w:tc>
        <w:tc>
          <w:tcPr>
            <w:tcW w:w="450" w:type="dxa"/>
          </w:tcPr>
          <w:p w14:paraId="3377278E" w14:textId="77777777" w:rsidR="00933C62" w:rsidRPr="00084ACC" w:rsidRDefault="00933C62" w:rsidP="006E6C4E">
            <w:pPr>
              <w:spacing w:line="240" w:lineRule="auto"/>
              <w:jc w:val="right"/>
            </w:pPr>
            <w:r>
              <w:t>4</w:t>
            </w:r>
          </w:p>
        </w:tc>
        <w:tc>
          <w:tcPr>
            <w:tcW w:w="630" w:type="dxa"/>
          </w:tcPr>
          <w:p w14:paraId="7D354587" w14:textId="77777777" w:rsidR="00933C62" w:rsidRPr="00084ACC" w:rsidRDefault="00933C62" w:rsidP="006E6C4E">
            <w:pPr>
              <w:spacing w:line="240" w:lineRule="auto"/>
              <w:jc w:val="right"/>
            </w:pPr>
            <w:r>
              <w:t>22</w:t>
            </w:r>
          </w:p>
        </w:tc>
        <w:tc>
          <w:tcPr>
            <w:tcW w:w="630" w:type="dxa"/>
          </w:tcPr>
          <w:p w14:paraId="7FB94F2A" w14:textId="77777777" w:rsidR="00933C62" w:rsidRPr="00AF4B96" w:rsidRDefault="00933C62" w:rsidP="006E6C4E">
            <w:pPr>
              <w:spacing w:line="240" w:lineRule="auto"/>
              <w:jc w:val="right"/>
              <w:rPr>
                <w:i/>
              </w:rPr>
            </w:pPr>
            <w:r>
              <w:rPr>
                <w:i/>
              </w:rPr>
              <w:t>27</w:t>
            </w:r>
          </w:p>
        </w:tc>
        <w:tc>
          <w:tcPr>
            <w:tcW w:w="630" w:type="dxa"/>
          </w:tcPr>
          <w:p w14:paraId="031EF9AB" w14:textId="77777777" w:rsidR="00933C62" w:rsidRPr="00084ACC" w:rsidRDefault="00933C62" w:rsidP="006E6C4E">
            <w:pPr>
              <w:spacing w:line="240" w:lineRule="auto"/>
              <w:jc w:val="right"/>
            </w:pPr>
            <w:r>
              <w:t>5</w:t>
            </w:r>
          </w:p>
        </w:tc>
        <w:tc>
          <w:tcPr>
            <w:tcW w:w="630" w:type="dxa"/>
          </w:tcPr>
          <w:p w14:paraId="565CCEE4" w14:textId="77777777" w:rsidR="00933C62" w:rsidRPr="00084ACC" w:rsidRDefault="00933C62" w:rsidP="006E6C4E">
            <w:pPr>
              <w:spacing w:line="240" w:lineRule="auto"/>
              <w:jc w:val="right"/>
            </w:pPr>
            <w:r>
              <w:t>16</w:t>
            </w:r>
          </w:p>
        </w:tc>
        <w:tc>
          <w:tcPr>
            <w:tcW w:w="756" w:type="dxa"/>
          </w:tcPr>
          <w:p w14:paraId="4179DC65" w14:textId="77777777" w:rsidR="00933C62" w:rsidRPr="00AF4B96" w:rsidRDefault="00933C62" w:rsidP="006E6C4E">
            <w:pPr>
              <w:spacing w:line="240" w:lineRule="auto"/>
              <w:jc w:val="right"/>
              <w:rPr>
                <w:i/>
              </w:rPr>
            </w:pPr>
            <w:r>
              <w:rPr>
                <w:i/>
              </w:rPr>
              <w:t>25</w:t>
            </w:r>
          </w:p>
        </w:tc>
        <w:tc>
          <w:tcPr>
            <w:tcW w:w="414" w:type="dxa"/>
          </w:tcPr>
          <w:p w14:paraId="7B08D7D1" w14:textId="77777777" w:rsidR="00933C62" w:rsidRPr="00084ACC" w:rsidRDefault="00933C62" w:rsidP="006E6C4E">
            <w:pPr>
              <w:spacing w:line="240" w:lineRule="auto"/>
              <w:jc w:val="right"/>
            </w:pPr>
            <w:r>
              <w:t>0</w:t>
            </w:r>
          </w:p>
        </w:tc>
        <w:tc>
          <w:tcPr>
            <w:tcW w:w="558" w:type="dxa"/>
          </w:tcPr>
          <w:p w14:paraId="1D4C77EC" w14:textId="77777777" w:rsidR="00933C62" w:rsidRPr="00084ACC" w:rsidRDefault="00933C62" w:rsidP="006E6C4E">
            <w:pPr>
              <w:spacing w:line="240" w:lineRule="auto"/>
              <w:jc w:val="right"/>
            </w:pPr>
            <w:r>
              <w:t>8</w:t>
            </w:r>
          </w:p>
        </w:tc>
        <w:tc>
          <w:tcPr>
            <w:tcW w:w="540" w:type="dxa"/>
          </w:tcPr>
          <w:p w14:paraId="19A14A1D" w14:textId="77777777" w:rsidR="00933C62" w:rsidRPr="00AF4B96" w:rsidRDefault="00933C62" w:rsidP="006E6C4E">
            <w:pPr>
              <w:spacing w:line="240" w:lineRule="auto"/>
              <w:jc w:val="right"/>
              <w:rPr>
                <w:i/>
              </w:rPr>
            </w:pPr>
            <w:r>
              <w:rPr>
                <w:i/>
              </w:rPr>
              <w:t>0</w:t>
            </w:r>
          </w:p>
        </w:tc>
        <w:tc>
          <w:tcPr>
            <w:tcW w:w="522" w:type="dxa"/>
          </w:tcPr>
          <w:p w14:paraId="5BA508E9" w14:textId="77777777" w:rsidR="00933C62" w:rsidRPr="00084ACC" w:rsidRDefault="00933C62" w:rsidP="006E6C4E">
            <w:pPr>
              <w:spacing w:line="240" w:lineRule="auto"/>
              <w:jc w:val="right"/>
            </w:pPr>
            <w:r>
              <w:t>9</w:t>
            </w:r>
          </w:p>
        </w:tc>
        <w:tc>
          <w:tcPr>
            <w:tcW w:w="540" w:type="dxa"/>
          </w:tcPr>
          <w:p w14:paraId="6553AC55" w14:textId="77777777" w:rsidR="00933C62" w:rsidRPr="00084ACC" w:rsidRDefault="00933C62" w:rsidP="006E6C4E">
            <w:pPr>
              <w:spacing w:line="240" w:lineRule="auto"/>
              <w:jc w:val="right"/>
            </w:pPr>
            <w:r>
              <w:t>46</w:t>
            </w:r>
          </w:p>
        </w:tc>
        <w:tc>
          <w:tcPr>
            <w:tcW w:w="828" w:type="dxa"/>
          </w:tcPr>
          <w:p w14:paraId="560722FA" w14:textId="77777777" w:rsidR="00933C62" w:rsidRPr="00AF4B96" w:rsidRDefault="00933C62" w:rsidP="006E6C4E">
            <w:pPr>
              <w:spacing w:line="240" w:lineRule="auto"/>
              <w:jc w:val="right"/>
              <w:rPr>
                <w:i/>
              </w:rPr>
            </w:pPr>
            <w:r>
              <w:rPr>
                <w:i/>
              </w:rPr>
              <w:t>22</w:t>
            </w:r>
          </w:p>
        </w:tc>
      </w:tr>
      <w:tr w:rsidR="00933C62" w:rsidRPr="00084ACC" w14:paraId="70A499EC" w14:textId="77777777" w:rsidTr="006E6C4E">
        <w:trPr>
          <w:jc w:val="center"/>
        </w:trPr>
        <w:tc>
          <w:tcPr>
            <w:tcW w:w="828" w:type="dxa"/>
          </w:tcPr>
          <w:p w14:paraId="232BD99E" w14:textId="77777777" w:rsidR="00933C62" w:rsidRPr="00ED156C" w:rsidRDefault="00933C62" w:rsidP="006E6C4E">
            <w:pPr>
              <w:spacing w:line="240" w:lineRule="auto"/>
              <w:rPr>
                <w:b/>
                <w:i/>
              </w:rPr>
            </w:pPr>
          </w:p>
        </w:tc>
        <w:tc>
          <w:tcPr>
            <w:tcW w:w="450" w:type="dxa"/>
          </w:tcPr>
          <w:p w14:paraId="64485558" w14:textId="77777777" w:rsidR="00933C62" w:rsidRPr="00ED156C" w:rsidRDefault="00933C62" w:rsidP="006E6C4E">
            <w:pPr>
              <w:spacing w:line="240" w:lineRule="auto"/>
              <w:jc w:val="right"/>
            </w:pPr>
          </w:p>
        </w:tc>
        <w:tc>
          <w:tcPr>
            <w:tcW w:w="630" w:type="dxa"/>
          </w:tcPr>
          <w:p w14:paraId="45FEEDBB" w14:textId="77777777" w:rsidR="00933C62" w:rsidRPr="00ED156C" w:rsidRDefault="00933C62" w:rsidP="006E6C4E">
            <w:pPr>
              <w:spacing w:line="240" w:lineRule="auto"/>
              <w:jc w:val="right"/>
            </w:pPr>
          </w:p>
        </w:tc>
        <w:tc>
          <w:tcPr>
            <w:tcW w:w="630" w:type="dxa"/>
          </w:tcPr>
          <w:p w14:paraId="5FF2F3D3" w14:textId="77777777" w:rsidR="00933C62" w:rsidRPr="00ED156C" w:rsidRDefault="00933C62" w:rsidP="006E6C4E">
            <w:pPr>
              <w:spacing w:line="240" w:lineRule="auto"/>
              <w:jc w:val="right"/>
              <w:rPr>
                <w:i/>
              </w:rPr>
            </w:pPr>
            <w:r w:rsidRPr="00ED156C">
              <w:rPr>
                <w:i/>
              </w:rPr>
              <w:t>N/A</w:t>
            </w:r>
          </w:p>
        </w:tc>
        <w:tc>
          <w:tcPr>
            <w:tcW w:w="630" w:type="dxa"/>
          </w:tcPr>
          <w:p w14:paraId="0680DE24" w14:textId="77777777" w:rsidR="00933C62" w:rsidRPr="00ED156C" w:rsidRDefault="00933C62" w:rsidP="006E6C4E">
            <w:pPr>
              <w:spacing w:line="240" w:lineRule="auto"/>
              <w:jc w:val="right"/>
            </w:pPr>
          </w:p>
        </w:tc>
        <w:tc>
          <w:tcPr>
            <w:tcW w:w="630" w:type="dxa"/>
          </w:tcPr>
          <w:p w14:paraId="18D6C18E" w14:textId="77777777" w:rsidR="00933C62" w:rsidRPr="00ED156C" w:rsidRDefault="00933C62" w:rsidP="006E6C4E">
            <w:pPr>
              <w:spacing w:line="240" w:lineRule="auto"/>
              <w:jc w:val="right"/>
            </w:pPr>
          </w:p>
        </w:tc>
        <w:tc>
          <w:tcPr>
            <w:tcW w:w="756" w:type="dxa"/>
          </w:tcPr>
          <w:p w14:paraId="01CC1A17" w14:textId="77777777" w:rsidR="00933C62" w:rsidRPr="00ED156C" w:rsidRDefault="00933C62" w:rsidP="006E6C4E">
            <w:pPr>
              <w:spacing w:line="240" w:lineRule="auto"/>
              <w:jc w:val="right"/>
              <w:rPr>
                <w:i/>
              </w:rPr>
            </w:pPr>
            <w:r w:rsidRPr="00ED156C">
              <w:rPr>
                <w:i/>
              </w:rPr>
              <w:t>p=.</w:t>
            </w:r>
            <w:r>
              <w:rPr>
                <w:i/>
              </w:rPr>
              <w:t>02</w:t>
            </w:r>
          </w:p>
        </w:tc>
        <w:tc>
          <w:tcPr>
            <w:tcW w:w="414" w:type="dxa"/>
          </w:tcPr>
          <w:p w14:paraId="0E118BFF" w14:textId="77777777" w:rsidR="00933C62" w:rsidRPr="00ED156C" w:rsidRDefault="00933C62" w:rsidP="006E6C4E">
            <w:pPr>
              <w:spacing w:line="240" w:lineRule="auto"/>
              <w:jc w:val="right"/>
            </w:pPr>
          </w:p>
        </w:tc>
        <w:tc>
          <w:tcPr>
            <w:tcW w:w="558" w:type="dxa"/>
          </w:tcPr>
          <w:p w14:paraId="52346C7C" w14:textId="77777777" w:rsidR="00933C62" w:rsidRPr="00ED156C" w:rsidRDefault="00933C62" w:rsidP="006E6C4E">
            <w:pPr>
              <w:spacing w:line="240" w:lineRule="auto"/>
              <w:jc w:val="right"/>
            </w:pPr>
          </w:p>
        </w:tc>
        <w:tc>
          <w:tcPr>
            <w:tcW w:w="540" w:type="dxa"/>
          </w:tcPr>
          <w:p w14:paraId="4032C064" w14:textId="77777777" w:rsidR="00933C62" w:rsidRPr="00ED156C" w:rsidRDefault="00933C62" w:rsidP="006E6C4E">
            <w:pPr>
              <w:spacing w:line="240" w:lineRule="auto"/>
              <w:jc w:val="right"/>
              <w:rPr>
                <w:i/>
              </w:rPr>
            </w:pPr>
            <w:r w:rsidRPr="00ED156C">
              <w:rPr>
                <w:i/>
              </w:rPr>
              <w:t>N/A</w:t>
            </w:r>
          </w:p>
        </w:tc>
        <w:tc>
          <w:tcPr>
            <w:tcW w:w="522" w:type="dxa"/>
          </w:tcPr>
          <w:p w14:paraId="760B9304" w14:textId="77777777" w:rsidR="00933C62" w:rsidRPr="00ED156C" w:rsidRDefault="00933C62" w:rsidP="006E6C4E">
            <w:pPr>
              <w:spacing w:line="240" w:lineRule="auto"/>
              <w:jc w:val="right"/>
            </w:pPr>
          </w:p>
        </w:tc>
        <w:tc>
          <w:tcPr>
            <w:tcW w:w="540" w:type="dxa"/>
          </w:tcPr>
          <w:p w14:paraId="351406BA" w14:textId="77777777" w:rsidR="00933C62" w:rsidRPr="00ED156C" w:rsidRDefault="00933C62" w:rsidP="006E6C4E">
            <w:pPr>
              <w:spacing w:line="240" w:lineRule="auto"/>
              <w:jc w:val="right"/>
            </w:pPr>
          </w:p>
        </w:tc>
        <w:tc>
          <w:tcPr>
            <w:tcW w:w="828" w:type="dxa"/>
          </w:tcPr>
          <w:p w14:paraId="5C52D43A" w14:textId="77777777" w:rsidR="00933C62" w:rsidRPr="00ED156C" w:rsidRDefault="00933C62" w:rsidP="006E6C4E">
            <w:pPr>
              <w:spacing w:line="240" w:lineRule="auto"/>
              <w:jc w:val="right"/>
              <w:rPr>
                <w:i/>
              </w:rPr>
            </w:pPr>
            <w:r>
              <w:rPr>
                <w:i/>
              </w:rPr>
              <w:t>p=.01</w:t>
            </w:r>
          </w:p>
        </w:tc>
      </w:tr>
      <w:tr w:rsidR="00933C62" w:rsidRPr="00084ACC" w14:paraId="2686488F" w14:textId="77777777" w:rsidTr="006E6C4E">
        <w:trPr>
          <w:jc w:val="center"/>
        </w:trPr>
        <w:tc>
          <w:tcPr>
            <w:tcW w:w="828" w:type="dxa"/>
          </w:tcPr>
          <w:p w14:paraId="75B1DF4D" w14:textId="77777777" w:rsidR="00933C62" w:rsidRPr="00AF4B96" w:rsidRDefault="00933C62" w:rsidP="006E6C4E">
            <w:pPr>
              <w:spacing w:line="240" w:lineRule="auto"/>
              <w:rPr>
                <w:b/>
              </w:rPr>
            </w:pPr>
            <w:r w:rsidRPr="00AF4B96">
              <w:rPr>
                <w:b/>
              </w:rPr>
              <w:t>Total</w:t>
            </w:r>
          </w:p>
        </w:tc>
        <w:tc>
          <w:tcPr>
            <w:tcW w:w="450" w:type="dxa"/>
          </w:tcPr>
          <w:p w14:paraId="43D094D1" w14:textId="77777777" w:rsidR="00933C62" w:rsidRPr="00AF4B96" w:rsidRDefault="00933C62" w:rsidP="006E6C4E">
            <w:pPr>
              <w:spacing w:line="240" w:lineRule="auto"/>
              <w:jc w:val="right"/>
              <w:rPr>
                <w:b/>
              </w:rPr>
            </w:pPr>
            <w:r>
              <w:rPr>
                <w:b/>
              </w:rPr>
              <w:t>4</w:t>
            </w:r>
          </w:p>
        </w:tc>
        <w:tc>
          <w:tcPr>
            <w:tcW w:w="630" w:type="dxa"/>
          </w:tcPr>
          <w:p w14:paraId="33E9FBE7" w14:textId="77777777" w:rsidR="00933C62" w:rsidRPr="00AF4B96" w:rsidRDefault="00933C62" w:rsidP="006E6C4E">
            <w:pPr>
              <w:spacing w:line="240" w:lineRule="auto"/>
              <w:jc w:val="right"/>
              <w:rPr>
                <w:b/>
              </w:rPr>
            </w:pPr>
            <w:r>
              <w:rPr>
                <w:b/>
              </w:rPr>
              <w:t>33</w:t>
            </w:r>
          </w:p>
        </w:tc>
        <w:tc>
          <w:tcPr>
            <w:tcW w:w="630" w:type="dxa"/>
          </w:tcPr>
          <w:p w14:paraId="3271AEED" w14:textId="77777777" w:rsidR="00933C62" w:rsidRPr="00AF4B96" w:rsidRDefault="00933C62" w:rsidP="006E6C4E">
            <w:pPr>
              <w:spacing w:line="240" w:lineRule="auto"/>
              <w:jc w:val="right"/>
              <w:rPr>
                <w:b/>
                <w:i/>
              </w:rPr>
            </w:pPr>
            <w:r>
              <w:rPr>
                <w:b/>
                <w:i/>
              </w:rPr>
              <w:t>12</w:t>
            </w:r>
          </w:p>
        </w:tc>
        <w:tc>
          <w:tcPr>
            <w:tcW w:w="630" w:type="dxa"/>
          </w:tcPr>
          <w:p w14:paraId="4E50840D" w14:textId="77777777" w:rsidR="00933C62" w:rsidRPr="00AF4B96" w:rsidRDefault="00933C62" w:rsidP="006E6C4E">
            <w:pPr>
              <w:spacing w:line="240" w:lineRule="auto"/>
              <w:jc w:val="right"/>
              <w:rPr>
                <w:b/>
              </w:rPr>
            </w:pPr>
            <w:r>
              <w:rPr>
                <w:b/>
              </w:rPr>
              <w:t>6</w:t>
            </w:r>
          </w:p>
        </w:tc>
        <w:tc>
          <w:tcPr>
            <w:tcW w:w="630" w:type="dxa"/>
          </w:tcPr>
          <w:p w14:paraId="01E6CB48" w14:textId="77777777" w:rsidR="00933C62" w:rsidRPr="00AF4B96" w:rsidRDefault="00933C62" w:rsidP="006E6C4E">
            <w:pPr>
              <w:spacing w:line="240" w:lineRule="auto"/>
              <w:jc w:val="right"/>
              <w:rPr>
                <w:b/>
              </w:rPr>
            </w:pPr>
            <w:r>
              <w:rPr>
                <w:b/>
              </w:rPr>
              <w:t>44</w:t>
            </w:r>
          </w:p>
        </w:tc>
        <w:tc>
          <w:tcPr>
            <w:tcW w:w="756" w:type="dxa"/>
          </w:tcPr>
          <w:p w14:paraId="0E11337E" w14:textId="77777777" w:rsidR="00933C62" w:rsidRPr="00AF4B96" w:rsidRDefault="00933C62" w:rsidP="006E6C4E">
            <w:pPr>
              <w:spacing w:line="240" w:lineRule="auto"/>
              <w:jc w:val="right"/>
              <w:rPr>
                <w:b/>
                <w:i/>
              </w:rPr>
            </w:pPr>
            <w:r>
              <w:rPr>
                <w:b/>
                <w:i/>
              </w:rPr>
              <w:t>14</w:t>
            </w:r>
          </w:p>
        </w:tc>
        <w:tc>
          <w:tcPr>
            <w:tcW w:w="414" w:type="dxa"/>
          </w:tcPr>
          <w:p w14:paraId="44F1344E" w14:textId="77777777" w:rsidR="00933C62" w:rsidRPr="00AF4B96" w:rsidRDefault="00933C62" w:rsidP="006E6C4E">
            <w:pPr>
              <w:spacing w:line="240" w:lineRule="auto"/>
              <w:jc w:val="right"/>
              <w:rPr>
                <w:b/>
              </w:rPr>
            </w:pPr>
            <w:r>
              <w:rPr>
                <w:b/>
              </w:rPr>
              <w:t>0</w:t>
            </w:r>
          </w:p>
        </w:tc>
        <w:tc>
          <w:tcPr>
            <w:tcW w:w="558" w:type="dxa"/>
          </w:tcPr>
          <w:p w14:paraId="74706269" w14:textId="77777777" w:rsidR="00933C62" w:rsidRPr="00AF4B96" w:rsidRDefault="00933C62" w:rsidP="006E6C4E">
            <w:pPr>
              <w:spacing w:line="240" w:lineRule="auto"/>
              <w:jc w:val="right"/>
              <w:rPr>
                <w:b/>
              </w:rPr>
            </w:pPr>
            <w:r>
              <w:rPr>
                <w:b/>
              </w:rPr>
              <w:t>16</w:t>
            </w:r>
          </w:p>
        </w:tc>
        <w:tc>
          <w:tcPr>
            <w:tcW w:w="540" w:type="dxa"/>
          </w:tcPr>
          <w:p w14:paraId="167C3A54" w14:textId="77777777" w:rsidR="00933C62" w:rsidRPr="00AF4B96" w:rsidRDefault="00933C62" w:rsidP="006E6C4E">
            <w:pPr>
              <w:spacing w:line="240" w:lineRule="auto"/>
              <w:jc w:val="right"/>
              <w:rPr>
                <w:b/>
                <w:i/>
              </w:rPr>
            </w:pPr>
            <w:r>
              <w:rPr>
                <w:b/>
                <w:i/>
              </w:rPr>
              <w:t>0</w:t>
            </w:r>
          </w:p>
        </w:tc>
        <w:tc>
          <w:tcPr>
            <w:tcW w:w="522" w:type="dxa"/>
          </w:tcPr>
          <w:p w14:paraId="36D65673" w14:textId="77777777" w:rsidR="00933C62" w:rsidRPr="00AF4B96" w:rsidRDefault="00933C62" w:rsidP="006E6C4E">
            <w:pPr>
              <w:spacing w:line="240" w:lineRule="auto"/>
              <w:jc w:val="right"/>
              <w:rPr>
                <w:b/>
              </w:rPr>
            </w:pPr>
            <w:r>
              <w:rPr>
                <w:b/>
              </w:rPr>
              <w:t>10</w:t>
            </w:r>
          </w:p>
        </w:tc>
        <w:tc>
          <w:tcPr>
            <w:tcW w:w="540" w:type="dxa"/>
          </w:tcPr>
          <w:p w14:paraId="57BF3A84" w14:textId="77777777" w:rsidR="00933C62" w:rsidRPr="00AF4B96" w:rsidRDefault="00933C62" w:rsidP="006E6C4E">
            <w:pPr>
              <w:spacing w:line="240" w:lineRule="auto"/>
              <w:jc w:val="right"/>
              <w:rPr>
                <w:b/>
              </w:rPr>
            </w:pPr>
            <w:r>
              <w:rPr>
                <w:b/>
              </w:rPr>
              <w:t>93</w:t>
            </w:r>
          </w:p>
        </w:tc>
        <w:tc>
          <w:tcPr>
            <w:tcW w:w="828" w:type="dxa"/>
          </w:tcPr>
          <w:p w14:paraId="5E34B165" w14:textId="77777777" w:rsidR="00933C62" w:rsidRPr="00AF4B96" w:rsidRDefault="00933C62" w:rsidP="006E6C4E">
            <w:pPr>
              <w:spacing w:line="240" w:lineRule="auto"/>
              <w:jc w:val="right"/>
              <w:rPr>
                <w:b/>
                <w:i/>
              </w:rPr>
            </w:pPr>
            <w:r>
              <w:rPr>
                <w:b/>
                <w:i/>
              </w:rPr>
              <w:t>11</w:t>
            </w:r>
          </w:p>
        </w:tc>
      </w:tr>
    </w:tbl>
    <w:p w14:paraId="5076D89F" w14:textId="387E6172" w:rsidR="00933C62" w:rsidRPr="00E51DA1" w:rsidRDefault="00933C62" w:rsidP="007F6BCD">
      <w:pPr>
        <w:spacing w:line="240" w:lineRule="auto"/>
        <w:rPr>
          <w:rFonts w:ascii="Times New Roman" w:hAnsi="Times New Roman"/>
        </w:rPr>
      </w:pPr>
      <w:r>
        <w:rPr>
          <w:rFonts w:ascii="Times New Roman" w:hAnsi="Times New Roman"/>
        </w:rPr>
        <w:t xml:space="preserve"> </w:t>
      </w:r>
    </w:p>
    <w:p w14:paraId="7A611EEE" w14:textId="77777777" w:rsidR="00933C62" w:rsidRPr="002A0C69" w:rsidRDefault="00933C62" w:rsidP="007F6BCD">
      <w:pPr>
        <w:pStyle w:val="Heading4"/>
      </w:pPr>
      <w:r>
        <w:t>Post-cranial sharp force trauma</w:t>
      </w:r>
    </w:p>
    <w:p w14:paraId="7AEC8220" w14:textId="77777777" w:rsidR="00933C62" w:rsidRDefault="00933C62" w:rsidP="00933C62">
      <w:pPr>
        <w:ind w:firstLine="720"/>
        <w:rPr>
          <w:rFonts w:ascii="Times New Roman" w:hAnsi="Times New Roman"/>
        </w:rPr>
      </w:pPr>
      <w:r>
        <w:rPr>
          <w:rFonts w:ascii="Times New Roman" w:hAnsi="Times New Roman"/>
        </w:rPr>
        <w:t xml:space="preserve">Six individuals were observed with nine clear </w:t>
      </w:r>
      <w:r w:rsidRPr="00266741">
        <w:rPr>
          <w:rFonts w:ascii="Times New Roman" w:hAnsi="Times New Roman"/>
        </w:rPr>
        <w:t xml:space="preserve">sharp force trauma </w:t>
      </w:r>
      <w:r>
        <w:rPr>
          <w:rFonts w:ascii="Times New Roman" w:hAnsi="Times New Roman"/>
        </w:rPr>
        <w:t>wounds to the limbs.  Due to the small numbers of sharp force trauma wounds, statistical analysis was not attempted.</w:t>
      </w:r>
    </w:p>
    <w:p w14:paraId="29AD1C58" w14:textId="5723B0B7" w:rsidR="00933C62" w:rsidRDefault="00933C62" w:rsidP="00D70C0E">
      <w:pPr>
        <w:ind w:firstLine="720"/>
        <w:rPr>
          <w:rFonts w:ascii="Times New Roman" w:hAnsi="Times New Roman"/>
        </w:rPr>
      </w:pPr>
      <w:r>
        <w:rPr>
          <w:rFonts w:ascii="Times New Roman" w:hAnsi="Times New Roman"/>
        </w:rPr>
        <w:t xml:space="preserve"> Table 15</w:t>
      </w:r>
      <w:r w:rsidRPr="00266741">
        <w:rPr>
          <w:rFonts w:ascii="Times New Roman" w:hAnsi="Times New Roman"/>
        </w:rPr>
        <w:t xml:space="preserve"> </w:t>
      </w:r>
      <w:r>
        <w:rPr>
          <w:rFonts w:ascii="Times New Roman" w:hAnsi="Times New Roman"/>
        </w:rPr>
        <w:t xml:space="preserve">presents all sharp force trauma wounds to the limbs by burial, age, sex, and element (bone).  Straight linear wounds were interpreted as cut marks; however it is possible that they were actually projectile wounds that hit at an angle.  Such linear marks were observed on </w:t>
      </w:r>
      <w:r w:rsidRPr="00266741">
        <w:rPr>
          <w:rFonts w:ascii="Times New Roman" w:hAnsi="Times New Roman"/>
        </w:rPr>
        <w:t xml:space="preserve">B69, B129, and B160.  </w:t>
      </w:r>
      <w:r>
        <w:rPr>
          <w:rFonts w:ascii="Times New Roman" w:hAnsi="Times New Roman"/>
        </w:rPr>
        <w:t>Small, deep wounds were interpreted as projectile point wounds and were observed on Burial 8A and</w:t>
      </w:r>
      <w:r w:rsidRPr="00266741">
        <w:rPr>
          <w:rFonts w:ascii="Times New Roman" w:hAnsi="Times New Roman"/>
        </w:rPr>
        <w:t xml:space="preserve"> Burial</w:t>
      </w:r>
      <w:r>
        <w:rPr>
          <w:rFonts w:ascii="Times New Roman" w:hAnsi="Times New Roman"/>
        </w:rPr>
        <w:t>s</w:t>
      </w:r>
      <w:r w:rsidRPr="00266741">
        <w:rPr>
          <w:rFonts w:ascii="Times New Roman" w:hAnsi="Times New Roman"/>
        </w:rPr>
        <w:t xml:space="preserve"> 87A and 87B.</w:t>
      </w:r>
      <w:r>
        <w:rPr>
          <w:rFonts w:ascii="Times New Roman" w:hAnsi="Times New Roman"/>
        </w:rPr>
        <w:t xml:space="preserve"> </w:t>
      </w:r>
    </w:p>
    <w:p w14:paraId="71251C68" w14:textId="77777777" w:rsidR="00933C62" w:rsidRDefault="00933C62" w:rsidP="00933C62">
      <w:pPr>
        <w:ind w:firstLine="720"/>
        <w:rPr>
          <w:rFonts w:ascii="Times New Roman" w:hAnsi="Times New Roman"/>
        </w:rPr>
      </w:pPr>
      <w:r>
        <w:rPr>
          <w:rFonts w:ascii="Times New Roman" w:hAnsi="Times New Roman"/>
        </w:rPr>
        <w:t xml:space="preserve">Four males were observed with six sharp force trauma wounds, all to the lower limbs.  Male young and middle adults (but no old adults) were observed with sharp force trauma wounds.  Two females were observed with three sharp force trauma wounds.  These wounds were all observed on middle adult females.  The only upper limb sharp force trauma was to Burial 8A, a middle adult female, who had bilateral humerus wounds.  This unusual burial consisted of two middle age adults, one male and one female, with a subadult buried between them, as seen in Figure 15.  Although neither of the other individuals in the burial had clear evidence of sharp force trauma, it is reasonable to conclude that this group burial was the result of violence to all 3 individuals.  </w:t>
      </w:r>
      <w:r w:rsidRPr="00266741">
        <w:rPr>
          <w:rFonts w:ascii="Times New Roman" w:hAnsi="Times New Roman"/>
        </w:rPr>
        <w:t>As discussed in the p</w:t>
      </w:r>
      <w:r>
        <w:rPr>
          <w:rFonts w:ascii="Times New Roman" w:hAnsi="Times New Roman"/>
        </w:rPr>
        <w:t>revious chapter, only about one-</w:t>
      </w:r>
      <w:r w:rsidRPr="00266741">
        <w:rPr>
          <w:rFonts w:ascii="Times New Roman" w:hAnsi="Times New Roman"/>
        </w:rPr>
        <w:t xml:space="preserve">third of individuals inflicted with </w:t>
      </w:r>
      <w:r>
        <w:rPr>
          <w:rFonts w:ascii="Times New Roman" w:hAnsi="Times New Roman"/>
        </w:rPr>
        <w:t>a projectile</w:t>
      </w:r>
      <w:r w:rsidRPr="00266741">
        <w:rPr>
          <w:rFonts w:ascii="Times New Roman" w:hAnsi="Times New Roman"/>
        </w:rPr>
        <w:t xml:space="preserve"> point wound will show skeletal lesions (Milner 2005). </w:t>
      </w:r>
    </w:p>
    <w:p w14:paraId="47A71FC4" w14:textId="77777777" w:rsidR="007F6BCD" w:rsidRDefault="007F6BCD" w:rsidP="007F6BCD">
      <w:pPr>
        <w:spacing w:line="240" w:lineRule="auto"/>
        <w:ind w:firstLine="720"/>
        <w:rPr>
          <w:rFonts w:ascii="Times New Roman" w:hAnsi="Times New Roman"/>
        </w:rPr>
      </w:pPr>
    </w:p>
    <w:p w14:paraId="1F950D97" w14:textId="77777777" w:rsidR="00741266" w:rsidRPr="00266741" w:rsidRDefault="00741266" w:rsidP="00133F61">
      <w:pPr>
        <w:pStyle w:val="Caption"/>
      </w:pPr>
      <w:bookmarkStart w:id="81" w:name="_Toc261025243"/>
      <w:r>
        <w:t xml:space="preserve">Table </w:t>
      </w:r>
      <w:fldSimple w:instr=" SEQ Table \* ARABIC ">
        <w:r w:rsidR="00396EB3">
          <w:rPr>
            <w:noProof/>
          </w:rPr>
          <w:t>15</w:t>
        </w:r>
      </w:fldSimple>
      <w:r>
        <w:t xml:space="preserve">  Sharp force trauma to the limbs by age, sex, and bone</w:t>
      </w:r>
      <w:bookmarkEnd w:id="81"/>
    </w:p>
    <w:p w14:paraId="34371978" w14:textId="77777777" w:rsidR="00741266" w:rsidRPr="00266741" w:rsidRDefault="00741266" w:rsidP="00133F61">
      <w:pPr>
        <w:pStyle w:val="Caption"/>
      </w:pPr>
    </w:p>
    <w:tbl>
      <w:tblPr>
        <w:tblStyle w:val="TableGrid"/>
        <w:tblW w:w="0" w:type="auto"/>
        <w:jc w:val="center"/>
        <w:tblInd w:w="791" w:type="dxa"/>
        <w:tblLook w:val="04A0" w:firstRow="1" w:lastRow="0" w:firstColumn="1" w:lastColumn="0" w:noHBand="0" w:noVBand="1"/>
      </w:tblPr>
      <w:tblGrid>
        <w:gridCol w:w="949"/>
        <w:gridCol w:w="540"/>
        <w:gridCol w:w="569"/>
        <w:gridCol w:w="1170"/>
        <w:gridCol w:w="4230"/>
      </w:tblGrid>
      <w:tr w:rsidR="00741266" w:rsidRPr="00266741" w14:paraId="0C55DE71" w14:textId="77777777" w:rsidTr="00FA652B">
        <w:trPr>
          <w:jc w:val="center"/>
        </w:trPr>
        <w:tc>
          <w:tcPr>
            <w:tcW w:w="949" w:type="dxa"/>
          </w:tcPr>
          <w:p w14:paraId="40D8F29A" w14:textId="77777777" w:rsidR="00741266" w:rsidRPr="00687EA4" w:rsidRDefault="00741266" w:rsidP="00FA652B">
            <w:pPr>
              <w:spacing w:line="240" w:lineRule="auto"/>
              <w:jc w:val="center"/>
              <w:rPr>
                <w:b/>
              </w:rPr>
            </w:pPr>
            <w:r w:rsidRPr="00687EA4">
              <w:rPr>
                <w:b/>
              </w:rPr>
              <w:t>Burial</w:t>
            </w:r>
          </w:p>
        </w:tc>
        <w:tc>
          <w:tcPr>
            <w:tcW w:w="540" w:type="dxa"/>
          </w:tcPr>
          <w:p w14:paraId="5DDFC7E6" w14:textId="77777777" w:rsidR="00741266" w:rsidRPr="00687EA4" w:rsidRDefault="00741266" w:rsidP="00FA652B">
            <w:pPr>
              <w:spacing w:line="240" w:lineRule="auto"/>
              <w:jc w:val="center"/>
              <w:rPr>
                <w:b/>
              </w:rPr>
            </w:pPr>
            <w:r w:rsidRPr="00687EA4">
              <w:rPr>
                <w:b/>
              </w:rPr>
              <w:t>Sex</w:t>
            </w:r>
          </w:p>
        </w:tc>
        <w:tc>
          <w:tcPr>
            <w:tcW w:w="569" w:type="dxa"/>
          </w:tcPr>
          <w:p w14:paraId="6D04A71B" w14:textId="77777777" w:rsidR="00741266" w:rsidRPr="00687EA4" w:rsidRDefault="00741266" w:rsidP="00FA652B">
            <w:pPr>
              <w:spacing w:line="240" w:lineRule="auto"/>
              <w:jc w:val="center"/>
              <w:rPr>
                <w:b/>
              </w:rPr>
            </w:pPr>
            <w:r>
              <w:rPr>
                <w:b/>
              </w:rPr>
              <w:t>Age</w:t>
            </w:r>
          </w:p>
        </w:tc>
        <w:tc>
          <w:tcPr>
            <w:tcW w:w="1170" w:type="dxa"/>
          </w:tcPr>
          <w:p w14:paraId="668BADDE" w14:textId="77777777" w:rsidR="00741266" w:rsidRPr="00687EA4" w:rsidRDefault="00741266" w:rsidP="00FA652B">
            <w:pPr>
              <w:spacing w:line="240" w:lineRule="auto"/>
              <w:jc w:val="center"/>
              <w:rPr>
                <w:b/>
              </w:rPr>
            </w:pPr>
            <w:r w:rsidRPr="00687EA4">
              <w:rPr>
                <w:b/>
              </w:rPr>
              <w:t>Bone</w:t>
            </w:r>
          </w:p>
        </w:tc>
        <w:tc>
          <w:tcPr>
            <w:tcW w:w="4230" w:type="dxa"/>
          </w:tcPr>
          <w:p w14:paraId="179A0F9E" w14:textId="77777777" w:rsidR="00741266" w:rsidRPr="00687EA4" w:rsidRDefault="00741266" w:rsidP="00FA652B">
            <w:pPr>
              <w:spacing w:line="240" w:lineRule="auto"/>
              <w:jc w:val="center"/>
              <w:rPr>
                <w:b/>
              </w:rPr>
            </w:pPr>
            <w:r w:rsidRPr="00687EA4">
              <w:rPr>
                <w:b/>
              </w:rPr>
              <w:t>Comments</w:t>
            </w:r>
          </w:p>
        </w:tc>
      </w:tr>
      <w:tr w:rsidR="00741266" w:rsidRPr="00266741" w14:paraId="00FEECF1" w14:textId="77777777" w:rsidTr="00FA652B">
        <w:trPr>
          <w:jc w:val="center"/>
        </w:trPr>
        <w:tc>
          <w:tcPr>
            <w:tcW w:w="949" w:type="dxa"/>
          </w:tcPr>
          <w:p w14:paraId="554357D0" w14:textId="77777777" w:rsidR="00741266" w:rsidRPr="00266741" w:rsidRDefault="00741266" w:rsidP="00FA652B">
            <w:pPr>
              <w:spacing w:line="240" w:lineRule="auto"/>
            </w:pPr>
            <w:r w:rsidRPr="00266741">
              <w:t>8A</w:t>
            </w:r>
          </w:p>
        </w:tc>
        <w:tc>
          <w:tcPr>
            <w:tcW w:w="540" w:type="dxa"/>
          </w:tcPr>
          <w:p w14:paraId="138C9A56" w14:textId="77777777" w:rsidR="00741266" w:rsidRPr="00266741" w:rsidRDefault="00741266" w:rsidP="00FA652B">
            <w:pPr>
              <w:spacing w:line="240" w:lineRule="auto"/>
            </w:pPr>
            <w:r w:rsidRPr="00266741">
              <w:t>F</w:t>
            </w:r>
          </w:p>
        </w:tc>
        <w:tc>
          <w:tcPr>
            <w:tcW w:w="569" w:type="dxa"/>
          </w:tcPr>
          <w:p w14:paraId="14098B91" w14:textId="77777777" w:rsidR="00741266" w:rsidRPr="00266741" w:rsidRDefault="00741266" w:rsidP="00FA652B">
            <w:pPr>
              <w:spacing w:line="240" w:lineRule="auto"/>
            </w:pPr>
            <w:r>
              <w:t>MA</w:t>
            </w:r>
          </w:p>
        </w:tc>
        <w:tc>
          <w:tcPr>
            <w:tcW w:w="1170" w:type="dxa"/>
          </w:tcPr>
          <w:p w14:paraId="4D3C079A" w14:textId="77777777" w:rsidR="00741266" w:rsidRPr="00266741" w:rsidRDefault="00741266" w:rsidP="00FA652B">
            <w:pPr>
              <w:spacing w:line="240" w:lineRule="auto"/>
            </w:pPr>
            <w:r w:rsidRPr="00266741">
              <w:t>L humerus</w:t>
            </w:r>
          </w:p>
          <w:p w14:paraId="12FC7531" w14:textId="77777777" w:rsidR="00741266" w:rsidRPr="00266741" w:rsidRDefault="00741266" w:rsidP="00FA652B">
            <w:pPr>
              <w:spacing w:line="240" w:lineRule="auto"/>
            </w:pPr>
            <w:r w:rsidRPr="00266741">
              <w:t>R humerus</w:t>
            </w:r>
          </w:p>
        </w:tc>
        <w:tc>
          <w:tcPr>
            <w:tcW w:w="4230" w:type="dxa"/>
          </w:tcPr>
          <w:p w14:paraId="7A288EE5" w14:textId="77777777" w:rsidR="00741266" w:rsidRPr="00266741" w:rsidRDefault="00741266" w:rsidP="00FA652B">
            <w:pPr>
              <w:spacing w:line="240" w:lineRule="auto"/>
            </w:pPr>
            <w:r w:rsidRPr="00266741">
              <w:t>Bilateral humerus wounds</w:t>
            </w:r>
            <w:r>
              <w:t>, buried face down</w:t>
            </w:r>
          </w:p>
        </w:tc>
      </w:tr>
      <w:tr w:rsidR="00741266" w:rsidRPr="00266741" w14:paraId="69346E77" w14:textId="77777777" w:rsidTr="00FA652B">
        <w:trPr>
          <w:jc w:val="center"/>
        </w:trPr>
        <w:tc>
          <w:tcPr>
            <w:tcW w:w="949" w:type="dxa"/>
          </w:tcPr>
          <w:p w14:paraId="4ED495DE" w14:textId="77777777" w:rsidR="00741266" w:rsidRPr="00266741" w:rsidRDefault="00741266" w:rsidP="00FA652B">
            <w:pPr>
              <w:spacing w:line="240" w:lineRule="auto"/>
            </w:pPr>
            <w:r w:rsidRPr="00266741">
              <w:t>69</w:t>
            </w:r>
          </w:p>
        </w:tc>
        <w:tc>
          <w:tcPr>
            <w:tcW w:w="540" w:type="dxa"/>
          </w:tcPr>
          <w:p w14:paraId="4C8647F5" w14:textId="77777777" w:rsidR="00741266" w:rsidRPr="00266741" w:rsidRDefault="00741266" w:rsidP="00FA652B">
            <w:pPr>
              <w:spacing w:line="240" w:lineRule="auto"/>
            </w:pPr>
            <w:r w:rsidRPr="00266741">
              <w:t>F</w:t>
            </w:r>
          </w:p>
        </w:tc>
        <w:tc>
          <w:tcPr>
            <w:tcW w:w="569" w:type="dxa"/>
          </w:tcPr>
          <w:p w14:paraId="56834CEE" w14:textId="77777777" w:rsidR="00741266" w:rsidRPr="00266741" w:rsidRDefault="00741266" w:rsidP="00FA652B">
            <w:pPr>
              <w:spacing w:line="240" w:lineRule="auto"/>
            </w:pPr>
            <w:r>
              <w:t>MA</w:t>
            </w:r>
          </w:p>
        </w:tc>
        <w:tc>
          <w:tcPr>
            <w:tcW w:w="1170" w:type="dxa"/>
          </w:tcPr>
          <w:p w14:paraId="062B38E1" w14:textId="77777777" w:rsidR="00741266" w:rsidRPr="00266741" w:rsidRDefault="00741266" w:rsidP="00FA652B">
            <w:pPr>
              <w:spacing w:line="240" w:lineRule="auto"/>
            </w:pPr>
            <w:r w:rsidRPr="00266741">
              <w:t>L femur</w:t>
            </w:r>
          </w:p>
        </w:tc>
        <w:tc>
          <w:tcPr>
            <w:tcW w:w="4230" w:type="dxa"/>
          </w:tcPr>
          <w:p w14:paraId="4331D13A" w14:textId="77777777" w:rsidR="00741266" w:rsidRPr="00266741" w:rsidRDefault="00741266" w:rsidP="00FA652B">
            <w:pPr>
              <w:spacing w:line="240" w:lineRule="auto"/>
            </w:pPr>
            <w:r w:rsidRPr="00266741">
              <w:t>Posterior shaft with several short hatchmarks</w:t>
            </w:r>
          </w:p>
        </w:tc>
      </w:tr>
      <w:tr w:rsidR="00741266" w:rsidRPr="00266741" w14:paraId="77367A89" w14:textId="77777777" w:rsidTr="00FA652B">
        <w:trPr>
          <w:jc w:val="center"/>
        </w:trPr>
        <w:tc>
          <w:tcPr>
            <w:tcW w:w="949" w:type="dxa"/>
          </w:tcPr>
          <w:p w14:paraId="1B7EC79D" w14:textId="77777777" w:rsidR="00741266" w:rsidRPr="00266741" w:rsidRDefault="00741266" w:rsidP="00FA652B">
            <w:pPr>
              <w:spacing w:line="240" w:lineRule="auto"/>
            </w:pPr>
            <w:r w:rsidRPr="00266741">
              <w:t>129</w:t>
            </w:r>
          </w:p>
        </w:tc>
        <w:tc>
          <w:tcPr>
            <w:tcW w:w="540" w:type="dxa"/>
          </w:tcPr>
          <w:p w14:paraId="69BC9997" w14:textId="77777777" w:rsidR="00741266" w:rsidRPr="00266741" w:rsidRDefault="00741266" w:rsidP="00FA652B">
            <w:pPr>
              <w:spacing w:line="240" w:lineRule="auto"/>
            </w:pPr>
            <w:r w:rsidRPr="00266741">
              <w:t>M?</w:t>
            </w:r>
          </w:p>
        </w:tc>
        <w:tc>
          <w:tcPr>
            <w:tcW w:w="569" w:type="dxa"/>
          </w:tcPr>
          <w:p w14:paraId="035D219B" w14:textId="77777777" w:rsidR="00741266" w:rsidRPr="00266741" w:rsidRDefault="00741266" w:rsidP="00FA652B">
            <w:pPr>
              <w:spacing w:line="240" w:lineRule="auto"/>
            </w:pPr>
            <w:r>
              <w:t>MA</w:t>
            </w:r>
          </w:p>
        </w:tc>
        <w:tc>
          <w:tcPr>
            <w:tcW w:w="1170" w:type="dxa"/>
          </w:tcPr>
          <w:p w14:paraId="26DEF26E" w14:textId="77777777" w:rsidR="00741266" w:rsidRPr="00266741" w:rsidRDefault="00741266" w:rsidP="00FA652B">
            <w:pPr>
              <w:spacing w:line="240" w:lineRule="auto"/>
            </w:pPr>
            <w:r w:rsidRPr="00266741">
              <w:t>R femur</w:t>
            </w:r>
          </w:p>
        </w:tc>
        <w:tc>
          <w:tcPr>
            <w:tcW w:w="4230" w:type="dxa"/>
          </w:tcPr>
          <w:p w14:paraId="52072580" w14:textId="77777777" w:rsidR="00741266" w:rsidRPr="00266741" w:rsidRDefault="00741266" w:rsidP="00FA652B">
            <w:pPr>
              <w:spacing w:line="240" w:lineRule="auto"/>
            </w:pPr>
            <w:r w:rsidRPr="00266741">
              <w:t>Proximal anterior shaft cut mark</w:t>
            </w:r>
          </w:p>
        </w:tc>
      </w:tr>
      <w:tr w:rsidR="00741266" w:rsidRPr="00266741" w14:paraId="158B8B0E" w14:textId="77777777" w:rsidTr="00FA652B">
        <w:trPr>
          <w:jc w:val="center"/>
        </w:trPr>
        <w:tc>
          <w:tcPr>
            <w:tcW w:w="949" w:type="dxa"/>
          </w:tcPr>
          <w:p w14:paraId="0007CE36" w14:textId="77777777" w:rsidR="00741266" w:rsidRPr="00266741" w:rsidRDefault="00741266" w:rsidP="00FA652B">
            <w:pPr>
              <w:spacing w:line="240" w:lineRule="auto"/>
            </w:pPr>
            <w:r w:rsidRPr="00266741">
              <w:t>160</w:t>
            </w:r>
          </w:p>
        </w:tc>
        <w:tc>
          <w:tcPr>
            <w:tcW w:w="540" w:type="dxa"/>
          </w:tcPr>
          <w:p w14:paraId="467EAB95" w14:textId="77777777" w:rsidR="00741266" w:rsidRPr="00266741" w:rsidRDefault="00741266" w:rsidP="00FA652B">
            <w:pPr>
              <w:spacing w:line="240" w:lineRule="auto"/>
            </w:pPr>
            <w:r w:rsidRPr="00266741">
              <w:t>M?</w:t>
            </w:r>
          </w:p>
        </w:tc>
        <w:tc>
          <w:tcPr>
            <w:tcW w:w="569" w:type="dxa"/>
          </w:tcPr>
          <w:p w14:paraId="0489554A" w14:textId="77777777" w:rsidR="00741266" w:rsidRPr="00266741" w:rsidRDefault="00741266" w:rsidP="00FA652B">
            <w:pPr>
              <w:spacing w:line="240" w:lineRule="auto"/>
            </w:pPr>
            <w:r>
              <w:t>MA</w:t>
            </w:r>
          </w:p>
        </w:tc>
        <w:tc>
          <w:tcPr>
            <w:tcW w:w="1170" w:type="dxa"/>
          </w:tcPr>
          <w:p w14:paraId="2399B70D" w14:textId="77777777" w:rsidR="00741266" w:rsidRPr="00266741" w:rsidRDefault="00741266" w:rsidP="00FA652B">
            <w:pPr>
              <w:spacing w:line="240" w:lineRule="auto"/>
            </w:pPr>
            <w:r w:rsidRPr="00266741">
              <w:t>L tibia</w:t>
            </w:r>
          </w:p>
        </w:tc>
        <w:tc>
          <w:tcPr>
            <w:tcW w:w="4230" w:type="dxa"/>
          </w:tcPr>
          <w:p w14:paraId="5B1025EB" w14:textId="77777777" w:rsidR="00741266" w:rsidRPr="00266741" w:rsidRDefault="00741266" w:rsidP="00FA652B">
            <w:pPr>
              <w:spacing w:line="240" w:lineRule="auto"/>
            </w:pPr>
            <w:r w:rsidRPr="00266741">
              <w:t>Distal posterior shaft cut mark?</w:t>
            </w:r>
          </w:p>
        </w:tc>
      </w:tr>
      <w:tr w:rsidR="00741266" w:rsidRPr="00266741" w14:paraId="05CA3AC4" w14:textId="77777777" w:rsidTr="00FA652B">
        <w:trPr>
          <w:jc w:val="center"/>
        </w:trPr>
        <w:tc>
          <w:tcPr>
            <w:tcW w:w="949" w:type="dxa"/>
          </w:tcPr>
          <w:p w14:paraId="25625408" w14:textId="77777777" w:rsidR="00741266" w:rsidRPr="00266741" w:rsidRDefault="00741266" w:rsidP="00FA652B">
            <w:pPr>
              <w:spacing w:line="240" w:lineRule="auto"/>
            </w:pPr>
            <w:r w:rsidRPr="00266741">
              <w:t>87A</w:t>
            </w:r>
          </w:p>
        </w:tc>
        <w:tc>
          <w:tcPr>
            <w:tcW w:w="540" w:type="dxa"/>
          </w:tcPr>
          <w:p w14:paraId="483E765F" w14:textId="77777777" w:rsidR="00741266" w:rsidRPr="00266741" w:rsidRDefault="00741266" w:rsidP="00FA652B">
            <w:pPr>
              <w:spacing w:line="240" w:lineRule="auto"/>
            </w:pPr>
            <w:r w:rsidRPr="00266741">
              <w:t>M</w:t>
            </w:r>
          </w:p>
        </w:tc>
        <w:tc>
          <w:tcPr>
            <w:tcW w:w="569" w:type="dxa"/>
          </w:tcPr>
          <w:p w14:paraId="1F4FEE95" w14:textId="77777777" w:rsidR="00741266" w:rsidRPr="00266741" w:rsidRDefault="00741266" w:rsidP="00FA652B">
            <w:pPr>
              <w:spacing w:line="240" w:lineRule="auto"/>
            </w:pPr>
            <w:r>
              <w:t>YA</w:t>
            </w:r>
          </w:p>
        </w:tc>
        <w:tc>
          <w:tcPr>
            <w:tcW w:w="1170" w:type="dxa"/>
          </w:tcPr>
          <w:p w14:paraId="58809C53" w14:textId="77777777" w:rsidR="00741266" w:rsidRPr="00266741" w:rsidRDefault="00741266" w:rsidP="00FA652B">
            <w:pPr>
              <w:spacing w:line="240" w:lineRule="auto"/>
            </w:pPr>
            <w:r w:rsidRPr="00266741">
              <w:t xml:space="preserve">L tibia </w:t>
            </w:r>
          </w:p>
          <w:p w14:paraId="58F9FFF5" w14:textId="77777777" w:rsidR="00741266" w:rsidRPr="00266741" w:rsidRDefault="00741266" w:rsidP="00FA652B">
            <w:pPr>
              <w:spacing w:line="240" w:lineRule="auto"/>
            </w:pPr>
            <w:r w:rsidRPr="00266741">
              <w:t>R tibia</w:t>
            </w:r>
          </w:p>
        </w:tc>
        <w:tc>
          <w:tcPr>
            <w:tcW w:w="4230" w:type="dxa"/>
          </w:tcPr>
          <w:p w14:paraId="09DD31C0" w14:textId="77777777" w:rsidR="00741266" w:rsidRPr="00266741" w:rsidRDefault="00741266" w:rsidP="00FA652B">
            <w:pPr>
              <w:spacing w:line="240" w:lineRule="auto"/>
            </w:pPr>
            <w:r>
              <w:t>Body surrounded with multiple large projectile points</w:t>
            </w:r>
          </w:p>
        </w:tc>
      </w:tr>
      <w:tr w:rsidR="00741266" w:rsidRPr="00266741" w14:paraId="49D57CEE" w14:textId="77777777" w:rsidTr="00FA652B">
        <w:trPr>
          <w:jc w:val="center"/>
        </w:trPr>
        <w:tc>
          <w:tcPr>
            <w:tcW w:w="949" w:type="dxa"/>
          </w:tcPr>
          <w:p w14:paraId="3A3D2488" w14:textId="77777777" w:rsidR="00741266" w:rsidRPr="00266741" w:rsidRDefault="00741266" w:rsidP="00FA652B">
            <w:pPr>
              <w:spacing w:line="240" w:lineRule="auto"/>
            </w:pPr>
            <w:r w:rsidRPr="00266741">
              <w:t>87B</w:t>
            </w:r>
          </w:p>
        </w:tc>
        <w:tc>
          <w:tcPr>
            <w:tcW w:w="540" w:type="dxa"/>
          </w:tcPr>
          <w:p w14:paraId="56AF3924" w14:textId="77777777" w:rsidR="00741266" w:rsidRPr="00266741" w:rsidRDefault="00741266" w:rsidP="00FA652B">
            <w:pPr>
              <w:spacing w:line="240" w:lineRule="auto"/>
            </w:pPr>
            <w:r w:rsidRPr="00266741">
              <w:t>M</w:t>
            </w:r>
          </w:p>
        </w:tc>
        <w:tc>
          <w:tcPr>
            <w:tcW w:w="569" w:type="dxa"/>
          </w:tcPr>
          <w:p w14:paraId="1B2FFBB6" w14:textId="77777777" w:rsidR="00741266" w:rsidRPr="00266741" w:rsidRDefault="00741266" w:rsidP="00FA652B">
            <w:pPr>
              <w:spacing w:line="240" w:lineRule="auto"/>
            </w:pPr>
            <w:r>
              <w:t>YA</w:t>
            </w:r>
          </w:p>
        </w:tc>
        <w:tc>
          <w:tcPr>
            <w:tcW w:w="1170" w:type="dxa"/>
          </w:tcPr>
          <w:p w14:paraId="1AD84298" w14:textId="77777777" w:rsidR="00741266" w:rsidRPr="00266741" w:rsidRDefault="00741266" w:rsidP="00FA652B">
            <w:pPr>
              <w:spacing w:line="240" w:lineRule="auto"/>
            </w:pPr>
            <w:r w:rsidRPr="00266741">
              <w:t>R femur</w:t>
            </w:r>
          </w:p>
          <w:p w14:paraId="757F9403" w14:textId="77777777" w:rsidR="00741266" w:rsidRPr="00266741" w:rsidRDefault="00741266" w:rsidP="00FA652B">
            <w:pPr>
              <w:spacing w:line="240" w:lineRule="auto"/>
            </w:pPr>
            <w:r w:rsidRPr="00266741">
              <w:t>L tibia</w:t>
            </w:r>
          </w:p>
        </w:tc>
        <w:tc>
          <w:tcPr>
            <w:tcW w:w="4230" w:type="dxa"/>
          </w:tcPr>
          <w:p w14:paraId="3A5E2C47" w14:textId="77777777" w:rsidR="00741266" w:rsidRPr="00266741" w:rsidRDefault="00741266" w:rsidP="00FA652B">
            <w:pPr>
              <w:spacing w:line="240" w:lineRule="auto"/>
            </w:pPr>
            <w:r>
              <w:t>Body surrounded with multiple large projectile points</w:t>
            </w:r>
          </w:p>
        </w:tc>
      </w:tr>
    </w:tbl>
    <w:p w14:paraId="37BFA3B7" w14:textId="77777777" w:rsidR="00933C62" w:rsidRDefault="00933C62" w:rsidP="00933C62">
      <w:pPr>
        <w:rPr>
          <w:rFonts w:ascii="Times New Roman" w:hAnsi="Times New Roman"/>
        </w:rPr>
      </w:pPr>
    </w:p>
    <w:p w14:paraId="4D82ABC7" w14:textId="3D0007F1" w:rsidR="00933C62" w:rsidRPr="00741266" w:rsidRDefault="00933C62" w:rsidP="00741266">
      <w:pPr>
        <w:spacing w:line="240" w:lineRule="auto"/>
        <w:jc w:val="center"/>
        <w:rPr>
          <w:rFonts w:ascii="Times New Roman" w:hAnsi="Times New Roman"/>
        </w:rPr>
      </w:pPr>
      <w:r>
        <w:rPr>
          <w:rFonts w:ascii="Times New Roman" w:hAnsi="Times New Roman"/>
          <w:noProof/>
          <w:lang w:bidi="ar-SA"/>
        </w:rPr>
        <w:drawing>
          <wp:inline distT="0" distB="0" distL="0" distR="0" wp14:anchorId="74FE4564" wp14:editId="2F3E6B3D">
            <wp:extent cx="3696839" cy="2612571"/>
            <wp:effectExtent l="0" t="0" r="1206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crop.jpg"/>
                    <pic:cNvPicPr/>
                  </pic:nvPicPr>
                  <pic:blipFill>
                    <a:blip r:embed="rId25">
                      <a:extLst>
                        <a:ext uri="{28A0092B-C50C-407E-A947-70E740481C1C}">
                          <a14:useLocalDpi xmlns:a14="http://schemas.microsoft.com/office/drawing/2010/main" val="0"/>
                        </a:ext>
                      </a:extLst>
                    </a:blip>
                    <a:stretch>
                      <a:fillRect/>
                    </a:stretch>
                  </pic:blipFill>
                  <pic:spPr>
                    <a:xfrm>
                      <a:off x="0" y="0"/>
                      <a:ext cx="3700027" cy="2614824"/>
                    </a:xfrm>
                    <a:prstGeom prst="rect">
                      <a:avLst/>
                    </a:prstGeom>
                  </pic:spPr>
                </pic:pic>
              </a:graphicData>
            </a:graphic>
          </wp:inline>
        </w:drawing>
      </w:r>
    </w:p>
    <w:p w14:paraId="453D6FBC" w14:textId="77777777" w:rsidR="00741266" w:rsidRDefault="00741266" w:rsidP="00133F61">
      <w:pPr>
        <w:pStyle w:val="Caption"/>
      </w:pPr>
    </w:p>
    <w:p w14:paraId="35E68090" w14:textId="60F44833" w:rsidR="00933C62" w:rsidRDefault="00933C62" w:rsidP="00133F61">
      <w:pPr>
        <w:pStyle w:val="Caption"/>
      </w:pPr>
      <w:bookmarkStart w:id="82" w:name="_Toc261025217"/>
      <w:r>
        <w:t xml:space="preserve">Figure </w:t>
      </w:r>
      <w:fldSimple w:instr=" SEQ Figure \* ARABIC ">
        <w:r w:rsidR="00396EB3">
          <w:rPr>
            <w:noProof/>
          </w:rPr>
          <w:t>15</w:t>
        </w:r>
      </w:fldSimple>
      <w:r>
        <w:t xml:space="preserve">  Burial 8, a triple burial from the Akers site</w:t>
      </w:r>
      <w:bookmarkEnd w:id="82"/>
    </w:p>
    <w:p w14:paraId="66DEDC77" w14:textId="77777777" w:rsidR="00933C62" w:rsidRDefault="00933C62" w:rsidP="00933C62">
      <w:pPr>
        <w:pStyle w:val="BodyTextIndent"/>
        <w:rPr>
          <w:szCs w:val="24"/>
        </w:rPr>
      </w:pPr>
      <w:r>
        <w:rPr>
          <w:szCs w:val="24"/>
        </w:rPr>
        <w:t>Four of the thirteen</w:t>
      </w:r>
      <w:r w:rsidRPr="00266741">
        <w:rPr>
          <w:szCs w:val="24"/>
        </w:rPr>
        <w:t xml:space="preserve"> projectile wounds were in Burial 87.  This burial is one of the </w:t>
      </w:r>
      <w:r>
        <w:rPr>
          <w:szCs w:val="24"/>
        </w:rPr>
        <w:t>most notable</w:t>
      </w:r>
      <w:r w:rsidRPr="00266741">
        <w:rPr>
          <w:szCs w:val="24"/>
        </w:rPr>
        <w:t xml:space="preserve"> features from the Akers site and consisted of two well-articulated skeletons, positioned side by side </w:t>
      </w:r>
      <w:r>
        <w:rPr>
          <w:szCs w:val="24"/>
        </w:rPr>
        <w:t xml:space="preserve">in an extended position </w:t>
      </w:r>
      <w:r w:rsidRPr="00266741">
        <w:rPr>
          <w:szCs w:val="24"/>
        </w:rPr>
        <w:t xml:space="preserve">on their backs. Each body was surrounded with multiple large projectile points that had clearly been lodged in body cavities at time of death (Figure </w:t>
      </w:r>
      <w:r>
        <w:rPr>
          <w:szCs w:val="24"/>
        </w:rPr>
        <w:t>16</w:t>
      </w:r>
      <w:r w:rsidRPr="00266741">
        <w:rPr>
          <w:szCs w:val="24"/>
        </w:rPr>
        <w:t>).  These individuals are an example of “pin-cushioning” which is suggestive of a vengeance killing (Dye 2009).</w:t>
      </w:r>
      <w:r>
        <w:rPr>
          <w:szCs w:val="24"/>
        </w:rPr>
        <w:t xml:space="preserve"> </w:t>
      </w:r>
      <w:r w:rsidRPr="00266741">
        <w:rPr>
          <w:szCs w:val="24"/>
        </w:rPr>
        <w:t xml:space="preserve"> Note that while only four clear skeletal wounds were found, there were 23 large points with their bodies, several of which are </w:t>
      </w:r>
      <w:r>
        <w:rPr>
          <w:szCs w:val="24"/>
        </w:rPr>
        <w:t>highlighted</w:t>
      </w:r>
      <w:r w:rsidRPr="00266741">
        <w:rPr>
          <w:szCs w:val="24"/>
        </w:rPr>
        <w:t xml:space="preserve"> in Figure </w:t>
      </w:r>
      <w:r>
        <w:rPr>
          <w:szCs w:val="24"/>
        </w:rPr>
        <w:t>17.</w:t>
      </w:r>
    </w:p>
    <w:p w14:paraId="0EBCBE5D" w14:textId="77777777" w:rsidR="00933C62" w:rsidRDefault="00933C62" w:rsidP="00933C62">
      <w:pPr>
        <w:pStyle w:val="NoSpacing"/>
        <w:spacing w:line="480" w:lineRule="auto"/>
        <w:ind w:firstLine="720"/>
        <w:rPr>
          <w:rFonts w:ascii="Times New Roman" w:hAnsi="Times New Roman"/>
          <w:szCs w:val="24"/>
        </w:rPr>
      </w:pPr>
      <w:r w:rsidRPr="001C0A71">
        <w:rPr>
          <w:rFonts w:ascii="Times New Roman" w:hAnsi="Times New Roman"/>
          <w:szCs w:val="24"/>
        </w:rPr>
        <w:t xml:space="preserve">It can also be seen that there is only one skull, and a close up reveals that something (possibly phalanges) had been inserted into the nasal cavity </w:t>
      </w:r>
      <w:r>
        <w:rPr>
          <w:rFonts w:ascii="Times New Roman" w:hAnsi="Times New Roman"/>
          <w:szCs w:val="24"/>
        </w:rPr>
        <w:t>at the time of burial (Figure 1</w:t>
      </w:r>
      <w:r w:rsidRPr="001C0A71">
        <w:rPr>
          <w:rFonts w:ascii="Times New Roman" w:hAnsi="Times New Roman"/>
          <w:szCs w:val="24"/>
        </w:rPr>
        <w:t xml:space="preserve">7).  However the objects had been removed by the time I was able to examine the burial.  The missing skull is likely the result of trophy hunting, which was not uncommon in the </w:t>
      </w:r>
      <w:r>
        <w:rPr>
          <w:rFonts w:ascii="Times New Roman" w:hAnsi="Times New Roman"/>
          <w:szCs w:val="24"/>
        </w:rPr>
        <w:t>Wister area</w:t>
      </w:r>
      <w:r w:rsidRPr="001C0A71">
        <w:rPr>
          <w:rFonts w:ascii="Times New Roman" w:hAnsi="Times New Roman"/>
          <w:szCs w:val="24"/>
        </w:rPr>
        <w:t xml:space="preserve"> Fourche Maline and is discussed in the following chapter.  </w:t>
      </w:r>
    </w:p>
    <w:p w14:paraId="08A4BFDB" w14:textId="77777777" w:rsidR="007F6BCD" w:rsidRPr="00E27D95" w:rsidRDefault="007F6BCD" w:rsidP="007F6BCD">
      <w:pPr>
        <w:pStyle w:val="NoSpacing"/>
        <w:ind w:firstLine="720"/>
        <w:rPr>
          <w:rFonts w:ascii="Times New Roman" w:hAnsi="Times New Roman"/>
          <w:szCs w:val="24"/>
        </w:rPr>
      </w:pPr>
    </w:p>
    <w:p w14:paraId="79DFB64C" w14:textId="77777777" w:rsidR="00933C62" w:rsidRDefault="00933C62" w:rsidP="00133F61">
      <w:pPr>
        <w:pStyle w:val="Caption"/>
      </w:pPr>
      <w:r w:rsidRPr="00266741">
        <w:rPr>
          <w:noProof/>
          <w:lang w:bidi="ar-SA"/>
        </w:rPr>
        <w:drawing>
          <wp:inline distT="0" distB="0" distL="0" distR="0" wp14:anchorId="298E4012" wp14:editId="513CC15D">
            <wp:extent cx="5194315" cy="2057400"/>
            <wp:effectExtent l="0" t="0" r="12700" b="0"/>
            <wp:docPr id="27" name="Picture 27" descr="87-2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7-2Sm"/>
                    <pic:cNvPicPr>
                      <a:picLocks noChangeAspect="1" noChangeArrowheads="1"/>
                    </pic:cNvPicPr>
                  </pic:nvPicPr>
                  <pic:blipFill>
                    <a:blip r:embed="rId26">
                      <a:extLst>
                        <a:ext uri="{28A0092B-C50C-407E-A947-70E740481C1C}">
                          <a14:useLocalDpi xmlns:a14="http://schemas.microsoft.com/office/drawing/2010/main" val="0"/>
                        </a:ext>
                      </a:extLst>
                    </a:blip>
                    <a:srcRect l="2777" t="21898" b="17519"/>
                    <a:stretch>
                      <a:fillRect/>
                    </a:stretch>
                  </pic:blipFill>
                  <pic:spPr bwMode="auto">
                    <a:xfrm>
                      <a:off x="0" y="0"/>
                      <a:ext cx="5194315" cy="2057400"/>
                    </a:xfrm>
                    <a:prstGeom prst="rect">
                      <a:avLst/>
                    </a:prstGeom>
                    <a:noFill/>
                    <a:ln>
                      <a:noFill/>
                    </a:ln>
                  </pic:spPr>
                </pic:pic>
              </a:graphicData>
            </a:graphic>
          </wp:inline>
        </w:drawing>
      </w:r>
    </w:p>
    <w:p w14:paraId="16616A83" w14:textId="77777777" w:rsidR="00933C62" w:rsidRDefault="00933C62" w:rsidP="00133F61">
      <w:pPr>
        <w:pStyle w:val="Caption"/>
      </w:pPr>
    </w:p>
    <w:p w14:paraId="323FE275" w14:textId="1B638C33" w:rsidR="00933C62" w:rsidRDefault="00933C62" w:rsidP="00133F61">
      <w:pPr>
        <w:pStyle w:val="Caption"/>
        <w:rPr>
          <w:szCs w:val="24"/>
        </w:rPr>
      </w:pPr>
      <w:bookmarkStart w:id="83" w:name="_Toc261025218"/>
      <w:r>
        <w:t xml:space="preserve">Figure </w:t>
      </w:r>
      <w:fldSimple w:instr=" SEQ Figure \* ARABIC ">
        <w:r w:rsidR="00396EB3">
          <w:rPr>
            <w:noProof/>
          </w:rPr>
          <w:t>16</w:t>
        </w:r>
      </w:fldSimple>
      <w:r>
        <w:t xml:space="preserve">  Burial 87 from the Akers site, consisting of two adult males with one skull</w:t>
      </w:r>
      <w:bookmarkEnd w:id="83"/>
    </w:p>
    <w:p w14:paraId="57DF6530" w14:textId="77777777" w:rsidR="00933C62" w:rsidRPr="008674D5" w:rsidRDefault="00933C62" w:rsidP="00933C62">
      <w:pPr>
        <w:spacing w:line="240" w:lineRule="auto"/>
      </w:pPr>
    </w:p>
    <w:p w14:paraId="3039D59B" w14:textId="77777777" w:rsidR="00933C62" w:rsidRPr="002A0C69" w:rsidRDefault="00933C62" w:rsidP="00933C62">
      <w:pPr>
        <w:pStyle w:val="FigureTable"/>
        <w:rPr>
          <w:rFonts w:asciiTheme="minorHAnsi" w:hAnsiTheme="minorHAnsi"/>
          <w:sz w:val="24"/>
          <w:szCs w:val="24"/>
        </w:rPr>
      </w:pPr>
    </w:p>
    <w:p w14:paraId="35C455C1" w14:textId="77777777" w:rsidR="00933C62" w:rsidRPr="00266741" w:rsidRDefault="00933C62" w:rsidP="00933C62">
      <w:pPr>
        <w:spacing w:line="360" w:lineRule="auto"/>
        <w:jc w:val="center"/>
        <w:rPr>
          <w:rFonts w:ascii="Times New Roman" w:hAnsi="Times New Roman"/>
        </w:rPr>
      </w:pPr>
      <w:r w:rsidRPr="00FD0636">
        <w:rPr>
          <w:rFonts w:ascii="Times New Roman" w:hAnsi="Times New Roman"/>
          <w:noProof/>
          <w:lang w:bidi="ar-SA"/>
        </w:rPr>
        <mc:AlternateContent>
          <mc:Choice Requires="wps">
            <w:drawing>
              <wp:anchor distT="0" distB="0" distL="114300" distR="114300" simplePos="0" relativeHeight="251662336" behindDoc="0" locked="0" layoutInCell="1" allowOverlap="1" wp14:anchorId="22D2E9EC" wp14:editId="1064D41C">
                <wp:simplePos x="0" y="0"/>
                <wp:positionH relativeFrom="column">
                  <wp:posOffset>3197860</wp:posOffset>
                </wp:positionH>
                <wp:positionV relativeFrom="paragraph">
                  <wp:posOffset>-114300</wp:posOffset>
                </wp:positionV>
                <wp:extent cx="114300" cy="228600"/>
                <wp:effectExtent l="25400" t="0" r="63500" b="50800"/>
                <wp:wrapNone/>
                <wp:docPr id="2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251.8pt;margin-top:-8.95pt;width: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1312" behindDoc="0" locked="0" layoutInCell="1" allowOverlap="1" wp14:anchorId="0729F3B1" wp14:editId="6F7685A5">
                <wp:simplePos x="0" y="0"/>
                <wp:positionH relativeFrom="column">
                  <wp:posOffset>1826260</wp:posOffset>
                </wp:positionH>
                <wp:positionV relativeFrom="paragraph">
                  <wp:posOffset>-38100</wp:posOffset>
                </wp:positionV>
                <wp:extent cx="114300" cy="228600"/>
                <wp:effectExtent l="25400" t="0" r="63500" b="50800"/>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143.8pt;margin-top:-2.95pt;width: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70528" behindDoc="0" locked="0" layoutInCell="1" allowOverlap="1" wp14:anchorId="30F1FB8F" wp14:editId="4E4C7716">
                <wp:simplePos x="0" y="0"/>
                <wp:positionH relativeFrom="column">
                  <wp:posOffset>4572000</wp:posOffset>
                </wp:positionH>
                <wp:positionV relativeFrom="paragraph">
                  <wp:posOffset>2297430</wp:posOffset>
                </wp:positionV>
                <wp:extent cx="114300" cy="228600"/>
                <wp:effectExtent l="25400" t="25400" r="63500" b="254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5in;margin-top:180.9pt;width:9pt;height:18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9504" behindDoc="0" locked="0" layoutInCell="1" allowOverlap="1" wp14:anchorId="66817489" wp14:editId="0F609B0B">
                <wp:simplePos x="0" y="0"/>
                <wp:positionH relativeFrom="column">
                  <wp:posOffset>1143000</wp:posOffset>
                </wp:positionH>
                <wp:positionV relativeFrom="paragraph">
                  <wp:posOffset>2640330</wp:posOffset>
                </wp:positionV>
                <wp:extent cx="114300" cy="228600"/>
                <wp:effectExtent l="25400" t="25400" r="63500" b="2540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90pt;margin-top:207.9pt;width:9pt;height:18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8480" behindDoc="0" locked="0" layoutInCell="1" allowOverlap="1" wp14:anchorId="08289E5C" wp14:editId="194FED17">
                <wp:simplePos x="0" y="0"/>
                <wp:positionH relativeFrom="column">
                  <wp:posOffset>3371850</wp:posOffset>
                </wp:positionH>
                <wp:positionV relativeFrom="paragraph">
                  <wp:posOffset>640080</wp:posOffset>
                </wp:positionV>
                <wp:extent cx="114300" cy="228600"/>
                <wp:effectExtent l="19050" t="31750" r="0" b="5715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265.5pt;margin-top:50.4pt;width:9pt;height:18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7456" behindDoc="0" locked="0" layoutInCell="1" allowOverlap="1" wp14:anchorId="2A4751A4" wp14:editId="0D13C298">
                <wp:simplePos x="0" y="0"/>
                <wp:positionH relativeFrom="column">
                  <wp:posOffset>2057400</wp:posOffset>
                </wp:positionH>
                <wp:positionV relativeFrom="paragraph">
                  <wp:posOffset>2411730</wp:posOffset>
                </wp:positionV>
                <wp:extent cx="114300" cy="228600"/>
                <wp:effectExtent l="25400" t="25400" r="63500" b="2540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162pt;margin-top:189.9pt;width:9pt;height:18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6432" behindDoc="0" locked="0" layoutInCell="1" allowOverlap="1" wp14:anchorId="4A1CF5AB" wp14:editId="540980A7">
                <wp:simplePos x="0" y="0"/>
                <wp:positionH relativeFrom="column">
                  <wp:posOffset>2571750</wp:posOffset>
                </wp:positionH>
                <wp:positionV relativeFrom="paragraph">
                  <wp:posOffset>2011680</wp:posOffset>
                </wp:positionV>
                <wp:extent cx="114300" cy="228600"/>
                <wp:effectExtent l="19050" t="31750" r="0" b="571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202.5pt;margin-top:158.4pt;width:9pt;height:18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5408" behindDoc="0" locked="0" layoutInCell="1" allowOverlap="1" wp14:anchorId="0B997737" wp14:editId="197F25B7">
                <wp:simplePos x="0" y="0"/>
                <wp:positionH relativeFrom="column">
                  <wp:posOffset>2057400</wp:posOffset>
                </wp:positionH>
                <wp:positionV relativeFrom="paragraph">
                  <wp:posOffset>1611630</wp:posOffset>
                </wp:positionV>
                <wp:extent cx="114300" cy="228600"/>
                <wp:effectExtent l="25400" t="0" r="63500" b="5080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162pt;margin-top:126.9pt;width:9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4384" behindDoc="0" locked="0" layoutInCell="1" allowOverlap="1" wp14:anchorId="3DD6A1D1" wp14:editId="6E0A9B93">
                <wp:simplePos x="0" y="0"/>
                <wp:positionH relativeFrom="column">
                  <wp:posOffset>2971800</wp:posOffset>
                </wp:positionH>
                <wp:positionV relativeFrom="paragraph">
                  <wp:posOffset>1383030</wp:posOffset>
                </wp:positionV>
                <wp:extent cx="114300" cy="228600"/>
                <wp:effectExtent l="25400" t="0" r="63500" b="50800"/>
                <wp:wrapNone/>
                <wp:docPr id="3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234pt;margin-top:108.9pt;width:9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0288" behindDoc="0" locked="0" layoutInCell="1" allowOverlap="1" wp14:anchorId="27FF4FA3" wp14:editId="089EF629">
                <wp:simplePos x="0" y="0"/>
                <wp:positionH relativeFrom="column">
                  <wp:posOffset>1600200</wp:posOffset>
                </wp:positionH>
                <wp:positionV relativeFrom="paragraph">
                  <wp:posOffset>468630</wp:posOffset>
                </wp:positionV>
                <wp:extent cx="114300" cy="228600"/>
                <wp:effectExtent l="0" t="31750" r="57150" b="57150"/>
                <wp:wrapNone/>
                <wp:docPr id="3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126pt;margin-top:36.9pt;width:9pt;height:18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63360" behindDoc="0" locked="0" layoutInCell="1" allowOverlap="1" wp14:anchorId="5556437B" wp14:editId="6967B58D">
                <wp:simplePos x="0" y="0"/>
                <wp:positionH relativeFrom="column">
                  <wp:posOffset>2171700</wp:posOffset>
                </wp:positionH>
                <wp:positionV relativeFrom="paragraph">
                  <wp:posOffset>582930</wp:posOffset>
                </wp:positionV>
                <wp:extent cx="114300" cy="228600"/>
                <wp:effectExtent l="25400" t="0" r="63500" b="50800"/>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171pt;margin-top:45.9pt;width:9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" fillcolor="red"/>
            </w:pict>
          </mc:Fallback>
        </mc:AlternateContent>
      </w:r>
      <w:r w:rsidRPr="00266741">
        <w:rPr>
          <w:rFonts w:ascii="Times New Roman" w:hAnsi="Times New Roman"/>
          <w:noProof/>
          <w:lang w:bidi="ar-SA"/>
        </w:rPr>
        <w:drawing>
          <wp:inline distT="0" distB="0" distL="0" distR="0" wp14:anchorId="4AACC354" wp14:editId="60CE56F0">
            <wp:extent cx="5024120" cy="3253105"/>
            <wp:effectExtent l="0" t="0" r="5080" b="0"/>
            <wp:docPr id="34" name="Picture 34" descr="87-1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7-1S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4120" cy="3253105"/>
                    </a:xfrm>
                    <a:prstGeom prst="rect">
                      <a:avLst/>
                    </a:prstGeom>
                    <a:noFill/>
                    <a:ln>
                      <a:noFill/>
                    </a:ln>
                  </pic:spPr>
                </pic:pic>
              </a:graphicData>
            </a:graphic>
          </wp:inline>
        </w:drawing>
      </w:r>
    </w:p>
    <w:p w14:paraId="481A9AAA" w14:textId="77777777" w:rsidR="00933C62" w:rsidRDefault="00933C62" w:rsidP="00133F61">
      <w:pPr>
        <w:pStyle w:val="Caption"/>
      </w:pPr>
    </w:p>
    <w:p w14:paraId="4EF3F062" w14:textId="0900479B" w:rsidR="00933C62" w:rsidRDefault="00933C62" w:rsidP="00133F61">
      <w:pPr>
        <w:pStyle w:val="Caption"/>
      </w:pPr>
      <w:bookmarkStart w:id="84" w:name="_Toc261025219"/>
      <w:r>
        <w:t xml:space="preserve">Figure </w:t>
      </w:r>
      <w:fldSimple w:instr=" SEQ Figure \* ARABIC ">
        <w:r w:rsidR="00396EB3">
          <w:rPr>
            <w:noProof/>
          </w:rPr>
          <w:t>17</w:t>
        </w:r>
      </w:fldSimple>
      <w:r>
        <w:t xml:space="preserve">  Burial 87 from the Akers site, close-up showing multiple projectile points as well as objects inserted into nasal cavity</w:t>
      </w:r>
      <w:bookmarkEnd w:id="84"/>
    </w:p>
    <w:p w14:paraId="6AC7AC92" w14:textId="77777777" w:rsidR="00952643" w:rsidRPr="00952643" w:rsidRDefault="00952643" w:rsidP="007F6BCD">
      <w:pPr>
        <w:spacing w:line="240" w:lineRule="auto"/>
      </w:pPr>
    </w:p>
    <w:p w14:paraId="7F59BD1C" w14:textId="77777777" w:rsidR="00933C62" w:rsidRDefault="00933C62" w:rsidP="009C5432">
      <w:pPr>
        <w:pStyle w:val="Heading3"/>
      </w:pPr>
      <w:bookmarkStart w:id="85" w:name="_Toc261025873"/>
      <w:r w:rsidRPr="002A0C69">
        <w:t>Summary and Discussion</w:t>
      </w:r>
      <w:r>
        <w:t xml:space="preserve"> of Skeletal Trauma</w:t>
      </w:r>
      <w:bookmarkEnd w:id="85"/>
    </w:p>
    <w:p w14:paraId="30B8CF63" w14:textId="77777777" w:rsidR="00933C62" w:rsidRDefault="00933C62" w:rsidP="00933C62">
      <w:pPr>
        <w:ind w:firstLine="720"/>
        <w:rPr>
          <w:rFonts w:ascii="Times New Roman" w:hAnsi="Times New Roman"/>
        </w:rPr>
      </w:pPr>
      <w:r>
        <w:rPr>
          <w:rFonts w:ascii="Times New Roman" w:hAnsi="Times New Roman"/>
        </w:rPr>
        <w:t>The above sections detailed each</w:t>
      </w:r>
      <w:r w:rsidRPr="00085232">
        <w:rPr>
          <w:rFonts w:ascii="Times New Roman" w:hAnsi="Times New Roman"/>
        </w:rPr>
        <w:t xml:space="preserve"> cranial, upper, and lower limb trauma for the adults at the Akers site.</w:t>
      </w:r>
      <w:r>
        <w:rPr>
          <w:rFonts w:ascii="Times New Roman" w:hAnsi="Times New Roman"/>
        </w:rPr>
        <w:t xml:space="preserve">  The results will be summarized and the individuals with multiple fractures will be considered in some detail.</w:t>
      </w:r>
    </w:p>
    <w:p w14:paraId="3CF8D850" w14:textId="3525E30D" w:rsidR="00933C62" w:rsidRDefault="00933C62" w:rsidP="00933C62">
      <w:pPr>
        <w:ind w:firstLine="720"/>
        <w:rPr>
          <w:rFonts w:ascii="Times New Roman" w:hAnsi="Times New Roman"/>
        </w:rPr>
      </w:pPr>
      <w:r>
        <w:rPr>
          <w:rFonts w:ascii="Times New Roman" w:hAnsi="Times New Roman"/>
        </w:rPr>
        <w:t>Cranial trauma was the result of both blunt and sharp force trauma observed to the calvarium.  The frequency of cranial trauma for</w:t>
      </w:r>
      <w:r w:rsidR="00FC7766">
        <w:rPr>
          <w:rFonts w:ascii="Times New Roman" w:hAnsi="Times New Roman"/>
        </w:rPr>
        <w:t xml:space="preserve"> females (23%) was</w:t>
      </w:r>
      <w:r>
        <w:rPr>
          <w:rFonts w:ascii="Times New Roman" w:hAnsi="Times New Roman"/>
        </w:rPr>
        <w:t xml:space="preserve"> higher than that for males (13%); however this difference was not found to be statistically significant (</w:t>
      </w:r>
      <w:r w:rsidRPr="00E16A6F">
        <w:rPr>
          <w:rFonts w:ascii="Times New Roman" w:hAnsi="Times New Roman"/>
          <w:i/>
        </w:rPr>
        <w:t>p</w:t>
      </w:r>
      <w:r>
        <w:rPr>
          <w:rFonts w:ascii="Times New Roman" w:hAnsi="Times New Roman"/>
        </w:rPr>
        <w:t xml:space="preserve">=.3 two-tailed Fisher’s Exact Test).  Despite the lack of statistical difference by sex, it was noteworthy that </w:t>
      </w:r>
      <w:r w:rsidRPr="00266741">
        <w:rPr>
          <w:rFonts w:ascii="Times New Roman" w:hAnsi="Times New Roman"/>
        </w:rPr>
        <w:t>no male had more than on</w:t>
      </w:r>
      <w:r>
        <w:rPr>
          <w:rFonts w:ascii="Times New Roman" w:hAnsi="Times New Roman"/>
        </w:rPr>
        <w:t>e injury to the calvarium, whereas</w:t>
      </w:r>
      <w:r w:rsidRPr="00266741">
        <w:rPr>
          <w:rFonts w:ascii="Times New Roman" w:hAnsi="Times New Roman"/>
        </w:rPr>
        <w:t xml:space="preserve"> two females had multiple calvarium injuries.  Additionally, only the females had evidence of sharp fo</w:t>
      </w:r>
      <w:r>
        <w:rPr>
          <w:rFonts w:ascii="Times New Roman" w:hAnsi="Times New Roman"/>
        </w:rPr>
        <w:t>rce cranial</w:t>
      </w:r>
      <w:r w:rsidRPr="00266741">
        <w:rPr>
          <w:rFonts w:ascii="Times New Roman" w:hAnsi="Times New Roman"/>
        </w:rPr>
        <w:t xml:space="preserve"> trauma.</w:t>
      </w:r>
      <w:r>
        <w:rPr>
          <w:rFonts w:ascii="Times New Roman" w:hAnsi="Times New Roman"/>
        </w:rPr>
        <w:t xml:space="preserve">  Finally, no old adult males were observed with a cranial trauma while 3 (30%) of the old adult females had a cranial trauma.</w:t>
      </w:r>
    </w:p>
    <w:p w14:paraId="318F5C9D" w14:textId="77777777" w:rsidR="00933C62" w:rsidRDefault="00933C62" w:rsidP="00933C62">
      <w:pPr>
        <w:ind w:firstLine="720"/>
        <w:rPr>
          <w:rFonts w:ascii="Times New Roman" w:hAnsi="Times New Roman"/>
        </w:rPr>
      </w:pPr>
      <w:r>
        <w:rPr>
          <w:rFonts w:ascii="Times New Roman" w:hAnsi="Times New Roman"/>
        </w:rPr>
        <w:t>Upper limb fractures were observed on 18% of the adult population.  The majority of these fractures were to the</w:t>
      </w:r>
      <w:r w:rsidRPr="00266741">
        <w:rPr>
          <w:rFonts w:ascii="Times New Roman" w:hAnsi="Times New Roman"/>
        </w:rPr>
        <w:t xml:space="preserve"> distal</w:t>
      </w:r>
      <w:r>
        <w:rPr>
          <w:rFonts w:ascii="Times New Roman" w:hAnsi="Times New Roman"/>
        </w:rPr>
        <w:t xml:space="preserve"> ulna or radius</w:t>
      </w:r>
      <w:r w:rsidRPr="00266741">
        <w:rPr>
          <w:rFonts w:ascii="Times New Roman" w:hAnsi="Times New Roman"/>
        </w:rPr>
        <w:t>, suggesting falls, rather than interpersonal violence, although two possible parry fractures</w:t>
      </w:r>
      <w:r>
        <w:rPr>
          <w:rFonts w:ascii="Times New Roman" w:hAnsi="Times New Roman"/>
        </w:rPr>
        <w:t xml:space="preserve"> (both to males)</w:t>
      </w:r>
      <w:r w:rsidRPr="00266741">
        <w:rPr>
          <w:rFonts w:ascii="Times New Roman" w:hAnsi="Times New Roman"/>
        </w:rPr>
        <w:t xml:space="preserve"> </w:t>
      </w:r>
      <w:r>
        <w:rPr>
          <w:rFonts w:ascii="Times New Roman" w:hAnsi="Times New Roman"/>
        </w:rPr>
        <w:t>were discussed</w:t>
      </w:r>
      <w:r w:rsidRPr="00266741">
        <w:rPr>
          <w:rFonts w:ascii="Times New Roman" w:hAnsi="Times New Roman"/>
        </w:rPr>
        <w:t xml:space="preserve">.  </w:t>
      </w:r>
      <w:r>
        <w:rPr>
          <w:rFonts w:ascii="Times New Roman" w:hAnsi="Times New Roman"/>
        </w:rPr>
        <w:t>Sex differences for upper limb fractures were not statistically significant for any age class.</w:t>
      </w:r>
    </w:p>
    <w:p w14:paraId="63E0CDEC" w14:textId="2C3FD541" w:rsidR="00933C62" w:rsidRDefault="00933C62" w:rsidP="00933C62">
      <w:pPr>
        <w:ind w:firstLine="720"/>
        <w:rPr>
          <w:rFonts w:ascii="Times New Roman" w:hAnsi="Times New Roman"/>
        </w:rPr>
      </w:pPr>
      <w:r>
        <w:rPr>
          <w:rFonts w:ascii="Times New Roman" w:hAnsi="Times New Roman"/>
        </w:rPr>
        <w:t xml:space="preserve">Lower limb fractures were observed on 11% of the population.  These fractures were overwhelmingly to females, and the </w:t>
      </w:r>
      <w:r w:rsidR="00970058">
        <w:rPr>
          <w:rFonts w:ascii="Times New Roman" w:hAnsi="Times New Roman"/>
        </w:rPr>
        <w:t>sex difference</w:t>
      </w:r>
      <w:r>
        <w:rPr>
          <w:rFonts w:ascii="Times New Roman" w:hAnsi="Times New Roman"/>
        </w:rPr>
        <w:t xml:space="preserve"> is statistically significant (</w:t>
      </w:r>
      <w:r w:rsidRPr="006060A5">
        <w:rPr>
          <w:rFonts w:ascii="Times New Roman" w:hAnsi="Times New Roman"/>
          <w:i/>
        </w:rPr>
        <w:t>p</w:t>
      </w:r>
      <w:r>
        <w:rPr>
          <w:rFonts w:ascii="Times New Roman" w:hAnsi="Times New Roman"/>
        </w:rPr>
        <w:t xml:space="preserve">=.01 two-tailed Fisher’s Exact Test).  No lower limb trauma was seen on older adults of either sex.  This is somewhat surprising given that in modern societies, </w:t>
      </w:r>
      <w:r w:rsidR="00DA6874">
        <w:rPr>
          <w:rFonts w:ascii="Times New Roman" w:hAnsi="Times New Roman"/>
        </w:rPr>
        <w:t>risk of femur fracture increases with age.</w:t>
      </w:r>
    </w:p>
    <w:p w14:paraId="4248BD3D" w14:textId="77777777" w:rsidR="00933C62" w:rsidRDefault="00933C62" w:rsidP="00933C62">
      <w:pPr>
        <w:ind w:firstLine="720"/>
        <w:rPr>
          <w:rFonts w:ascii="Times New Roman" w:hAnsi="Times New Roman"/>
        </w:rPr>
      </w:pPr>
      <w:r>
        <w:rPr>
          <w:rFonts w:ascii="Times New Roman" w:hAnsi="Times New Roman"/>
        </w:rPr>
        <w:t>When cranial fractures are combined with limb fractures, a total of 15 adult males were observed with</w:t>
      </w:r>
      <w:r w:rsidRPr="009A388B">
        <w:rPr>
          <w:rFonts w:ascii="Times New Roman" w:hAnsi="Times New Roman"/>
        </w:rPr>
        <w:t xml:space="preserve"> 17 fractures</w:t>
      </w:r>
      <w:r w:rsidRPr="00266741">
        <w:rPr>
          <w:rFonts w:ascii="Times New Roman" w:hAnsi="Times New Roman"/>
        </w:rPr>
        <w:t>.</w:t>
      </w:r>
      <w:r>
        <w:rPr>
          <w:rFonts w:ascii="Times New Roman" w:hAnsi="Times New Roman"/>
        </w:rPr>
        <w:t xml:space="preserve">  Put another way, 29% of the adult male population was observed with at least one fracture.</w:t>
      </w:r>
      <w:r w:rsidRPr="00266741">
        <w:rPr>
          <w:rFonts w:ascii="Times New Roman" w:hAnsi="Times New Roman"/>
        </w:rPr>
        <w:t xml:space="preserve">  With the exception of one tibia fracture with complicating osteomyelitis (B74A), all other male fractures are to the upper body</w:t>
      </w:r>
      <w:r>
        <w:rPr>
          <w:rFonts w:ascii="Times New Roman" w:hAnsi="Times New Roman"/>
        </w:rPr>
        <w:t xml:space="preserve"> and calvarium</w:t>
      </w:r>
      <w:r w:rsidRPr="00266741">
        <w:rPr>
          <w:rFonts w:ascii="Times New Roman" w:hAnsi="Times New Roman"/>
        </w:rPr>
        <w:t>, and the majority of the upper body fractures are to the right ulna.</w:t>
      </w:r>
      <w:r>
        <w:rPr>
          <w:rFonts w:ascii="Times New Roman" w:hAnsi="Times New Roman"/>
        </w:rPr>
        <w:t xml:space="preserve"> </w:t>
      </w:r>
      <w:r w:rsidRPr="00266741">
        <w:rPr>
          <w:rFonts w:ascii="Times New Roman" w:hAnsi="Times New Roman"/>
        </w:rPr>
        <w:t xml:space="preserve"> </w:t>
      </w:r>
      <w:r>
        <w:rPr>
          <w:rFonts w:ascii="Times New Roman" w:hAnsi="Times New Roman"/>
        </w:rPr>
        <w:t>By contrast a total of 26 adult females were observed with 37 fractures, or 39% of the adult female population was observed with at least one fracture.  This difference however, is not statistically significant (</w:t>
      </w:r>
      <w:r w:rsidRPr="00701BDB">
        <w:rPr>
          <w:rFonts w:ascii="Times New Roman" w:hAnsi="Times New Roman"/>
          <w:i/>
        </w:rPr>
        <w:t>p</w:t>
      </w:r>
      <w:r>
        <w:rPr>
          <w:rFonts w:ascii="Times New Roman" w:hAnsi="Times New Roman"/>
        </w:rPr>
        <w:t xml:space="preserve">=.3, two-tailed Fisher’s Exact Test).  </w:t>
      </w:r>
    </w:p>
    <w:p w14:paraId="7B909337" w14:textId="28A29E1F" w:rsidR="00933C62" w:rsidRDefault="00933C62" w:rsidP="00933C62">
      <w:pPr>
        <w:ind w:firstLine="720"/>
        <w:rPr>
          <w:rFonts w:ascii="Times New Roman" w:hAnsi="Times New Roman"/>
        </w:rPr>
      </w:pPr>
      <w:r>
        <w:rPr>
          <w:rFonts w:ascii="Times New Roman" w:hAnsi="Times New Roman"/>
        </w:rPr>
        <w:t xml:space="preserve">Significant differences by sex do become apparent when individuals with multiple fractures are examined.  Each individual with more than one fracture is listed in Table 16, with information regarding the burial number, sex, age, and element (bone) fractured.  Males are listed first and then females.  </w:t>
      </w:r>
      <w:r w:rsidR="00DA6874">
        <w:rPr>
          <w:rFonts w:ascii="Times New Roman" w:hAnsi="Times New Roman"/>
        </w:rPr>
        <w:t>Males were observed with multiple fractures affecting</w:t>
      </w:r>
      <w:r>
        <w:rPr>
          <w:rFonts w:ascii="Times New Roman" w:hAnsi="Times New Roman"/>
        </w:rPr>
        <w:t xml:space="preserve"> the both calvarium and the upper limbs (but not lower limbs), while multiple fractures to females were observed on the calvarium as well as both upper and lower limbs.</w:t>
      </w:r>
    </w:p>
    <w:p w14:paraId="746C9ED0" w14:textId="3195341D" w:rsidR="00933C62" w:rsidRDefault="00933C62" w:rsidP="00933C62">
      <w:pPr>
        <w:ind w:firstLine="720"/>
        <w:rPr>
          <w:rFonts w:ascii="Times New Roman" w:hAnsi="Times New Roman"/>
        </w:rPr>
      </w:pPr>
      <w:r>
        <w:rPr>
          <w:rFonts w:ascii="Times New Roman" w:hAnsi="Times New Roman"/>
        </w:rPr>
        <w:t xml:space="preserve">As seen in Table 16, a total of 12 individuals had more than on fracture, or 10% of the population.  This breaks down to two adult males with more than one fracture, and 10 adult </w:t>
      </w:r>
      <w:r w:rsidR="00DA6874">
        <w:rPr>
          <w:rFonts w:ascii="Times New Roman" w:hAnsi="Times New Roman"/>
        </w:rPr>
        <w:t>f</w:t>
      </w:r>
      <w:r>
        <w:rPr>
          <w:rFonts w:ascii="Times New Roman" w:hAnsi="Times New Roman"/>
        </w:rPr>
        <w:t xml:space="preserve">emales </w:t>
      </w:r>
      <w:r w:rsidR="00DA6874">
        <w:rPr>
          <w:rFonts w:ascii="Times New Roman" w:hAnsi="Times New Roman"/>
        </w:rPr>
        <w:t>with</w:t>
      </w:r>
      <w:r>
        <w:rPr>
          <w:rFonts w:ascii="Times New Roman" w:hAnsi="Times New Roman"/>
        </w:rPr>
        <w:t xml:space="preserve"> more than one fracture.  This difference is weakly statistically significant (</w:t>
      </w:r>
      <w:r w:rsidRPr="00701BDB">
        <w:rPr>
          <w:rFonts w:ascii="Times New Roman" w:hAnsi="Times New Roman"/>
          <w:i/>
        </w:rPr>
        <w:t>p</w:t>
      </w:r>
      <w:r>
        <w:rPr>
          <w:rFonts w:ascii="Times New Roman" w:hAnsi="Times New Roman"/>
        </w:rPr>
        <w:t>=.07 two-tailed Fisher’s Exact Test), signifying that multiple fractures should be examined more closely.</w:t>
      </w:r>
    </w:p>
    <w:p w14:paraId="4B147D20" w14:textId="6DDF4882" w:rsidR="008A36F9" w:rsidRPr="00140DA8" w:rsidRDefault="008A36F9" w:rsidP="008A36F9">
      <w:pPr>
        <w:ind w:firstLine="720"/>
        <w:rPr>
          <w:rFonts w:ascii="Times New Roman" w:hAnsi="Times New Roman"/>
        </w:rPr>
      </w:pPr>
      <w:r>
        <w:rPr>
          <w:rFonts w:ascii="Times New Roman" w:hAnsi="Times New Roman"/>
        </w:rPr>
        <w:t>The</w:t>
      </w:r>
      <w:r w:rsidRPr="00266741">
        <w:rPr>
          <w:rFonts w:ascii="Times New Roman" w:hAnsi="Times New Roman"/>
        </w:rPr>
        <w:t xml:space="preserve"> two males </w:t>
      </w:r>
      <w:r>
        <w:rPr>
          <w:rFonts w:ascii="Times New Roman" w:hAnsi="Times New Roman"/>
        </w:rPr>
        <w:t>with more than one observable bone fracture were Burial 9A and Burial 72.  Burial 9A was a middle a</w:t>
      </w:r>
      <w:r w:rsidRPr="00266741">
        <w:rPr>
          <w:rFonts w:ascii="Times New Roman" w:hAnsi="Times New Roman"/>
        </w:rPr>
        <w:t>dult with a healed depression fracture to the frontal/g</w:t>
      </w:r>
      <w:r>
        <w:rPr>
          <w:rFonts w:ascii="Times New Roman" w:hAnsi="Times New Roman"/>
        </w:rPr>
        <w:t>labella as well as the unusual</w:t>
      </w:r>
      <w:r w:rsidRPr="00266741">
        <w:rPr>
          <w:rFonts w:ascii="Times New Roman" w:hAnsi="Times New Roman"/>
        </w:rPr>
        <w:t xml:space="preserve"> and well-healed pseudoarthrosis described earlier</w:t>
      </w:r>
      <w:r>
        <w:rPr>
          <w:rFonts w:ascii="Times New Roman" w:hAnsi="Times New Roman"/>
        </w:rPr>
        <w:t xml:space="preserve"> (and pictured in Figure 14).  Burial 72 was a young a</w:t>
      </w:r>
      <w:r w:rsidRPr="00266741">
        <w:rPr>
          <w:rFonts w:ascii="Times New Roman" w:hAnsi="Times New Roman"/>
        </w:rPr>
        <w:t>dult with a healing depressed fracture to the frontal/glabella and healing fractures to the distal right ulna and distal right radius.</w:t>
      </w:r>
      <w:r>
        <w:rPr>
          <w:rFonts w:ascii="Times New Roman" w:hAnsi="Times New Roman"/>
        </w:rPr>
        <w:t xml:space="preserve">  The injuries are in similar stages of healing which suggests that they occurred at the same time</w:t>
      </w:r>
      <w:r w:rsidR="00537E81">
        <w:rPr>
          <w:rFonts w:ascii="Times New Roman" w:hAnsi="Times New Roman"/>
        </w:rPr>
        <w:t>, although this cannot be determined for certain</w:t>
      </w:r>
      <w:r>
        <w:rPr>
          <w:rFonts w:ascii="Times New Roman" w:hAnsi="Times New Roman"/>
        </w:rPr>
        <w:t>.</w:t>
      </w:r>
      <w:r w:rsidRPr="00266741">
        <w:rPr>
          <w:rFonts w:ascii="Times New Roman" w:hAnsi="Times New Roman"/>
        </w:rPr>
        <w:t xml:space="preserve">  </w:t>
      </w:r>
      <w:r>
        <w:rPr>
          <w:rFonts w:ascii="Times New Roman" w:hAnsi="Times New Roman"/>
        </w:rPr>
        <w:t>The injuries to B72 are</w:t>
      </w:r>
      <w:r w:rsidRPr="00266741">
        <w:rPr>
          <w:rFonts w:ascii="Times New Roman" w:hAnsi="Times New Roman"/>
        </w:rPr>
        <w:t xml:space="preserve"> consistent w</w:t>
      </w:r>
      <w:r>
        <w:rPr>
          <w:rFonts w:ascii="Times New Roman" w:hAnsi="Times New Roman"/>
        </w:rPr>
        <w:t>ith a fall, in which</w:t>
      </w:r>
      <w:r w:rsidRPr="00266741">
        <w:rPr>
          <w:rFonts w:ascii="Times New Roman" w:hAnsi="Times New Roman"/>
        </w:rPr>
        <w:t xml:space="preserve"> the individual broke both lower arm </w:t>
      </w:r>
      <w:r>
        <w:rPr>
          <w:rFonts w:ascii="Times New Roman" w:hAnsi="Times New Roman"/>
        </w:rPr>
        <w:t xml:space="preserve">bones bracing a fall, and also hit </w:t>
      </w:r>
      <w:r w:rsidRPr="00266741">
        <w:rPr>
          <w:rFonts w:ascii="Times New Roman" w:hAnsi="Times New Roman"/>
        </w:rPr>
        <w:t>their head at the same time.</w:t>
      </w:r>
      <w:r>
        <w:rPr>
          <w:rFonts w:ascii="Times New Roman" w:hAnsi="Times New Roman"/>
        </w:rPr>
        <w:t xml:space="preserve">  However the glabella fracture could also be interpreted as interpersonal violence.</w:t>
      </w:r>
      <w:r w:rsidRPr="00266741">
        <w:rPr>
          <w:rFonts w:ascii="Times New Roman" w:hAnsi="Times New Roman"/>
        </w:rPr>
        <w:t xml:space="preserve">  </w:t>
      </w:r>
      <w:r>
        <w:rPr>
          <w:rFonts w:ascii="Times New Roman" w:hAnsi="Times New Roman"/>
        </w:rPr>
        <w:t>By contrast B</w:t>
      </w:r>
      <w:r w:rsidRPr="00266741">
        <w:rPr>
          <w:rFonts w:ascii="Times New Roman" w:hAnsi="Times New Roman"/>
        </w:rPr>
        <w:t xml:space="preserve">9A’s pseudoarthrosis </w:t>
      </w:r>
      <w:r>
        <w:rPr>
          <w:rFonts w:ascii="Times New Roman" w:hAnsi="Times New Roman"/>
        </w:rPr>
        <w:t>is a parry fracture, typically interpreted as a defensive wound.  While</w:t>
      </w:r>
      <w:r w:rsidRPr="00266741">
        <w:rPr>
          <w:rFonts w:ascii="Times New Roman" w:hAnsi="Times New Roman"/>
        </w:rPr>
        <w:t xml:space="preserve"> B9A’s glabella fracture might be expla</w:t>
      </w:r>
      <w:r>
        <w:rPr>
          <w:rFonts w:ascii="Times New Roman" w:hAnsi="Times New Roman"/>
        </w:rPr>
        <w:t xml:space="preserve">ined by a fall, the concomitant parry fracture makes interpersonal violence a reasonable explanation of both injuries.  These male injuries were probably a mix of falls and interpersonal violence or combat. </w:t>
      </w:r>
    </w:p>
    <w:p w14:paraId="5092D4C8" w14:textId="77777777" w:rsidR="008A36F9" w:rsidRDefault="008A36F9" w:rsidP="00133F61">
      <w:pPr>
        <w:pStyle w:val="Caption"/>
      </w:pPr>
    </w:p>
    <w:p w14:paraId="061578E4" w14:textId="77777777" w:rsidR="00933C62" w:rsidRPr="001D079E" w:rsidRDefault="00933C62" w:rsidP="00133F61">
      <w:pPr>
        <w:pStyle w:val="Caption"/>
      </w:pPr>
      <w:bookmarkStart w:id="86" w:name="_Toc261025244"/>
      <w:r>
        <w:t xml:space="preserve">Table </w:t>
      </w:r>
      <w:fldSimple w:instr=" SEQ Table \* ARABIC ">
        <w:r w:rsidR="00396EB3">
          <w:rPr>
            <w:noProof/>
          </w:rPr>
          <w:t>16</w:t>
        </w:r>
      </w:fldSimple>
      <w:r>
        <w:t xml:space="preserve">  Multiple fractures by burial, sex, age, and bone</w:t>
      </w:r>
      <w:bookmarkEnd w:id="86"/>
    </w:p>
    <w:p w14:paraId="00CB88E4" w14:textId="77777777" w:rsidR="00933C62" w:rsidRPr="00266741" w:rsidRDefault="00933C62" w:rsidP="00133F61">
      <w:pPr>
        <w:pStyle w:val="Caption"/>
      </w:pPr>
    </w:p>
    <w:tbl>
      <w:tblPr>
        <w:tblStyle w:val="TableGrid"/>
        <w:tblW w:w="7440" w:type="dxa"/>
        <w:jc w:val="center"/>
        <w:tblInd w:w="779" w:type="dxa"/>
        <w:tblLook w:val="04A0" w:firstRow="1" w:lastRow="0" w:firstColumn="1" w:lastColumn="0" w:noHBand="0" w:noVBand="1"/>
      </w:tblPr>
      <w:tblGrid>
        <w:gridCol w:w="796"/>
        <w:gridCol w:w="568"/>
        <w:gridCol w:w="594"/>
        <w:gridCol w:w="1347"/>
        <w:gridCol w:w="4135"/>
      </w:tblGrid>
      <w:tr w:rsidR="00933C62" w:rsidRPr="00266741" w14:paraId="6D8FFE58" w14:textId="77777777" w:rsidTr="006E6C4E">
        <w:trPr>
          <w:jc w:val="center"/>
        </w:trPr>
        <w:tc>
          <w:tcPr>
            <w:tcW w:w="796" w:type="dxa"/>
          </w:tcPr>
          <w:p w14:paraId="1B4F3FF0" w14:textId="77777777" w:rsidR="00933C62" w:rsidRPr="00B8064C" w:rsidRDefault="00933C62" w:rsidP="006E6C4E">
            <w:pPr>
              <w:spacing w:line="240" w:lineRule="auto"/>
              <w:jc w:val="center"/>
              <w:rPr>
                <w:b/>
              </w:rPr>
            </w:pPr>
            <w:r w:rsidRPr="00B8064C">
              <w:rPr>
                <w:b/>
              </w:rPr>
              <w:t>Burial</w:t>
            </w:r>
          </w:p>
        </w:tc>
        <w:tc>
          <w:tcPr>
            <w:tcW w:w="568" w:type="dxa"/>
          </w:tcPr>
          <w:p w14:paraId="4A549B00" w14:textId="77777777" w:rsidR="00933C62" w:rsidRPr="00B8064C" w:rsidRDefault="00933C62" w:rsidP="006E6C4E">
            <w:pPr>
              <w:spacing w:line="240" w:lineRule="auto"/>
              <w:jc w:val="center"/>
              <w:rPr>
                <w:b/>
              </w:rPr>
            </w:pPr>
            <w:r w:rsidRPr="00B8064C">
              <w:rPr>
                <w:b/>
              </w:rPr>
              <w:t>Sex</w:t>
            </w:r>
          </w:p>
        </w:tc>
        <w:tc>
          <w:tcPr>
            <w:tcW w:w="594" w:type="dxa"/>
          </w:tcPr>
          <w:p w14:paraId="2ACB38EA" w14:textId="77777777" w:rsidR="00933C62" w:rsidRPr="00B8064C" w:rsidRDefault="00933C62" w:rsidP="006E6C4E">
            <w:pPr>
              <w:spacing w:line="240" w:lineRule="auto"/>
              <w:jc w:val="center"/>
              <w:rPr>
                <w:b/>
              </w:rPr>
            </w:pPr>
            <w:r w:rsidRPr="00B8064C">
              <w:rPr>
                <w:b/>
              </w:rPr>
              <w:t>Age</w:t>
            </w:r>
          </w:p>
        </w:tc>
        <w:tc>
          <w:tcPr>
            <w:tcW w:w="1347" w:type="dxa"/>
          </w:tcPr>
          <w:p w14:paraId="51532600" w14:textId="77777777" w:rsidR="00933C62" w:rsidRPr="00B8064C" w:rsidRDefault="00933C62" w:rsidP="006E6C4E">
            <w:pPr>
              <w:spacing w:line="240" w:lineRule="auto"/>
              <w:jc w:val="center"/>
              <w:rPr>
                <w:b/>
              </w:rPr>
            </w:pPr>
            <w:r w:rsidRPr="00B8064C">
              <w:rPr>
                <w:b/>
              </w:rPr>
              <w:t>Fracture</w:t>
            </w:r>
          </w:p>
        </w:tc>
        <w:tc>
          <w:tcPr>
            <w:tcW w:w="4135" w:type="dxa"/>
          </w:tcPr>
          <w:p w14:paraId="7DE5A24A" w14:textId="77777777" w:rsidR="00933C62" w:rsidRPr="00B8064C" w:rsidRDefault="00933C62" w:rsidP="006E6C4E">
            <w:pPr>
              <w:spacing w:line="240" w:lineRule="auto"/>
              <w:jc w:val="center"/>
              <w:rPr>
                <w:b/>
              </w:rPr>
            </w:pPr>
            <w:r w:rsidRPr="00B8064C">
              <w:rPr>
                <w:b/>
              </w:rPr>
              <w:t>Comments</w:t>
            </w:r>
          </w:p>
        </w:tc>
      </w:tr>
      <w:tr w:rsidR="00933C62" w:rsidRPr="00266741" w14:paraId="1A3DE5D6" w14:textId="77777777" w:rsidTr="006E6C4E">
        <w:trPr>
          <w:jc w:val="center"/>
        </w:trPr>
        <w:tc>
          <w:tcPr>
            <w:tcW w:w="796" w:type="dxa"/>
          </w:tcPr>
          <w:p w14:paraId="481D73C6" w14:textId="77777777" w:rsidR="00933C62" w:rsidRPr="00266741" w:rsidRDefault="00933C62" w:rsidP="006E6C4E">
            <w:pPr>
              <w:spacing w:line="240" w:lineRule="auto"/>
            </w:pPr>
            <w:r w:rsidRPr="00266741">
              <w:t>9A</w:t>
            </w:r>
          </w:p>
        </w:tc>
        <w:tc>
          <w:tcPr>
            <w:tcW w:w="568" w:type="dxa"/>
          </w:tcPr>
          <w:p w14:paraId="2CEF4BDF" w14:textId="77777777" w:rsidR="00933C62" w:rsidRPr="00266741" w:rsidRDefault="00933C62" w:rsidP="006E6C4E">
            <w:pPr>
              <w:spacing w:line="240" w:lineRule="auto"/>
            </w:pPr>
            <w:r w:rsidRPr="00266741">
              <w:t>M</w:t>
            </w:r>
          </w:p>
        </w:tc>
        <w:tc>
          <w:tcPr>
            <w:tcW w:w="594" w:type="dxa"/>
          </w:tcPr>
          <w:p w14:paraId="733E74CA" w14:textId="77777777" w:rsidR="00933C62" w:rsidRPr="00266741" w:rsidRDefault="00933C62" w:rsidP="006E6C4E">
            <w:pPr>
              <w:spacing w:line="240" w:lineRule="auto"/>
            </w:pPr>
            <w:r w:rsidRPr="00266741">
              <w:t>MA</w:t>
            </w:r>
          </w:p>
        </w:tc>
        <w:tc>
          <w:tcPr>
            <w:tcW w:w="1347" w:type="dxa"/>
          </w:tcPr>
          <w:p w14:paraId="3E134DDD" w14:textId="77777777" w:rsidR="00933C62" w:rsidRDefault="00933C62" w:rsidP="006E6C4E">
            <w:pPr>
              <w:spacing w:line="240" w:lineRule="auto"/>
            </w:pPr>
            <w:r w:rsidRPr="00266741">
              <w:t>R ulna</w:t>
            </w:r>
          </w:p>
          <w:p w14:paraId="059EE118" w14:textId="77777777" w:rsidR="00933C62" w:rsidRPr="00266741" w:rsidRDefault="00933C62" w:rsidP="006E6C4E">
            <w:pPr>
              <w:spacing w:line="240" w:lineRule="auto"/>
            </w:pPr>
            <w:r>
              <w:t>Frontal</w:t>
            </w:r>
          </w:p>
        </w:tc>
        <w:tc>
          <w:tcPr>
            <w:tcW w:w="4135" w:type="dxa"/>
          </w:tcPr>
          <w:p w14:paraId="3B2E05F9" w14:textId="77777777" w:rsidR="00933C62" w:rsidRDefault="00933C62" w:rsidP="006E6C4E">
            <w:pPr>
              <w:tabs>
                <w:tab w:val="center" w:pos="2942"/>
              </w:tabs>
              <w:spacing w:line="240" w:lineRule="auto"/>
            </w:pPr>
            <w:r>
              <w:t xml:space="preserve">Healed pseudoarthrosis, possible parry </w:t>
            </w:r>
          </w:p>
          <w:p w14:paraId="6FA7FA65" w14:textId="77777777" w:rsidR="00933C62" w:rsidRPr="00266741" w:rsidRDefault="00933C62" w:rsidP="006E6C4E">
            <w:pPr>
              <w:tabs>
                <w:tab w:val="center" w:pos="2942"/>
              </w:tabs>
              <w:spacing w:line="240" w:lineRule="auto"/>
            </w:pPr>
            <w:r>
              <w:t>Healed depression fracture</w:t>
            </w:r>
          </w:p>
        </w:tc>
      </w:tr>
      <w:tr w:rsidR="00933C62" w:rsidRPr="00266741" w14:paraId="117972E3" w14:textId="77777777" w:rsidTr="006E6C4E">
        <w:trPr>
          <w:jc w:val="center"/>
        </w:trPr>
        <w:tc>
          <w:tcPr>
            <w:tcW w:w="796" w:type="dxa"/>
          </w:tcPr>
          <w:p w14:paraId="53A70102" w14:textId="77777777" w:rsidR="00933C62" w:rsidRPr="00266741" w:rsidRDefault="00933C62" w:rsidP="006E6C4E">
            <w:pPr>
              <w:spacing w:line="240" w:lineRule="auto"/>
            </w:pPr>
            <w:r w:rsidRPr="00266741">
              <w:t>72</w:t>
            </w:r>
          </w:p>
        </w:tc>
        <w:tc>
          <w:tcPr>
            <w:tcW w:w="568" w:type="dxa"/>
          </w:tcPr>
          <w:p w14:paraId="48DE8164" w14:textId="77777777" w:rsidR="00933C62" w:rsidRPr="00266741" w:rsidRDefault="00933C62" w:rsidP="006E6C4E">
            <w:pPr>
              <w:spacing w:line="240" w:lineRule="auto"/>
            </w:pPr>
            <w:r w:rsidRPr="00266741">
              <w:t>M</w:t>
            </w:r>
          </w:p>
        </w:tc>
        <w:tc>
          <w:tcPr>
            <w:tcW w:w="594" w:type="dxa"/>
          </w:tcPr>
          <w:p w14:paraId="1B16C71A" w14:textId="77777777" w:rsidR="00933C62" w:rsidRPr="00266741" w:rsidRDefault="00933C62" w:rsidP="006E6C4E">
            <w:pPr>
              <w:spacing w:line="240" w:lineRule="auto"/>
            </w:pPr>
            <w:r w:rsidRPr="00266741">
              <w:t>YA</w:t>
            </w:r>
          </w:p>
        </w:tc>
        <w:tc>
          <w:tcPr>
            <w:tcW w:w="1347" w:type="dxa"/>
          </w:tcPr>
          <w:p w14:paraId="53E0E7E4" w14:textId="77777777" w:rsidR="00933C62" w:rsidRPr="00266741" w:rsidRDefault="00933C62" w:rsidP="006E6C4E">
            <w:pPr>
              <w:spacing w:line="240" w:lineRule="auto"/>
            </w:pPr>
            <w:r w:rsidRPr="00266741">
              <w:t>R ulna</w:t>
            </w:r>
          </w:p>
          <w:p w14:paraId="762CFF8D" w14:textId="77777777" w:rsidR="00933C62" w:rsidRDefault="00933C62" w:rsidP="006E6C4E">
            <w:pPr>
              <w:spacing w:line="240" w:lineRule="auto"/>
            </w:pPr>
            <w:r w:rsidRPr="00266741">
              <w:t>R radius</w:t>
            </w:r>
          </w:p>
          <w:p w14:paraId="3754A960" w14:textId="77777777" w:rsidR="00933C62" w:rsidRPr="00266741" w:rsidRDefault="00933C62" w:rsidP="006E6C4E">
            <w:pPr>
              <w:spacing w:line="240" w:lineRule="auto"/>
            </w:pPr>
            <w:r>
              <w:t>Frontal</w:t>
            </w:r>
          </w:p>
        </w:tc>
        <w:tc>
          <w:tcPr>
            <w:tcW w:w="4135" w:type="dxa"/>
          </w:tcPr>
          <w:p w14:paraId="45F2AA1B" w14:textId="77777777" w:rsidR="00933C62" w:rsidRPr="00266741" w:rsidRDefault="00933C62" w:rsidP="006E6C4E">
            <w:pPr>
              <w:spacing w:line="240" w:lineRule="auto"/>
            </w:pPr>
            <w:r>
              <w:t>Healing</w:t>
            </w:r>
            <w:r w:rsidRPr="00266741">
              <w:t>, distal, probable fall</w:t>
            </w:r>
          </w:p>
          <w:p w14:paraId="0974ACAC" w14:textId="77777777" w:rsidR="00933C62" w:rsidRDefault="00933C62" w:rsidP="006E6C4E">
            <w:pPr>
              <w:spacing w:line="240" w:lineRule="auto"/>
              <w:ind w:left="-796" w:right="-1858" w:firstLine="796"/>
            </w:pPr>
            <w:r>
              <w:t>Colles fracture</w:t>
            </w:r>
          </w:p>
          <w:p w14:paraId="5C10F44F" w14:textId="77777777" w:rsidR="00933C62" w:rsidRPr="00266741" w:rsidRDefault="00933C62" w:rsidP="006E6C4E">
            <w:pPr>
              <w:spacing w:line="240" w:lineRule="auto"/>
              <w:ind w:left="-796" w:right="-1858" w:firstLine="796"/>
            </w:pPr>
            <w:r>
              <w:t>Healed depression fracture</w:t>
            </w:r>
          </w:p>
        </w:tc>
      </w:tr>
      <w:tr w:rsidR="00933C62" w:rsidRPr="00266741" w14:paraId="177B08C3" w14:textId="77777777" w:rsidTr="006E6C4E">
        <w:trPr>
          <w:jc w:val="center"/>
        </w:trPr>
        <w:tc>
          <w:tcPr>
            <w:tcW w:w="796" w:type="dxa"/>
          </w:tcPr>
          <w:p w14:paraId="7B392F6D" w14:textId="77777777" w:rsidR="00933C62" w:rsidRPr="00266741" w:rsidRDefault="00933C62" w:rsidP="006E6C4E">
            <w:pPr>
              <w:spacing w:line="240" w:lineRule="auto"/>
            </w:pPr>
          </w:p>
        </w:tc>
        <w:tc>
          <w:tcPr>
            <w:tcW w:w="568" w:type="dxa"/>
          </w:tcPr>
          <w:p w14:paraId="5BDD54F1" w14:textId="77777777" w:rsidR="00933C62" w:rsidRPr="00266741" w:rsidRDefault="00933C62" w:rsidP="006E6C4E">
            <w:pPr>
              <w:spacing w:line="240" w:lineRule="auto"/>
            </w:pPr>
          </w:p>
        </w:tc>
        <w:tc>
          <w:tcPr>
            <w:tcW w:w="594" w:type="dxa"/>
          </w:tcPr>
          <w:p w14:paraId="55109491" w14:textId="77777777" w:rsidR="00933C62" w:rsidRPr="00266741" w:rsidRDefault="00933C62" w:rsidP="006E6C4E">
            <w:pPr>
              <w:spacing w:line="240" w:lineRule="auto"/>
              <w:ind w:left="-796" w:right="-1858" w:firstLine="796"/>
            </w:pPr>
          </w:p>
        </w:tc>
        <w:tc>
          <w:tcPr>
            <w:tcW w:w="1347" w:type="dxa"/>
          </w:tcPr>
          <w:p w14:paraId="7820518B" w14:textId="77777777" w:rsidR="00933C62" w:rsidRPr="00266741" w:rsidRDefault="00933C62" w:rsidP="006E6C4E">
            <w:pPr>
              <w:spacing w:line="240" w:lineRule="auto"/>
              <w:ind w:left="-796" w:right="-1858" w:firstLine="796"/>
            </w:pPr>
          </w:p>
        </w:tc>
        <w:tc>
          <w:tcPr>
            <w:tcW w:w="4135" w:type="dxa"/>
          </w:tcPr>
          <w:p w14:paraId="0AE53DA8" w14:textId="77777777" w:rsidR="00933C62" w:rsidRPr="00266741" w:rsidRDefault="00933C62" w:rsidP="006E6C4E">
            <w:pPr>
              <w:spacing w:line="240" w:lineRule="auto"/>
            </w:pPr>
          </w:p>
        </w:tc>
      </w:tr>
      <w:tr w:rsidR="00933C62" w:rsidRPr="00266741" w14:paraId="49789D67" w14:textId="77777777" w:rsidTr="006E6C4E">
        <w:trPr>
          <w:jc w:val="center"/>
        </w:trPr>
        <w:tc>
          <w:tcPr>
            <w:tcW w:w="796" w:type="dxa"/>
          </w:tcPr>
          <w:p w14:paraId="660BD331" w14:textId="77777777" w:rsidR="00933C62" w:rsidRPr="00266741" w:rsidRDefault="00933C62" w:rsidP="006E6C4E">
            <w:pPr>
              <w:spacing w:line="240" w:lineRule="auto"/>
            </w:pPr>
            <w:r w:rsidRPr="00266741">
              <w:t>10</w:t>
            </w:r>
          </w:p>
        </w:tc>
        <w:tc>
          <w:tcPr>
            <w:tcW w:w="568" w:type="dxa"/>
          </w:tcPr>
          <w:p w14:paraId="6EB1DB09" w14:textId="77777777" w:rsidR="00933C62" w:rsidRPr="00266741" w:rsidRDefault="00933C62" w:rsidP="006E6C4E">
            <w:pPr>
              <w:spacing w:line="240" w:lineRule="auto"/>
            </w:pPr>
            <w:r>
              <w:t>F</w:t>
            </w:r>
          </w:p>
        </w:tc>
        <w:tc>
          <w:tcPr>
            <w:tcW w:w="594" w:type="dxa"/>
          </w:tcPr>
          <w:p w14:paraId="382CD91D" w14:textId="77777777" w:rsidR="00933C62" w:rsidRPr="00266741" w:rsidRDefault="00933C62" w:rsidP="006E6C4E">
            <w:pPr>
              <w:spacing w:line="240" w:lineRule="auto"/>
              <w:ind w:left="-796" w:right="-1858" w:firstLine="796"/>
            </w:pPr>
            <w:r>
              <w:t>YA</w:t>
            </w:r>
          </w:p>
        </w:tc>
        <w:tc>
          <w:tcPr>
            <w:tcW w:w="1347" w:type="dxa"/>
          </w:tcPr>
          <w:p w14:paraId="2B91F64B" w14:textId="77777777" w:rsidR="00933C62" w:rsidRPr="00266741" w:rsidRDefault="00933C62" w:rsidP="006E6C4E">
            <w:pPr>
              <w:spacing w:line="240" w:lineRule="auto"/>
              <w:ind w:left="-796" w:right="-1858" w:firstLine="796"/>
            </w:pPr>
            <w:r w:rsidRPr="00266741">
              <w:t>Frontal</w:t>
            </w:r>
          </w:p>
          <w:p w14:paraId="19A25D09" w14:textId="77777777" w:rsidR="00933C62" w:rsidRPr="00266741" w:rsidRDefault="00933C62" w:rsidP="006E6C4E">
            <w:pPr>
              <w:spacing w:line="240" w:lineRule="auto"/>
              <w:ind w:left="-796" w:right="-1858" w:firstLine="796"/>
            </w:pPr>
            <w:r w:rsidRPr="00266741">
              <w:t>L parietal</w:t>
            </w:r>
          </w:p>
          <w:p w14:paraId="04D7E82E" w14:textId="77777777" w:rsidR="00933C62" w:rsidRPr="00266741" w:rsidRDefault="00933C62" w:rsidP="006E6C4E">
            <w:pPr>
              <w:spacing w:line="240" w:lineRule="auto"/>
              <w:ind w:left="-796" w:right="-1858" w:firstLine="796"/>
            </w:pPr>
            <w:r w:rsidRPr="00266741">
              <w:t>L parietal</w:t>
            </w:r>
          </w:p>
        </w:tc>
        <w:tc>
          <w:tcPr>
            <w:tcW w:w="4135" w:type="dxa"/>
          </w:tcPr>
          <w:p w14:paraId="69F2F23E" w14:textId="77777777" w:rsidR="00933C62" w:rsidRPr="00266741" w:rsidRDefault="00933C62" w:rsidP="006E6C4E">
            <w:pPr>
              <w:spacing w:line="240" w:lineRule="auto"/>
            </w:pPr>
            <w:r>
              <w:t xml:space="preserve">Healed depressed </w:t>
            </w:r>
          </w:p>
          <w:p w14:paraId="284423F2" w14:textId="77777777" w:rsidR="00933C62" w:rsidRPr="00266741" w:rsidRDefault="00933C62" w:rsidP="006E6C4E">
            <w:pPr>
              <w:spacing w:line="240" w:lineRule="auto"/>
            </w:pPr>
            <w:r w:rsidRPr="00266741">
              <w:t xml:space="preserve">Healed depressed </w:t>
            </w:r>
          </w:p>
          <w:p w14:paraId="5923B236" w14:textId="77777777" w:rsidR="00933C62" w:rsidRPr="00266741" w:rsidRDefault="00933C62" w:rsidP="006E6C4E">
            <w:pPr>
              <w:spacing w:line="240" w:lineRule="auto"/>
            </w:pPr>
            <w:r w:rsidRPr="00266741">
              <w:t>Peri-mortem penetrating wound</w:t>
            </w:r>
          </w:p>
        </w:tc>
      </w:tr>
      <w:tr w:rsidR="00933C62" w:rsidRPr="00266741" w14:paraId="35614143" w14:textId="77777777" w:rsidTr="006E6C4E">
        <w:trPr>
          <w:jc w:val="center"/>
        </w:trPr>
        <w:tc>
          <w:tcPr>
            <w:tcW w:w="796" w:type="dxa"/>
          </w:tcPr>
          <w:p w14:paraId="333B65D0" w14:textId="77777777" w:rsidR="00933C62" w:rsidRPr="00266741" w:rsidRDefault="00933C62" w:rsidP="006E6C4E">
            <w:pPr>
              <w:spacing w:line="240" w:lineRule="auto"/>
            </w:pPr>
            <w:r w:rsidRPr="00266741">
              <w:t>23</w:t>
            </w:r>
          </w:p>
        </w:tc>
        <w:tc>
          <w:tcPr>
            <w:tcW w:w="568" w:type="dxa"/>
          </w:tcPr>
          <w:p w14:paraId="08BDBDE6" w14:textId="77777777" w:rsidR="00933C62" w:rsidRPr="00266741" w:rsidRDefault="00933C62" w:rsidP="006E6C4E">
            <w:pPr>
              <w:spacing w:line="240" w:lineRule="auto"/>
            </w:pPr>
            <w:r w:rsidRPr="00266741">
              <w:t>F</w:t>
            </w:r>
          </w:p>
        </w:tc>
        <w:tc>
          <w:tcPr>
            <w:tcW w:w="594" w:type="dxa"/>
          </w:tcPr>
          <w:p w14:paraId="722AD228" w14:textId="77777777" w:rsidR="00933C62" w:rsidRPr="00266741" w:rsidRDefault="00933C62" w:rsidP="006E6C4E">
            <w:pPr>
              <w:spacing w:line="240" w:lineRule="auto"/>
              <w:ind w:left="-796" w:right="-1858" w:firstLine="796"/>
            </w:pPr>
            <w:r w:rsidRPr="00266741">
              <w:t>MA</w:t>
            </w:r>
          </w:p>
        </w:tc>
        <w:tc>
          <w:tcPr>
            <w:tcW w:w="1347" w:type="dxa"/>
          </w:tcPr>
          <w:p w14:paraId="6FCD2BCF" w14:textId="77777777" w:rsidR="00933C62" w:rsidRPr="00266741" w:rsidRDefault="00933C62" w:rsidP="006E6C4E">
            <w:pPr>
              <w:spacing w:line="240" w:lineRule="auto"/>
            </w:pPr>
            <w:r w:rsidRPr="00266741">
              <w:t>R radius</w:t>
            </w:r>
          </w:p>
          <w:p w14:paraId="2D1697F7" w14:textId="77777777" w:rsidR="00933C62" w:rsidRPr="00266741" w:rsidRDefault="00933C62" w:rsidP="006E6C4E">
            <w:pPr>
              <w:spacing w:line="240" w:lineRule="auto"/>
            </w:pPr>
            <w:r w:rsidRPr="00266741">
              <w:t>L fibula</w:t>
            </w:r>
          </w:p>
          <w:p w14:paraId="56D0AAA2" w14:textId="77777777" w:rsidR="00933C62" w:rsidRPr="00266741" w:rsidRDefault="00933C62" w:rsidP="006E6C4E">
            <w:pPr>
              <w:spacing w:line="240" w:lineRule="auto"/>
              <w:ind w:left="-796" w:right="-1858" w:firstLine="796"/>
            </w:pPr>
            <w:r w:rsidRPr="00266741">
              <w:t>R fibula</w:t>
            </w:r>
          </w:p>
        </w:tc>
        <w:tc>
          <w:tcPr>
            <w:tcW w:w="4135" w:type="dxa"/>
          </w:tcPr>
          <w:p w14:paraId="1E2EE2C5" w14:textId="77777777" w:rsidR="00933C62" w:rsidRPr="00266741" w:rsidRDefault="00933C62" w:rsidP="006E6C4E">
            <w:pPr>
              <w:spacing w:line="240" w:lineRule="auto"/>
            </w:pPr>
            <w:r>
              <w:t>Healed</w:t>
            </w:r>
            <w:r w:rsidRPr="00266741">
              <w:t>, distal</w:t>
            </w:r>
          </w:p>
          <w:p w14:paraId="07BE51D9" w14:textId="77777777" w:rsidR="00933C62" w:rsidRPr="00266741" w:rsidRDefault="00933C62" w:rsidP="006E6C4E">
            <w:pPr>
              <w:spacing w:line="240" w:lineRule="auto"/>
            </w:pPr>
            <w:r>
              <w:t>Healed</w:t>
            </w:r>
            <w:r w:rsidRPr="00266741">
              <w:t>, distal</w:t>
            </w:r>
          </w:p>
          <w:p w14:paraId="2B56A0BD" w14:textId="77777777" w:rsidR="00933C62" w:rsidRPr="00266741" w:rsidRDefault="00933C62" w:rsidP="006E6C4E">
            <w:pPr>
              <w:spacing w:line="240" w:lineRule="auto"/>
            </w:pPr>
            <w:r>
              <w:t>Healed</w:t>
            </w:r>
            <w:r w:rsidRPr="00266741">
              <w:t>, distal</w:t>
            </w:r>
          </w:p>
        </w:tc>
      </w:tr>
      <w:tr w:rsidR="00933C62" w:rsidRPr="00266741" w14:paraId="333F7E28" w14:textId="77777777" w:rsidTr="006E6C4E">
        <w:trPr>
          <w:jc w:val="center"/>
        </w:trPr>
        <w:tc>
          <w:tcPr>
            <w:tcW w:w="796" w:type="dxa"/>
          </w:tcPr>
          <w:p w14:paraId="6F116F91" w14:textId="77777777" w:rsidR="00933C62" w:rsidRPr="00266741" w:rsidRDefault="00933C62" w:rsidP="006E6C4E">
            <w:pPr>
              <w:spacing w:line="240" w:lineRule="auto"/>
            </w:pPr>
            <w:r w:rsidRPr="00266741">
              <w:t>58</w:t>
            </w:r>
          </w:p>
        </w:tc>
        <w:tc>
          <w:tcPr>
            <w:tcW w:w="568" w:type="dxa"/>
          </w:tcPr>
          <w:p w14:paraId="0AF211C7" w14:textId="77777777" w:rsidR="00933C62" w:rsidRPr="00266741" w:rsidRDefault="00933C62" w:rsidP="006E6C4E">
            <w:pPr>
              <w:spacing w:line="240" w:lineRule="auto"/>
            </w:pPr>
            <w:r w:rsidRPr="00266741">
              <w:t>F</w:t>
            </w:r>
          </w:p>
        </w:tc>
        <w:tc>
          <w:tcPr>
            <w:tcW w:w="594" w:type="dxa"/>
          </w:tcPr>
          <w:p w14:paraId="03A0BBC4" w14:textId="77777777" w:rsidR="00933C62" w:rsidRPr="00266741" w:rsidRDefault="00933C62" w:rsidP="006E6C4E">
            <w:pPr>
              <w:spacing w:line="240" w:lineRule="auto"/>
              <w:ind w:left="-796" w:right="-1858" w:firstLine="796"/>
            </w:pPr>
            <w:r w:rsidRPr="00266741">
              <w:t>YA</w:t>
            </w:r>
          </w:p>
        </w:tc>
        <w:tc>
          <w:tcPr>
            <w:tcW w:w="1347" w:type="dxa"/>
          </w:tcPr>
          <w:p w14:paraId="484FF1B8" w14:textId="77777777" w:rsidR="00933C62" w:rsidRPr="00266741" w:rsidRDefault="00933C62" w:rsidP="006E6C4E">
            <w:pPr>
              <w:spacing w:line="240" w:lineRule="auto"/>
            </w:pPr>
            <w:r w:rsidRPr="00266741">
              <w:t xml:space="preserve">R Humerus </w:t>
            </w:r>
          </w:p>
          <w:p w14:paraId="3DF8FD6E" w14:textId="77777777" w:rsidR="00933C62" w:rsidRPr="00266741" w:rsidRDefault="00933C62" w:rsidP="006E6C4E">
            <w:pPr>
              <w:spacing w:line="240" w:lineRule="auto"/>
              <w:ind w:left="-796" w:right="-1858" w:firstLine="796"/>
            </w:pPr>
            <w:r w:rsidRPr="00266741">
              <w:t>R radius</w:t>
            </w:r>
          </w:p>
        </w:tc>
        <w:tc>
          <w:tcPr>
            <w:tcW w:w="4135" w:type="dxa"/>
          </w:tcPr>
          <w:p w14:paraId="141F39C8" w14:textId="77777777" w:rsidR="00933C62" w:rsidRPr="00266741" w:rsidRDefault="00933C62" w:rsidP="006E6C4E">
            <w:pPr>
              <w:spacing w:line="240" w:lineRule="auto"/>
            </w:pPr>
            <w:r>
              <w:t>Healing, both distal, fall?</w:t>
            </w:r>
          </w:p>
          <w:p w14:paraId="0CF878D0" w14:textId="77777777" w:rsidR="00933C62" w:rsidRPr="00266741" w:rsidRDefault="00933C62" w:rsidP="006E6C4E">
            <w:pPr>
              <w:spacing w:line="240" w:lineRule="auto"/>
            </w:pPr>
            <w:r>
              <w:t>Distal humerus uncommon</w:t>
            </w:r>
          </w:p>
        </w:tc>
      </w:tr>
      <w:tr w:rsidR="00933C62" w:rsidRPr="00266741" w14:paraId="58585882" w14:textId="77777777" w:rsidTr="006E6C4E">
        <w:trPr>
          <w:jc w:val="center"/>
        </w:trPr>
        <w:tc>
          <w:tcPr>
            <w:tcW w:w="796" w:type="dxa"/>
          </w:tcPr>
          <w:p w14:paraId="25D7A005" w14:textId="77777777" w:rsidR="00933C62" w:rsidRPr="00266741" w:rsidRDefault="00933C62" w:rsidP="006E6C4E">
            <w:pPr>
              <w:spacing w:line="240" w:lineRule="auto"/>
            </w:pPr>
            <w:r w:rsidRPr="00266741">
              <w:t>68</w:t>
            </w:r>
          </w:p>
        </w:tc>
        <w:tc>
          <w:tcPr>
            <w:tcW w:w="568" w:type="dxa"/>
          </w:tcPr>
          <w:p w14:paraId="5C22B156" w14:textId="77777777" w:rsidR="00933C62" w:rsidRPr="00266741" w:rsidRDefault="00933C62" w:rsidP="006E6C4E">
            <w:pPr>
              <w:spacing w:line="240" w:lineRule="auto"/>
            </w:pPr>
            <w:r w:rsidRPr="00266741">
              <w:t>F?</w:t>
            </w:r>
          </w:p>
        </w:tc>
        <w:tc>
          <w:tcPr>
            <w:tcW w:w="594" w:type="dxa"/>
          </w:tcPr>
          <w:p w14:paraId="39FA220F" w14:textId="77777777" w:rsidR="00933C62" w:rsidRPr="00266741" w:rsidRDefault="00933C62" w:rsidP="006E6C4E">
            <w:pPr>
              <w:spacing w:line="240" w:lineRule="auto"/>
              <w:ind w:left="-796" w:right="-1858" w:firstLine="796"/>
            </w:pPr>
            <w:r w:rsidRPr="00266741">
              <w:t>MA</w:t>
            </w:r>
          </w:p>
        </w:tc>
        <w:tc>
          <w:tcPr>
            <w:tcW w:w="1347" w:type="dxa"/>
          </w:tcPr>
          <w:p w14:paraId="4BF96FEB" w14:textId="77777777" w:rsidR="00933C62" w:rsidRPr="00266741" w:rsidRDefault="00933C62" w:rsidP="006E6C4E">
            <w:pPr>
              <w:spacing w:line="240" w:lineRule="auto"/>
              <w:ind w:left="-796" w:right="-1858" w:firstLine="796"/>
            </w:pPr>
            <w:r w:rsidRPr="00266741">
              <w:t>Frontal</w:t>
            </w:r>
          </w:p>
          <w:p w14:paraId="3B475560" w14:textId="77777777" w:rsidR="00933C62" w:rsidRPr="00266741" w:rsidRDefault="00933C62" w:rsidP="006E6C4E">
            <w:pPr>
              <w:spacing w:line="240" w:lineRule="auto"/>
              <w:ind w:left="-796" w:right="-1858" w:firstLine="796"/>
            </w:pPr>
            <w:r w:rsidRPr="00266741">
              <w:t>L tibia</w:t>
            </w:r>
          </w:p>
        </w:tc>
        <w:tc>
          <w:tcPr>
            <w:tcW w:w="4135" w:type="dxa"/>
          </w:tcPr>
          <w:p w14:paraId="3AA316E5" w14:textId="77777777" w:rsidR="00933C62" w:rsidRPr="00266741" w:rsidRDefault="00933C62" w:rsidP="006E6C4E">
            <w:pPr>
              <w:spacing w:line="240" w:lineRule="auto"/>
            </w:pPr>
            <w:r w:rsidRPr="00266741">
              <w:t>H</w:t>
            </w:r>
            <w:r>
              <w:t>ealed depressed</w:t>
            </w:r>
          </w:p>
          <w:p w14:paraId="1DB232EC" w14:textId="77777777" w:rsidR="00933C62" w:rsidRPr="00266741" w:rsidRDefault="00933C62" w:rsidP="006E6C4E">
            <w:pPr>
              <w:spacing w:line="240" w:lineRule="auto"/>
            </w:pPr>
            <w:r>
              <w:t>Healing L tibia</w:t>
            </w:r>
          </w:p>
        </w:tc>
      </w:tr>
      <w:tr w:rsidR="00933C62" w:rsidRPr="00266741" w14:paraId="2857175C" w14:textId="77777777" w:rsidTr="006E6C4E">
        <w:trPr>
          <w:jc w:val="center"/>
        </w:trPr>
        <w:tc>
          <w:tcPr>
            <w:tcW w:w="796" w:type="dxa"/>
          </w:tcPr>
          <w:p w14:paraId="504845B9" w14:textId="77777777" w:rsidR="00933C62" w:rsidRPr="00266741" w:rsidRDefault="00933C62" w:rsidP="006E6C4E">
            <w:pPr>
              <w:spacing w:line="240" w:lineRule="auto"/>
            </w:pPr>
            <w:r w:rsidRPr="00266741">
              <w:t>90</w:t>
            </w:r>
          </w:p>
        </w:tc>
        <w:tc>
          <w:tcPr>
            <w:tcW w:w="568" w:type="dxa"/>
          </w:tcPr>
          <w:p w14:paraId="7FA7A385" w14:textId="77777777" w:rsidR="00933C62" w:rsidRPr="00266741" w:rsidRDefault="00933C62" w:rsidP="006E6C4E">
            <w:pPr>
              <w:spacing w:line="240" w:lineRule="auto"/>
            </w:pPr>
            <w:r w:rsidRPr="00266741">
              <w:t>F</w:t>
            </w:r>
          </w:p>
        </w:tc>
        <w:tc>
          <w:tcPr>
            <w:tcW w:w="594" w:type="dxa"/>
          </w:tcPr>
          <w:p w14:paraId="5D3912EF" w14:textId="77777777" w:rsidR="00933C62" w:rsidRPr="00266741" w:rsidRDefault="00933C62" w:rsidP="006E6C4E">
            <w:pPr>
              <w:spacing w:line="240" w:lineRule="auto"/>
              <w:ind w:left="-796" w:right="-1858" w:firstLine="796"/>
            </w:pPr>
            <w:r w:rsidRPr="00266741">
              <w:t>MA</w:t>
            </w:r>
          </w:p>
        </w:tc>
        <w:tc>
          <w:tcPr>
            <w:tcW w:w="1347" w:type="dxa"/>
          </w:tcPr>
          <w:p w14:paraId="71985122" w14:textId="77777777" w:rsidR="00933C62" w:rsidRPr="00266741" w:rsidRDefault="00933C62" w:rsidP="006E6C4E">
            <w:pPr>
              <w:spacing w:line="240" w:lineRule="auto"/>
              <w:ind w:left="-796" w:right="-1858" w:firstLine="796"/>
            </w:pPr>
            <w:r w:rsidRPr="00266741">
              <w:t>L parietal</w:t>
            </w:r>
          </w:p>
          <w:p w14:paraId="7B6D7E48" w14:textId="77777777" w:rsidR="00933C62" w:rsidRPr="00266741" w:rsidRDefault="00933C62" w:rsidP="006E6C4E">
            <w:pPr>
              <w:spacing w:line="240" w:lineRule="auto"/>
              <w:ind w:left="-796" w:right="-1858" w:firstLine="796"/>
            </w:pPr>
            <w:r w:rsidRPr="00266741">
              <w:t>R parietal</w:t>
            </w:r>
          </w:p>
        </w:tc>
        <w:tc>
          <w:tcPr>
            <w:tcW w:w="4135" w:type="dxa"/>
          </w:tcPr>
          <w:p w14:paraId="329296F4" w14:textId="77777777" w:rsidR="00933C62" w:rsidRPr="00266741" w:rsidRDefault="00933C62" w:rsidP="006E6C4E">
            <w:pPr>
              <w:spacing w:line="240" w:lineRule="auto"/>
            </w:pPr>
            <w:r>
              <w:t xml:space="preserve">Healed depressed </w:t>
            </w:r>
          </w:p>
          <w:p w14:paraId="3CB5DFCA" w14:textId="77777777" w:rsidR="00933C62" w:rsidRPr="00266741" w:rsidRDefault="00933C62" w:rsidP="006E6C4E">
            <w:pPr>
              <w:spacing w:line="240" w:lineRule="auto"/>
            </w:pPr>
            <w:r>
              <w:t>Healing depressed</w:t>
            </w:r>
          </w:p>
        </w:tc>
      </w:tr>
      <w:tr w:rsidR="00933C62" w:rsidRPr="00266741" w14:paraId="51EA3996" w14:textId="77777777" w:rsidTr="006E6C4E">
        <w:trPr>
          <w:jc w:val="center"/>
        </w:trPr>
        <w:tc>
          <w:tcPr>
            <w:tcW w:w="796" w:type="dxa"/>
          </w:tcPr>
          <w:p w14:paraId="3027E922" w14:textId="77777777" w:rsidR="00933C62" w:rsidRPr="00266741" w:rsidRDefault="00933C62" w:rsidP="006E6C4E">
            <w:pPr>
              <w:spacing w:line="240" w:lineRule="auto"/>
            </w:pPr>
            <w:r w:rsidRPr="00266741">
              <w:t>112</w:t>
            </w:r>
          </w:p>
        </w:tc>
        <w:tc>
          <w:tcPr>
            <w:tcW w:w="568" w:type="dxa"/>
          </w:tcPr>
          <w:p w14:paraId="0627867C" w14:textId="77777777" w:rsidR="00933C62" w:rsidRPr="00266741" w:rsidRDefault="00933C62" w:rsidP="006E6C4E">
            <w:pPr>
              <w:spacing w:line="240" w:lineRule="auto"/>
            </w:pPr>
            <w:r w:rsidRPr="00266741">
              <w:t>F?</w:t>
            </w:r>
          </w:p>
        </w:tc>
        <w:tc>
          <w:tcPr>
            <w:tcW w:w="594" w:type="dxa"/>
          </w:tcPr>
          <w:p w14:paraId="355F0150" w14:textId="77777777" w:rsidR="00933C62" w:rsidRPr="00266741" w:rsidRDefault="00933C62" w:rsidP="006E6C4E">
            <w:pPr>
              <w:spacing w:line="240" w:lineRule="auto"/>
              <w:ind w:left="-796" w:right="-1858" w:firstLine="796"/>
            </w:pPr>
            <w:r w:rsidRPr="00266741">
              <w:t>YA</w:t>
            </w:r>
          </w:p>
        </w:tc>
        <w:tc>
          <w:tcPr>
            <w:tcW w:w="1347" w:type="dxa"/>
          </w:tcPr>
          <w:p w14:paraId="18C231BB" w14:textId="77777777" w:rsidR="00933C62" w:rsidRPr="00266741" w:rsidRDefault="00933C62" w:rsidP="006E6C4E">
            <w:pPr>
              <w:spacing w:line="240" w:lineRule="auto"/>
            </w:pPr>
            <w:r w:rsidRPr="00266741">
              <w:t>R tibia</w:t>
            </w:r>
          </w:p>
          <w:p w14:paraId="6CFA9A56" w14:textId="77777777" w:rsidR="00933C62" w:rsidRPr="00266741" w:rsidRDefault="00933C62" w:rsidP="006E6C4E">
            <w:pPr>
              <w:spacing w:line="240" w:lineRule="auto"/>
              <w:ind w:left="-796" w:right="-1858" w:firstLine="796"/>
            </w:pPr>
            <w:r w:rsidRPr="00266741">
              <w:t>L fibula</w:t>
            </w:r>
          </w:p>
        </w:tc>
        <w:tc>
          <w:tcPr>
            <w:tcW w:w="4135" w:type="dxa"/>
          </w:tcPr>
          <w:p w14:paraId="64FFD96A" w14:textId="77777777" w:rsidR="00933C62" w:rsidRPr="00266741" w:rsidRDefault="00933C62" w:rsidP="006E6C4E">
            <w:pPr>
              <w:spacing w:line="240" w:lineRule="auto"/>
            </w:pPr>
            <w:r>
              <w:t xml:space="preserve">Healed </w:t>
            </w:r>
          </w:p>
          <w:p w14:paraId="4644A13B" w14:textId="77777777" w:rsidR="00933C62" w:rsidRPr="00266741" w:rsidRDefault="00933C62" w:rsidP="006E6C4E">
            <w:pPr>
              <w:spacing w:line="240" w:lineRule="auto"/>
            </w:pPr>
            <w:r>
              <w:t>Healing</w:t>
            </w:r>
            <w:r w:rsidRPr="00266741">
              <w:t xml:space="preserve"> – 2 separate incidents?</w:t>
            </w:r>
          </w:p>
        </w:tc>
      </w:tr>
      <w:tr w:rsidR="00933C62" w:rsidRPr="00266741" w14:paraId="5D8DD793" w14:textId="77777777" w:rsidTr="006E6C4E">
        <w:trPr>
          <w:jc w:val="center"/>
        </w:trPr>
        <w:tc>
          <w:tcPr>
            <w:tcW w:w="796" w:type="dxa"/>
          </w:tcPr>
          <w:p w14:paraId="21B01193" w14:textId="77777777" w:rsidR="00933C62" w:rsidRPr="00266741" w:rsidRDefault="00933C62" w:rsidP="006E6C4E">
            <w:pPr>
              <w:spacing w:line="240" w:lineRule="auto"/>
            </w:pPr>
            <w:r w:rsidRPr="00266741">
              <w:t>130B</w:t>
            </w:r>
          </w:p>
        </w:tc>
        <w:tc>
          <w:tcPr>
            <w:tcW w:w="568" w:type="dxa"/>
          </w:tcPr>
          <w:p w14:paraId="7A9F0552" w14:textId="77777777" w:rsidR="00933C62" w:rsidRPr="00266741" w:rsidRDefault="00933C62" w:rsidP="006E6C4E">
            <w:pPr>
              <w:spacing w:line="240" w:lineRule="auto"/>
            </w:pPr>
            <w:r w:rsidRPr="00266741">
              <w:t>F</w:t>
            </w:r>
          </w:p>
        </w:tc>
        <w:tc>
          <w:tcPr>
            <w:tcW w:w="594" w:type="dxa"/>
          </w:tcPr>
          <w:p w14:paraId="419C2196" w14:textId="77777777" w:rsidR="00933C62" w:rsidRPr="00266741" w:rsidRDefault="00933C62" w:rsidP="006E6C4E">
            <w:pPr>
              <w:spacing w:line="240" w:lineRule="auto"/>
            </w:pPr>
            <w:r w:rsidRPr="00266741">
              <w:t>MA</w:t>
            </w:r>
          </w:p>
        </w:tc>
        <w:tc>
          <w:tcPr>
            <w:tcW w:w="1347" w:type="dxa"/>
          </w:tcPr>
          <w:p w14:paraId="1DC148A4" w14:textId="77777777" w:rsidR="00933C62" w:rsidRPr="00266741" w:rsidRDefault="00933C62" w:rsidP="006E6C4E">
            <w:pPr>
              <w:spacing w:line="240" w:lineRule="auto"/>
            </w:pPr>
            <w:r w:rsidRPr="00266741">
              <w:t>L radius</w:t>
            </w:r>
          </w:p>
          <w:p w14:paraId="1B0C8A8E" w14:textId="77777777" w:rsidR="00933C62" w:rsidRPr="00266741" w:rsidRDefault="00933C62" w:rsidP="006E6C4E">
            <w:pPr>
              <w:spacing w:line="240" w:lineRule="auto"/>
            </w:pPr>
            <w:r w:rsidRPr="00266741">
              <w:t>R radius</w:t>
            </w:r>
          </w:p>
          <w:p w14:paraId="4B2C2E4B" w14:textId="77777777" w:rsidR="00933C62" w:rsidRPr="00266741" w:rsidRDefault="00933C62" w:rsidP="006E6C4E">
            <w:pPr>
              <w:spacing w:line="240" w:lineRule="auto"/>
            </w:pPr>
            <w:r w:rsidRPr="00266741">
              <w:t>R Femur</w:t>
            </w:r>
          </w:p>
        </w:tc>
        <w:tc>
          <w:tcPr>
            <w:tcW w:w="4135" w:type="dxa"/>
          </w:tcPr>
          <w:p w14:paraId="78F8E2BC" w14:textId="77777777" w:rsidR="00933C62" w:rsidRPr="00266741" w:rsidRDefault="00933C62" w:rsidP="006E6C4E">
            <w:pPr>
              <w:spacing w:line="240" w:lineRule="auto"/>
            </w:pPr>
            <w:r>
              <w:t>Well-healed</w:t>
            </w:r>
            <w:r w:rsidRPr="00266741">
              <w:t xml:space="preserve"> distal (bilat</w:t>
            </w:r>
            <w:r>
              <w:t>eral</w:t>
            </w:r>
            <w:r w:rsidRPr="00266741">
              <w:t xml:space="preserve"> radii)</w:t>
            </w:r>
          </w:p>
          <w:p w14:paraId="7F1F5149" w14:textId="77777777" w:rsidR="00933C62" w:rsidRPr="00266741" w:rsidRDefault="00933C62" w:rsidP="006E6C4E">
            <w:pPr>
              <w:spacing w:line="240" w:lineRule="auto"/>
            </w:pPr>
            <w:r>
              <w:t>Colles fracture</w:t>
            </w:r>
          </w:p>
          <w:p w14:paraId="6F7E5B9F" w14:textId="77777777" w:rsidR="00933C62" w:rsidRPr="00266741" w:rsidRDefault="00933C62" w:rsidP="006E6C4E">
            <w:pPr>
              <w:spacing w:line="240" w:lineRule="auto"/>
            </w:pPr>
            <w:r>
              <w:t>Compression, head</w:t>
            </w:r>
            <w:r w:rsidRPr="00266741">
              <w:t xml:space="preserve"> </w:t>
            </w:r>
          </w:p>
        </w:tc>
      </w:tr>
      <w:tr w:rsidR="00933C62" w:rsidRPr="00266741" w14:paraId="6C0896D4" w14:textId="77777777" w:rsidTr="006E6C4E">
        <w:trPr>
          <w:jc w:val="center"/>
        </w:trPr>
        <w:tc>
          <w:tcPr>
            <w:tcW w:w="796" w:type="dxa"/>
          </w:tcPr>
          <w:p w14:paraId="25940323" w14:textId="77777777" w:rsidR="00933C62" w:rsidRPr="00266741" w:rsidRDefault="00933C62" w:rsidP="006E6C4E">
            <w:pPr>
              <w:spacing w:line="240" w:lineRule="auto"/>
            </w:pPr>
            <w:r w:rsidRPr="00266741">
              <w:t>142</w:t>
            </w:r>
          </w:p>
        </w:tc>
        <w:tc>
          <w:tcPr>
            <w:tcW w:w="568" w:type="dxa"/>
          </w:tcPr>
          <w:p w14:paraId="3A491C4C" w14:textId="77777777" w:rsidR="00933C62" w:rsidRPr="00266741" w:rsidRDefault="00933C62" w:rsidP="006E6C4E">
            <w:pPr>
              <w:spacing w:line="240" w:lineRule="auto"/>
            </w:pPr>
            <w:r w:rsidRPr="00266741">
              <w:t>F</w:t>
            </w:r>
          </w:p>
        </w:tc>
        <w:tc>
          <w:tcPr>
            <w:tcW w:w="594" w:type="dxa"/>
          </w:tcPr>
          <w:p w14:paraId="21CF6D7F" w14:textId="77777777" w:rsidR="00933C62" w:rsidRPr="00266741" w:rsidRDefault="00933C62" w:rsidP="006E6C4E">
            <w:pPr>
              <w:spacing w:line="240" w:lineRule="auto"/>
            </w:pPr>
            <w:r w:rsidRPr="00266741">
              <w:t>YA</w:t>
            </w:r>
          </w:p>
        </w:tc>
        <w:tc>
          <w:tcPr>
            <w:tcW w:w="1347" w:type="dxa"/>
          </w:tcPr>
          <w:p w14:paraId="2DA86B78" w14:textId="77777777" w:rsidR="00933C62" w:rsidRPr="00266741" w:rsidRDefault="00933C62" w:rsidP="006E6C4E">
            <w:pPr>
              <w:spacing w:line="240" w:lineRule="auto"/>
            </w:pPr>
            <w:r w:rsidRPr="00266741">
              <w:t>Frontal</w:t>
            </w:r>
          </w:p>
          <w:p w14:paraId="312F9544" w14:textId="77777777" w:rsidR="00933C62" w:rsidRPr="00266741" w:rsidRDefault="00933C62" w:rsidP="006E6C4E">
            <w:pPr>
              <w:spacing w:line="240" w:lineRule="auto"/>
            </w:pPr>
            <w:r w:rsidRPr="00266741">
              <w:t>L femur</w:t>
            </w:r>
          </w:p>
          <w:p w14:paraId="097E0DCD" w14:textId="77777777" w:rsidR="00933C62" w:rsidRPr="00266741" w:rsidRDefault="00933C62" w:rsidP="006E6C4E">
            <w:pPr>
              <w:spacing w:line="240" w:lineRule="auto"/>
            </w:pPr>
            <w:r w:rsidRPr="00266741">
              <w:t>R femur</w:t>
            </w:r>
          </w:p>
          <w:p w14:paraId="43E41883" w14:textId="77777777" w:rsidR="00933C62" w:rsidRPr="00266741" w:rsidRDefault="00933C62" w:rsidP="006E6C4E">
            <w:pPr>
              <w:spacing w:line="240" w:lineRule="auto"/>
            </w:pPr>
            <w:r w:rsidRPr="00266741">
              <w:t>R tibia</w:t>
            </w:r>
          </w:p>
          <w:p w14:paraId="208D256B" w14:textId="77777777" w:rsidR="00933C62" w:rsidRPr="00266741" w:rsidRDefault="00933C62" w:rsidP="006E6C4E">
            <w:pPr>
              <w:spacing w:line="240" w:lineRule="auto"/>
            </w:pPr>
            <w:r w:rsidRPr="00266741">
              <w:t>R fibula</w:t>
            </w:r>
          </w:p>
        </w:tc>
        <w:tc>
          <w:tcPr>
            <w:tcW w:w="4135" w:type="dxa"/>
          </w:tcPr>
          <w:p w14:paraId="61E14CD1" w14:textId="77777777" w:rsidR="00933C62" w:rsidRPr="00266741" w:rsidRDefault="00933C62" w:rsidP="006E6C4E">
            <w:pPr>
              <w:spacing w:line="240" w:lineRule="auto"/>
            </w:pPr>
            <w:r>
              <w:t>Healing depressed</w:t>
            </w:r>
          </w:p>
          <w:p w14:paraId="1B4CCAB1" w14:textId="77777777" w:rsidR="00933C62" w:rsidRPr="00266741" w:rsidRDefault="00933C62" w:rsidP="006E6C4E">
            <w:pPr>
              <w:spacing w:line="240" w:lineRule="auto"/>
            </w:pPr>
            <w:r>
              <w:t xml:space="preserve">Multiple, </w:t>
            </w:r>
            <w:r w:rsidRPr="00266741">
              <w:t>in multiple stages of healing.  Battered woman syndrome?</w:t>
            </w:r>
          </w:p>
        </w:tc>
      </w:tr>
      <w:tr w:rsidR="00933C62" w:rsidRPr="00266741" w14:paraId="1C2345DE" w14:textId="77777777" w:rsidTr="006E6C4E">
        <w:trPr>
          <w:jc w:val="center"/>
        </w:trPr>
        <w:tc>
          <w:tcPr>
            <w:tcW w:w="796" w:type="dxa"/>
          </w:tcPr>
          <w:p w14:paraId="208F3B81" w14:textId="77777777" w:rsidR="00933C62" w:rsidRPr="00266741" w:rsidRDefault="00933C62" w:rsidP="006E6C4E">
            <w:pPr>
              <w:spacing w:line="240" w:lineRule="auto"/>
            </w:pPr>
            <w:r w:rsidRPr="00266741">
              <w:t>147</w:t>
            </w:r>
          </w:p>
        </w:tc>
        <w:tc>
          <w:tcPr>
            <w:tcW w:w="568" w:type="dxa"/>
          </w:tcPr>
          <w:p w14:paraId="31EA7A56" w14:textId="77777777" w:rsidR="00933C62" w:rsidRPr="00266741" w:rsidRDefault="00933C62" w:rsidP="006E6C4E">
            <w:pPr>
              <w:spacing w:line="240" w:lineRule="auto"/>
            </w:pPr>
            <w:r w:rsidRPr="00266741">
              <w:t>F</w:t>
            </w:r>
          </w:p>
        </w:tc>
        <w:tc>
          <w:tcPr>
            <w:tcW w:w="594" w:type="dxa"/>
          </w:tcPr>
          <w:p w14:paraId="0B64111C" w14:textId="77777777" w:rsidR="00933C62" w:rsidRPr="00266741" w:rsidRDefault="00933C62" w:rsidP="006E6C4E">
            <w:pPr>
              <w:spacing w:line="240" w:lineRule="auto"/>
            </w:pPr>
            <w:r w:rsidRPr="00266741">
              <w:t>OA</w:t>
            </w:r>
          </w:p>
        </w:tc>
        <w:tc>
          <w:tcPr>
            <w:tcW w:w="1347" w:type="dxa"/>
          </w:tcPr>
          <w:p w14:paraId="18F106D0" w14:textId="77777777" w:rsidR="00933C62" w:rsidRPr="00266741" w:rsidRDefault="00933C62" w:rsidP="006E6C4E">
            <w:pPr>
              <w:spacing w:line="240" w:lineRule="auto"/>
            </w:pPr>
            <w:r w:rsidRPr="00266741">
              <w:t>L frontal</w:t>
            </w:r>
          </w:p>
          <w:p w14:paraId="719F1068" w14:textId="77777777" w:rsidR="00933C62" w:rsidRPr="00266741" w:rsidRDefault="00933C62" w:rsidP="006E6C4E">
            <w:pPr>
              <w:spacing w:line="240" w:lineRule="auto"/>
            </w:pPr>
            <w:r w:rsidRPr="00266741">
              <w:t>R radius</w:t>
            </w:r>
          </w:p>
        </w:tc>
        <w:tc>
          <w:tcPr>
            <w:tcW w:w="4135" w:type="dxa"/>
          </w:tcPr>
          <w:p w14:paraId="7E45647B" w14:textId="77777777" w:rsidR="00933C62" w:rsidRPr="00266741" w:rsidRDefault="00933C62" w:rsidP="006E6C4E">
            <w:pPr>
              <w:spacing w:line="240" w:lineRule="auto"/>
            </w:pPr>
            <w:r>
              <w:t xml:space="preserve">Healing depressed </w:t>
            </w:r>
          </w:p>
          <w:p w14:paraId="472CC8E1" w14:textId="77777777" w:rsidR="00933C62" w:rsidRPr="00266741" w:rsidRDefault="00933C62" w:rsidP="006E6C4E">
            <w:pPr>
              <w:spacing w:line="240" w:lineRule="auto"/>
            </w:pPr>
            <w:r>
              <w:t>Healed, distal, Colles fracture</w:t>
            </w:r>
          </w:p>
        </w:tc>
      </w:tr>
      <w:tr w:rsidR="00933C62" w:rsidRPr="00266741" w14:paraId="64BE1158" w14:textId="77777777" w:rsidTr="006E6C4E">
        <w:trPr>
          <w:jc w:val="center"/>
        </w:trPr>
        <w:tc>
          <w:tcPr>
            <w:tcW w:w="796" w:type="dxa"/>
          </w:tcPr>
          <w:p w14:paraId="103C1F3B" w14:textId="77777777" w:rsidR="00933C62" w:rsidRPr="00266741" w:rsidRDefault="00933C62" w:rsidP="006E6C4E">
            <w:pPr>
              <w:spacing w:line="240" w:lineRule="auto"/>
            </w:pPr>
            <w:r w:rsidRPr="00266741">
              <w:t>168</w:t>
            </w:r>
          </w:p>
        </w:tc>
        <w:tc>
          <w:tcPr>
            <w:tcW w:w="568" w:type="dxa"/>
          </w:tcPr>
          <w:p w14:paraId="6D86DC25" w14:textId="77777777" w:rsidR="00933C62" w:rsidRPr="00266741" w:rsidRDefault="00933C62" w:rsidP="006E6C4E">
            <w:pPr>
              <w:spacing w:line="240" w:lineRule="auto"/>
            </w:pPr>
            <w:r w:rsidRPr="00266741">
              <w:t>F?</w:t>
            </w:r>
          </w:p>
        </w:tc>
        <w:tc>
          <w:tcPr>
            <w:tcW w:w="594" w:type="dxa"/>
          </w:tcPr>
          <w:p w14:paraId="69B85CBE" w14:textId="77777777" w:rsidR="00933C62" w:rsidRPr="00266741" w:rsidRDefault="00933C62" w:rsidP="006E6C4E">
            <w:pPr>
              <w:spacing w:line="240" w:lineRule="auto"/>
            </w:pPr>
            <w:r w:rsidRPr="00266741">
              <w:t>MA</w:t>
            </w:r>
          </w:p>
        </w:tc>
        <w:tc>
          <w:tcPr>
            <w:tcW w:w="1347" w:type="dxa"/>
          </w:tcPr>
          <w:p w14:paraId="60CAD50A" w14:textId="77777777" w:rsidR="00933C62" w:rsidRPr="00266741" w:rsidRDefault="00933C62" w:rsidP="006E6C4E">
            <w:pPr>
              <w:spacing w:line="240" w:lineRule="auto"/>
            </w:pPr>
            <w:r w:rsidRPr="00266741">
              <w:t>L frontal</w:t>
            </w:r>
          </w:p>
          <w:p w14:paraId="605BCFAD" w14:textId="77777777" w:rsidR="00933C62" w:rsidRPr="00266741" w:rsidRDefault="00933C62" w:rsidP="006E6C4E">
            <w:pPr>
              <w:spacing w:line="240" w:lineRule="auto"/>
            </w:pPr>
            <w:r w:rsidRPr="00266741">
              <w:t>L fibula</w:t>
            </w:r>
          </w:p>
        </w:tc>
        <w:tc>
          <w:tcPr>
            <w:tcW w:w="4135" w:type="dxa"/>
          </w:tcPr>
          <w:p w14:paraId="3D3B0108" w14:textId="77777777" w:rsidR="00933C62" w:rsidRPr="00266741" w:rsidRDefault="00933C62" w:rsidP="006E6C4E">
            <w:pPr>
              <w:spacing w:line="240" w:lineRule="auto"/>
            </w:pPr>
            <w:r>
              <w:t>Healed depressed</w:t>
            </w:r>
          </w:p>
          <w:p w14:paraId="1BA359F0" w14:textId="77777777" w:rsidR="00933C62" w:rsidRPr="00266741" w:rsidRDefault="00933C62" w:rsidP="006E6C4E">
            <w:pPr>
              <w:spacing w:line="240" w:lineRule="auto"/>
            </w:pPr>
            <w:r>
              <w:t>Healed</w:t>
            </w:r>
          </w:p>
        </w:tc>
      </w:tr>
    </w:tbl>
    <w:p w14:paraId="6AAC4FE8" w14:textId="77777777" w:rsidR="00933C62" w:rsidRDefault="00933C62" w:rsidP="00933C62">
      <w:pPr>
        <w:rPr>
          <w:rFonts w:ascii="Times New Roman" w:hAnsi="Times New Roman"/>
        </w:rPr>
      </w:pPr>
    </w:p>
    <w:p w14:paraId="7917F9C5" w14:textId="77777777" w:rsidR="00933C62" w:rsidRPr="00266741" w:rsidRDefault="00933C62" w:rsidP="00933C62">
      <w:pPr>
        <w:ind w:firstLine="720"/>
        <w:rPr>
          <w:rFonts w:ascii="Times New Roman" w:hAnsi="Times New Roman"/>
        </w:rPr>
      </w:pPr>
      <w:r>
        <w:rPr>
          <w:rFonts w:ascii="Times New Roman" w:hAnsi="Times New Roman"/>
        </w:rPr>
        <w:t>There were 10</w:t>
      </w:r>
      <w:r w:rsidRPr="00266741">
        <w:rPr>
          <w:rFonts w:ascii="Times New Roman" w:hAnsi="Times New Roman"/>
        </w:rPr>
        <w:t xml:space="preserve"> females wit</w:t>
      </w:r>
      <w:r>
        <w:rPr>
          <w:rFonts w:ascii="Times New Roman" w:hAnsi="Times New Roman"/>
        </w:rPr>
        <w:t xml:space="preserve">h more than one fracture.  Multiple </w:t>
      </w:r>
      <w:r w:rsidRPr="00266741">
        <w:rPr>
          <w:rFonts w:ascii="Times New Roman" w:hAnsi="Times New Roman"/>
        </w:rPr>
        <w:t>trauma to the head accounted for two individuals (B10, B90), multiple trauma to limbs accounted for an</w:t>
      </w:r>
      <w:r>
        <w:rPr>
          <w:rFonts w:ascii="Times New Roman" w:hAnsi="Times New Roman"/>
        </w:rPr>
        <w:t>other 4</w:t>
      </w:r>
      <w:r w:rsidRPr="00266741">
        <w:rPr>
          <w:rFonts w:ascii="Times New Roman" w:hAnsi="Times New Roman"/>
        </w:rPr>
        <w:t xml:space="preserve"> in</w:t>
      </w:r>
      <w:r>
        <w:rPr>
          <w:rFonts w:ascii="Times New Roman" w:hAnsi="Times New Roman"/>
        </w:rPr>
        <w:t>dividuals (B23, B58, B112, B</w:t>
      </w:r>
      <w:r w:rsidRPr="00266741">
        <w:rPr>
          <w:rFonts w:ascii="Times New Roman" w:hAnsi="Times New Roman"/>
        </w:rPr>
        <w:t>130B), and trauma to both head and limbs afflicted four individuals (B68, B142, B147, B168).</w:t>
      </w:r>
    </w:p>
    <w:p w14:paraId="27D5F992" w14:textId="77777777" w:rsidR="00933C62" w:rsidRPr="00266741" w:rsidRDefault="00933C62" w:rsidP="00933C62">
      <w:pPr>
        <w:ind w:firstLine="720"/>
        <w:rPr>
          <w:rFonts w:ascii="Times New Roman" w:hAnsi="Times New Roman"/>
        </w:rPr>
      </w:pPr>
      <w:r>
        <w:rPr>
          <w:rFonts w:ascii="Times New Roman" w:hAnsi="Times New Roman"/>
        </w:rPr>
        <w:t>Of the 10</w:t>
      </w:r>
      <w:r w:rsidRPr="00266741">
        <w:rPr>
          <w:rFonts w:ascii="Times New Roman" w:hAnsi="Times New Roman"/>
        </w:rPr>
        <w:t xml:space="preserve"> female</w:t>
      </w:r>
      <w:r>
        <w:rPr>
          <w:rFonts w:ascii="Times New Roman" w:hAnsi="Times New Roman"/>
        </w:rPr>
        <w:t>s</w:t>
      </w:r>
      <w:r w:rsidRPr="00266741">
        <w:rPr>
          <w:rFonts w:ascii="Times New Roman" w:hAnsi="Times New Roman"/>
        </w:rPr>
        <w:t xml:space="preserve"> with multiple skeletal</w:t>
      </w:r>
      <w:r>
        <w:rPr>
          <w:rFonts w:ascii="Times New Roman" w:hAnsi="Times New Roman"/>
        </w:rPr>
        <w:t xml:space="preserve"> injuries, four of them (B23, B58</w:t>
      </w:r>
      <w:r w:rsidRPr="00266741">
        <w:rPr>
          <w:rFonts w:ascii="Times New Roman" w:hAnsi="Times New Roman"/>
        </w:rPr>
        <w:t xml:space="preserve">, B168) </w:t>
      </w:r>
      <w:r>
        <w:rPr>
          <w:rFonts w:ascii="Times New Roman" w:hAnsi="Times New Roman"/>
        </w:rPr>
        <w:t>have injuries in approximately the same state of healing, judging by bone callus formation.  This suggests that each individual experienced a single episode of trauma.  However the amount of bone callus formation gives only an approximate estimate of the age of the injury, so timing of skeletal injuries is not precise.  While s</w:t>
      </w:r>
      <w:r w:rsidRPr="00266741">
        <w:rPr>
          <w:rFonts w:ascii="Times New Roman" w:hAnsi="Times New Roman"/>
        </w:rPr>
        <w:t xml:space="preserve">ome of these injuries may </w:t>
      </w:r>
      <w:r>
        <w:rPr>
          <w:rFonts w:ascii="Times New Roman" w:hAnsi="Times New Roman"/>
        </w:rPr>
        <w:t>be the result of inter-personal violence or an assault (for instance</w:t>
      </w:r>
      <w:r w:rsidRPr="00266741">
        <w:rPr>
          <w:rFonts w:ascii="Times New Roman" w:hAnsi="Times New Roman"/>
        </w:rPr>
        <w:t xml:space="preserve"> B168 has a healed depressed fracture to the frontal bone as well a healed left fibula frac</w:t>
      </w:r>
      <w:r>
        <w:rPr>
          <w:rFonts w:ascii="Times New Roman" w:hAnsi="Times New Roman"/>
        </w:rPr>
        <w:t xml:space="preserve">ture), but they do not appear to indicate multiple instances of assault.  Another female (B130B) </w:t>
      </w:r>
      <w:r w:rsidRPr="00266741">
        <w:rPr>
          <w:rFonts w:ascii="Times New Roman" w:hAnsi="Times New Roman"/>
        </w:rPr>
        <w:t xml:space="preserve">had healed fractures to both radii (distal), which is consistent with a fall.  She also had a compression fracture to the right femoral head, a somewhat unusual injury that may have occurred early in life (Lovell 2008:364).  Despite three injuries that probably occurred </w:t>
      </w:r>
      <w:r>
        <w:rPr>
          <w:rFonts w:ascii="Times New Roman" w:hAnsi="Times New Roman"/>
        </w:rPr>
        <w:t>at two separate times</w:t>
      </w:r>
      <w:r w:rsidRPr="00266741">
        <w:rPr>
          <w:rFonts w:ascii="Times New Roman" w:hAnsi="Times New Roman"/>
        </w:rPr>
        <w:t>, this is probably</w:t>
      </w:r>
      <w:r>
        <w:rPr>
          <w:rFonts w:ascii="Times New Roman" w:hAnsi="Times New Roman"/>
        </w:rPr>
        <w:t xml:space="preserve"> not a case of abuse or assault since the injuries are easily explained by other mechanisms.</w:t>
      </w:r>
    </w:p>
    <w:p w14:paraId="56D42B62" w14:textId="2734953B" w:rsidR="00933C62" w:rsidRPr="00266741" w:rsidRDefault="00933C62" w:rsidP="00933C62">
      <w:pPr>
        <w:ind w:firstLine="720"/>
        <w:rPr>
          <w:rFonts w:ascii="Times New Roman" w:hAnsi="Times New Roman"/>
        </w:rPr>
      </w:pPr>
      <w:r w:rsidRPr="00266741">
        <w:rPr>
          <w:rFonts w:ascii="Times New Roman" w:hAnsi="Times New Roman"/>
        </w:rPr>
        <w:t>This leaves five female burials with multiple skeletal injuries in different stage of healing (B68, B90, B112, B142, B147).  Some of these may represent</w:t>
      </w:r>
      <w:r>
        <w:rPr>
          <w:rFonts w:ascii="Times New Roman" w:hAnsi="Times New Roman"/>
        </w:rPr>
        <w:t xml:space="preserve"> both</w:t>
      </w:r>
      <w:r w:rsidRPr="00266741">
        <w:rPr>
          <w:rFonts w:ascii="Times New Roman" w:hAnsi="Times New Roman"/>
        </w:rPr>
        <w:t xml:space="preserve"> an accident and an</w:t>
      </w:r>
      <w:r>
        <w:rPr>
          <w:rFonts w:ascii="Times New Roman" w:hAnsi="Times New Roman"/>
        </w:rPr>
        <w:t xml:space="preserve"> assault.  For instance B147 had</w:t>
      </w:r>
      <w:r w:rsidRPr="00266741">
        <w:rPr>
          <w:rFonts w:ascii="Times New Roman" w:hAnsi="Times New Roman"/>
        </w:rPr>
        <w:t xml:space="preserve"> a healed fracture to the right distal radius (</w:t>
      </w:r>
      <w:r>
        <w:rPr>
          <w:rFonts w:ascii="Times New Roman" w:hAnsi="Times New Roman"/>
        </w:rPr>
        <w:t>most p</w:t>
      </w:r>
      <w:r w:rsidR="00537E81">
        <w:rPr>
          <w:rFonts w:ascii="Times New Roman" w:hAnsi="Times New Roman"/>
        </w:rPr>
        <w:t>arsimoniously interpreted as a</w:t>
      </w:r>
      <w:r>
        <w:rPr>
          <w:rFonts w:ascii="Times New Roman" w:hAnsi="Times New Roman"/>
        </w:rPr>
        <w:t xml:space="preserve"> fall) as well as</w:t>
      </w:r>
      <w:r w:rsidRPr="00266741">
        <w:rPr>
          <w:rFonts w:ascii="Times New Roman" w:hAnsi="Times New Roman"/>
        </w:rPr>
        <w:t xml:space="preserve"> a healing depressed fracture to the left frontal (</w:t>
      </w:r>
      <w:r w:rsidR="00537E81">
        <w:rPr>
          <w:rFonts w:ascii="Times New Roman" w:hAnsi="Times New Roman"/>
        </w:rPr>
        <w:t>often interpreted as</w:t>
      </w:r>
      <w:r w:rsidRPr="00266741">
        <w:rPr>
          <w:rFonts w:ascii="Times New Roman" w:hAnsi="Times New Roman"/>
        </w:rPr>
        <w:t xml:space="preserve"> an assault).  However B90, with two fractures to the cranial vault, in different stages of healing, may very well indicate a survivor of two separate assaults.</w:t>
      </w:r>
    </w:p>
    <w:p w14:paraId="2491242C" w14:textId="77777777" w:rsidR="00933C62" w:rsidRPr="00266741" w:rsidRDefault="00933C62" w:rsidP="00933C62">
      <w:pPr>
        <w:ind w:firstLine="720"/>
        <w:rPr>
          <w:rFonts w:ascii="Times New Roman" w:hAnsi="Times New Roman"/>
        </w:rPr>
      </w:pPr>
      <w:r w:rsidRPr="00266741">
        <w:rPr>
          <w:rFonts w:ascii="Times New Roman" w:hAnsi="Times New Roman"/>
        </w:rPr>
        <w:t>Burial 142 is the most dramatic example of multiple injuries in multiple stages of healing.  Despite having</w:t>
      </w:r>
      <w:r>
        <w:rPr>
          <w:rFonts w:ascii="Times New Roman" w:hAnsi="Times New Roman"/>
        </w:rPr>
        <w:t xml:space="preserve"> a very gracile skeleton, this young adult f</w:t>
      </w:r>
      <w:r w:rsidRPr="00266741">
        <w:rPr>
          <w:rFonts w:ascii="Times New Roman" w:hAnsi="Times New Roman"/>
        </w:rPr>
        <w:t>emale was quite complete.  She was also found with neonatal bone fragments, indicating she was either pregnant or had just given birth</w:t>
      </w:r>
      <w:r>
        <w:rPr>
          <w:rFonts w:ascii="Times New Roman" w:hAnsi="Times New Roman"/>
        </w:rPr>
        <w:t xml:space="preserve"> at time of death</w:t>
      </w:r>
      <w:r w:rsidRPr="00266741">
        <w:rPr>
          <w:rFonts w:ascii="Times New Roman" w:hAnsi="Times New Roman"/>
        </w:rPr>
        <w:t>.  In addition to bilateral femur fractures, fractures to the right tibia and right fibu</w:t>
      </w:r>
      <w:r>
        <w:rPr>
          <w:rFonts w:ascii="Times New Roman" w:hAnsi="Times New Roman"/>
        </w:rPr>
        <w:t>l</w:t>
      </w:r>
      <w:r w:rsidRPr="00266741">
        <w:rPr>
          <w:rFonts w:ascii="Times New Roman" w:hAnsi="Times New Roman"/>
        </w:rPr>
        <w:t>a, and a depressed fracture to the frontal bone, she was also suffering f</w:t>
      </w:r>
      <w:r>
        <w:rPr>
          <w:rFonts w:ascii="Times New Roman" w:hAnsi="Times New Roman"/>
        </w:rPr>
        <w:t>rom a systemic infection.  The right</w:t>
      </w:r>
      <w:r w:rsidRPr="00266741">
        <w:rPr>
          <w:rFonts w:ascii="Times New Roman" w:hAnsi="Times New Roman"/>
        </w:rPr>
        <w:t xml:space="preserve"> femur fracture </w:t>
      </w:r>
      <w:r>
        <w:rPr>
          <w:rFonts w:ascii="Times New Roman" w:hAnsi="Times New Roman"/>
        </w:rPr>
        <w:t>had a fresh callus, indicating that it had occurred not long before death.  The left</w:t>
      </w:r>
      <w:r w:rsidRPr="00266741">
        <w:rPr>
          <w:rFonts w:ascii="Times New Roman" w:hAnsi="Times New Roman"/>
        </w:rPr>
        <w:t xml:space="preserve"> femur’s callus was still evident, but well-healed, and</w:t>
      </w:r>
      <w:r>
        <w:rPr>
          <w:rFonts w:ascii="Times New Roman" w:hAnsi="Times New Roman"/>
        </w:rPr>
        <w:t xml:space="preserve"> had occurred much earlier than the right femur.  The</w:t>
      </w:r>
      <w:r w:rsidRPr="00266741">
        <w:rPr>
          <w:rFonts w:ascii="Times New Roman" w:hAnsi="Times New Roman"/>
        </w:rPr>
        <w:t xml:space="preserve"> depressed frontal fracture</w:t>
      </w:r>
      <w:r>
        <w:rPr>
          <w:rFonts w:ascii="Times New Roman" w:hAnsi="Times New Roman"/>
        </w:rPr>
        <w:t xml:space="preserve"> was also well healed and may have occurred around the same time as the left femur</w:t>
      </w:r>
      <w:r w:rsidRPr="00266741">
        <w:rPr>
          <w:rFonts w:ascii="Times New Roman" w:hAnsi="Times New Roman"/>
        </w:rPr>
        <w:t>.  The right tibia and right fibula fractures were infected, making it difficult to asse</w:t>
      </w:r>
      <w:r>
        <w:rPr>
          <w:rFonts w:ascii="Times New Roman" w:hAnsi="Times New Roman"/>
        </w:rPr>
        <w:t>s</w:t>
      </w:r>
      <w:r w:rsidRPr="00266741">
        <w:rPr>
          <w:rFonts w:ascii="Times New Roman" w:hAnsi="Times New Roman"/>
        </w:rPr>
        <w:t>s</w:t>
      </w:r>
      <w:r>
        <w:rPr>
          <w:rFonts w:ascii="Times New Roman" w:hAnsi="Times New Roman"/>
        </w:rPr>
        <w:t xml:space="preserve"> degree of healing and</w:t>
      </w:r>
      <w:r w:rsidRPr="00266741">
        <w:rPr>
          <w:rFonts w:ascii="Times New Roman" w:hAnsi="Times New Roman"/>
        </w:rPr>
        <w:t xml:space="preserve"> time of injury, but it may have been a third incident, occurring </w:t>
      </w:r>
      <w:r>
        <w:rPr>
          <w:rFonts w:ascii="Times New Roman" w:hAnsi="Times New Roman"/>
        </w:rPr>
        <w:t xml:space="preserve">some time </w:t>
      </w:r>
      <w:r w:rsidRPr="00266741">
        <w:rPr>
          <w:rFonts w:ascii="Times New Roman" w:hAnsi="Times New Roman"/>
        </w:rPr>
        <w:t xml:space="preserve">between the two episodes </w:t>
      </w:r>
      <w:r>
        <w:rPr>
          <w:rFonts w:ascii="Times New Roman" w:hAnsi="Times New Roman"/>
        </w:rPr>
        <w:t>identified</w:t>
      </w:r>
      <w:r w:rsidRPr="00266741">
        <w:rPr>
          <w:rFonts w:ascii="Times New Roman" w:hAnsi="Times New Roman"/>
        </w:rPr>
        <w:t>.  Although delicate, she did not appear to suffer from osteomalacia</w:t>
      </w:r>
      <w:r>
        <w:rPr>
          <w:rFonts w:ascii="Times New Roman" w:hAnsi="Times New Roman"/>
        </w:rPr>
        <w:t>, osteoporosis,</w:t>
      </w:r>
      <w:r w:rsidRPr="00266741">
        <w:rPr>
          <w:rFonts w:ascii="Times New Roman" w:hAnsi="Times New Roman"/>
        </w:rPr>
        <w:t xml:space="preserve"> or any other skeletal disease.  It is difficult to escape the conclusion that this individual was severely beaten on at least two occasions and possibly three.</w:t>
      </w:r>
    </w:p>
    <w:p w14:paraId="6F257017" w14:textId="401B7678" w:rsidR="00933C62" w:rsidRPr="00BB7471" w:rsidRDefault="00933C62" w:rsidP="00933C62">
      <w:pPr>
        <w:ind w:firstLine="720"/>
        <w:rPr>
          <w:rFonts w:ascii="Times New Roman" w:hAnsi="Times New Roman"/>
        </w:rPr>
      </w:pPr>
      <w:r w:rsidRPr="00266741">
        <w:rPr>
          <w:rFonts w:ascii="Times New Roman" w:hAnsi="Times New Roman"/>
        </w:rPr>
        <w:t>Why were the females more prone</w:t>
      </w:r>
      <w:r>
        <w:rPr>
          <w:rFonts w:ascii="Times New Roman" w:hAnsi="Times New Roman"/>
        </w:rPr>
        <w:t xml:space="preserve"> not only to fractured lower limbs and to </w:t>
      </w:r>
      <w:r w:rsidRPr="00266741">
        <w:rPr>
          <w:rFonts w:ascii="Times New Roman" w:hAnsi="Times New Roman"/>
        </w:rPr>
        <w:t>multiple</w:t>
      </w:r>
      <w:r>
        <w:rPr>
          <w:rFonts w:ascii="Times New Roman" w:hAnsi="Times New Roman"/>
        </w:rPr>
        <w:t xml:space="preserve"> fractured bones</w:t>
      </w:r>
      <w:r w:rsidRPr="00266741">
        <w:rPr>
          <w:rFonts w:ascii="Times New Roman" w:hAnsi="Times New Roman"/>
        </w:rPr>
        <w:t xml:space="preserve"> than the males?</w:t>
      </w:r>
      <w:r w:rsidR="00537E81">
        <w:rPr>
          <w:rFonts w:ascii="Times New Roman" w:hAnsi="Times New Roman"/>
        </w:rPr>
        <w:t xml:space="preserve">  The individual skeletons under consideration show no signs of osteomalacia or any other bone weakening disease.</w:t>
      </w:r>
      <w:r w:rsidRPr="00266741">
        <w:rPr>
          <w:rFonts w:ascii="Times New Roman" w:hAnsi="Times New Roman"/>
        </w:rPr>
        <w:t xml:space="preserve">  Barring spurious suggestions like “women are clumsier” or “women are more fragile,” it is </w:t>
      </w:r>
      <w:r>
        <w:rPr>
          <w:rFonts w:ascii="Times New Roman" w:hAnsi="Times New Roman"/>
        </w:rPr>
        <w:t>reasonable to hypothesize</w:t>
      </w:r>
      <w:r w:rsidRPr="00266741">
        <w:rPr>
          <w:rFonts w:ascii="Times New Roman" w:hAnsi="Times New Roman"/>
        </w:rPr>
        <w:t xml:space="preserve"> that at least some of these multiple injuries were the result of repeated </w:t>
      </w:r>
      <w:r>
        <w:rPr>
          <w:rFonts w:ascii="Times New Roman" w:hAnsi="Times New Roman"/>
        </w:rPr>
        <w:t>interpersonal trauma or abuse</w:t>
      </w:r>
      <w:r w:rsidRPr="00266741">
        <w:rPr>
          <w:rFonts w:ascii="Times New Roman" w:hAnsi="Times New Roman"/>
        </w:rPr>
        <w:t xml:space="preserve">.  </w:t>
      </w:r>
      <w:r w:rsidR="00537E81">
        <w:rPr>
          <w:rFonts w:ascii="Times New Roman" w:hAnsi="Times New Roman"/>
        </w:rPr>
        <w:t>It is possible that these women were captives.</w:t>
      </w:r>
    </w:p>
    <w:p w14:paraId="0A4A26D5" w14:textId="77777777" w:rsidR="00933C62" w:rsidRDefault="00933C62" w:rsidP="00933C62">
      <w:pPr>
        <w:pStyle w:val="BodyTextIndent"/>
        <w:rPr>
          <w:szCs w:val="24"/>
        </w:rPr>
      </w:pPr>
      <w:r>
        <w:rPr>
          <w:szCs w:val="24"/>
        </w:rPr>
        <w:t>Skeletal trauma indicates that c</w:t>
      </w:r>
      <w:r w:rsidRPr="00266741">
        <w:rPr>
          <w:szCs w:val="24"/>
        </w:rPr>
        <w:t>onflict was clearly a pervasive part of life for the individuals who were buried at the Akers site.</w:t>
      </w:r>
      <w:r>
        <w:rPr>
          <w:szCs w:val="24"/>
        </w:rPr>
        <w:t xml:space="preserve">  </w:t>
      </w:r>
      <w:r w:rsidRPr="00266741">
        <w:rPr>
          <w:rFonts w:eastAsiaTheme="minorEastAsia"/>
          <w:szCs w:val="24"/>
        </w:rPr>
        <w:t xml:space="preserve">As previously </w:t>
      </w:r>
      <w:r>
        <w:rPr>
          <w:rFonts w:eastAsiaTheme="minorEastAsia"/>
          <w:szCs w:val="24"/>
        </w:rPr>
        <w:t>established</w:t>
      </w:r>
      <w:r w:rsidRPr="00266741">
        <w:rPr>
          <w:rFonts w:eastAsiaTheme="minorEastAsia"/>
          <w:szCs w:val="24"/>
        </w:rPr>
        <w:t xml:space="preserve">, </w:t>
      </w:r>
      <w:r w:rsidRPr="00266741">
        <w:rPr>
          <w:szCs w:val="24"/>
        </w:rPr>
        <w:t>even a few skeletons showing signs of skeletal trauma such as projectile wounds or healed fractures indicates that figh</w:t>
      </w:r>
      <w:r>
        <w:rPr>
          <w:szCs w:val="24"/>
        </w:rPr>
        <w:t>ting was probably pervasive and had</w:t>
      </w:r>
      <w:r w:rsidRPr="00266741">
        <w:rPr>
          <w:szCs w:val="24"/>
        </w:rPr>
        <w:t xml:space="preserve"> a noticeable impact on communities (Milner 2005).  In addition to the broken bones and projectile wound</w:t>
      </w:r>
      <w:r>
        <w:rPr>
          <w:szCs w:val="24"/>
        </w:rPr>
        <w:t>s detailed above, some</w:t>
      </w:r>
      <w:r w:rsidRPr="00266741">
        <w:rPr>
          <w:szCs w:val="24"/>
        </w:rPr>
        <w:t xml:space="preserve"> skeletons </w:t>
      </w:r>
      <w:r>
        <w:rPr>
          <w:szCs w:val="24"/>
        </w:rPr>
        <w:t xml:space="preserve">are </w:t>
      </w:r>
      <w:r w:rsidRPr="00266741">
        <w:rPr>
          <w:szCs w:val="24"/>
        </w:rPr>
        <w:t>missing their skulls and at least two cases of extra, isolated skulls</w:t>
      </w:r>
      <w:r>
        <w:rPr>
          <w:szCs w:val="24"/>
        </w:rPr>
        <w:t xml:space="preserve"> were observed</w:t>
      </w:r>
      <w:r w:rsidRPr="00266741">
        <w:rPr>
          <w:szCs w:val="24"/>
        </w:rPr>
        <w:t xml:space="preserve"> (discussed in the following chapter).  Finally, Burial 87 (described above) is a good example of “pin-cushioning,” in which an individual has received multiple wounds.  Pin-cushioning suggests a vengeance killing, and the overall pattern that includes pin-cushioning, trophy taking behavior, mass burials, broken and fractures bones, and embedded projectile points characterizes feuding (Dye 2009).  </w:t>
      </w:r>
    </w:p>
    <w:p w14:paraId="59C07240" w14:textId="77777777" w:rsidR="00933C62" w:rsidRDefault="00933C62" w:rsidP="00933C62">
      <w:pPr>
        <w:pStyle w:val="BodyTextIndent"/>
        <w:spacing w:line="240" w:lineRule="auto"/>
        <w:rPr>
          <w:szCs w:val="24"/>
        </w:rPr>
      </w:pPr>
    </w:p>
    <w:p w14:paraId="46EBD5EB" w14:textId="77777777" w:rsidR="00933C62" w:rsidRPr="009859BD" w:rsidRDefault="00933C62" w:rsidP="00CB4ED0">
      <w:pPr>
        <w:pStyle w:val="Heading2"/>
      </w:pPr>
      <w:bookmarkStart w:id="87" w:name="_Toc261025874"/>
      <w:r>
        <w:t>Nutritional Statu</w:t>
      </w:r>
      <w:r w:rsidRPr="002A0C69">
        <w:t>s at Akers</w:t>
      </w:r>
      <w:bookmarkEnd w:id="87"/>
    </w:p>
    <w:p w14:paraId="607A7BF3" w14:textId="77777777" w:rsidR="00933C62" w:rsidRPr="007C36ED" w:rsidRDefault="00933C62" w:rsidP="00933C62">
      <w:pPr>
        <w:ind w:firstLine="720"/>
        <w:rPr>
          <w:rFonts w:ascii="Times New Roman" w:hAnsi="Times New Roman"/>
        </w:rPr>
      </w:pPr>
      <w:r w:rsidRPr="007C36ED">
        <w:rPr>
          <w:rFonts w:ascii="Times New Roman" w:hAnsi="Times New Roman"/>
        </w:rPr>
        <w:t xml:space="preserve">As discussed in the previous chapter, malnutrition and other nutritional deficiencies are often found during war or smaller conflicts in modern times.  This </w:t>
      </w:r>
      <w:r>
        <w:rPr>
          <w:rFonts w:ascii="Times New Roman" w:hAnsi="Times New Roman"/>
        </w:rPr>
        <w:t>section</w:t>
      </w:r>
      <w:r w:rsidRPr="007C36ED">
        <w:rPr>
          <w:rFonts w:ascii="Times New Roman" w:hAnsi="Times New Roman"/>
        </w:rPr>
        <w:t xml:space="preserve"> considers the skeletal evidence for nutritional deficiencies in the adults buried at the Akers site by examining the frequency of </w:t>
      </w:r>
      <w:r>
        <w:rPr>
          <w:rFonts w:ascii="Times New Roman" w:hAnsi="Times New Roman"/>
        </w:rPr>
        <w:t>the</w:t>
      </w:r>
      <w:r w:rsidRPr="007C36ED">
        <w:rPr>
          <w:rFonts w:ascii="Times New Roman" w:hAnsi="Times New Roman"/>
        </w:rPr>
        <w:t xml:space="preserve"> c</w:t>
      </w:r>
      <w:r>
        <w:rPr>
          <w:rFonts w:ascii="Times New Roman" w:hAnsi="Times New Roman"/>
        </w:rPr>
        <w:t>ranial</w:t>
      </w:r>
      <w:r w:rsidRPr="007C36ED">
        <w:rPr>
          <w:rFonts w:ascii="Times New Roman" w:hAnsi="Times New Roman"/>
        </w:rPr>
        <w:t xml:space="preserve"> lesions porotic hyperostosis and cribra orbitalia.</w:t>
      </w:r>
      <w:r>
        <w:rPr>
          <w:rFonts w:ascii="Times New Roman" w:hAnsi="Times New Roman"/>
        </w:rPr>
        <w:t xml:space="preserve"> </w:t>
      </w:r>
      <w:r w:rsidRPr="007C36ED">
        <w:rPr>
          <w:rFonts w:ascii="Times New Roman" w:hAnsi="Times New Roman"/>
        </w:rPr>
        <w:t xml:space="preserve"> As previously noted, nearly all the crania from Akers were modified in some fashion.  It is unclear if cranial modification significantly impacts cribra orbitalia or porotic hyperostosis</w:t>
      </w:r>
      <w:r>
        <w:rPr>
          <w:rFonts w:ascii="Times New Roman" w:hAnsi="Times New Roman"/>
        </w:rPr>
        <w:t xml:space="preserve"> frequencies</w:t>
      </w:r>
      <w:r w:rsidRPr="007C36ED">
        <w:rPr>
          <w:rFonts w:ascii="Times New Roman" w:hAnsi="Times New Roman"/>
        </w:rPr>
        <w:t xml:space="preserve">.  </w:t>
      </w:r>
    </w:p>
    <w:p w14:paraId="55F2027A" w14:textId="77777777" w:rsidR="00933C62" w:rsidRDefault="00933C62" w:rsidP="00933C62">
      <w:pPr>
        <w:ind w:firstLine="720"/>
        <w:rPr>
          <w:rFonts w:ascii="Times New Roman" w:hAnsi="Times New Roman"/>
        </w:rPr>
      </w:pPr>
      <w:r w:rsidRPr="007C36ED">
        <w:rPr>
          <w:rFonts w:ascii="Times New Roman" w:hAnsi="Times New Roman"/>
        </w:rPr>
        <w:t>The majority of calvaria had at least some porosity, especially over the lambda region, and many crania also looked mildly reactive (mild proliferative periosteal reactions).</w:t>
      </w:r>
      <w:r>
        <w:rPr>
          <w:rFonts w:ascii="Times New Roman" w:hAnsi="Times New Roman"/>
        </w:rPr>
        <w:t xml:space="preserve">  An example of this mild reactivity and generalized porosity is shown in Figure 18.  This type of reaction was also noted on calvaria from the McCutchan-McLaughlin site (34Lt11) (Powell and Rogers 1980).</w:t>
      </w:r>
      <w:r w:rsidRPr="007C36ED">
        <w:rPr>
          <w:rFonts w:ascii="Times New Roman" w:hAnsi="Times New Roman"/>
        </w:rPr>
        <w:t xml:space="preserve"> </w:t>
      </w:r>
    </w:p>
    <w:p w14:paraId="4055DD0F" w14:textId="77777777" w:rsidR="00933C62" w:rsidRDefault="00933C62" w:rsidP="00933C62">
      <w:pPr>
        <w:spacing w:line="240" w:lineRule="auto"/>
        <w:ind w:firstLine="720"/>
        <w:rPr>
          <w:rFonts w:ascii="Times New Roman" w:hAnsi="Times New Roman"/>
        </w:rPr>
      </w:pPr>
    </w:p>
    <w:p w14:paraId="390E6104" w14:textId="77777777" w:rsidR="00933C62" w:rsidRPr="007C36ED" w:rsidRDefault="00933C62" w:rsidP="00933C62">
      <w:pPr>
        <w:jc w:val="center"/>
        <w:rPr>
          <w:rFonts w:ascii="Times New Roman" w:hAnsi="Times New Roman"/>
        </w:rPr>
      </w:pPr>
      <w:r>
        <w:rPr>
          <w:rFonts w:ascii="Times New Roman" w:hAnsi="Times New Roman"/>
          <w:noProof/>
          <w:lang w:bidi="ar-SA"/>
        </w:rPr>
        <w:drawing>
          <wp:inline distT="0" distB="0" distL="0" distR="0" wp14:anchorId="66EA24D4" wp14:editId="3F93CB95">
            <wp:extent cx="5166360" cy="3874770"/>
            <wp:effectExtent l="0" t="0" r="0" b="114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35.JPG"/>
                    <pic:cNvPicPr/>
                  </pic:nvPicPr>
                  <pic:blipFill>
                    <a:blip r:embed="rId28">
                      <a:extLst>
                        <a:ext uri="{28A0092B-C50C-407E-A947-70E740481C1C}">
                          <a14:useLocalDpi xmlns:a14="http://schemas.microsoft.com/office/drawing/2010/main" val="0"/>
                        </a:ext>
                      </a:extLst>
                    </a:blip>
                    <a:stretch>
                      <a:fillRect/>
                    </a:stretch>
                  </pic:blipFill>
                  <pic:spPr>
                    <a:xfrm>
                      <a:off x="0" y="0"/>
                      <a:ext cx="5166360" cy="3874770"/>
                    </a:xfrm>
                    <a:prstGeom prst="rect">
                      <a:avLst/>
                    </a:prstGeom>
                  </pic:spPr>
                </pic:pic>
              </a:graphicData>
            </a:graphic>
          </wp:inline>
        </w:drawing>
      </w:r>
    </w:p>
    <w:p w14:paraId="77ACA4C0" w14:textId="77777777" w:rsidR="00933C62" w:rsidRDefault="00933C62" w:rsidP="00133F61">
      <w:pPr>
        <w:pStyle w:val="Caption"/>
      </w:pPr>
      <w:bookmarkStart w:id="88" w:name="_Toc261025220"/>
      <w:r>
        <w:t xml:space="preserve">Figure </w:t>
      </w:r>
      <w:fldSimple w:instr=" SEQ Figure \* ARABIC ">
        <w:r w:rsidR="00396EB3">
          <w:rPr>
            <w:noProof/>
          </w:rPr>
          <w:t>18</w:t>
        </w:r>
      </w:fldSimple>
      <w:r>
        <w:t xml:space="preserve">  The lambda region from Burial 155 of the Akers site</w:t>
      </w:r>
      <w:bookmarkEnd w:id="88"/>
    </w:p>
    <w:p w14:paraId="03722A5D" w14:textId="77777777" w:rsidR="009B2CF2" w:rsidRPr="009B2CF2" w:rsidRDefault="009B2CF2" w:rsidP="009B2CF2">
      <w:pPr>
        <w:spacing w:line="240" w:lineRule="auto"/>
      </w:pPr>
    </w:p>
    <w:p w14:paraId="353952D6" w14:textId="77777777" w:rsidR="00933C62" w:rsidRDefault="00933C62" w:rsidP="00933C62">
      <w:pPr>
        <w:spacing w:line="240" w:lineRule="auto"/>
        <w:ind w:firstLine="720"/>
        <w:rPr>
          <w:rFonts w:ascii="Times New Roman" w:hAnsi="Times New Roman"/>
        </w:rPr>
      </w:pPr>
    </w:p>
    <w:p w14:paraId="732BA398" w14:textId="77777777" w:rsidR="00933C62" w:rsidRDefault="00933C62" w:rsidP="00933C62">
      <w:pPr>
        <w:ind w:firstLine="720"/>
        <w:rPr>
          <w:rFonts w:ascii="Times New Roman" w:hAnsi="Times New Roman"/>
        </w:rPr>
      </w:pPr>
      <w:r w:rsidRPr="007C36ED">
        <w:rPr>
          <w:rFonts w:ascii="Times New Roman" w:hAnsi="Times New Roman"/>
        </w:rPr>
        <w:t>Porotic hyperostosis lesions were thus scored quite conser</w:t>
      </w:r>
      <w:r>
        <w:rPr>
          <w:rFonts w:ascii="Times New Roman" w:hAnsi="Times New Roman"/>
        </w:rPr>
        <w:t>vatively, especially since</w:t>
      </w:r>
      <w:r w:rsidRPr="007C36ED">
        <w:rPr>
          <w:rFonts w:ascii="Times New Roman" w:hAnsi="Times New Roman"/>
        </w:rPr>
        <w:t xml:space="preserve"> radiography was unavailable to help distinguish the characteristic “hair on end</w:t>
      </w:r>
      <w:r>
        <w:rPr>
          <w:rFonts w:ascii="Times New Roman" w:hAnsi="Times New Roman"/>
        </w:rPr>
        <w:t>” appearance of the diploe (Stu</w:t>
      </w:r>
      <w:r w:rsidRPr="007C36ED">
        <w:rPr>
          <w:rFonts w:ascii="Times New Roman" w:hAnsi="Times New Roman"/>
        </w:rPr>
        <w:t xml:space="preserve">art-McAdams 1992).  At least one parietal and/or side of the frontal had to be available to score for porotic hyperostosis.  </w:t>
      </w:r>
      <w:r>
        <w:rPr>
          <w:rFonts w:ascii="Times New Roman" w:hAnsi="Times New Roman"/>
        </w:rPr>
        <w:t>Porotic hyperostosis l</w:t>
      </w:r>
      <w:r w:rsidRPr="007C36ED">
        <w:rPr>
          <w:rFonts w:ascii="Times New Roman" w:hAnsi="Times New Roman"/>
        </w:rPr>
        <w:t xml:space="preserve">esions were scored as Present or Absent. </w:t>
      </w:r>
      <w:r>
        <w:rPr>
          <w:rFonts w:ascii="Times New Roman" w:hAnsi="Times New Roman"/>
        </w:rPr>
        <w:t xml:space="preserve"> Cribra orbitalia l</w:t>
      </w:r>
      <w:r w:rsidRPr="007C36ED">
        <w:rPr>
          <w:rFonts w:ascii="Times New Roman" w:hAnsi="Times New Roman"/>
        </w:rPr>
        <w:t xml:space="preserve">esions were scored as Active, Healed, or Absent.  At least one eye orbit had to be available to score for cribra orbitalia.  </w:t>
      </w:r>
    </w:p>
    <w:p w14:paraId="6C3005D6" w14:textId="77777777" w:rsidR="00933C62" w:rsidRPr="009859BD" w:rsidRDefault="00933C62" w:rsidP="009C5432">
      <w:pPr>
        <w:pStyle w:val="Heading3"/>
      </w:pPr>
      <w:bookmarkStart w:id="89" w:name="_Toc261025875"/>
      <w:r w:rsidRPr="002A0C69">
        <w:t>Results</w:t>
      </w:r>
      <w:bookmarkEnd w:id="89"/>
    </w:p>
    <w:p w14:paraId="095CDA42" w14:textId="56D855F6" w:rsidR="00933C62" w:rsidRDefault="00933C62" w:rsidP="00933C62">
      <w:pPr>
        <w:ind w:firstLine="720"/>
        <w:rPr>
          <w:rFonts w:ascii="Times New Roman" w:hAnsi="Times New Roman"/>
        </w:rPr>
      </w:pPr>
      <w:r w:rsidRPr="007C36ED">
        <w:rPr>
          <w:rFonts w:ascii="Times New Roman" w:hAnsi="Times New Roman"/>
        </w:rPr>
        <w:t>The prevalence of porotic hyperostosis amon</w:t>
      </w:r>
      <w:r w:rsidR="009B2CF2">
        <w:rPr>
          <w:rFonts w:ascii="Times New Roman" w:hAnsi="Times New Roman"/>
        </w:rPr>
        <w:t>gst the adults at Akers was</w:t>
      </w:r>
      <w:r w:rsidRPr="007C36ED">
        <w:rPr>
          <w:rFonts w:ascii="Times New Roman" w:hAnsi="Times New Roman"/>
        </w:rPr>
        <w:t xml:space="preserve"> low.  Out of 94 individual calvaria examined, only 6 displayed signs of porotic hyperostosis</w:t>
      </w:r>
      <w:r>
        <w:rPr>
          <w:rFonts w:ascii="Times New Roman" w:hAnsi="Times New Roman"/>
        </w:rPr>
        <w:t xml:space="preserve">, for an overall frequency of 6%.  </w:t>
      </w:r>
      <w:r w:rsidRPr="007C36ED">
        <w:rPr>
          <w:rFonts w:ascii="Times New Roman" w:hAnsi="Times New Roman"/>
        </w:rPr>
        <w:t>Five of these were female, and only one was male</w:t>
      </w:r>
      <w:r w:rsidR="007A1E12">
        <w:rPr>
          <w:rFonts w:ascii="Times New Roman" w:hAnsi="Times New Roman"/>
        </w:rPr>
        <w:t xml:space="preserve"> (Table 17</w:t>
      </w:r>
      <w:r>
        <w:rPr>
          <w:rFonts w:ascii="Times New Roman" w:hAnsi="Times New Roman"/>
        </w:rPr>
        <w:t>).  Despite the higher frequency for females, t</w:t>
      </w:r>
      <w:r w:rsidRPr="007C36ED">
        <w:rPr>
          <w:rFonts w:ascii="Times New Roman" w:hAnsi="Times New Roman"/>
        </w:rPr>
        <w:t xml:space="preserve">his sex difference is not </w:t>
      </w:r>
      <w:r>
        <w:rPr>
          <w:rFonts w:ascii="Times New Roman" w:hAnsi="Times New Roman"/>
        </w:rPr>
        <w:t>statistically significant (</w:t>
      </w:r>
      <w:r w:rsidRPr="00C65F9F">
        <w:rPr>
          <w:rFonts w:ascii="Times New Roman" w:hAnsi="Times New Roman"/>
          <w:i/>
        </w:rPr>
        <w:t>p</w:t>
      </w:r>
      <w:r>
        <w:rPr>
          <w:rFonts w:ascii="Times New Roman" w:hAnsi="Times New Roman"/>
        </w:rPr>
        <w:t>=.4 two</w:t>
      </w:r>
      <w:r w:rsidRPr="007C36ED">
        <w:rPr>
          <w:rFonts w:ascii="Times New Roman" w:hAnsi="Times New Roman"/>
        </w:rPr>
        <w:t>- tailed Fisher’s Exact Test</w:t>
      </w:r>
      <w:r>
        <w:rPr>
          <w:rFonts w:ascii="Times New Roman" w:hAnsi="Times New Roman"/>
        </w:rPr>
        <w:t xml:space="preserve">).  </w:t>
      </w:r>
      <w:r w:rsidRPr="007C36ED">
        <w:rPr>
          <w:rFonts w:ascii="Times New Roman" w:hAnsi="Times New Roman"/>
        </w:rPr>
        <w:t>The frequency of porotic hyperostosis in the subadu</w:t>
      </w:r>
      <w:r>
        <w:rPr>
          <w:rFonts w:ascii="Times New Roman" w:hAnsi="Times New Roman"/>
        </w:rPr>
        <w:t>l</w:t>
      </w:r>
      <w:r w:rsidRPr="007C36ED">
        <w:rPr>
          <w:rFonts w:ascii="Times New Roman" w:hAnsi="Times New Roman"/>
        </w:rPr>
        <w:t>t</w:t>
      </w:r>
      <w:r>
        <w:rPr>
          <w:rFonts w:ascii="Times New Roman" w:hAnsi="Times New Roman"/>
        </w:rPr>
        <w:t>s</w:t>
      </w:r>
      <w:r w:rsidRPr="007C36ED">
        <w:rPr>
          <w:rFonts w:ascii="Times New Roman" w:hAnsi="Times New Roman"/>
        </w:rPr>
        <w:t xml:space="preserve"> was </w:t>
      </w:r>
      <w:r w:rsidR="009B2CF2">
        <w:rPr>
          <w:rFonts w:ascii="Times New Roman" w:hAnsi="Times New Roman"/>
        </w:rPr>
        <w:t>higher,</w:t>
      </w:r>
      <w:r w:rsidRPr="007C36ED">
        <w:rPr>
          <w:rFonts w:ascii="Times New Roman" w:hAnsi="Times New Roman"/>
        </w:rPr>
        <w:t xml:space="preserve"> at 21% (Rowe 2009:75).</w:t>
      </w:r>
    </w:p>
    <w:p w14:paraId="4A2DBEAA" w14:textId="77777777" w:rsidR="00933C62" w:rsidRDefault="00933C62" w:rsidP="00133F61">
      <w:pPr>
        <w:pStyle w:val="Caption"/>
      </w:pPr>
    </w:p>
    <w:p w14:paraId="57F84B6F" w14:textId="77777777" w:rsidR="00933C62" w:rsidRDefault="00933C62" w:rsidP="00133F61">
      <w:pPr>
        <w:pStyle w:val="Caption"/>
      </w:pPr>
      <w:bookmarkStart w:id="90" w:name="_Toc261025245"/>
      <w:r>
        <w:t xml:space="preserve">Table </w:t>
      </w:r>
      <w:fldSimple w:instr=" SEQ Table \* ARABIC ">
        <w:r w:rsidR="00396EB3">
          <w:rPr>
            <w:noProof/>
          </w:rPr>
          <w:t>17</w:t>
        </w:r>
      </w:fldSimple>
      <w:r>
        <w:t xml:space="preserve">  Porotic hyperostosis prevalence by sex</w:t>
      </w:r>
      <w:bookmarkEnd w:id="90"/>
    </w:p>
    <w:p w14:paraId="6B72CCB2" w14:textId="77777777" w:rsidR="00933C62" w:rsidRPr="007C36ED" w:rsidRDefault="00933C62" w:rsidP="00133F61">
      <w:pPr>
        <w:pStyle w:val="Caption"/>
      </w:pPr>
    </w:p>
    <w:tbl>
      <w:tblPr>
        <w:tblStyle w:val="TableGrid"/>
        <w:tblW w:w="0" w:type="auto"/>
        <w:jc w:val="center"/>
        <w:tblInd w:w="621" w:type="dxa"/>
        <w:tblLook w:val="04A0" w:firstRow="1" w:lastRow="0" w:firstColumn="1" w:lastColumn="0" w:noHBand="0" w:noVBand="1"/>
      </w:tblPr>
      <w:tblGrid>
        <w:gridCol w:w="2148"/>
        <w:gridCol w:w="990"/>
        <w:gridCol w:w="575"/>
        <w:gridCol w:w="1260"/>
        <w:gridCol w:w="565"/>
      </w:tblGrid>
      <w:tr w:rsidR="00933C62" w:rsidRPr="007C36ED" w14:paraId="3BA1F688" w14:textId="77777777" w:rsidTr="006E6C4E">
        <w:trPr>
          <w:jc w:val="center"/>
        </w:trPr>
        <w:tc>
          <w:tcPr>
            <w:tcW w:w="2148" w:type="dxa"/>
          </w:tcPr>
          <w:p w14:paraId="2E23ADAB" w14:textId="77777777" w:rsidR="00933C62" w:rsidRPr="007C36ED" w:rsidRDefault="00933C62" w:rsidP="006E6C4E">
            <w:pPr>
              <w:spacing w:line="240" w:lineRule="auto"/>
              <w:jc w:val="center"/>
              <w:rPr>
                <w:b/>
              </w:rPr>
            </w:pPr>
            <w:r w:rsidRPr="007C36ED">
              <w:rPr>
                <w:b/>
              </w:rPr>
              <w:t>Lesion</w:t>
            </w:r>
          </w:p>
        </w:tc>
        <w:tc>
          <w:tcPr>
            <w:tcW w:w="990" w:type="dxa"/>
          </w:tcPr>
          <w:p w14:paraId="29CA4D44" w14:textId="77777777" w:rsidR="00933C62" w:rsidRPr="007C36ED" w:rsidRDefault="00933C62" w:rsidP="006E6C4E">
            <w:pPr>
              <w:spacing w:line="240" w:lineRule="auto"/>
              <w:jc w:val="center"/>
              <w:rPr>
                <w:b/>
              </w:rPr>
            </w:pPr>
            <w:r w:rsidRPr="007C36ED">
              <w:rPr>
                <w:b/>
              </w:rPr>
              <w:t>Male</w:t>
            </w:r>
          </w:p>
          <w:p w14:paraId="510302DE" w14:textId="77777777" w:rsidR="00933C62" w:rsidRPr="007C36ED" w:rsidRDefault="00933C62" w:rsidP="006E6C4E">
            <w:pPr>
              <w:spacing w:line="240" w:lineRule="auto"/>
              <w:jc w:val="center"/>
              <w:rPr>
                <w:b/>
              </w:rPr>
            </w:pPr>
            <w:r w:rsidRPr="007C36ED">
              <w:rPr>
                <w:b/>
              </w:rPr>
              <w:t>n/N</w:t>
            </w:r>
          </w:p>
        </w:tc>
        <w:tc>
          <w:tcPr>
            <w:tcW w:w="575" w:type="dxa"/>
          </w:tcPr>
          <w:p w14:paraId="7B91DE54" w14:textId="77777777" w:rsidR="00933C62" w:rsidRPr="007C36ED" w:rsidRDefault="00933C62" w:rsidP="006E6C4E">
            <w:pPr>
              <w:spacing w:line="240" w:lineRule="auto"/>
              <w:jc w:val="center"/>
              <w:rPr>
                <w:b/>
                <w:i/>
              </w:rPr>
            </w:pPr>
            <w:r w:rsidRPr="007C36ED">
              <w:rPr>
                <w:b/>
                <w:i/>
              </w:rPr>
              <w:t>f</w:t>
            </w:r>
          </w:p>
        </w:tc>
        <w:tc>
          <w:tcPr>
            <w:tcW w:w="1260" w:type="dxa"/>
          </w:tcPr>
          <w:p w14:paraId="260B3AFF" w14:textId="77777777" w:rsidR="00933C62" w:rsidRPr="007C36ED" w:rsidRDefault="00933C62" w:rsidP="006E6C4E">
            <w:pPr>
              <w:spacing w:line="240" w:lineRule="auto"/>
              <w:jc w:val="center"/>
              <w:rPr>
                <w:b/>
              </w:rPr>
            </w:pPr>
            <w:r w:rsidRPr="007C36ED">
              <w:rPr>
                <w:b/>
              </w:rPr>
              <w:t>Female</w:t>
            </w:r>
          </w:p>
          <w:p w14:paraId="17E3137E" w14:textId="77777777" w:rsidR="00933C62" w:rsidRPr="007C36ED" w:rsidRDefault="00933C62" w:rsidP="006E6C4E">
            <w:pPr>
              <w:spacing w:line="240" w:lineRule="auto"/>
              <w:jc w:val="center"/>
              <w:rPr>
                <w:b/>
              </w:rPr>
            </w:pPr>
            <w:r w:rsidRPr="007C36ED">
              <w:rPr>
                <w:b/>
              </w:rPr>
              <w:t>n/N</w:t>
            </w:r>
          </w:p>
        </w:tc>
        <w:tc>
          <w:tcPr>
            <w:tcW w:w="565" w:type="dxa"/>
          </w:tcPr>
          <w:p w14:paraId="7D6F8DDB" w14:textId="77777777" w:rsidR="00933C62" w:rsidRPr="007C36ED" w:rsidRDefault="00933C62" w:rsidP="006E6C4E">
            <w:pPr>
              <w:spacing w:line="240" w:lineRule="auto"/>
              <w:jc w:val="center"/>
              <w:rPr>
                <w:b/>
                <w:i/>
              </w:rPr>
            </w:pPr>
            <w:r w:rsidRPr="007C36ED">
              <w:rPr>
                <w:b/>
                <w:i/>
              </w:rPr>
              <w:t>f</w:t>
            </w:r>
          </w:p>
        </w:tc>
      </w:tr>
      <w:tr w:rsidR="00933C62" w:rsidRPr="007C36ED" w14:paraId="1B371E7E" w14:textId="77777777" w:rsidTr="006E6C4E">
        <w:trPr>
          <w:jc w:val="center"/>
        </w:trPr>
        <w:tc>
          <w:tcPr>
            <w:tcW w:w="2148" w:type="dxa"/>
          </w:tcPr>
          <w:p w14:paraId="4F7B8F81" w14:textId="77777777" w:rsidR="00933C62" w:rsidRPr="007C36ED" w:rsidRDefault="00933C62" w:rsidP="006E6C4E">
            <w:pPr>
              <w:spacing w:line="240" w:lineRule="auto"/>
            </w:pPr>
            <w:r w:rsidRPr="007C36ED">
              <w:t>Porotic hyperostosis</w:t>
            </w:r>
          </w:p>
        </w:tc>
        <w:tc>
          <w:tcPr>
            <w:tcW w:w="990" w:type="dxa"/>
          </w:tcPr>
          <w:p w14:paraId="523D285F" w14:textId="77777777" w:rsidR="00933C62" w:rsidRPr="007C36ED" w:rsidRDefault="00933C62" w:rsidP="006E6C4E">
            <w:pPr>
              <w:spacing w:line="240" w:lineRule="auto"/>
              <w:jc w:val="right"/>
            </w:pPr>
            <w:r w:rsidRPr="007C36ED">
              <w:t>1/37</w:t>
            </w:r>
          </w:p>
        </w:tc>
        <w:tc>
          <w:tcPr>
            <w:tcW w:w="575" w:type="dxa"/>
          </w:tcPr>
          <w:p w14:paraId="0F429C8E" w14:textId="77777777" w:rsidR="00933C62" w:rsidRPr="007C36ED" w:rsidRDefault="00933C62" w:rsidP="006E6C4E">
            <w:pPr>
              <w:spacing w:line="240" w:lineRule="auto"/>
              <w:jc w:val="right"/>
            </w:pPr>
            <w:r w:rsidRPr="007C36ED">
              <w:t>3</w:t>
            </w:r>
          </w:p>
        </w:tc>
        <w:tc>
          <w:tcPr>
            <w:tcW w:w="1260" w:type="dxa"/>
          </w:tcPr>
          <w:p w14:paraId="097CB77A" w14:textId="77777777" w:rsidR="00933C62" w:rsidRPr="007C36ED" w:rsidRDefault="00933C62" w:rsidP="006E6C4E">
            <w:pPr>
              <w:spacing w:line="240" w:lineRule="auto"/>
              <w:jc w:val="right"/>
            </w:pPr>
            <w:r w:rsidRPr="007C36ED">
              <w:t>5/57</w:t>
            </w:r>
          </w:p>
        </w:tc>
        <w:tc>
          <w:tcPr>
            <w:tcW w:w="565" w:type="dxa"/>
          </w:tcPr>
          <w:p w14:paraId="1097662A" w14:textId="77777777" w:rsidR="00933C62" w:rsidRPr="007C36ED" w:rsidRDefault="00933C62" w:rsidP="006E6C4E">
            <w:pPr>
              <w:spacing w:line="240" w:lineRule="auto"/>
              <w:jc w:val="right"/>
            </w:pPr>
            <w:r w:rsidRPr="007C36ED">
              <w:t>9</w:t>
            </w:r>
          </w:p>
        </w:tc>
      </w:tr>
    </w:tbl>
    <w:p w14:paraId="2C999B52" w14:textId="77777777" w:rsidR="00933C62" w:rsidRPr="007C36ED" w:rsidRDefault="00933C62" w:rsidP="00933C62">
      <w:pPr>
        <w:rPr>
          <w:rFonts w:ascii="Times New Roman" w:hAnsi="Times New Roman"/>
        </w:rPr>
      </w:pPr>
    </w:p>
    <w:p w14:paraId="1BE86093" w14:textId="55D7468C" w:rsidR="00933C62" w:rsidRDefault="00933C62" w:rsidP="00933C62">
      <w:pPr>
        <w:ind w:firstLine="720"/>
        <w:rPr>
          <w:rFonts w:ascii="Times New Roman" w:hAnsi="Times New Roman"/>
        </w:rPr>
      </w:pPr>
      <w:r>
        <w:rPr>
          <w:rFonts w:ascii="Times New Roman" w:hAnsi="Times New Roman"/>
        </w:rPr>
        <w:t xml:space="preserve">Cribra </w:t>
      </w:r>
      <w:r w:rsidR="005544F1">
        <w:rPr>
          <w:rFonts w:ascii="Times New Roman" w:hAnsi="Times New Roman"/>
        </w:rPr>
        <w:t>orbitalia</w:t>
      </w:r>
      <w:r>
        <w:rPr>
          <w:rFonts w:ascii="Times New Roman" w:hAnsi="Times New Roman"/>
        </w:rPr>
        <w:t xml:space="preserve"> frequencies a</w:t>
      </w:r>
      <w:r w:rsidR="007A1E12">
        <w:rPr>
          <w:rFonts w:ascii="Times New Roman" w:hAnsi="Times New Roman"/>
        </w:rPr>
        <w:t>re reported in Table 18</w:t>
      </w:r>
      <w:r>
        <w:rPr>
          <w:rFonts w:ascii="Times New Roman" w:hAnsi="Times New Roman"/>
        </w:rPr>
        <w:t>.  Overall 18% of the adults in the study had active cribra orbitalia lesions.  Although males had a higher prevalence (24%) than females (13%), this difference is not statistically significant (</w:t>
      </w:r>
      <w:r w:rsidRPr="00C65F9F">
        <w:rPr>
          <w:rFonts w:ascii="Times New Roman" w:hAnsi="Times New Roman"/>
          <w:i/>
        </w:rPr>
        <w:t>p</w:t>
      </w:r>
      <w:r>
        <w:rPr>
          <w:rFonts w:ascii="Times New Roman" w:hAnsi="Times New Roman"/>
        </w:rPr>
        <w:t>=.3 two-tailed Fisher’s Exact Test).  When healed cribra orbitalia lesions were included, the percentage rose to over 70% (</w:t>
      </w:r>
      <w:r w:rsidRPr="007C36ED">
        <w:rPr>
          <w:rFonts w:ascii="Times New Roman" w:hAnsi="Times New Roman"/>
        </w:rPr>
        <w:t>72%</w:t>
      </w:r>
      <w:r>
        <w:rPr>
          <w:rFonts w:ascii="Times New Roman" w:hAnsi="Times New Roman"/>
        </w:rPr>
        <w:t xml:space="preserve"> of the</w:t>
      </w:r>
      <w:r w:rsidRPr="007C36ED">
        <w:rPr>
          <w:rFonts w:ascii="Times New Roman" w:hAnsi="Times New Roman"/>
        </w:rPr>
        <w:t xml:space="preserve"> male</w:t>
      </w:r>
      <w:r>
        <w:rPr>
          <w:rFonts w:ascii="Times New Roman" w:hAnsi="Times New Roman"/>
        </w:rPr>
        <w:t>s</w:t>
      </w:r>
      <w:r w:rsidRPr="007C36ED">
        <w:rPr>
          <w:rFonts w:ascii="Times New Roman" w:hAnsi="Times New Roman"/>
        </w:rPr>
        <w:t xml:space="preserve">, 71% </w:t>
      </w:r>
      <w:r>
        <w:rPr>
          <w:rFonts w:ascii="Times New Roman" w:hAnsi="Times New Roman"/>
        </w:rPr>
        <w:t xml:space="preserve">of the </w:t>
      </w:r>
      <w:r w:rsidRPr="007C36ED">
        <w:rPr>
          <w:rFonts w:ascii="Times New Roman" w:hAnsi="Times New Roman"/>
        </w:rPr>
        <w:t>female</w:t>
      </w:r>
      <w:r>
        <w:rPr>
          <w:rFonts w:ascii="Times New Roman" w:hAnsi="Times New Roman"/>
        </w:rPr>
        <w:t>s</w:t>
      </w:r>
      <w:r w:rsidRPr="007C36ED">
        <w:rPr>
          <w:rFonts w:ascii="Times New Roman" w:hAnsi="Times New Roman"/>
        </w:rPr>
        <w:t>)</w:t>
      </w:r>
      <w:r>
        <w:rPr>
          <w:rFonts w:ascii="Times New Roman" w:hAnsi="Times New Roman"/>
        </w:rPr>
        <w:t xml:space="preserve">.  </w:t>
      </w:r>
      <w:r w:rsidRPr="007C36ED">
        <w:rPr>
          <w:rFonts w:ascii="Times New Roman" w:hAnsi="Times New Roman"/>
        </w:rPr>
        <w:t>This high frequency is consistent with a frequency of 68% for the subadults (Rowe 2009).</w:t>
      </w:r>
    </w:p>
    <w:p w14:paraId="3CCD9B54" w14:textId="77777777" w:rsidR="00933C62" w:rsidRDefault="00933C62" w:rsidP="00133F61">
      <w:pPr>
        <w:pStyle w:val="Caption"/>
      </w:pPr>
    </w:p>
    <w:p w14:paraId="36CCBAA3" w14:textId="77777777" w:rsidR="00933C62" w:rsidRPr="007C36ED" w:rsidRDefault="00933C62" w:rsidP="00133F61">
      <w:pPr>
        <w:pStyle w:val="Caption"/>
      </w:pPr>
      <w:bookmarkStart w:id="91" w:name="_Toc261025246"/>
      <w:r>
        <w:t xml:space="preserve">Table </w:t>
      </w:r>
      <w:fldSimple w:instr=" SEQ Table \* ARABIC ">
        <w:r w:rsidR="00396EB3">
          <w:rPr>
            <w:noProof/>
          </w:rPr>
          <w:t>18</w:t>
        </w:r>
      </w:fldSimple>
      <w:r>
        <w:t xml:space="preserve">  Cribra orbitalia prevalence by sex</w:t>
      </w:r>
      <w:bookmarkEnd w:id="91"/>
    </w:p>
    <w:p w14:paraId="6720BFE0" w14:textId="77777777" w:rsidR="00933C62" w:rsidRPr="007C36ED" w:rsidRDefault="00933C62" w:rsidP="00133F61">
      <w:pPr>
        <w:pStyle w:val="Caption"/>
      </w:pPr>
    </w:p>
    <w:tbl>
      <w:tblPr>
        <w:tblStyle w:val="TableGrid"/>
        <w:tblW w:w="0" w:type="auto"/>
        <w:jc w:val="center"/>
        <w:tblInd w:w="336" w:type="dxa"/>
        <w:tblLook w:val="04A0" w:firstRow="1" w:lastRow="0" w:firstColumn="1" w:lastColumn="0" w:noHBand="0" w:noVBand="1"/>
      </w:tblPr>
      <w:tblGrid>
        <w:gridCol w:w="1596"/>
        <w:gridCol w:w="374"/>
        <w:gridCol w:w="552"/>
        <w:gridCol w:w="594"/>
        <w:gridCol w:w="594"/>
        <w:gridCol w:w="1014"/>
        <w:gridCol w:w="476"/>
        <w:gridCol w:w="616"/>
        <w:gridCol w:w="615"/>
        <w:gridCol w:w="615"/>
        <w:gridCol w:w="970"/>
      </w:tblGrid>
      <w:tr w:rsidR="00933C62" w:rsidRPr="007C36ED" w14:paraId="4F225904" w14:textId="77777777" w:rsidTr="006E6C4E">
        <w:trPr>
          <w:jc w:val="center"/>
        </w:trPr>
        <w:tc>
          <w:tcPr>
            <w:tcW w:w="1596" w:type="dxa"/>
          </w:tcPr>
          <w:p w14:paraId="6E6DEB35" w14:textId="77777777" w:rsidR="00933C62" w:rsidRPr="007C36ED" w:rsidRDefault="00933C62" w:rsidP="006E6C4E">
            <w:pPr>
              <w:spacing w:line="240" w:lineRule="auto"/>
              <w:jc w:val="center"/>
              <w:rPr>
                <w:b/>
              </w:rPr>
            </w:pPr>
            <w:r w:rsidRPr="007C36ED">
              <w:rPr>
                <w:b/>
              </w:rPr>
              <w:t>Lesion</w:t>
            </w:r>
          </w:p>
        </w:tc>
        <w:tc>
          <w:tcPr>
            <w:tcW w:w="3128" w:type="dxa"/>
            <w:gridSpan w:val="5"/>
          </w:tcPr>
          <w:p w14:paraId="09E5539B" w14:textId="77777777" w:rsidR="00933C62" w:rsidRPr="007C36ED" w:rsidRDefault="00933C62" w:rsidP="006E6C4E">
            <w:pPr>
              <w:spacing w:line="240" w:lineRule="auto"/>
              <w:jc w:val="center"/>
              <w:rPr>
                <w:b/>
              </w:rPr>
            </w:pPr>
            <w:r w:rsidRPr="007C36ED">
              <w:rPr>
                <w:b/>
              </w:rPr>
              <w:t>Males</w:t>
            </w:r>
          </w:p>
        </w:tc>
        <w:tc>
          <w:tcPr>
            <w:tcW w:w="3292" w:type="dxa"/>
            <w:gridSpan w:val="5"/>
          </w:tcPr>
          <w:p w14:paraId="3DC524D2" w14:textId="77777777" w:rsidR="00933C62" w:rsidRPr="007C36ED" w:rsidRDefault="00933C62" w:rsidP="006E6C4E">
            <w:pPr>
              <w:spacing w:line="240" w:lineRule="auto"/>
              <w:jc w:val="center"/>
              <w:rPr>
                <w:b/>
              </w:rPr>
            </w:pPr>
            <w:r w:rsidRPr="007C36ED">
              <w:rPr>
                <w:b/>
              </w:rPr>
              <w:t>Females</w:t>
            </w:r>
          </w:p>
        </w:tc>
      </w:tr>
      <w:tr w:rsidR="00933C62" w:rsidRPr="007C36ED" w14:paraId="10E3B044" w14:textId="77777777" w:rsidTr="006E6C4E">
        <w:trPr>
          <w:jc w:val="center"/>
        </w:trPr>
        <w:tc>
          <w:tcPr>
            <w:tcW w:w="1596" w:type="dxa"/>
          </w:tcPr>
          <w:p w14:paraId="73BDC84A" w14:textId="77777777" w:rsidR="00933C62" w:rsidRPr="007C36ED" w:rsidRDefault="00933C62" w:rsidP="006E6C4E">
            <w:pPr>
              <w:spacing w:line="240" w:lineRule="auto"/>
              <w:jc w:val="center"/>
              <w:rPr>
                <w:b/>
              </w:rPr>
            </w:pPr>
          </w:p>
        </w:tc>
        <w:tc>
          <w:tcPr>
            <w:tcW w:w="926" w:type="dxa"/>
            <w:gridSpan w:val="2"/>
          </w:tcPr>
          <w:p w14:paraId="52B9B6EB" w14:textId="77777777" w:rsidR="00933C62" w:rsidRPr="007C36ED" w:rsidRDefault="00933C62" w:rsidP="006E6C4E">
            <w:pPr>
              <w:spacing w:line="240" w:lineRule="auto"/>
              <w:jc w:val="center"/>
              <w:rPr>
                <w:b/>
              </w:rPr>
            </w:pPr>
            <w:r w:rsidRPr="007C36ED">
              <w:rPr>
                <w:b/>
              </w:rPr>
              <w:t>Active</w:t>
            </w:r>
          </w:p>
        </w:tc>
        <w:tc>
          <w:tcPr>
            <w:tcW w:w="1188" w:type="dxa"/>
            <w:gridSpan w:val="2"/>
          </w:tcPr>
          <w:p w14:paraId="39AB2EE9" w14:textId="77777777" w:rsidR="00933C62" w:rsidRPr="007C36ED" w:rsidRDefault="00933C62" w:rsidP="006E6C4E">
            <w:pPr>
              <w:spacing w:line="240" w:lineRule="auto"/>
              <w:jc w:val="center"/>
              <w:rPr>
                <w:b/>
              </w:rPr>
            </w:pPr>
            <w:r w:rsidRPr="007C36ED">
              <w:rPr>
                <w:b/>
              </w:rPr>
              <w:t>Healed</w:t>
            </w:r>
          </w:p>
        </w:tc>
        <w:tc>
          <w:tcPr>
            <w:tcW w:w="1014" w:type="dxa"/>
          </w:tcPr>
          <w:p w14:paraId="77337CCE" w14:textId="77777777" w:rsidR="00933C62" w:rsidRPr="007C36ED" w:rsidRDefault="00933C62" w:rsidP="006E6C4E">
            <w:pPr>
              <w:spacing w:line="240" w:lineRule="auto"/>
              <w:jc w:val="center"/>
              <w:rPr>
                <w:b/>
              </w:rPr>
            </w:pPr>
            <w:r w:rsidRPr="007C36ED">
              <w:rPr>
                <w:b/>
              </w:rPr>
              <w:t>Total</w:t>
            </w:r>
          </w:p>
        </w:tc>
        <w:tc>
          <w:tcPr>
            <w:tcW w:w="1092" w:type="dxa"/>
            <w:gridSpan w:val="2"/>
          </w:tcPr>
          <w:p w14:paraId="0D47D4B7" w14:textId="77777777" w:rsidR="00933C62" w:rsidRPr="007C36ED" w:rsidRDefault="00933C62" w:rsidP="006E6C4E">
            <w:pPr>
              <w:spacing w:line="240" w:lineRule="auto"/>
              <w:jc w:val="center"/>
              <w:rPr>
                <w:b/>
              </w:rPr>
            </w:pPr>
            <w:r w:rsidRPr="007C36ED">
              <w:rPr>
                <w:b/>
              </w:rPr>
              <w:t>Active</w:t>
            </w:r>
          </w:p>
        </w:tc>
        <w:tc>
          <w:tcPr>
            <w:tcW w:w="1230" w:type="dxa"/>
            <w:gridSpan w:val="2"/>
          </w:tcPr>
          <w:p w14:paraId="17B816EC" w14:textId="77777777" w:rsidR="00933C62" w:rsidRPr="007C36ED" w:rsidRDefault="00933C62" w:rsidP="006E6C4E">
            <w:pPr>
              <w:spacing w:line="240" w:lineRule="auto"/>
              <w:jc w:val="center"/>
              <w:rPr>
                <w:b/>
              </w:rPr>
            </w:pPr>
            <w:r w:rsidRPr="007C36ED">
              <w:rPr>
                <w:b/>
              </w:rPr>
              <w:t>Healed</w:t>
            </w:r>
          </w:p>
        </w:tc>
        <w:tc>
          <w:tcPr>
            <w:tcW w:w="970" w:type="dxa"/>
          </w:tcPr>
          <w:p w14:paraId="0C54162F" w14:textId="77777777" w:rsidR="00933C62" w:rsidRPr="007C36ED" w:rsidRDefault="00933C62" w:rsidP="006E6C4E">
            <w:pPr>
              <w:spacing w:line="240" w:lineRule="auto"/>
              <w:jc w:val="center"/>
              <w:rPr>
                <w:b/>
              </w:rPr>
            </w:pPr>
            <w:r w:rsidRPr="007C36ED">
              <w:rPr>
                <w:b/>
              </w:rPr>
              <w:t>Total</w:t>
            </w:r>
          </w:p>
        </w:tc>
      </w:tr>
      <w:tr w:rsidR="00933C62" w:rsidRPr="007C36ED" w14:paraId="0285239C" w14:textId="77777777" w:rsidTr="006E6C4E">
        <w:trPr>
          <w:jc w:val="center"/>
        </w:trPr>
        <w:tc>
          <w:tcPr>
            <w:tcW w:w="1596" w:type="dxa"/>
          </w:tcPr>
          <w:p w14:paraId="09EDD41C" w14:textId="77777777" w:rsidR="00933C62" w:rsidRPr="007C36ED" w:rsidRDefault="00933C62" w:rsidP="006E6C4E">
            <w:pPr>
              <w:spacing w:line="240" w:lineRule="auto"/>
              <w:jc w:val="center"/>
              <w:rPr>
                <w:b/>
              </w:rPr>
            </w:pPr>
          </w:p>
        </w:tc>
        <w:tc>
          <w:tcPr>
            <w:tcW w:w="374" w:type="dxa"/>
          </w:tcPr>
          <w:p w14:paraId="03EEDA84" w14:textId="77777777" w:rsidR="00933C62" w:rsidRPr="007C36ED" w:rsidRDefault="00933C62" w:rsidP="006E6C4E">
            <w:pPr>
              <w:spacing w:line="240" w:lineRule="auto"/>
              <w:jc w:val="center"/>
              <w:rPr>
                <w:b/>
              </w:rPr>
            </w:pPr>
            <w:r w:rsidRPr="007C36ED">
              <w:rPr>
                <w:b/>
              </w:rPr>
              <w:t>n</w:t>
            </w:r>
          </w:p>
        </w:tc>
        <w:tc>
          <w:tcPr>
            <w:tcW w:w="552" w:type="dxa"/>
          </w:tcPr>
          <w:p w14:paraId="7D41B119" w14:textId="77777777" w:rsidR="00933C62" w:rsidRPr="007C36ED" w:rsidRDefault="00933C62" w:rsidP="006E6C4E">
            <w:pPr>
              <w:spacing w:line="240" w:lineRule="auto"/>
              <w:jc w:val="center"/>
              <w:rPr>
                <w:b/>
                <w:i/>
              </w:rPr>
            </w:pPr>
            <w:r w:rsidRPr="007C36ED">
              <w:rPr>
                <w:b/>
                <w:i/>
              </w:rPr>
              <w:t>f</w:t>
            </w:r>
          </w:p>
        </w:tc>
        <w:tc>
          <w:tcPr>
            <w:tcW w:w="594" w:type="dxa"/>
          </w:tcPr>
          <w:p w14:paraId="5C34004B" w14:textId="77777777" w:rsidR="00933C62" w:rsidRPr="007C36ED" w:rsidRDefault="00933C62" w:rsidP="006E6C4E">
            <w:pPr>
              <w:spacing w:line="240" w:lineRule="auto"/>
              <w:jc w:val="center"/>
              <w:rPr>
                <w:b/>
              </w:rPr>
            </w:pPr>
            <w:r w:rsidRPr="007C36ED">
              <w:rPr>
                <w:b/>
              </w:rPr>
              <w:t>n</w:t>
            </w:r>
          </w:p>
        </w:tc>
        <w:tc>
          <w:tcPr>
            <w:tcW w:w="594" w:type="dxa"/>
          </w:tcPr>
          <w:p w14:paraId="51FC32F5" w14:textId="77777777" w:rsidR="00933C62" w:rsidRPr="007C36ED" w:rsidRDefault="00933C62" w:rsidP="006E6C4E">
            <w:pPr>
              <w:spacing w:line="240" w:lineRule="auto"/>
              <w:jc w:val="center"/>
              <w:rPr>
                <w:b/>
              </w:rPr>
            </w:pPr>
            <w:r w:rsidRPr="007C36ED">
              <w:rPr>
                <w:b/>
                <w:i/>
              </w:rPr>
              <w:t>f</w:t>
            </w:r>
          </w:p>
        </w:tc>
        <w:tc>
          <w:tcPr>
            <w:tcW w:w="1014" w:type="dxa"/>
          </w:tcPr>
          <w:p w14:paraId="533BC88E" w14:textId="77777777" w:rsidR="00933C62" w:rsidRPr="007C36ED" w:rsidRDefault="00933C62" w:rsidP="006E6C4E">
            <w:pPr>
              <w:spacing w:line="240" w:lineRule="auto"/>
              <w:jc w:val="center"/>
              <w:rPr>
                <w:b/>
              </w:rPr>
            </w:pPr>
            <w:r w:rsidRPr="007C36ED">
              <w:rPr>
                <w:b/>
              </w:rPr>
              <w:t>N</w:t>
            </w:r>
          </w:p>
        </w:tc>
        <w:tc>
          <w:tcPr>
            <w:tcW w:w="476" w:type="dxa"/>
          </w:tcPr>
          <w:p w14:paraId="3789CA7A" w14:textId="77777777" w:rsidR="00933C62" w:rsidRPr="007C36ED" w:rsidRDefault="00933C62" w:rsidP="006E6C4E">
            <w:pPr>
              <w:spacing w:line="240" w:lineRule="auto"/>
              <w:jc w:val="center"/>
              <w:rPr>
                <w:b/>
              </w:rPr>
            </w:pPr>
            <w:r w:rsidRPr="007C36ED">
              <w:rPr>
                <w:b/>
              </w:rPr>
              <w:t>n</w:t>
            </w:r>
          </w:p>
        </w:tc>
        <w:tc>
          <w:tcPr>
            <w:tcW w:w="616" w:type="dxa"/>
          </w:tcPr>
          <w:p w14:paraId="3C296A76" w14:textId="77777777" w:rsidR="00933C62" w:rsidRPr="007C36ED" w:rsidRDefault="00933C62" w:rsidP="006E6C4E">
            <w:pPr>
              <w:spacing w:line="240" w:lineRule="auto"/>
              <w:jc w:val="center"/>
              <w:rPr>
                <w:b/>
              </w:rPr>
            </w:pPr>
            <w:r w:rsidRPr="007C36ED">
              <w:rPr>
                <w:b/>
                <w:i/>
              </w:rPr>
              <w:t>f</w:t>
            </w:r>
          </w:p>
        </w:tc>
        <w:tc>
          <w:tcPr>
            <w:tcW w:w="615" w:type="dxa"/>
          </w:tcPr>
          <w:p w14:paraId="1BE5F6ED" w14:textId="77777777" w:rsidR="00933C62" w:rsidRPr="007C36ED" w:rsidRDefault="00933C62" w:rsidP="006E6C4E">
            <w:pPr>
              <w:spacing w:line="240" w:lineRule="auto"/>
              <w:jc w:val="center"/>
              <w:rPr>
                <w:b/>
              </w:rPr>
            </w:pPr>
            <w:r w:rsidRPr="007C36ED">
              <w:rPr>
                <w:b/>
              </w:rPr>
              <w:t>n</w:t>
            </w:r>
          </w:p>
        </w:tc>
        <w:tc>
          <w:tcPr>
            <w:tcW w:w="615" w:type="dxa"/>
          </w:tcPr>
          <w:p w14:paraId="603EB591" w14:textId="77777777" w:rsidR="00933C62" w:rsidRPr="007C36ED" w:rsidRDefault="00933C62" w:rsidP="006E6C4E">
            <w:pPr>
              <w:spacing w:line="240" w:lineRule="auto"/>
              <w:jc w:val="center"/>
              <w:rPr>
                <w:b/>
              </w:rPr>
            </w:pPr>
            <w:r w:rsidRPr="007C36ED">
              <w:rPr>
                <w:b/>
                <w:i/>
              </w:rPr>
              <w:t>f</w:t>
            </w:r>
          </w:p>
        </w:tc>
        <w:tc>
          <w:tcPr>
            <w:tcW w:w="970" w:type="dxa"/>
          </w:tcPr>
          <w:p w14:paraId="60C862DA" w14:textId="77777777" w:rsidR="00933C62" w:rsidRPr="007C36ED" w:rsidRDefault="00933C62" w:rsidP="006E6C4E">
            <w:pPr>
              <w:spacing w:line="240" w:lineRule="auto"/>
              <w:jc w:val="center"/>
              <w:rPr>
                <w:b/>
              </w:rPr>
            </w:pPr>
            <w:r w:rsidRPr="007C36ED">
              <w:rPr>
                <w:b/>
              </w:rPr>
              <w:t>N</w:t>
            </w:r>
          </w:p>
        </w:tc>
      </w:tr>
      <w:tr w:rsidR="00933C62" w:rsidRPr="007C36ED" w14:paraId="5A4C8E7F" w14:textId="77777777" w:rsidTr="006E6C4E">
        <w:trPr>
          <w:jc w:val="center"/>
        </w:trPr>
        <w:tc>
          <w:tcPr>
            <w:tcW w:w="1596" w:type="dxa"/>
          </w:tcPr>
          <w:p w14:paraId="48B3C60D" w14:textId="77777777" w:rsidR="00933C62" w:rsidRPr="007C36ED" w:rsidRDefault="00933C62" w:rsidP="006E6C4E">
            <w:pPr>
              <w:spacing w:line="240" w:lineRule="auto"/>
              <w:jc w:val="right"/>
            </w:pPr>
            <w:r w:rsidRPr="007C36ED">
              <w:t>Cribra orbitalia</w:t>
            </w:r>
          </w:p>
        </w:tc>
        <w:tc>
          <w:tcPr>
            <w:tcW w:w="374" w:type="dxa"/>
          </w:tcPr>
          <w:p w14:paraId="33C1CB46" w14:textId="77777777" w:rsidR="00933C62" w:rsidRPr="007C36ED" w:rsidRDefault="00933C62" w:rsidP="006E6C4E">
            <w:pPr>
              <w:spacing w:line="240" w:lineRule="auto"/>
              <w:jc w:val="right"/>
            </w:pPr>
            <w:r w:rsidRPr="007C36ED">
              <w:t>7</w:t>
            </w:r>
          </w:p>
        </w:tc>
        <w:tc>
          <w:tcPr>
            <w:tcW w:w="552" w:type="dxa"/>
          </w:tcPr>
          <w:p w14:paraId="2CA01226" w14:textId="77777777" w:rsidR="00933C62" w:rsidRPr="007C36ED" w:rsidRDefault="00933C62" w:rsidP="006E6C4E">
            <w:pPr>
              <w:spacing w:line="240" w:lineRule="auto"/>
              <w:jc w:val="right"/>
            </w:pPr>
            <w:r w:rsidRPr="007C36ED">
              <w:t>24</w:t>
            </w:r>
          </w:p>
        </w:tc>
        <w:tc>
          <w:tcPr>
            <w:tcW w:w="594" w:type="dxa"/>
          </w:tcPr>
          <w:p w14:paraId="13E50DDB" w14:textId="77777777" w:rsidR="00933C62" w:rsidRPr="007C36ED" w:rsidRDefault="00933C62" w:rsidP="006E6C4E">
            <w:pPr>
              <w:spacing w:line="240" w:lineRule="auto"/>
              <w:jc w:val="right"/>
            </w:pPr>
            <w:r w:rsidRPr="007C36ED">
              <w:t>14</w:t>
            </w:r>
          </w:p>
        </w:tc>
        <w:tc>
          <w:tcPr>
            <w:tcW w:w="594" w:type="dxa"/>
          </w:tcPr>
          <w:p w14:paraId="55513A10" w14:textId="77777777" w:rsidR="00933C62" w:rsidRPr="007C36ED" w:rsidRDefault="00933C62" w:rsidP="006E6C4E">
            <w:pPr>
              <w:spacing w:line="240" w:lineRule="auto"/>
              <w:jc w:val="right"/>
            </w:pPr>
            <w:r w:rsidRPr="007C36ED">
              <w:t>48</w:t>
            </w:r>
          </w:p>
        </w:tc>
        <w:tc>
          <w:tcPr>
            <w:tcW w:w="1014" w:type="dxa"/>
          </w:tcPr>
          <w:p w14:paraId="282D57CC" w14:textId="77777777" w:rsidR="00933C62" w:rsidRPr="007C36ED" w:rsidRDefault="00933C62" w:rsidP="006E6C4E">
            <w:pPr>
              <w:spacing w:line="240" w:lineRule="auto"/>
              <w:jc w:val="right"/>
            </w:pPr>
            <w:r w:rsidRPr="007C36ED">
              <w:t>29</w:t>
            </w:r>
          </w:p>
        </w:tc>
        <w:tc>
          <w:tcPr>
            <w:tcW w:w="476" w:type="dxa"/>
          </w:tcPr>
          <w:p w14:paraId="6E8DFABC" w14:textId="77777777" w:rsidR="00933C62" w:rsidRPr="007C36ED" w:rsidRDefault="00933C62" w:rsidP="006E6C4E">
            <w:pPr>
              <w:spacing w:line="240" w:lineRule="auto"/>
              <w:jc w:val="right"/>
            </w:pPr>
            <w:r w:rsidRPr="007C36ED">
              <w:t>6</w:t>
            </w:r>
          </w:p>
        </w:tc>
        <w:tc>
          <w:tcPr>
            <w:tcW w:w="616" w:type="dxa"/>
          </w:tcPr>
          <w:p w14:paraId="57D8DF07" w14:textId="77777777" w:rsidR="00933C62" w:rsidRPr="007C36ED" w:rsidRDefault="00933C62" w:rsidP="006E6C4E">
            <w:pPr>
              <w:spacing w:line="240" w:lineRule="auto"/>
              <w:jc w:val="right"/>
            </w:pPr>
            <w:r w:rsidRPr="007C36ED">
              <w:t>13</w:t>
            </w:r>
          </w:p>
        </w:tc>
        <w:tc>
          <w:tcPr>
            <w:tcW w:w="615" w:type="dxa"/>
          </w:tcPr>
          <w:p w14:paraId="35F0FC91" w14:textId="77777777" w:rsidR="00933C62" w:rsidRPr="007C36ED" w:rsidRDefault="00933C62" w:rsidP="006E6C4E">
            <w:pPr>
              <w:spacing w:line="240" w:lineRule="auto"/>
              <w:jc w:val="right"/>
            </w:pPr>
            <w:r w:rsidRPr="007C36ED">
              <w:t>26</w:t>
            </w:r>
          </w:p>
        </w:tc>
        <w:tc>
          <w:tcPr>
            <w:tcW w:w="615" w:type="dxa"/>
          </w:tcPr>
          <w:p w14:paraId="7916052A" w14:textId="77777777" w:rsidR="00933C62" w:rsidRPr="007C36ED" w:rsidRDefault="00933C62" w:rsidP="006E6C4E">
            <w:pPr>
              <w:spacing w:line="240" w:lineRule="auto"/>
              <w:jc w:val="right"/>
            </w:pPr>
            <w:r w:rsidRPr="007C36ED">
              <w:t>58</w:t>
            </w:r>
          </w:p>
        </w:tc>
        <w:tc>
          <w:tcPr>
            <w:tcW w:w="970" w:type="dxa"/>
          </w:tcPr>
          <w:p w14:paraId="5CD108D4" w14:textId="77777777" w:rsidR="00933C62" w:rsidRPr="007C36ED" w:rsidRDefault="00933C62" w:rsidP="006E6C4E">
            <w:pPr>
              <w:spacing w:line="240" w:lineRule="auto"/>
              <w:jc w:val="right"/>
            </w:pPr>
            <w:r w:rsidRPr="007C36ED">
              <w:t>45</w:t>
            </w:r>
          </w:p>
        </w:tc>
      </w:tr>
    </w:tbl>
    <w:p w14:paraId="4603840A" w14:textId="77777777" w:rsidR="00933C62" w:rsidRPr="007C36ED" w:rsidRDefault="00933C62" w:rsidP="00933C62">
      <w:pPr>
        <w:spacing w:line="240" w:lineRule="auto"/>
        <w:rPr>
          <w:rFonts w:ascii="Times New Roman" w:hAnsi="Times New Roman"/>
        </w:rPr>
      </w:pPr>
    </w:p>
    <w:p w14:paraId="0FED4EAD" w14:textId="77777777" w:rsidR="00933C62" w:rsidRPr="009859BD" w:rsidRDefault="00933C62" w:rsidP="009C5432">
      <w:pPr>
        <w:pStyle w:val="Heading3"/>
      </w:pPr>
      <w:bookmarkStart w:id="92" w:name="_Toc261025876"/>
      <w:r w:rsidRPr="002A0C69">
        <w:t>Summary and Discussion</w:t>
      </w:r>
      <w:r>
        <w:t xml:space="preserve"> of Nutritional Status at Akers</w:t>
      </w:r>
      <w:bookmarkEnd w:id="92"/>
    </w:p>
    <w:p w14:paraId="1DEFEA90" w14:textId="77777777" w:rsidR="00933C62" w:rsidRPr="00E24F8F" w:rsidRDefault="00933C62" w:rsidP="00933C62">
      <w:pPr>
        <w:ind w:firstLine="720"/>
        <w:rPr>
          <w:rFonts w:ascii="Times New Roman" w:hAnsi="Times New Roman"/>
        </w:rPr>
      </w:pPr>
      <w:r w:rsidRPr="003B1F33">
        <w:rPr>
          <w:rFonts w:ascii="Times New Roman" w:hAnsi="Times New Roman"/>
        </w:rPr>
        <w:t>Teasing out nutritional deficiencies in archaeological populations is always complex.  Nutritional deficiencies are often the result of cultural practices rather than purely environmental in cause</w:t>
      </w:r>
      <w:r>
        <w:rPr>
          <w:rFonts w:ascii="Times New Roman" w:hAnsi="Times New Roman"/>
        </w:rPr>
        <w:t>,</w:t>
      </w:r>
      <w:r w:rsidRPr="003B1F33">
        <w:rPr>
          <w:rFonts w:ascii="Times New Roman" w:hAnsi="Times New Roman"/>
        </w:rPr>
        <w:t xml:space="preserve"> and are rarely the results of a deficiency in a single dietary element (Lewis 2007:97).</w:t>
      </w:r>
      <w:r>
        <w:rPr>
          <w:rFonts w:ascii="Times New Roman" w:hAnsi="Times New Roman"/>
        </w:rPr>
        <w:t xml:space="preserve">  </w:t>
      </w:r>
      <w:r w:rsidRPr="00E24F8F">
        <w:rPr>
          <w:rFonts w:ascii="Times New Roman" w:hAnsi="Times New Roman"/>
        </w:rPr>
        <w:t>Overall, both the adults and subadults from the Akers site were observ</w:t>
      </w:r>
      <w:r>
        <w:rPr>
          <w:rFonts w:ascii="Times New Roman" w:hAnsi="Times New Roman"/>
        </w:rPr>
        <w:t>e</w:t>
      </w:r>
      <w:r w:rsidRPr="00E24F8F">
        <w:rPr>
          <w:rFonts w:ascii="Times New Roman" w:hAnsi="Times New Roman"/>
        </w:rPr>
        <w:t>d with low levels of porotic hyperostosis and higher levels of cribra orbitalia.</w:t>
      </w:r>
    </w:p>
    <w:p w14:paraId="18065422" w14:textId="740F0FA1" w:rsidR="00933C62" w:rsidRDefault="00933C62" w:rsidP="00933C62">
      <w:pPr>
        <w:ind w:firstLine="720"/>
        <w:rPr>
          <w:rFonts w:ascii="Times New Roman" w:hAnsi="Times New Roman"/>
        </w:rPr>
      </w:pPr>
      <w:r>
        <w:rPr>
          <w:rFonts w:ascii="Times New Roman" w:hAnsi="Times New Roman"/>
        </w:rPr>
        <w:t>While i</w:t>
      </w:r>
      <w:r w:rsidRPr="00227980">
        <w:rPr>
          <w:rFonts w:ascii="Times New Roman" w:hAnsi="Times New Roman"/>
        </w:rPr>
        <w:t xml:space="preserve">nterpretations of </w:t>
      </w:r>
      <w:r w:rsidRPr="00E24F8F">
        <w:rPr>
          <w:rFonts w:ascii="Times New Roman" w:hAnsi="Times New Roman"/>
        </w:rPr>
        <w:t>porotic hyperostosis</w:t>
      </w:r>
      <w:r>
        <w:rPr>
          <w:rFonts w:ascii="Times New Roman" w:hAnsi="Times New Roman"/>
        </w:rPr>
        <w:t xml:space="preserve"> lesions</w:t>
      </w:r>
      <w:r w:rsidRPr="00E24F8F">
        <w:rPr>
          <w:rFonts w:ascii="Times New Roman" w:hAnsi="Times New Roman"/>
        </w:rPr>
        <w:t xml:space="preserve"> </w:t>
      </w:r>
      <w:r>
        <w:rPr>
          <w:rFonts w:ascii="Times New Roman" w:hAnsi="Times New Roman"/>
        </w:rPr>
        <w:t>are in flux, cribra orbitalia lesions are currently considered to be a good indicator of scurvy</w:t>
      </w:r>
      <w:r w:rsidR="00073BC0">
        <w:rPr>
          <w:rFonts w:ascii="Times New Roman" w:hAnsi="Times New Roman"/>
        </w:rPr>
        <w:t>, as discussed in detail in Chapter 2.</w:t>
      </w:r>
      <w:r>
        <w:rPr>
          <w:rFonts w:ascii="Times New Roman" w:hAnsi="Times New Roman"/>
        </w:rPr>
        <w:t xml:space="preserve">  The high rates of active and healed cribra orbitalia in both the subadults and the adults suggest that scurvy may have been a persistent, intergenerational problem. </w:t>
      </w:r>
    </w:p>
    <w:p w14:paraId="45D64A35" w14:textId="00D78D2D" w:rsidR="00933C62" w:rsidRPr="00E74070" w:rsidRDefault="00933C62" w:rsidP="00933C62">
      <w:pPr>
        <w:ind w:firstLine="720"/>
        <w:rPr>
          <w:rFonts w:ascii="Times New Roman" w:hAnsi="Times New Roman"/>
        </w:rPr>
      </w:pPr>
      <w:r w:rsidRPr="00E74070">
        <w:rPr>
          <w:rFonts w:ascii="Times New Roman" w:hAnsi="Times New Roman"/>
        </w:rPr>
        <w:t xml:space="preserve">I originally suggested that high rates of cribra orbitalia (and presumably scurvy) in subadults were due to an over-reliance on hickory nut mash for weanlings (Rowe 2009).  The sites in this study provide evidence of reliance on hickory nuts in the form of thousands of charred hickory nuts shells found in </w:t>
      </w:r>
      <w:r w:rsidR="00073BC0">
        <w:rPr>
          <w:rFonts w:ascii="Times New Roman" w:hAnsi="Times New Roman"/>
        </w:rPr>
        <w:t xml:space="preserve">Wister area </w:t>
      </w:r>
      <w:r w:rsidRPr="00E74070">
        <w:rPr>
          <w:rFonts w:ascii="Times New Roman" w:hAnsi="Times New Roman"/>
        </w:rPr>
        <w:t>Fourche Maline  mounds (Wyckoff 1984:152).  The mounds also yield an abundance of grinding stones, or manos, although they are not usually associated with burials (Brown 1995).  Many manos were found at the Akers site, including at least three that were possibly associated with burials (Fauchier 2009:89).  Hickory nuts seem to have been a significant portion of the diet for early Wister area residents.  Ethnographic evidence indicates that when encountered by early European settlers, Caddoan Indians used nuts ground up into a “flour” to make “porridge” for children (Swanton 1942).  It is reasonable to assume that hickory nut porridge was a major portion of the diet for subadults, especially weanlings.</w:t>
      </w:r>
    </w:p>
    <w:p w14:paraId="48E9B363" w14:textId="0D6F1E3E" w:rsidR="00933C62" w:rsidRPr="00E74070" w:rsidRDefault="00933C62" w:rsidP="00933C62">
      <w:pPr>
        <w:rPr>
          <w:rFonts w:ascii="Times New Roman" w:hAnsi="Times New Roman"/>
        </w:rPr>
      </w:pPr>
      <w:r w:rsidRPr="00E74070">
        <w:rPr>
          <w:rFonts w:ascii="Times New Roman" w:hAnsi="Times New Roman"/>
        </w:rPr>
        <w:tab/>
        <w:t>Hickory nuts, while an excellent source of calories, protein, and fat, have almost no Vitamin C.  According to the USDA nutrition database, one ounce of dried hickory nuts (edible portion only, not including shell) contains 186 kcal with 3.61 g of protein, 5.17 g of carbohydrate, and 18.25 g of fat.  Hickory nuts are low in iron (0.6 mg) and low in Vitamin C (0.6 mg), but are a relatively good source of calcium (17 mg), magnesium (49 mg), phosphorus (</w:t>
      </w:r>
      <w:r w:rsidR="005544F1" w:rsidRPr="00E74070">
        <w:rPr>
          <w:rFonts w:ascii="Times New Roman" w:hAnsi="Times New Roman"/>
        </w:rPr>
        <w:t>95</w:t>
      </w:r>
      <w:r w:rsidR="005544F1">
        <w:rPr>
          <w:rFonts w:ascii="Times New Roman" w:hAnsi="Times New Roman"/>
        </w:rPr>
        <w:t xml:space="preserve"> </w:t>
      </w:r>
      <w:r w:rsidR="005544F1" w:rsidRPr="00E74070">
        <w:rPr>
          <w:rFonts w:ascii="Times New Roman" w:hAnsi="Times New Roman"/>
        </w:rPr>
        <w:t>mg</w:t>
      </w:r>
      <w:r w:rsidRPr="00E74070">
        <w:rPr>
          <w:rFonts w:ascii="Times New Roman" w:hAnsi="Times New Roman"/>
        </w:rPr>
        <w:t xml:space="preserve">), and potassium (124 mg).  </w:t>
      </w:r>
      <w:r w:rsidR="00E74070" w:rsidRPr="00E74070">
        <w:rPr>
          <w:rFonts w:ascii="Times New Roman" w:hAnsi="Times New Roman"/>
        </w:rPr>
        <w:t>Therefor</w:t>
      </w:r>
      <w:r w:rsidR="00073BC0">
        <w:rPr>
          <w:rFonts w:ascii="Times New Roman" w:hAnsi="Times New Roman"/>
        </w:rPr>
        <w:t>e,</w:t>
      </w:r>
      <w:r w:rsidRPr="00E74070">
        <w:rPr>
          <w:rFonts w:ascii="Times New Roman" w:hAnsi="Times New Roman"/>
        </w:rPr>
        <w:t xml:space="preserve"> a diet consisting primarily of hickory nut mush would provide plenty of calories in form of carbohydrates and fat as well as calcium, magnesium, phosphorus and potassium.  This would decrease the likelihood of rickets, barring some congenital inabi</w:t>
      </w:r>
      <w:r w:rsidR="00E74070" w:rsidRPr="00E74070">
        <w:rPr>
          <w:rFonts w:ascii="Times New Roman" w:hAnsi="Times New Roman"/>
        </w:rPr>
        <w:t>lity to synthesize Vitamin D.  O</w:t>
      </w:r>
      <w:r w:rsidRPr="00E74070">
        <w:rPr>
          <w:rFonts w:ascii="Times New Roman" w:hAnsi="Times New Roman"/>
        </w:rPr>
        <w:t>n the other hand, a diet consisting primarily of hickory nut mush would provide low amounts of protein and very little iron or Vitamin C.</w:t>
      </w:r>
    </w:p>
    <w:p w14:paraId="7D0052FF" w14:textId="5342335C" w:rsidR="00E74070" w:rsidRDefault="00933C62" w:rsidP="00933C62">
      <w:pPr>
        <w:ind w:firstLine="720"/>
        <w:rPr>
          <w:rFonts w:ascii="Times New Roman" w:hAnsi="Times New Roman"/>
        </w:rPr>
      </w:pPr>
      <w:r w:rsidRPr="00E74070">
        <w:rPr>
          <w:rFonts w:ascii="Times New Roman" w:hAnsi="Times New Roman"/>
        </w:rPr>
        <w:t>I anticipated that adults would show much lower rates of cribra orbitalia once their diets expanded.  While active cribra orbitalia rates in adults are indeed lower</w:t>
      </w:r>
      <w:r w:rsidR="00073BC0">
        <w:rPr>
          <w:rFonts w:ascii="Times New Roman" w:hAnsi="Times New Roman"/>
        </w:rPr>
        <w:t xml:space="preserve"> than that of subadults</w:t>
      </w:r>
      <w:r w:rsidRPr="00E74070">
        <w:rPr>
          <w:rFonts w:ascii="Times New Roman" w:hAnsi="Times New Roman"/>
        </w:rPr>
        <w:t xml:space="preserve">, the high rates of healed cribra orbitalia lesions suggest a continued restricted diet with persistent though episodic nutritional stress.  </w:t>
      </w:r>
    </w:p>
    <w:p w14:paraId="4893B887" w14:textId="45D46E56" w:rsidR="00933C62" w:rsidRPr="00E74070" w:rsidRDefault="00E74070" w:rsidP="00E74070">
      <w:pPr>
        <w:ind w:firstLine="720"/>
        <w:rPr>
          <w:rFonts w:ascii="Times New Roman" w:hAnsi="Times New Roman"/>
        </w:rPr>
      </w:pPr>
      <w:r>
        <w:rPr>
          <w:rFonts w:ascii="Times New Roman" w:hAnsi="Times New Roman"/>
        </w:rPr>
        <w:t xml:space="preserve">It is unclear why nutritional stress would be a problem in this area.  River valleys tend to be resource rich areas, and Chapter 3 detailed the available flora and fauna in the study area.  However the area is known to be subject to periodic droughts, which may have contributed to the pattern of nutritional stress seen at Akers.  </w:t>
      </w:r>
      <w:r w:rsidR="00933C62" w:rsidRPr="00E74070">
        <w:rPr>
          <w:rFonts w:ascii="Times New Roman" w:hAnsi="Times New Roman"/>
        </w:rPr>
        <w:t>I suggest the</w:t>
      </w:r>
      <w:r>
        <w:rPr>
          <w:rFonts w:ascii="Times New Roman" w:hAnsi="Times New Roman"/>
        </w:rPr>
        <w:t xml:space="preserve"> high rates of skeletal trauma</w:t>
      </w:r>
      <w:r w:rsidR="00933C62" w:rsidRPr="00E74070">
        <w:rPr>
          <w:rFonts w:ascii="Times New Roman" w:hAnsi="Times New Roman"/>
        </w:rPr>
        <w:t xml:space="preserve"> an</w:t>
      </w:r>
      <w:r>
        <w:rPr>
          <w:rFonts w:ascii="Times New Roman" w:hAnsi="Times New Roman"/>
        </w:rPr>
        <w:t>d nutritional stress are both a consequence of long-term, valley wide feuding</w:t>
      </w:r>
      <w:r w:rsidR="00933C62" w:rsidRPr="00E74070">
        <w:rPr>
          <w:rFonts w:ascii="Times New Roman" w:hAnsi="Times New Roman"/>
        </w:rPr>
        <w:t>.</w:t>
      </w:r>
    </w:p>
    <w:p w14:paraId="661AEB88" w14:textId="77777777" w:rsidR="00933C62" w:rsidRPr="007C36ED" w:rsidRDefault="00933C62" w:rsidP="00933C62">
      <w:pPr>
        <w:spacing w:line="240" w:lineRule="auto"/>
        <w:rPr>
          <w:rFonts w:ascii="Times New Roman" w:hAnsi="Times New Roman"/>
          <w:b/>
        </w:rPr>
      </w:pPr>
    </w:p>
    <w:p w14:paraId="31CAAE1A" w14:textId="77777777" w:rsidR="00933C62" w:rsidRPr="003E352D" w:rsidRDefault="00933C62" w:rsidP="00CB4ED0">
      <w:pPr>
        <w:pStyle w:val="Heading2"/>
      </w:pPr>
      <w:bookmarkStart w:id="93" w:name="_Toc261025877"/>
      <w:r>
        <w:t>Akers Conclusions</w:t>
      </w:r>
      <w:bookmarkEnd w:id="93"/>
    </w:p>
    <w:p w14:paraId="4785F249" w14:textId="2DB92FE2" w:rsidR="00933C62" w:rsidRDefault="00933C62" w:rsidP="00933C62">
      <w:pPr>
        <w:rPr>
          <w:rFonts w:ascii="Times New Roman" w:hAnsi="Times New Roman"/>
        </w:rPr>
      </w:pPr>
      <w:r>
        <w:tab/>
      </w:r>
      <w:r>
        <w:rPr>
          <w:rFonts w:ascii="Times New Roman" w:hAnsi="Times New Roman"/>
        </w:rPr>
        <w:t>H</w:t>
      </w:r>
      <w:r w:rsidRPr="007C36ED">
        <w:rPr>
          <w:rFonts w:ascii="Times New Roman" w:hAnsi="Times New Roman"/>
        </w:rPr>
        <w:t>igh rates of skeletal trauma</w:t>
      </w:r>
      <w:r w:rsidR="0029584C">
        <w:rPr>
          <w:rFonts w:ascii="Times New Roman" w:hAnsi="Times New Roman"/>
        </w:rPr>
        <w:t xml:space="preserve"> </w:t>
      </w:r>
      <w:r w:rsidRPr="007C36ED">
        <w:rPr>
          <w:rFonts w:ascii="Times New Roman" w:hAnsi="Times New Roman"/>
        </w:rPr>
        <w:t>and nutritional deficiencies at the Akers site</w:t>
      </w:r>
      <w:r>
        <w:rPr>
          <w:rFonts w:ascii="Times New Roman" w:hAnsi="Times New Roman"/>
        </w:rPr>
        <w:t xml:space="preserve"> have been demonstrated</w:t>
      </w:r>
      <w:r w:rsidRPr="007C36ED">
        <w:rPr>
          <w:rFonts w:ascii="Times New Roman" w:hAnsi="Times New Roman"/>
        </w:rPr>
        <w:t>.</w:t>
      </w:r>
      <w:r w:rsidR="00073BC0">
        <w:rPr>
          <w:rFonts w:ascii="Times New Roman" w:hAnsi="Times New Roman"/>
        </w:rPr>
        <w:t xml:space="preserve"> </w:t>
      </w:r>
      <w:r>
        <w:rPr>
          <w:rFonts w:ascii="Times New Roman" w:hAnsi="Times New Roman"/>
        </w:rPr>
        <w:t xml:space="preserve"> </w:t>
      </w:r>
      <w:r w:rsidRPr="007C36ED">
        <w:rPr>
          <w:rFonts w:ascii="Times New Roman" w:hAnsi="Times New Roman"/>
        </w:rPr>
        <w:t>I suggest that these finding</w:t>
      </w:r>
      <w:r>
        <w:rPr>
          <w:rFonts w:ascii="Times New Roman" w:hAnsi="Times New Roman"/>
        </w:rPr>
        <w:t>s</w:t>
      </w:r>
      <w:r w:rsidRPr="007C36ED">
        <w:rPr>
          <w:rFonts w:ascii="Times New Roman" w:hAnsi="Times New Roman"/>
        </w:rPr>
        <w:t xml:space="preserve"> are related.  The nutritional deficiencies </w:t>
      </w:r>
      <w:r>
        <w:rPr>
          <w:rFonts w:ascii="Times New Roman" w:hAnsi="Times New Roman"/>
        </w:rPr>
        <w:t>may be</w:t>
      </w:r>
      <w:r w:rsidRPr="007C36ED">
        <w:rPr>
          <w:rFonts w:ascii="Times New Roman" w:hAnsi="Times New Roman"/>
        </w:rPr>
        <w:t xml:space="preserve"> a con</w:t>
      </w:r>
      <w:r>
        <w:rPr>
          <w:rFonts w:ascii="Times New Roman" w:hAnsi="Times New Roman"/>
        </w:rPr>
        <w:t>sequence of a restricted diet</w:t>
      </w:r>
      <w:r w:rsidRPr="007C36ED">
        <w:rPr>
          <w:rFonts w:ascii="Times New Roman" w:hAnsi="Times New Roman"/>
        </w:rPr>
        <w:t xml:space="preserve"> due to an over-reliance on hickory nuts</w:t>
      </w:r>
      <w:r>
        <w:rPr>
          <w:rFonts w:ascii="Times New Roman" w:hAnsi="Times New Roman"/>
        </w:rPr>
        <w:t xml:space="preserve"> as outlined above</w:t>
      </w:r>
      <w:r w:rsidRPr="007C36ED">
        <w:rPr>
          <w:rFonts w:ascii="Times New Roman" w:hAnsi="Times New Roman"/>
        </w:rPr>
        <w:t>.  The reliance of hickory</w:t>
      </w:r>
      <w:r>
        <w:rPr>
          <w:rFonts w:ascii="Times New Roman" w:hAnsi="Times New Roman"/>
        </w:rPr>
        <w:t xml:space="preserve"> nuts for both subadults and adults may have been</w:t>
      </w:r>
      <w:r w:rsidRPr="007C36ED">
        <w:rPr>
          <w:rFonts w:ascii="Times New Roman" w:hAnsi="Times New Roman"/>
        </w:rPr>
        <w:t xml:space="preserve"> a consequence of a restricted hunting and foraging range due to intense feuding that occurred along the entire </w:t>
      </w:r>
      <w:r>
        <w:rPr>
          <w:rFonts w:ascii="Times New Roman" w:hAnsi="Times New Roman"/>
        </w:rPr>
        <w:t>Wister area</w:t>
      </w:r>
      <w:r w:rsidRPr="007C36ED">
        <w:rPr>
          <w:rFonts w:ascii="Times New Roman" w:hAnsi="Times New Roman"/>
        </w:rPr>
        <w:t xml:space="preserve"> region.  </w:t>
      </w:r>
      <w:r>
        <w:rPr>
          <w:rFonts w:ascii="Times New Roman" w:hAnsi="Times New Roman"/>
        </w:rPr>
        <w:t>Evidence for such feuding is presented in the following chapter.</w:t>
      </w:r>
    </w:p>
    <w:p w14:paraId="78ACC85C" w14:textId="77777777" w:rsidR="00933C62" w:rsidRDefault="00933C62" w:rsidP="00933C62">
      <w:pPr>
        <w:ind w:firstLine="720"/>
        <w:rPr>
          <w:rFonts w:ascii="Times New Roman" w:hAnsi="Times New Roman"/>
        </w:rPr>
      </w:pPr>
      <w:r>
        <w:rPr>
          <w:rFonts w:ascii="Times New Roman" w:hAnsi="Times New Roman"/>
        </w:rPr>
        <w:t>Additionally, adult females were more likely than their male counterparts to have experienced a fractured lower limb bone and also to have experienced multiple fractures.  The high levels of stress that would accompany such feuding may have resulted in the more vulnerable members of the population (i.e. women) being targeted for domestic violence or abuse.  An alternative explanation for the pattern of multiple fractures seen in some adult females is that these women may have been captives.</w:t>
      </w:r>
    </w:p>
    <w:p w14:paraId="178F7C91" w14:textId="77777777" w:rsidR="00933C62" w:rsidRDefault="00933C62" w:rsidP="00933C62">
      <w:pPr>
        <w:rPr>
          <w:rFonts w:ascii="Times New Roman" w:hAnsi="Times New Roman"/>
        </w:rPr>
      </w:pPr>
      <w:r>
        <w:rPr>
          <w:rFonts w:ascii="Times New Roman" w:hAnsi="Times New Roman"/>
        </w:rPr>
        <w:tab/>
        <w:t>The following chapter presents evidence for widespread feuding in the Wister area.  Although frequency of and severity of the feuding appears to have varied, it is clear that conflict was a persistent, valley-wide phenomenon, with lasting consequences for the health of those buried at the Akers site.</w:t>
      </w:r>
    </w:p>
    <w:p w14:paraId="76AA85FD" w14:textId="77777777" w:rsidR="00933C62" w:rsidRDefault="00933C62" w:rsidP="00FA652B">
      <w:pPr>
        <w:pStyle w:val="Heading1"/>
      </w:pPr>
      <w:r>
        <w:rPr>
          <w:rFonts w:ascii="Times New Roman" w:hAnsi="Times New Roman"/>
        </w:rPr>
        <w:br w:type="page"/>
      </w:r>
      <w:bookmarkStart w:id="94" w:name="_Toc310579468"/>
      <w:bookmarkStart w:id="95" w:name="_Toc315681317"/>
      <w:bookmarkStart w:id="96" w:name="_Toc261025878"/>
      <w:r>
        <w:t>Chapter 5</w:t>
      </w:r>
      <w:r w:rsidRPr="001218CA">
        <w:t>:</w:t>
      </w:r>
      <w:r>
        <w:t xml:space="preserve"> </w:t>
      </w:r>
      <w:r w:rsidRPr="001218CA">
        <w:t xml:space="preserve"> </w:t>
      </w:r>
      <w:bookmarkEnd w:id="94"/>
      <w:bookmarkEnd w:id="95"/>
      <w:r w:rsidRPr="001218CA">
        <w:t xml:space="preserve">Conflict in the </w:t>
      </w:r>
      <w:r>
        <w:t>Wister Area</w:t>
      </w:r>
      <w:bookmarkEnd w:id="96"/>
    </w:p>
    <w:p w14:paraId="06E32769" w14:textId="7DB7A21A" w:rsidR="00933C62" w:rsidRPr="00FD0636" w:rsidRDefault="00933C62" w:rsidP="00933C62">
      <w:pPr>
        <w:ind w:firstLine="720"/>
        <w:outlineLvl w:val="0"/>
        <w:rPr>
          <w:rFonts w:ascii="Times New Roman" w:hAnsi="Times New Roman"/>
        </w:rPr>
      </w:pPr>
      <w:r w:rsidRPr="00FD0636">
        <w:rPr>
          <w:rFonts w:ascii="Times New Roman" w:hAnsi="Times New Roman"/>
        </w:rPr>
        <w:t>The high levels of skeletal trauma for the Akers site (34Lf32) r</w:t>
      </w:r>
      <w:r>
        <w:rPr>
          <w:rFonts w:ascii="Times New Roman" w:hAnsi="Times New Roman"/>
        </w:rPr>
        <w:t>eported in the previous chapter</w:t>
      </w:r>
      <w:r w:rsidRPr="00FD0636">
        <w:rPr>
          <w:rFonts w:ascii="Times New Roman" w:hAnsi="Times New Roman"/>
        </w:rPr>
        <w:t xml:space="preserve"> led naturally to the question of whether or not this was typical for the </w:t>
      </w:r>
      <w:r>
        <w:rPr>
          <w:rFonts w:ascii="Times New Roman" w:hAnsi="Times New Roman"/>
        </w:rPr>
        <w:t>Wister area</w:t>
      </w:r>
      <w:r w:rsidRPr="00FD0636">
        <w:rPr>
          <w:rFonts w:ascii="Times New Roman" w:hAnsi="Times New Roman"/>
        </w:rPr>
        <w:t xml:space="preserve"> Fourche Maline populations in general.  Unfortunately, as previously mentioned, only a few sites in the </w:t>
      </w:r>
      <w:r>
        <w:rPr>
          <w:rFonts w:ascii="Times New Roman" w:hAnsi="Times New Roman"/>
        </w:rPr>
        <w:t>Wister area</w:t>
      </w:r>
      <w:r w:rsidRPr="00FD0636">
        <w:rPr>
          <w:rFonts w:ascii="Times New Roman" w:hAnsi="Times New Roman"/>
        </w:rPr>
        <w:t xml:space="preserve"> have had any </w:t>
      </w:r>
      <w:r w:rsidR="005544F1" w:rsidRPr="00FD0636">
        <w:rPr>
          <w:rFonts w:ascii="Times New Roman" w:hAnsi="Times New Roman"/>
        </w:rPr>
        <w:t>bioarchaeologi</w:t>
      </w:r>
      <w:r w:rsidR="005544F1">
        <w:rPr>
          <w:rFonts w:ascii="Times New Roman" w:hAnsi="Times New Roman"/>
        </w:rPr>
        <w:t>cal</w:t>
      </w:r>
      <w:r>
        <w:rPr>
          <w:rFonts w:ascii="Times New Roman" w:hAnsi="Times New Roman"/>
        </w:rPr>
        <w:t xml:space="preserve"> analysis</w:t>
      </w:r>
      <w:r w:rsidR="00507D20">
        <w:rPr>
          <w:rFonts w:ascii="Times New Roman" w:hAnsi="Times New Roman"/>
        </w:rPr>
        <w:t xml:space="preserve"> completed (detailed in Table </w:t>
      </w:r>
      <w:r>
        <w:rPr>
          <w:rFonts w:ascii="Times New Roman" w:hAnsi="Times New Roman"/>
        </w:rPr>
        <w:t>4</w:t>
      </w:r>
      <w:r w:rsidRPr="00FD0636">
        <w:rPr>
          <w:rFonts w:ascii="Times New Roman" w:hAnsi="Times New Roman"/>
        </w:rPr>
        <w:t>).  Furthermore, the other lines of evidence often used for analyzing violence in the archaeological record are also missing for this area and time period.</w:t>
      </w:r>
      <w:r>
        <w:rPr>
          <w:rFonts w:ascii="Times New Roman" w:hAnsi="Times New Roman"/>
        </w:rPr>
        <w:t xml:space="preserve">  </w:t>
      </w:r>
      <w:r w:rsidRPr="00FD0636">
        <w:rPr>
          <w:rFonts w:ascii="Times New Roman" w:hAnsi="Times New Roman"/>
        </w:rPr>
        <w:t>As discussed in Chapter 3, evidence for conflict in the archaeological reco</w:t>
      </w:r>
      <w:r>
        <w:rPr>
          <w:rFonts w:ascii="Times New Roman" w:hAnsi="Times New Roman"/>
        </w:rPr>
        <w:t>rd is traditionally examined through</w:t>
      </w:r>
      <w:r w:rsidRPr="00FD0636">
        <w:rPr>
          <w:rFonts w:ascii="Times New Roman" w:hAnsi="Times New Roman"/>
        </w:rPr>
        <w:t xml:space="preserve"> three lines of evidence: 1) iconography, 2) architecture and/or site layout (e.g.</w:t>
      </w:r>
      <w:r>
        <w:rPr>
          <w:rFonts w:ascii="Times New Roman" w:hAnsi="Times New Roman"/>
        </w:rPr>
        <w:t>,</w:t>
      </w:r>
      <w:r w:rsidRPr="00FD0636">
        <w:rPr>
          <w:rFonts w:ascii="Times New Roman" w:hAnsi="Times New Roman"/>
        </w:rPr>
        <w:t xml:space="preserve"> defensive palisades), and 3</w:t>
      </w:r>
      <w:r>
        <w:rPr>
          <w:rFonts w:ascii="Times New Roman" w:hAnsi="Times New Roman"/>
        </w:rPr>
        <w:t xml:space="preserve">) skeletal trauma (Milner 1999, </w:t>
      </w:r>
      <w:r w:rsidRPr="00FD0636">
        <w:rPr>
          <w:rFonts w:ascii="Times New Roman" w:hAnsi="Times New Roman"/>
        </w:rPr>
        <w:t xml:space="preserve">Dye 2009). </w:t>
      </w:r>
    </w:p>
    <w:p w14:paraId="536B9B38" w14:textId="23A299C4" w:rsidR="00933C62" w:rsidRPr="00FD0636" w:rsidRDefault="00933C62" w:rsidP="00933C62">
      <w:pPr>
        <w:ind w:firstLine="720"/>
        <w:rPr>
          <w:rFonts w:ascii="Times New Roman" w:hAnsi="Times New Roman"/>
        </w:rPr>
      </w:pPr>
      <w:r w:rsidRPr="00FD0636">
        <w:rPr>
          <w:rFonts w:ascii="Times New Roman" w:hAnsi="Times New Roman"/>
        </w:rPr>
        <w:t xml:space="preserve">Iconography is virtually nonexistent during the </w:t>
      </w:r>
      <w:r>
        <w:rPr>
          <w:rFonts w:ascii="Times New Roman" w:hAnsi="Times New Roman"/>
        </w:rPr>
        <w:t>Wister area</w:t>
      </w:r>
      <w:r w:rsidRPr="00FD0636">
        <w:rPr>
          <w:rFonts w:ascii="Times New Roman" w:hAnsi="Times New Roman"/>
        </w:rPr>
        <w:t xml:space="preserve"> Fourche Maline.  For instance, Figures </w:t>
      </w:r>
      <w:r>
        <w:rPr>
          <w:rFonts w:ascii="Times New Roman" w:hAnsi="Times New Roman"/>
        </w:rPr>
        <w:t xml:space="preserve">19 and 20 </w:t>
      </w:r>
      <w:r w:rsidRPr="00FD0636">
        <w:rPr>
          <w:rFonts w:ascii="Times New Roman" w:hAnsi="Times New Roman"/>
        </w:rPr>
        <w:t>contrast shell gorgets and pottery from (later) Spiro times with typical similar object</w:t>
      </w:r>
      <w:r>
        <w:rPr>
          <w:rFonts w:ascii="Times New Roman" w:hAnsi="Times New Roman"/>
        </w:rPr>
        <w:t>s</w:t>
      </w:r>
      <w:r w:rsidRPr="00FD0636">
        <w:rPr>
          <w:rFonts w:ascii="Times New Roman" w:hAnsi="Times New Roman"/>
        </w:rPr>
        <w:t xml:space="preserve"> from the Akers sit</w:t>
      </w:r>
      <w:r>
        <w:rPr>
          <w:rFonts w:ascii="Times New Roman" w:hAnsi="Times New Roman"/>
        </w:rPr>
        <w:t>e (34Lf32) (the eastern</w:t>
      </w:r>
      <w:r w:rsidRPr="00FD0636">
        <w:rPr>
          <w:rFonts w:ascii="Times New Roman" w:hAnsi="Times New Roman"/>
        </w:rPr>
        <w:t xml:space="preserve">most of the </w:t>
      </w:r>
      <w:r>
        <w:rPr>
          <w:rFonts w:ascii="Times New Roman" w:hAnsi="Times New Roman"/>
        </w:rPr>
        <w:t>Wister area Fourche Maline</w:t>
      </w:r>
      <w:r w:rsidRPr="00FD0636">
        <w:rPr>
          <w:rFonts w:ascii="Times New Roman" w:hAnsi="Times New Roman"/>
        </w:rPr>
        <w:t xml:space="preserve"> sites</w:t>
      </w:r>
      <w:r w:rsidR="00507D20">
        <w:rPr>
          <w:rFonts w:ascii="Times New Roman" w:hAnsi="Times New Roman"/>
        </w:rPr>
        <w:t xml:space="preserve"> in the study</w:t>
      </w:r>
      <w:r w:rsidRPr="00FD0636">
        <w:rPr>
          <w:rFonts w:ascii="Times New Roman" w:hAnsi="Times New Roman"/>
        </w:rPr>
        <w:t xml:space="preserve">).  The plain and undecorated nature of the Fourche Maline items means that analysis of iconography is simply not a useful tool for examining </w:t>
      </w:r>
      <w:r>
        <w:rPr>
          <w:rFonts w:ascii="Times New Roman" w:hAnsi="Times New Roman"/>
        </w:rPr>
        <w:t>Wister area</w:t>
      </w:r>
      <w:r w:rsidRPr="00FD0636">
        <w:rPr>
          <w:rFonts w:ascii="Times New Roman" w:hAnsi="Times New Roman"/>
        </w:rPr>
        <w:t xml:space="preserve"> conflict.</w:t>
      </w:r>
    </w:p>
    <w:p w14:paraId="622E9666" w14:textId="77777777" w:rsidR="00933C62" w:rsidRDefault="00933C62" w:rsidP="00933C62">
      <w:pPr>
        <w:ind w:firstLine="720"/>
        <w:rPr>
          <w:rFonts w:ascii="Times New Roman" w:hAnsi="Times New Roman"/>
        </w:rPr>
      </w:pPr>
      <w:r w:rsidRPr="00FD0636">
        <w:rPr>
          <w:rFonts w:ascii="Times New Roman" w:hAnsi="Times New Roman"/>
        </w:rPr>
        <w:t>The second criterion of architecture and/or site layout (e.g.</w:t>
      </w:r>
      <w:r>
        <w:rPr>
          <w:rFonts w:ascii="Times New Roman" w:hAnsi="Times New Roman"/>
        </w:rPr>
        <w:t>,</w:t>
      </w:r>
      <w:r w:rsidRPr="00FD0636">
        <w:rPr>
          <w:rFonts w:ascii="Times New Roman" w:hAnsi="Times New Roman"/>
        </w:rPr>
        <w:t xml:space="preserve"> defensive palisades) is also </w:t>
      </w:r>
      <w:r>
        <w:rPr>
          <w:rFonts w:ascii="Times New Roman" w:hAnsi="Times New Roman"/>
        </w:rPr>
        <w:t>not useful</w:t>
      </w:r>
      <w:r w:rsidRPr="00FD0636">
        <w:rPr>
          <w:rFonts w:ascii="Times New Roman" w:hAnsi="Times New Roman"/>
        </w:rPr>
        <w:t xml:space="preserve"> for the </w:t>
      </w:r>
      <w:r>
        <w:rPr>
          <w:rFonts w:ascii="Times New Roman" w:hAnsi="Times New Roman"/>
        </w:rPr>
        <w:t>Wister area</w:t>
      </w:r>
      <w:r w:rsidRPr="00FD0636">
        <w:rPr>
          <w:rFonts w:ascii="Times New Roman" w:hAnsi="Times New Roman"/>
        </w:rPr>
        <w:t xml:space="preserve">.  There is no evidence of fortification at any of the sites excavated; indeed there is very little evidence of any kind of Fourche Maline structures at all.  The Fourche Maline </w:t>
      </w:r>
      <w:r>
        <w:rPr>
          <w:rFonts w:ascii="Times New Roman" w:hAnsi="Times New Roman"/>
        </w:rPr>
        <w:t xml:space="preserve">region </w:t>
      </w:r>
      <w:r w:rsidRPr="00FD0636">
        <w:rPr>
          <w:rFonts w:ascii="Times New Roman" w:hAnsi="Times New Roman"/>
        </w:rPr>
        <w:t xml:space="preserve">has flooded continuously during its 7,000 year existence (Guccione 1999) and it is possible that this is responsible for erasing </w:t>
      </w:r>
      <w:r>
        <w:rPr>
          <w:rFonts w:ascii="Times New Roman" w:hAnsi="Times New Roman"/>
        </w:rPr>
        <w:t xml:space="preserve">or deeply burying </w:t>
      </w:r>
      <w:r w:rsidRPr="00FD0636">
        <w:rPr>
          <w:rFonts w:ascii="Times New Roman" w:hAnsi="Times New Roman"/>
        </w:rPr>
        <w:t>evidence of fortifications.  However no fortifications were uncovered during the Spiro excavations, and later day Caddoans do not seem to have b</w:t>
      </w:r>
      <w:r>
        <w:rPr>
          <w:rFonts w:ascii="Times New Roman" w:hAnsi="Times New Roman"/>
        </w:rPr>
        <w:t>uilt fortifications (Dye 2009).</w:t>
      </w:r>
      <w:r w:rsidRPr="00FD0636">
        <w:rPr>
          <w:rFonts w:ascii="Times New Roman" w:hAnsi="Times New Roman"/>
        </w:rPr>
        <w:t xml:space="preserve">  Although Leith (2011) looked for evidence of off-mound dwelling</w:t>
      </w:r>
      <w:r>
        <w:rPr>
          <w:rFonts w:ascii="Times New Roman" w:hAnsi="Times New Roman"/>
        </w:rPr>
        <w:t>s</w:t>
      </w:r>
      <w:r w:rsidRPr="00FD0636">
        <w:rPr>
          <w:rFonts w:ascii="Times New Roman" w:hAnsi="Times New Roman"/>
        </w:rPr>
        <w:t xml:space="preserve">, we so far have no </w:t>
      </w:r>
      <w:r>
        <w:rPr>
          <w:rFonts w:ascii="Times New Roman" w:hAnsi="Times New Roman"/>
        </w:rPr>
        <w:t xml:space="preserve">solid </w:t>
      </w:r>
      <w:r w:rsidRPr="00FD0636">
        <w:rPr>
          <w:rFonts w:ascii="Times New Roman" w:hAnsi="Times New Roman"/>
        </w:rPr>
        <w:t>evidence of Fourche Maline dwellings or settlement patterns beyond the existence of the burial mounds themselves.</w:t>
      </w:r>
      <w:r>
        <w:rPr>
          <w:rFonts w:ascii="Times New Roman" w:hAnsi="Times New Roman"/>
        </w:rPr>
        <w:t xml:space="preserve">  The few structures on or near Fourche Maline mounds that have been uncovered have been dated to later time periods.</w:t>
      </w:r>
    </w:p>
    <w:p w14:paraId="304CA5D7" w14:textId="77777777" w:rsidR="00933C62" w:rsidRDefault="00933C62" w:rsidP="00933C62">
      <w:pPr>
        <w:spacing w:line="240" w:lineRule="auto"/>
        <w:ind w:firstLine="720"/>
        <w:rPr>
          <w:rFonts w:ascii="Times New Roman" w:hAnsi="Times New Roman"/>
        </w:rPr>
      </w:pPr>
    </w:p>
    <w:p w14:paraId="0782FA55" w14:textId="77777777" w:rsidR="00933C62" w:rsidRPr="00FD0636" w:rsidRDefault="00933C62" w:rsidP="00933C62">
      <w:pPr>
        <w:spacing w:line="240" w:lineRule="auto"/>
        <w:ind w:firstLine="720"/>
        <w:rPr>
          <w:rFonts w:ascii="Times New Roman" w:hAnsi="Times New Roman"/>
        </w:rPr>
      </w:pPr>
    </w:p>
    <w:tbl>
      <w:tblPr>
        <w:tblW w:w="0" w:type="auto"/>
        <w:tblLook w:val="0000" w:firstRow="0" w:lastRow="0" w:firstColumn="0" w:lastColumn="0" w:noHBand="0" w:noVBand="0"/>
      </w:tblPr>
      <w:tblGrid>
        <w:gridCol w:w="4536"/>
        <w:gridCol w:w="3816"/>
      </w:tblGrid>
      <w:tr w:rsidR="00933C62" w:rsidRPr="00FD0636" w14:paraId="20375303" w14:textId="77777777" w:rsidTr="006E6C4E">
        <w:tc>
          <w:tcPr>
            <w:tcW w:w="4428" w:type="dxa"/>
            <w:vAlign w:val="bottom"/>
          </w:tcPr>
          <w:p w14:paraId="46CA3E75" w14:textId="77777777" w:rsidR="00933C62" w:rsidRPr="00FD0636" w:rsidRDefault="00933C62" w:rsidP="006E6C4E">
            <w:pPr>
              <w:spacing w:line="240" w:lineRule="auto"/>
              <w:rPr>
                <w:rFonts w:ascii="Times New Roman" w:hAnsi="Times New Roman"/>
              </w:rPr>
            </w:pPr>
            <w:r w:rsidRPr="00FD0636">
              <w:rPr>
                <w:rFonts w:ascii="Times New Roman" w:hAnsi="Times New Roman"/>
                <w:noProof/>
                <w:lang w:bidi="ar-SA"/>
              </w:rPr>
              <w:drawing>
                <wp:inline distT="0" distB="0" distL="0" distR="0" wp14:anchorId="23F5E28E" wp14:editId="2B0129BE">
                  <wp:extent cx="2743200" cy="1792605"/>
                  <wp:effectExtent l="0" t="0" r="0" b="10795"/>
                  <wp:docPr id="23" name="Picture 23" descr="spiro_gorgets-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ro_gorgets-l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1792605"/>
                          </a:xfrm>
                          <a:prstGeom prst="rect">
                            <a:avLst/>
                          </a:prstGeom>
                          <a:noFill/>
                          <a:ln>
                            <a:noFill/>
                          </a:ln>
                        </pic:spPr>
                      </pic:pic>
                    </a:graphicData>
                  </a:graphic>
                </wp:inline>
              </w:drawing>
            </w:r>
          </w:p>
        </w:tc>
        <w:tc>
          <w:tcPr>
            <w:tcW w:w="4428" w:type="dxa"/>
            <w:vAlign w:val="bottom"/>
          </w:tcPr>
          <w:p w14:paraId="57CAF574" w14:textId="77777777" w:rsidR="00933C62" w:rsidRPr="00FD0636" w:rsidRDefault="00933C62" w:rsidP="006E6C4E">
            <w:pPr>
              <w:spacing w:line="240" w:lineRule="auto"/>
              <w:rPr>
                <w:rFonts w:ascii="Times New Roman" w:hAnsi="Times New Roman"/>
              </w:rPr>
            </w:pPr>
            <w:r w:rsidRPr="00FD0636">
              <w:rPr>
                <w:rFonts w:ascii="Times New Roman" w:hAnsi="Times New Roman"/>
                <w:noProof/>
                <w:lang w:bidi="ar-SA"/>
              </w:rPr>
              <w:drawing>
                <wp:inline distT="0" distB="0" distL="0" distR="0" wp14:anchorId="66AB34CA" wp14:editId="51151042">
                  <wp:extent cx="2269002" cy="1818604"/>
                  <wp:effectExtent l="0" t="0" r="0" b="107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rsB10ShellGorget.jpg"/>
                          <pic:cNvPicPr/>
                        </pic:nvPicPr>
                        <pic:blipFill>
                          <a:blip r:embed="rId30">
                            <a:extLst>
                              <a:ext uri="{28A0092B-C50C-407E-A947-70E740481C1C}">
                                <a14:useLocalDpi xmlns:a14="http://schemas.microsoft.com/office/drawing/2010/main" val="0"/>
                              </a:ext>
                            </a:extLst>
                          </a:blip>
                          <a:stretch>
                            <a:fillRect/>
                          </a:stretch>
                        </pic:blipFill>
                        <pic:spPr>
                          <a:xfrm>
                            <a:off x="0" y="0"/>
                            <a:ext cx="2270339" cy="1819676"/>
                          </a:xfrm>
                          <a:prstGeom prst="rect">
                            <a:avLst/>
                          </a:prstGeom>
                        </pic:spPr>
                      </pic:pic>
                    </a:graphicData>
                  </a:graphic>
                </wp:inline>
              </w:drawing>
            </w:r>
          </w:p>
        </w:tc>
      </w:tr>
    </w:tbl>
    <w:p w14:paraId="057854D6" w14:textId="77777777" w:rsidR="00933C62" w:rsidRDefault="00933C62" w:rsidP="00133F61">
      <w:pPr>
        <w:pStyle w:val="Caption"/>
      </w:pPr>
    </w:p>
    <w:p w14:paraId="745B58CD" w14:textId="77777777" w:rsidR="00933C62" w:rsidRDefault="00933C62" w:rsidP="00133F61">
      <w:pPr>
        <w:pStyle w:val="Caption"/>
      </w:pPr>
      <w:bookmarkStart w:id="97" w:name="_Toc261025221"/>
      <w:r>
        <w:t xml:space="preserve">Figure </w:t>
      </w:r>
      <w:fldSimple w:instr=" SEQ Figure \* ARABIC ">
        <w:r w:rsidR="00396EB3">
          <w:rPr>
            <w:noProof/>
          </w:rPr>
          <w:t>19</w:t>
        </w:r>
      </w:fldSimple>
      <w:r>
        <w:t xml:space="preserve">  Shell gorgets from Spiro Mounds (left) and the Akers site (right)</w:t>
      </w:r>
      <w:bookmarkEnd w:id="97"/>
    </w:p>
    <w:p w14:paraId="6F6AA01D" w14:textId="77777777" w:rsidR="00933C62" w:rsidRPr="004E38CC" w:rsidRDefault="00933C62" w:rsidP="00933C62"/>
    <w:p w14:paraId="688D6B40" w14:textId="77777777" w:rsidR="00933C62" w:rsidRPr="00FD0636" w:rsidRDefault="00933C62" w:rsidP="00933C62">
      <w:pPr>
        <w:spacing w:line="240" w:lineRule="auto"/>
        <w:jc w:val="center"/>
        <w:outlineLvl w:val="0"/>
        <w:rPr>
          <w:rFonts w:ascii="Times New Roman" w:hAnsi="Times New Roman"/>
        </w:rPr>
      </w:pPr>
    </w:p>
    <w:tbl>
      <w:tblPr>
        <w:tblW w:w="0" w:type="auto"/>
        <w:tblLook w:val="0000" w:firstRow="0" w:lastRow="0" w:firstColumn="0" w:lastColumn="0" w:noHBand="0" w:noVBand="0"/>
      </w:tblPr>
      <w:tblGrid>
        <w:gridCol w:w="4140"/>
        <w:gridCol w:w="4212"/>
      </w:tblGrid>
      <w:tr w:rsidR="00933C62" w:rsidRPr="00FD0636" w14:paraId="6D5F71C6" w14:textId="77777777" w:rsidTr="006E6C4E">
        <w:tc>
          <w:tcPr>
            <w:tcW w:w="4428" w:type="dxa"/>
          </w:tcPr>
          <w:p w14:paraId="145853B0" w14:textId="77777777" w:rsidR="00933C62" w:rsidRPr="00FD0636" w:rsidRDefault="00933C62" w:rsidP="006E6C4E">
            <w:pPr>
              <w:spacing w:line="240" w:lineRule="auto"/>
              <w:rPr>
                <w:rFonts w:ascii="Times New Roman" w:hAnsi="Times New Roman"/>
              </w:rPr>
            </w:pPr>
            <w:r w:rsidRPr="00FD0636">
              <w:rPr>
                <w:rFonts w:ascii="Times New Roman" w:hAnsi="Times New Roman"/>
                <w:noProof/>
                <w:lang w:bidi="ar-SA"/>
              </w:rPr>
              <w:drawing>
                <wp:inline distT="0" distB="0" distL="0" distR="0" wp14:anchorId="301D9CE1" wp14:editId="7B18229A">
                  <wp:extent cx="2519901" cy="1879426"/>
                  <wp:effectExtent l="0" t="0" r="0" b="635"/>
                  <wp:docPr id="25" name="Picture 25" descr="spiropo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iropotter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19901" cy="1879426"/>
                          </a:xfrm>
                          <a:prstGeom prst="rect">
                            <a:avLst/>
                          </a:prstGeom>
                          <a:noFill/>
                          <a:ln>
                            <a:noFill/>
                          </a:ln>
                        </pic:spPr>
                      </pic:pic>
                    </a:graphicData>
                  </a:graphic>
                </wp:inline>
              </w:drawing>
            </w:r>
          </w:p>
        </w:tc>
        <w:tc>
          <w:tcPr>
            <w:tcW w:w="4428" w:type="dxa"/>
          </w:tcPr>
          <w:p w14:paraId="1B8F4DD2" w14:textId="77777777" w:rsidR="00933C62" w:rsidRDefault="00933C62" w:rsidP="006E6C4E">
            <w:pPr>
              <w:spacing w:line="240" w:lineRule="auto"/>
              <w:rPr>
                <w:rFonts w:ascii="Times New Roman" w:hAnsi="Times New Roman"/>
              </w:rPr>
            </w:pPr>
          </w:p>
          <w:p w14:paraId="63A944AF" w14:textId="77777777" w:rsidR="00933C62" w:rsidRDefault="00933C62" w:rsidP="006E6C4E">
            <w:pPr>
              <w:spacing w:line="240" w:lineRule="auto"/>
              <w:rPr>
                <w:rFonts w:ascii="Times New Roman" w:hAnsi="Times New Roman"/>
              </w:rPr>
            </w:pPr>
          </w:p>
          <w:p w14:paraId="6FBCCDC8" w14:textId="77777777" w:rsidR="00933C62" w:rsidRPr="00FD0636" w:rsidRDefault="00933C62" w:rsidP="006E6C4E">
            <w:pPr>
              <w:spacing w:line="240" w:lineRule="auto"/>
              <w:rPr>
                <w:rFonts w:ascii="Times New Roman" w:hAnsi="Times New Roman"/>
              </w:rPr>
            </w:pPr>
          </w:p>
          <w:p w14:paraId="392F5430" w14:textId="77777777" w:rsidR="00933C62" w:rsidRPr="00FD0636" w:rsidRDefault="00933C62" w:rsidP="006E6C4E">
            <w:pPr>
              <w:spacing w:line="240" w:lineRule="auto"/>
              <w:rPr>
                <w:rFonts w:ascii="Times New Roman" w:hAnsi="Times New Roman"/>
              </w:rPr>
            </w:pPr>
          </w:p>
          <w:p w14:paraId="67BD89E1" w14:textId="77777777" w:rsidR="00933C62" w:rsidRPr="00FD0636" w:rsidRDefault="00933C62" w:rsidP="006E6C4E">
            <w:pPr>
              <w:spacing w:line="240" w:lineRule="auto"/>
              <w:rPr>
                <w:rFonts w:ascii="Times New Roman" w:hAnsi="Times New Roman"/>
              </w:rPr>
            </w:pPr>
            <w:r w:rsidRPr="00FD0636">
              <w:rPr>
                <w:rFonts w:ascii="Times New Roman" w:hAnsi="Times New Roman"/>
                <w:noProof/>
                <w:lang w:bidi="ar-SA"/>
              </w:rPr>
              <w:drawing>
                <wp:inline distT="0" distB="0" distL="0" distR="0" wp14:anchorId="67F456FE" wp14:editId="23BA4197">
                  <wp:extent cx="2563684" cy="1040903"/>
                  <wp:effectExtent l="0" t="0" r="1905" b="635"/>
                  <wp:docPr id="26" name="Picture 26" descr="ugly bowl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gly bowls cropp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63684" cy="1040903"/>
                          </a:xfrm>
                          <a:prstGeom prst="rect">
                            <a:avLst/>
                          </a:prstGeom>
                          <a:noFill/>
                          <a:ln>
                            <a:noFill/>
                          </a:ln>
                        </pic:spPr>
                      </pic:pic>
                    </a:graphicData>
                  </a:graphic>
                </wp:inline>
              </w:drawing>
            </w:r>
          </w:p>
        </w:tc>
      </w:tr>
    </w:tbl>
    <w:p w14:paraId="019CAE7F" w14:textId="77777777" w:rsidR="00933C62" w:rsidRDefault="00933C62" w:rsidP="00133F61">
      <w:pPr>
        <w:pStyle w:val="Caption"/>
      </w:pPr>
    </w:p>
    <w:p w14:paraId="72DEF176" w14:textId="77777777" w:rsidR="00933C62" w:rsidRDefault="00933C62" w:rsidP="00133F61">
      <w:pPr>
        <w:pStyle w:val="Caption"/>
      </w:pPr>
      <w:bookmarkStart w:id="98" w:name="_Toc261025222"/>
      <w:r>
        <w:t xml:space="preserve">Figure </w:t>
      </w:r>
      <w:fldSimple w:instr=" SEQ Figure \* ARABIC ">
        <w:r w:rsidR="00396EB3">
          <w:rPr>
            <w:noProof/>
          </w:rPr>
          <w:t>20</w:t>
        </w:r>
      </w:fldSimple>
      <w:r>
        <w:t xml:space="preserve">  Pottery from Spiro Mounds (left) and the Akers site (right)</w:t>
      </w:r>
      <w:bookmarkEnd w:id="98"/>
    </w:p>
    <w:p w14:paraId="6DE225F7" w14:textId="77777777" w:rsidR="00933C62" w:rsidRDefault="00933C62" w:rsidP="00933C62">
      <w:pPr>
        <w:pStyle w:val="BodyTextIndent"/>
      </w:pPr>
    </w:p>
    <w:p w14:paraId="17D761E7" w14:textId="77777777" w:rsidR="00933C62" w:rsidRPr="009A7F84" w:rsidRDefault="00933C62" w:rsidP="00933C62">
      <w:pPr>
        <w:pStyle w:val="BodyTextIndent"/>
      </w:pPr>
      <w:r w:rsidRPr="009A7F84">
        <w:t>Thus the first two</w:t>
      </w:r>
      <w:r>
        <w:t xml:space="preserve"> traditional</w:t>
      </w:r>
      <w:r w:rsidRPr="009A7F84">
        <w:t xml:space="preserve"> lines of evidence used in archaeological studies of violence are not useful in examining conflict during the </w:t>
      </w:r>
      <w:r>
        <w:t>Wister area</w:t>
      </w:r>
      <w:r w:rsidRPr="009A7F84">
        <w:t xml:space="preserve"> Fourche Maline.  The third line of evidence, skeletal trauma</w:t>
      </w:r>
      <w:r>
        <w:t>,</w:t>
      </w:r>
      <w:r w:rsidRPr="009A7F84">
        <w:t xml:space="preserve"> has more promise for this study, as over 1000 burials from </w:t>
      </w:r>
      <w:r>
        <w:t xml:space="preserve">the Fourche Maline of </w:t>
      </w:r>
      <w:r w:rsidRPr="009A7F84">
        <w:t>this region have been excavated (Rose</w:t>
      </w:r>
      <w:r>
        <w:t xml:space="preserve"> et al. 1999</w:t>
      </w:r>
      <w:r w:rsidRPr="009A7F84">
        <w:t xml:space="preserve">), and most of these burials are housed at </w:t>
      </w:r>
      <w:r>
        <w:t>the Sam Noble Oklahoma Museum of Natural History</w:t>
      </w:r>
      <w:r w:rsidRPr="009A7F84">
        <w:t>.  However, only a few of these sites have had bioarchaeological an</w:t>
      </w:r>
      <w:r>
        <w:t>alyses completed</w:t>
      </w:r>
      <w:r w:rsidRPr="009A7F84">
        <w:t>, which limits the usefulness of this criterion as well.</w:t>
      </w:r>
    </w:p>
    <w:p w14:paraId="3CD3A76C" w14:textId="1F694D44" w:rsidR="00933C62" w:rsidRDefault="00933C62" w:rsidP="00933C62">
      <w:pPr>
        <w:ind w:firstLine="720"/>
        <w:rPr>
          <w:rFonts w:ascii="Times New Roman" w:hAnsi="Times New Roman"/>
        </w:rPr>
      </w:pPr>
      <w:r w:rsidRPr="00FD0636">
        <w:rPr>
          <w:rFonts w:ascii="Times New Roman" w:hAnsi="Times New Roman"/>
        </w:rPr>
        <w:t xml:space="preserve">Addressing the question of violence at </w:t>
      </w:r>
      <w:r>
        <w:rPr>
          <w:rFonts w:ascii="Times New Roman" w:hAnsi="Times New Roman"/>
        </w:rPr>
        <w:t>Wister area</w:t>
      </w:r>
      <w:r w:rsidRPr="00FD0636">
        <w:rPr>
          <w:rFonts w:ascii="Times New Roman" w:hAnsi="Times New Roman"/>
        </w:rPr>
        <w:t xml:space="preserve"> Fourche Maline sites becomes important when one realizes that </w:t>
      </w:r>
      <w:r>
        <w:rPr>
          <w:rFonts w:ascii="Times New Roman" w:hAnsi="Times New Roman"/>
        </w:rPr>
        <w:t>eight</w:t>
      </w:r>
      <w:r w:rsidRPr="00FD0636">
        <w:rPr>
          <w:rFonts w:ascii="Times New Roman" w:hAnsi="Times New Roman"/>
        </w:rPr>
        <w:t xml:space="preserve"> of these sites </w:t>
      </w:r>
      <w:r>
        <w:rPr>
          <w:rFonts w:ascii="Times New Roman" w:hAnsi="Times New Roman"/>
        </w:rPr>
        <w:t>have at least one mass burial (where mass = more than 5</w:t>
      </w:r>
      <w:r w:rsidRPr="00FD0636">
        <w:rPr>
          <w:rFonts w:ascii="Times New Roman" w:hAnsi="Times New Roman"/>
        </w:rPr>
        <w:t xml:space="preserve"> individuals</w:t>
      </w:r>
      <w:r>
        <w:rPr>
          <w:rFonts w:ascii="Times New Roman" w:hAnsi="Times New Roman"/>
        </w:rPr>
        <w:t xml:space="preserve">).  These sites are listed in </w:t>
      </w:r>
      <w:r w:rsidR="007A1E12">
        <w:rPr>
          <w:rFonts w:ascii="Times New Roman" w:hAnsi="Times New Roman"/>
        </w:rPr>
        <w:t>Table 19</w:t>
      </w:r>
      <w:r w:rsidRPr="00FD0636">
        <w:rPr>
          <w:rFonts w:ascii="Times New Roman" w:hAnsi="Times New Roman"/>
        </w:rPr>
        <w:t>.</w:t>
      </w:r>
      <w:r>
        <w:rPr>
          <w:rFonts w:ascii="Times New Roman" w:hAnsi="Times New Roman"/>
        </w:rPr>
        <w:t xml:space="preserve">  One site, Mackey (34Lf19) has three mass graves, two with five individuals, and one with six individuals.</w:t>
      </w:r>
      <w:r w:rsidRPr="00FD0636">
        <w:rPr>
          <w:rFonts w:ascii="Times New Roman" w:hAnsi="Times New Roman"/>
        </w:rPr>
        <w:t xml:space="preserve">  Additionally as detailed in the previous chapter, my work with the burials from the Akers site has </w:t>
      </w:r>
      <w:r>
        <w:rPr>
          <w:rFonts w:ascii="Times New Roman" w:hAnsi="Times New Roman"/>
        </w:rPr>
        <w:t>documented</w:t>
      </w:r>
      <w:r w:rsidRPr="00FD0636">
        <w:rPr>
          <w:rFonts w:ascii="Times New Roman" w:hAnsi="Times New Roman"/>
        </w:rPr>
        <w:t xml:space="preserve"> skeletons with healed fractures, as well as skeletons with embedded projectile points.  Even a few </w:t>
      </w:r>
      <w:r>
        <w:rPr>
          <w:rFonts w:ascii="Times New Roman" w:hAnsi="Times New Roman"/>
        </w:rPr>
        <w:t>individuals with</w:t>
      </w:r>
      <w:r w:rsidRPr="00FD0636">
        <w:rPr>
          <w:rFonts w:ascii="Times New Roman" w:hAnsi="Times New Roman"/>
        </w:rPr>
        <w:t xml:space="preserve"> signs of skeletal trauma</w:t>
      </w:r>
      <w:r>
        <w:rPr>
          <w:rFonts w:ascii="Times New Roman" w:hAnsi="Times New Roman"/>
        </w:rPr>
        <w:t>,</w:t>
      </w:r>
      <w:r w:rsidRPr="00FD0636">
        <w:rPr>
          <w:rFonts w:ascii="Times New Roman" w:hAnsi="Times New Roman"/>
        </w:rPr>
        <w:t xml:space="preserve"> such as projectile wounds or healed fractures, indicate that fighting was pervasive</w:t>
      </w:r>
      <w:r>
        <w:rPr>
          <w:rFonts w:ascii="Times New Roman" w:hAnsi="Times New Roman"/>
        </w:rPr>
        <w:t>,</w:t>
      </w:r>
      <w:r w:rsidRPr="00FD0636">
        <w:rPr>
          <w:rFonts w:ascii="Times New Roman" w:hAnsi="Times New Roman"/>
        </w:rPr>
        <w:t xml:space="preserve"> with a noticeable impact on communities (Milner 2005).</w:t>
      </w:r>
      <w:r>
        <w:rPr>
          <w:rFonts w:ascii="Times New Roman" w:hAnsi="Times New Roman"/>
        </w:rPr>
        <w:t xml:space="preserve">  Additionally, some</w:t>
      </w:r>
      <w:r w:rsidRPr="00FD0636">
        <w:rPr>
          <w:rFonts w:ascii="Times New Roman" w:hAnsi="Times New Roman"/>
        </w:rPr>
        <w:t xml:space="preserve"> skeletons </w:t>
      </w:r>
      <w:r>
        <w:rPr>
          <w:rFonts w:ascii="Times New Roman" w:hAnsi="Times New Roman"/>
        </w:rPr>
        <w:t xml:space="preserve">were </w:t>
      </w:r>
      <w:r w:rsidRPr="00FD0636">
        <w:rPr>
          <w:rFonts w:ascii="Times New Roman" w:hAnsi="Times New Roman"/>
        </w:rPr>
        <w:t>missing their skulls and at least two cases of extra, isolated skulls</w:t>
      </w:r>
      <w:r>
        <w:rPr>
          <w:rFonts w:ascii="Times New Roman" w:hAnsi="Times New Roman"/>
        </w:rPr>
        <w:t xml:space="preserve"> were found at the Akers site</w:t>
      </w:r>
      <w:r w:rsidRPr="00FD0636">
        <w:rPr>
          <w:rFonts w:ascii="Times New Roman" w:hAnsi="Times New Roman"/>
        </w:rPr>
        <w:t xml:space="preserve">.  Finally, </w:t>
      </w:r>
      <w:r>
        <w:rPr>
          <w:rFonts w:ascii="Times New Roman" w:hAnsi="Times New Roman"/>
        </w:rPr>
        <w:t>the Akers site provided a</w:t>
      </w:r>
      <w:r w:rsidRPr="00FD0636">
        <w:rPr>
          <w:rFonts w:ascii="Times New Roman" w:hAnsi="Times New Roman"/>
        </w:rPr>
        <w:t xml:space="preserve"> good example of “pin-cushioning,” in which an individual received multiple projectile wounds</w:t>
      </w:r>
      <w:r>
        <w:rPr>
          <w:rFonts w:ascii="Times New Roman" w:hAnsi="Times New Roman"/>
        </w:rPr>
        <w:t xml:space="preserve"> (pictured in Figures 16 and 17)</w:t>
      </w:r>
      <w:r w:rsidRPr="00FD0636">
        <w:rPr>
          <w:rFonts w:ascii="Times New Roman" w:hAnsi="Times New Roman"/>
        </w:rPr>
        <w:t xml:space="preserve">.  Pin-cushioning suggests a vengeance killing (Dye 2009).  </w:t>
      </w:r>
    </w:p>
    <w:p w14:paraId="5E4912A8" w14:textId="29F1612B" w:rsidR="00933C62" w:rsidRDefault="00933C62" w:rsidP="007A1E12">
      <w:pPr>
        <w:ind w:firstLine="720"/>
        <w:rPr>
          <w:rFonts w:ascii="Times New Roman" w:hAnsi="Times New Roman"/>
        </w:rPr>
      </w:pPr>
      <w:r>
        <w:rPr>
          <w:rFonts w:ascii="Times New Roman" w:hAnsi="Times New Roman"/>
        </w:rPr>
        <w:t>This</w:t>
      </w:r>
      <w:r w:rsidRPr="00FD0636">
        <w:rPr>
          <w:rFonts w:ascii="Times New Roman" w:hAnsi="Times New Roman"/>
        </w:rPr>
        <w:t xml:space="preserve"> overall pattern</w:t>
      </w:r>
      <w:r>
        <w:rPr>
          <w:rFonts w:ascii="Times New Roman" w:hAnsi="Times New Roman"/>
        </w:rPr>
        <w:t>,</w:t>
      </w:r>
      <w:r w:rsidRPr="00FD0636">
        <w:rPr>
          <w:rFonts w:ascii="Times New Roman" w:hAnsi="Times New Roman"/>
        </w:rPr>
        <w:t xml:space="preserve"> </w:t>
      </w:r>
      <w:r>
        <w:rPr>
          <w:rFonts w:ascii="Times New Roman" w:hAnsi="Times New Roman"/>
        </w:rPr>
        <w:t>encompassing</w:t>
      </w:r>
      <w:r w:rsidRPr="00FD0636">
        <w:rPr>
          <w:rFonts w:ascii="Times New Roman" w:hAnsi="Times New Roman"/>
        </w:rPr>
        <w:t xml:space="preserve"> pin-cushioning, trophy taking behavior, mass burials, broken and fractured bones,</w:t>
      </w:r>
      <w:r>
        <w:rPr>
          <w:rFonts w:ascii="Times New Roman" w:hAnsi="Times New Roman"/>
        </w:rPr>
        <w:t xml:space="preserve"> and embedded projectile points, </w:t>
      </w:r>
      <w:r w:rsidRPr="00FD0636">
        <w:rPr>
          <w:rFonts w:ascii="Times New Roman" w:hAnsi="Times New Roman"/>
        </w:rPr>
        <w:t>characterizes feuding (Dye 2009, 2013).  While feuding is typical of</w:t>
      </w:r>
      <w:r>
        <w:rPr>
          <w:rFonts w:ascii="Times New Roman" w:hAnsi="Times New Roman"/>
        </w:rPr>
        <w:t xml:space="preserve"> many</w:t>
      </w:r>
      <w:r w:rsidRPr="00FD0636">
        <w:rPr>
          <w:rFonts w:ascii="Times New Roman" w:hAnsi="Times New Roman"/>
        </w:rPr>
        <w:t xml:space="preserve"> Woodland societies, armed conflict varied greatly in the amount of planning, the numbers of combatants, and the numbers of casualties (Milner 1999:107), and this can be seen in the range of casualties from the </w:t>
      </w:r>
      <w:r>
        <w:rPr>
          <w:rFonts w:ascii="Times New Roman" w:hAnsi="Times New Roman"/>
        </w:rPr>
        <w:t>Wister area</w:t>
      </w:r>
      <w:r w:rsidRPr="00FD0636">
        <w:rPr>
          <w:rFonts w:ascii="Times New Roman" w:hAnsi="Times New Roman"/>
        </w:rPr>
        <w:t xml:space="preserve"> (discussed in detail below).  </w:t>
      </w:r>
    </w:p>
    <w:p w14:paraId="2C297415" w14:textId="77777777" w:rsidR="007A1E12" w:rsidRDefault="007A1E12" w:rsidP="00133F61">
      <w:pPr>
        <w:pStyle w:val="Caption"/>
      </w:pPr>
    </w:p>
    <w:p w14:paraId="345D8F4C" w14:textId="77777777" w:rsidR="00933C62" w:rsidRDefault="00933C62" w:rsidP="00133F61">
      <w:pPr>
        <w:pStyle w:val="Caption"/>
      </w:pPr>
      <w:bookmarkStart w:id="99" w:name="_Toc261025247"/>
      <w:r>
        <w:t xml:space="preserve">Table </w:t>
      </w:r>
      <w:fldSimple w:instr=" SEQ Table \* ARABIC ">
        <w:r w:rsidR="00396EB3">
          <w:rPr>
            <w:noProof/>
          </w:rPr>
          <w:t>19</w:t>
        </w:r>
      </w:fldSimple>
      <w:r>
        <w:t xml:space="preserve">  Wister area Fourche Maline sites with mass burials (5 or more individuals)</w:t>
      </w:r>
      <w:bookmarkEnd w:id="99"/>
    </w:p>
    <w:p w14:paraId="044F2F67" w14:textId="77777777" w:rsidR="00933C62" w:rsidRPr="00FD0636" w:rsidRDefault="00933C62" w:rsidP="00133F61">
      <w:pPr>
        <w:pStyle w:val="Caption"/>
      </w:pPr>
    </w:p>
    <w:tbl>
      <w:tblPr>
        <w:tblW w:w="5178"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1260"/>
        <w:gridCol w:w="969"/>
        <w:gridCol w:w="1011"/>
        <w:gridCol w:w="990"/>
      </w:tblGrid>
      <w:tr w:rsidR="00933C62" w:rsidRPr="00242E98" w14:paraId="06DAC143" w14:textId="77777777" w:rsidTr="006E6C4E">
        <w:trPr>
          <w:jc w:val="center"/>
        </w:trPr>
        <w:tc>
          <w:tcPr>
            <w:tcW w:w="948" w:type="dxa"/>
            <w:shd w:val="clear" w:color="auto" w:fill="auto"/>
          </w:tcPr>
          <w:p w14:paraId="6CDA3F42" w14:textId="77777777" w:rsidR="00933C62" w:rsidRPr="00242E98" w:rsidRDefault="00933C62" w:rsidP="006E6C4E">
            <w:pPr>
              <w:spacing w:line="240" w:lineRule="auto"/>
              <w:rPr>
                <w:rFonts w:ascii="Times New Roman" w:hAnsi="Times New Roman"/>
              </w:rPr>
            </w:pPr>
          </w:p>
        </w:tc>
        <w:tc>
          <w:tcPr>
            <w:tcW w:w="1260" w:type="dxa"/>
            <w:shd w:val="clear" w:color="auto" w:fill="auto"/>
          </w:tcPr>
          <w:p w14:paraId="0BB9B3B3" w14:textId="77777777" w:rsidR="00933C62" w:rsidRPr="00242E98" w:rsidRDefault="00933C62" w:rsidP="006E6C4E">
            <w:pPr>
              <w:spacing w:line="240" w:lineRule="auto"/>
              <w:jc w:val="center"/>
              <w:rPr>
                <w:rFonts w:ascii="Times New Roman" w:hAnsi="Times New Roman"/>
                <w:b/>
              </w:rPr>
            </w:pPr>
            <w:r w:rsidRPr="00242E98">
              <w:rPr>
                <w:rFonts w:ascii="Times New Roman" w:hAnsi="Times New Roman"/>
                <w:b/>
              </w:rPr>
              <w:t>Site Name</w:t>
            </w:r>
          </w:p>
        </w:tc>
        <w:tc>
          <w:tcPr>
            <w:tcW w:w="969" w:type="dxa"/>
            <w:shd w:val="clear" w:color="auto" w:fill="auto"/>
          </w:tcPr>
          <w:p w14:paraId="6E2FA314" w14:textId="77777777" w:rsidR="00933C62" w:rsidRPr="00242E98" w:rsidRDefault="00933C62" w:rsidP="006E6C4E">
            <w:pPr>
              <w:spacing w:line="240" w:lineRule="auto"/>
              <w:jc w:val="center"/>
              <w:rPr>
                <w:rFonts w:ascii="Times New Roman" w:hAnsi="Times New Roman"/>
                <w:b/>
              </w:rPr>
            </w:pPr>
            <w:r w:rsidRPr="00242E98">
              <w:rPr>
                <w:rFonts w:ascii="Times New Roman" w:hAnsi="Times New Roman"/>
                <w:b/>
              </w:rPr>
              <w:t># of Mass Graves</w:t>
            </w:r>
          </w:p>
        </w:tc>
        <w:tc>
          <w:tcPr>
            <w:tcW w:w="1011" w:type="dxa"/>
          </w:tcPr>
          <w:p w14:paraId="34903A4A" w14:textId="77777777" w:rsidR="00933C62" w:rsidRPr="00242E98" w:rsidRDefault="00933C62" w:rsidP="006E6C4E">
            <w:pPr>
              <w:spacing w:line="240" w:lineRule="auto"/>
              <w:jc w:val="center"/>
              <w:rPr>
                <w:rFonts w:ascii="Times New Roman" w:hAnsi="Times New Roman"/>
                <w:b/>
              </w:rPr>
            </w:pPr>
            <w:r>
              <w:rPr>
                <w:rFonts w:ascii="Times New Roman" w:hAnsi="Times New Roman"/>
                <w:b/>
              </w:rPr>
              <w:t># of Inds in G</w:t>
            </w:r>
            <w:r w:rsidRPr="00242E98">
              <w:rPr>
                <w:rFonts w:ascii="Times New Roman" w:hAnsi="Times New Roman"/>
                <w:b/>
              </w:rPr>
              <w:t>rave</w:t>
            </w:r>
          </w:p>
        </w:tc>
        <w:tc>
          <w:tcPr>
            <w:tcW w:w="990" w:type="dxa"/>
            <w:shd w:val="clear" w:color="auto" w:fill="auto"/>
          </w:tcPr>
          <w:p w14:paraId="1C1904D3" w14:textId="77777777" w:rsidR="00933C62" w:rsidRPr="00242E98" w:rsidRDefault="00933C62" w:rsidP="006E6C4E">
            <w:pPr>
              <w:spacing w:line="240" w:lineRule="auto"/>
              <w:jc w:val="center"/>
              <w:rPr>
                <w:rFonts w:ascii="Times New Roman" w:hAnsi="Times New Roman"/>
                <w:b/>
              </w:rPr>
            </w:pPr>
            <w:r w:rsidRPr="00242E98">
              <w:rPr>
                <w:rFonts w:ascii="Times New Roman" w:hAnsi="Times New Roman"/>
                <w:b/>
              </w:rPr>
              <w:t>Total Inds</w:t>
            </w:r>
          </w:p>
        </w:tc>
      </w:tr>
      <w:tr w:rsidR="00933C62" w:rsidRPr="00242E98" w14:paraId="130B6782" w14:textId="77777777" w:rsidTr="006E6C4E">
        <w:trPr>
          <w:jc w:val="center"/>
        </w:trPr>
        <w:tc>
          <w:tcPr>
            <w:tcW w:w="948" w:type="dxa"/>
            <w:shd w:val="clear" w:color="auto" w:fill="auto"/>
          </w:tcPr>
          <w:p w14:paraId="1134DA12"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34Lf39</w:t>
            </w:r>
          </w:p>
        </w:tc>
        <w:tc>
          <w:tcPr>
            <w:tcW w:w="1260" w:type="dxa"/>
            <w:shd w:val="clear" w:color="auto" w:fill="auto"/>
          </w:tcPr>
          <w:p w14:paraId="339E96E4" w14:textId="77777777" w:rsidR="00933C62" w:rsidRPr="00242E98" w:rsidRDefault="00933C62" w:rsidP="006E6C4E">
            <w:pPr>
              <w:spacing w:line="240" w:lineRule="auto"/>
              <w:rPr>
                <w:rFonts w:ascii="Times New Roman" w:hAnsi="Times New Roman"/>
              </w:rPr>
            </w:pPr>
            <w:r w:rsidRPr="00242E98">
              <w:rPr>
                <w:rFonts w:ascii="Times New Roman" w:hAnsi="Times New Roman"/>
              </w:rPr>
              <w:t>Brewer</w:t>
            </w:r>
          </w:p>
        </w:tc>
        <w:tc>
          <w:tcPr>
            <w:tcW w:w="969" w:type="dxa"/>
            <w:shd w:val="clear" w:color="auto" w:fill="auto"/>
          </w:tcPr>
          <w:p w14:paraId="660F8510"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w:t>
            </w:r>
          </w:p>
        </w:tc>
        <w:tc>
          <w:tcPr>
            <w:tcW w:w="1011" w:type="dxa"/>
          </w:tcPr>
          <w:p w14:paraId="7C70A7A7"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7</w:t>
            </w:r>
          </w:p>
        </w:tc>
        <w:tc>
          <w:tcPr>
            <w:tcW w:w="990" w:type="dxa"/>
            <w:shd w:val="clear" w:color="auto" w:fill="auto"/>
          </w:tcPr>
          <w:p w14:paraId="08DCA0A4"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146</w:t>
            </w:r>
          </w:p>
        </w:tc>
      </w:tr>
      <w:tr w:rsidR="00933C62" w:rsidRPr="00242E98" w14:paraId="3CFACD52" w14:textId="77777777" w:rsidTr="006E6C4E">
        <w:trPr>
          <w:jc w:val="center"/>
        </w:trPr>
        <w:tc>
          <w:tcPr>
            <w:tcW w:w="948" w:type="dxa"/>
            <w:shd w:val="clear" w:color="auto" w:fill="auto"/>
          </w:tcPr>
          <w:p w14:paraId="378E94FC"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34Lf20</w:t>
            </w:r>
          </w:p>
        </w:tc>
        <w:tc>
          <w:tcPr>
            <w:tcW w:w="1260" w:type="dxa"/>
            <w:shd w:val="clear" w:color="auto" w:fill="auto"/>
          </w:tcPr>
          <w:p w14:paraId="73F64835" w14:textId="77777777" w:rsidR="00933C62" w:rsidRPr="00242E98" w:rsidRDefault="00933C62" w:rsidP="006E6C4E">
            <w:pPr>
              <w:spacing w:line="240" w:lineRule="auto"/>
              <w:rPr>
                <w:rFonts w:ascii="Times New Roman" w:hAnsi="Times New Roman"/>
              </w:rPr>
            </w:pPr>
            <w:r w:rsidRPr="00242E98">
              <w:rPr>
                <w:rFonts w:ascii="Times New Roman" w:hAnsi="Times New Roman"/>
              </w:rPr>
              <w:t>Copeland</w:t>
            </w:r>
          </w:p>
        </w:tc>
        <w:tc>
          <w:tcPr>
            <w:tcW w:w="969" w:type="dxa"/>
            <w:shd w:val="clear" w:color="auto" w:fill="auto"/>
          </w:tcPr>
          <w:p w14:paraId="4A3D1017"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 xml:space="preserve">1 </w:t>
            </w:r>
          </w:p>
        </w:tc>
        <w:tc>
          <w:tcPr>
            <w:tcW w:w="1011" w:type="dxa"/>
          </w:tcPr>
          <w:p w14:paraId="239F1F7E"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5</w:t>
            </w:r>
          </w:p>
        </w:tc>
        <w:tc>
          <w:tcPr>
            <w:tcW w:w="990" w:type="dxa"/>
            <w:shd w:val="clear" w:color="auto" w:fill="auto"/>
          </w:tcPr>
          <w:p w14:paraId="2A87F626"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88</w:t>
            </w:r>
          </w:p>
        </w:tc>
      </w:tr>
      <w:tr w:rsidR="00933C62" w:rsidRPr="00242E98" w14:paraId="23913EEC" w14:textId="77777777" w:rsidTr="006E6C4E">
        <w:trPr>
          <w:jc w:val="center"/>
        </w:trPr>
        <w:tc>
          <w:tcPr>
            <w:tcW w:w="948" w:type="dxa"/>
            <w:shd w:val="clear" w:color="auto" w:fill="auto"/>
          </w:tcPr>
          <w:p w14:paraId="7CA3A17F"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34Lf24</w:t>
            </w:r>
          </w:p>
        </w:tc>
        <w:tc>
          <w:tcPr>
            <w:tcW w:w="1260" w:type="dxa"/>
            <w:shd w:val="clear" w:color="auto" w:fill="auto"/>
          </w:tcPr>
          <w:p w14:paraId="2C7775C1" w14:textId="77777777" w:rsidR="00933C62" w:rsidRPr="00242E98" w:rsidRDefault="00933C62" w:rsidP="006E6C4E">
            <w:pPr>
              <w:spacing w:line="240" w:lineRule="auto"/>
              <w:rPr>
                <w:rFonts w:ascii="Times New Roman" w:hAnsi="Times New Roman"/>
              </w:rPr>
            </w:pPr>
            <w:r w:rsidRPr="00242E98">
              <w:rPr>
                <w:rFonts w:ascii="Times New Roman" w:hAnsi="Times New Roman"/>
              </w:rPr>
              <w:t>Williams I</w:t>
            </w:r>
          </w:p>
        </w:tc>
        <w:tc>
          <w:tcPr>
            <w:tcW w:w="969" w:type="dxa"/>
            <w:shd w:val="clear" w:color="auto" w:fill="auto"/>
          </w:tcPr>
          <w:p w14:paraId="7DED4740"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 xml:space="preserve">1 </w:t>
            </w:r>
          </w:p>
        </w:tc>
        <w:tc>
          <w:tcPr>
            <w:tcW w:w="1011" w:type="dxa"/>
          </w:tcPr>
          <w:p w14:paraId="12D34FCC"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5</w:t>
            </w:r>
          </w:p>
        </w:tc>
        <w:tc>
          <w:tcPr>
            <w:tcW w:w="990" w:type="dxa"/>
            <w:shd w:val="clear" w:color="auto" w:fill="auto"/>
          </w:tcPr>
          <w:p w14:paraId="4FA90E2A"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210</w:t>
            </w:r>
          </w:p>
        </w:tc>
      </w:tr>
      <w:tr w:rsidR="00933C62" w:rsidRPr="00242E98" w14:paraId="4A256590" w14:textId="77777777" w:rsidTr="006E6C4E">
        <w:trPr>
          <w:jc w:val="center"/>
        </w:trPr>
        <w:tc>
          <w:tcPr>
            <w:tcW w:w="948" w:type="dxa"/>
            <w:shd w:val="clear" w:color="auto" w:fill="auto"/>
          </w:tcPr>
          <w:p w14:paraId="16279929"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34Lf32</w:t>
            </w:r>
          </w:p>
        </w:tc>
        <w:tc>
          <w:tcPr>
            <w:tcW w:w="1260" w:type="dxa"/>
            <w:shd w:val="clear" w:color="auto" w:fill="auto"/>
          </w:tcPr>
          <w:p w14:paraId="082B80EE" w14:textId="77777777" w:rsidR="00933C62" w:rsidRPr="00242E98" w:rsidRDefault="00933C62" w:rsidP="006E6C4E">
            <w:pPr>
              <w:spacing w:line="240" w:lineRule="auto"/>
              <w:rPr>
                <w:rFonts w:ascii="Times New Roman" w:hAnsi="Times New Roman"/>
              </w:rPr>
            </w:pPr>
            <w:r w:rsidRPr="00242E98">
              <w:rPr>
                <w:rFonts w:ascii="Times New Roman" w:hAnsi="Times New Roman"/>
              </w:rPr>
              <w:t>Akers</w:t>
            </w:r>
          </w:p>
        </w:tc>
        <w:tc>
          <w:tcPr>
            <w:tcW w:w="969" w:type="dxa"/>
            <w:shd w:val="clear" w:color="auto" w:fill="auto"/>
          </w:tcPr>
          <w:p w14:paraId="07FDE56F"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 xml:space="preserve">1 </w:t>
            </w:r>
          </w:p>
        </w:tc>
        <w:tc>
          <w:tcPr>
            <w:tcW w:w="1011" w:type="dxa"/>
          </w:tcPr>
          <w:p w14:paraId="325784EE"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11</w:t>
            </w:r>
          </w:p>
        </w:tc>
        <w:tc>
          <w:tcPr>
            <w:tcW w:w="990" w:type="dxa"/>
            <w:shd w:val="clear" w:color="auto" w:fill="auto"/>
          </w:tcPr>
          <w:p w14:paraId="62935B60"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206</w:t>
            </w:r>
          </w:p>
        </w:tc>
      </w:tr>
      <w:tr w:rsidR="00933C62" w:rsidRPr="00242E98" w14:paraId="40061268" w14:textId="77777777" w:rsidTr="006E6C4E">
        <w:trPr>
          <w:jc w:val="center"/>
        </w:trPr>
        <w:tc>
          <w:tcPr>
            <w:tcW w:w="948" w:type="dxa"/>
            <w:shd w:val="clear" w:color="auto" w:fill="auto"/>
          </w:tcPr>
          <w:p w14:paraId="17B6308A"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34Lf33</w:t>
            </w:r>
          </w:p>
        </w:tc>
        <w:tc>
          <w:tcPr>
            <w:tcW w:w="1260" w:type="dxa"/>
            <w:shd w:val="clear" w:color="auto" w:fill="auto"/>
          </w:tcPr>
          <w:p w14:paraId="4370CED6" w14:textId="77777777" w:rsidR="00933C62" w:rsidRPr="00242E98" w:rsidRDefault="00933C62" w:rsidP="006E6C4E">
            <w:pPr>
              <w:spacing w:line="240" w:lineRule="auto"/>
              <w:rPr>
                <w:rFonts w:ascii="Times New Roman" w:hAnsi="Times New Roman"/>
              </w:rPr>
            </w:pPr>
            <w:r w:rsidRPr="00242E98">
              <w:rPr>
                <w:rFonts w:ascii="Times New Roman" w:hAnsi="Times New Roman"/>
              </w:rPr>
              <w:t>Adams</w:t>
            </w:r>
          </w:p>
        </w:tc>
        <w:tc>
          <w:tcPr>
            <w:tcW w:w="969" w:type="dxa"/>
            <w:shd w:val="clear" w:color="auto" w:fill="auto"/>
          </w:tcPr>
          <w:p w14:paraId="59BBC421"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w:t>
            </w:r>
          </w:p>
        </w:tc>
        <w:tc>
          <w:tcPr>
            <w:tcW w:w="1011" w:type="dxa"/>
          </w:tcPr>
          <w:p w14:paraId="135FFE68"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11</w:t>
            </w:r>
          </w:p>
        </w:tc>
        <w:tc>
          <w:tcPr>
            <w:tcW w:w="990" w:type="dxa"/>
            <w:shd w:val="clear" w:color="auto" w:fill="auto"/>
          </w:tcPr>
          <w:p w14:paraId="64AF9C25"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79</w:t>
            </w:r>
          </w:p>
        </w:tc>
      </w:tr>
      <w:tr w:rsidR="00933C62" w:rsidRPr="00242E98" w14:paraId="6B147A97" w14:textId="77777777" w:rsidTr="006E6C4E">
        <w:trPr>
          <w:jc w:val="center"/>
        </w:trPr>
        <w:tc>
          <w:tcPr>
            <w:tcW w:w="948" w:type="dxa"/>
            <w:shd w:val="clear" w:color="auto" w:fill="auto"/>
          </w:tcPr>
          <w:p w14:paraId="43FCE6E3"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34Lf27</w:t>
            </w:r>
          </w:p>
        </w:tc>
        <w:tc>
          <w:tcPr>
            <w:tcW w:w="1260" w:type="dxa"/>
            <w:shd w:val="clear" w:color="auto" w:fill="auto"/>
          </w:tcPr>
          <w:p w14:paraId="58327AC4" w14:textId="77777777" w:rsidR="00933C62" w:rsidRPr="00242E98" w:rsidRDefault="00933C62" w:rsidP="006E6C4E">
            <w:pPr>
              <w:spacing w:line="240" w:lineRule="auto"/>
              <w:rPr>
                <w:rFonts w:ascii="Times New Roman" w:hAnsi="Times New Roman"/>
              </w:rPr>
            </w:pPr>
            <w:r w:rsidRPr="00242E98">
              <w:rPr>
                <w:rFonts w:ascii="Times New Roman" w:hAnsi="Times New Roman"/>
              </w:rPr>
              <w:t>Wann</w:t>
            </w:r>
          </w:p>
        </w:tc>
        <w:tc>
          <w:tcPr>
            <w:tcW w:w="969" w:type="dxa"/>
            <w:shd w:val="clear" w:color="auto" w:fill="auto"/>
          </w:tcPr>
          <w:p w14:paraId="239C850D"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w:t>
            </w:r>
          </w:p>
        </w:tc>
        <w:tc>
          <w:tcPr>
            <w:tcW w:w="1011" w:type="dxa"/>
          </w:tcPr>
          <w:p w14:paraId="46A90104"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5</w:t>
            </w:r>
          </w:p>
        </w:tc>
        <w:tc>
          <w:tcPr>
            <w:tcW w:w="990" w:type="dxa"/>
            <w:shd w:val="clear" w:color="auto" w:fill="auto"/>
          </w:tcPr>
          <w:p w14:paraId="5C98C042"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32</w:t>
            </w:r>
          </w:p>
        </w:tc>
      </w:tr>
      <w:tr w:rsidR="00933C62" w:rsidRPr="00242E98" w14:paraId="6753862A" w14:textId="77777777" w:rsidTr="006E6C4E">
        <w:trPr>
          <w:jc w:val="center"/>
        </w:trPr>
        <w:tc>
          <w:tcPr>
            <w:tcW w:w="948" w:type="dxa"/>
            <w:shd w:val="clear" w:color="auto" w:fill="auto"/>
          </w:tcPr>
          <w:p w14:paraId="0BAFF22A"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34Lf29</w:t>
            </w:r>
          </w:p>
        </w:tc>
        <w:tc>
          <w:tcPr>
            <w:tcW w:w="1260" w:type="dxa"/>
            <w:shd w:val="clear" w:color="auto" w:fill="auto"/>
          </w:tcPr>
          <w:p w14:paraId="77E9D9BF" w14:textId="77777777" w:rsidR="00933C62" w:rsidRPr="00242E98" w:rsidRDefault="00933C62" w:rsidP="006E6C4E">
            <w:pPr>
              <w:spacing w:line="240" w:lineRule="auto"/>
              <w:rPr>
                <w:rFonts w:ascii="Times New Roman" w:hAnsi="Times New Roman"/>
              </w:rPr>
            </w:pPr>
            <w:r w:rsidRPr="00242E98">
              <w:rPr>
                <w:rFonts w:ascii="Times New Roman" w:hAnsi="Times New Roman"/>
              </w:rPr>
              <w:t>Mackey</w:t>
            </w:r>
          </w:p>
        </w:tc>
        <w:tc>
          <w:tcPr>
            <w:tcW w:w="969" w:type="dxa"/>
            <w:shd w:val="clear" w:color="auto" w:fill="auto"/>
          </w:tcPr>
          <w:p w14:paraId="61535FD5"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3</w:t>
            </w:r>
          </w:p>
        </w:tc>
        <w:tc>
          <w:tcPr>
            <w:tcW w:w="1011" w:type="dxa"/>
          </w:tcPr>
          <w:p w14:paraId="56905A80"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5, 5, 6</w:t>
            </w:r>
          </w:p>
        </w:tc>
        <w:tc>
          <w:tcPr>
            <w:tcW w:w="990" w:type="dxa"/>
            <w:shd w:val="clear" w:color="auto" w:fill="auto"/>
          </w:tcPr>
          <w:p w14:paraId="7AECBE75"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165</w:t>
            </w:r>
          </w:p>
        </w:tc>
      </w:tr>
      <w:tr w:rsidR="00933C62" w:rsidRPr="00242E98" w14:paraId="0020B939" w14:textId="77777777" w:rsidTr="006E6C4E">
        <w:trPr>
          <w:jc w:val="center"/>
        </w:trPr>
        <w:tc>
          <w:tcPr>
            <w:tcW w:w="948" w:type="dxa"/>
            <w:shd w:val="clear" w:color="auto" w:fill="auto"/>
          </w:tcPr>
          <w:p w14:paraId="0A4ED63F" w14:textId="77777777" w:rsidR="00933C62" w:rsidRPr="00242E98" w:rsidRDefault="00933C62" w:rsidP="006E6C4E">
            <w:pPr>
              <w:spacing w:line="240" w:lineRule="auto"/>
              <w:rPr>
                <w:rFonts w:ascii="Times New Roman" w:hAnsi="Times New Roman"/>
              </w:rPr>
            </w:pPr>
            <w:r w:rsidRPr="00242E98">
              <w:rPr>
                <w:rFonts w:ascii="Times New Roman" w:hAnsi="Times New Roman"/>
              </w:rPr>
              <w:t>34Lf15</w:t>
            </w:r>
          </w:p>
        </w:tc>
        <w:tc>
          <w:tcPr>
            <w:tcW w:w="1260" w:type="dxa"/>
            <w:shd w:val="clear" w:color="auto" w:fill="auto"/>
          </w:tcPr>
          <w:p w14:paraId="0D7DF253" w14:textId="77777777" w:rsidR="00933C62" w:rsidRPr="00242E98" w:rsidRDefault="00933C62" w:rsidP="006E6C4E">
            <w:pPr>
              <w:spacing w:line="240" w:lineRule="auto"/>
              <w:rPr>
                <w:rFonts w:ascii="Times New Roman" w:hAnsi="Times New Roman"/>
              </w:rPr>
            </w:pPr>
            <w:r w:rsidRPr="00242E98">
              <w:rPr>
                <w:rFonts w:ascii="Times New Roman" w:hAnsi="Times New Roman"/>
              </w:rPr>
              <w:t>Redwine</w:t>
            </w:r>
          </w:p>
        </w:tc>
        <w:tc>
          <w:tcPr>
            <w:tcW w:w="969" w:type="dxa"/>
            <w:shd w:val="clear" w:color="auto" w:fill="auto"/>
          </w:tcPr>
          <w:p w14:paraId="33C61FE9" w14:textId="77777777" w:rsidR="00933C62" w:rsidRPr="00242E98" w:rsidRDefault="00933C62" w:rsidP="006E6C4E">
            <w:pPr>
              <w:spacing w:line="240" w:lineRule="auto"/>
              <w:jc w:val="right"/>
              <w:rPr>
                <w:rFonts w:ascii="Times New Roman" w:hAnsi="Times New Roman"/>
              </w:rPr>
            </w:pPr>
            <w:r w:rsidRPr="00242E98">
              <w:rPr>
                <w:rFonts w:ascii="Times New Roman" w:hAnsi="Times New Roman"/>
              </w:rPr>
              <w:t>1</w:t>
            </w:r>
          </w:p>
        </w:tc>
        <w:tc>
          <w:tcPr>
            <w:tcW w:w="1011" w:type="dxa"/>
          </w:tcPr>
          <w:p w14:paraId="52C30B9B" w14:textId="77777777" w:rsidR="00933C62" w:rsidRPr="00242E98" w:rsidRDefault="00933C62" w:rsidP="006E6C4E">
            <w:pPr>
              <w:spacing w:line="240" w:lineRule="auto"/>
              <w:jc w:val="right"/>
              <w:rPr>
                <w:rFonts w:ascii="Times New Roman" w:hAnsi="Times New Roman"/>
              </w:rPr>
            </w:pPr>
            <w:r>
              <w:rPr>
                <w:rFonts w:ascii="Times New Roman" w:hAnsi="Times New Roman"/>
              </w:rPr>
              <w:t>1</w:t>
            </w:r>
            <w:r w:rsidRPr="00242E98">
              <w:rPr>
                <w:rFonts w:ascii="Times New Roman" w:hAnsi="Times New Roman"/>
              </w:rPr>
              <w:t>1</w:t>
            </w:r>
          </w:p>
        </w:tc>
        <w:tc>
          <w:tcPr>
            <w:tcW w:w="990" w:type="dxa"/>
            <w:shd w:val="clear" w:color="auto" w:fill="auto"/>
          </w:tcPr>
          <w:p w14:paraId="1FA10A9C" w14:textId="77777777" w:rsidR="00933C62" w:rsidRPr="00242E98" w:rsidRDefault="00933C62" w:rsidP="006E6C4E">
            <w:pPr>
              <w:spacing w:line="240" w:lineRule="auto"/>
              <w:jc w:val="right"/>
              <w:rPr>
                <w:rFonts w:ascii="Times New Roman" w:hAnsi="Times New Roman"/>
              </w:rPr>
            </w:pPr>
            <w:r>
              <w:rPr>
                <w:rFonts w:ascii="Times New Roman" w:hAnsi="Times New Roman"/>
              </w:rPr>
              <w:t>18</w:t>
            </w:r>
          </w:p>
        </w:tc>
      </w:tr>
      <w:tr w:rsidR="00933C62" w:rsidRPr="00242E98" w14:paraId="241BB10E" w14:textId="77777777" w:rsidTr="006E6C4E">
        <w:trPr>
          <w:jc w:val="center"/>
        </w:trPr>
        <w:tc>
          <w:tcPr>
            <w:tcW w:w="948" w:type="dxa"/>
            <w:shd w:val="clear" w:color="auto" w:fill="auto"/>
          </w:tcPr>
          <w:p w14:paraId="026E7C2E" w14:textId="77777777" w:rsidR="00933C62" w:rsidRPr="00242E98" w:rsidRDefault="00933C62" w:rsidP="006E6C4E">
            <w:pPr>
              <w:spacing w:line="240" w:lineRule="auto"/>
              <w:rPr>
                <w:rFonts w:ascii="Times New Roman" w:hAnsi="Times New Roman"/>
              </w:rPr>
            </w:pPr>
          </w:p>
        </w:tc>
        <w:tc>
          <w:tcPr>
            <w:tcW w:w="1260" w:type="dxa"/>
            <w:shd w:val="clear" w:color="auto" w:fill="auto"/>
          </w:tcPr>
          <w:p w14:paraId="639E943A" w14:textId="77777777" w:rsidR="00933C62" w:rsidRPr="00242E98" w:rsidRDefault="00933C62" w:rsidP="006E6C4E">
            <w:pPr>
              <w:spacing w:line="240" w:lineRule="auto"/>
              <w:jc w:val="right"/>
              <w:rPr>
                <w:rFonts w:ascii="Times New Roman" w:hAnsi="Times New Roman"/>
                <w:b/>
              </w:rPr>
            </w:pPr>
            <w:r w:rsidRPr="00242E98">
              <w:rPr>
                <w:rFonts w:ascii="Times New Roman" w:hAnsi="Times New Roman"/>
                <w:b/>
              </w:rPr>
              <w:t>Totals</w:t>
            </w:r>
          </w:p>
        </w:tc>
        <w:tc>
          <w:tcPr>
            <w:tcW w:w="969" w:type="dxa"/>
            <w:shd w:val="clear" w:color="auto" w:fill="auto"/>
          </w:tcPr>
          <w:p w14:paraId="55A96107" w14:textId="77777777" w:rsidR="00933C62" w:rsidRPr="00242E98" w:rsidRDefault="00933C62" w:rsidP="006E6C4E">
            <w:pPr>
              <w:spacing w:line="240" w:lineRule="auto"/>
              <w:jc w:val="right"/>
              <w:rPr>
                <w:rFonts w:ascii="Times New Roman" w:hAnsi="Times New Roman"/>
                <w:b/>
              </w:rPr>
            </w:pPr>
            <w:r>
              <w:rPr>
                <w:rFonts w:ascii="Times New Roman" w:hAnsi="Times New Roman"/>
                <w:b/>
              </w:rPr>
              <w:t>10</w:t>
            </w:r>
            <w:r w:rsidRPr="00242E98">
              <w:rPr>
                <w:rFonts w:ascii="Times New Roman" w:hAnsi="Times New Roman"/>
                <w:b/>
              </w:rPr>
              <w:t xml:space="preserve"> </w:t>
            </w:r>
          </w:p>
        </w:tc>
        <w:tc>
          <w:tcPr>
            <w:tcW w:w="1011" w:type="dxa"/>
          </w:tcPr>
          <w:p w14:paraId="5DFC4001" w14:textId="77777777" w:rsidR="00933C62" w:rsidRPr="00242E98" w:rsidRDefault="00933C62" w:rsidP="006E6C4E">
            <w:pPr>
              <w:spacing w:line="240" w:lineRule="auto"/>
              <w:jc w:val="right"/>
              <w:rPr>
                <w:rFonts w:ascii="Times New Roman" w:hAnsi="Times New Roman"/>
                <w:b/>
              </w:rPr>
            </w:pPr>
            <w:r>
              <w:rPr>
                <w:rFonts w:ascii="Times New Roman" w:hAnsi="Times New Roman"/>
                <w:b/>
              </w:rPr>
              <w:t>7</w:t>
            </w:r>
            <w:r w:rsidRPr="00242E98">
              <w:rPr>
                <w:rFonts w:ascii="Times New Roman" w:hAnsi="Times New Roman"/>
                <w:b/>
              </w:rPr>
              <w:t>1</w:t>
            </w:r>
          </w:p>
        </w:tc>
        <w:tc>
          <w:tcPr>
            <w:tcW w:w="990" w:type="dxa"/>
            <w:shd w:val="clear" w:color="auto" w:fill="auto"/>
          </w:tcPr>
          <w:p w14:paraId="313046DF" w14:textId="77777777" w:rsidR="00933C62" w:rsidRPr="00242E98" w:rsidRDefault="00933C62" w:rsidP="006E6C4E">
            <w:pPr>
              <w:spacing w:line="240" w:lineRule="auto"/>
              <w:jc w:val="right"/>
              <w:rPr>
                <w:rFonts w:ascii="Times New Roman" w:hAnsi="Times New Roman"/>
                <w:b/>
              </w:rPr>
            </w:pPr>
            <w:r>
              <w:rPr>
                <w:rFonts w:ascii="Times New Roman" w:hAnsi="Times New Roman"/>
                <w:b/>
              </w:rPr>
              <w:t>944</w:t>
            </w:r>
          </w:p>
        </w:tc>
      </w:tr>
    </w:tbl>
    <w:p w14:paraId="556429F8" w14:textId="77777777" w:rsidR="00933C62" w:rsidRPr="00FD0636" w:rsidRDefault="00933C62" w:rsidP="00933C62">
      <w:pPr>
        <w:ind w:firstLine="720"/>
        <w:rPr>
          <w:rFonts w:ascii="Times New Roman" w:hAnsi="Times New Roman"/>
        </w:rPr>
      </w:pPr>
    </w:p>
    <w:p w14:paraId="7EAAFEA9" w14:textId="77777777" w:rsidR="00933C62" w:rsidRPr="00FD0636" w:rsidRDefault="00933C62" w:rsidP="00933C62">
      <w:pPr>
        <w:ind w:firstLine="720"/>
        <w:rPr>
          <w:rFonts w:ascii="Times New Roman" w:hAnsi="Times New Roman"/>
        </w:rPr>
      </w:pPr>
      <w:r w:rsidRPr="00FD0636">
        <w:rPr>
          <w:rFonts w:ascii="Times New Roman" w:hAnsi="Times New Roman"/>
        </w:rPr>
        <w:t xml:space="preserve">The frustrating lack of traditional data used for studying violence in the archaeological record has led to an attempt to utilize another line of evidence regarding the question of conflict in the </w:t>
      </w:r>
      <w:r>
        <w:rPr>
          <w:rFonts w:ascii="Times New Roman" w:hAnsi="Times New Roman"/>
        </w:rPr>
        <w:t>Wister area</w:t>
      </w:r>
      <w:r w:rsidRPr="00FD0636">
        <w:rPr>
          <w:rFonts w:ascii="Times New Roman" w:hAnsi="Times New Roman"/>
        </w:rPr>
        <w:t>.  It has been argued that multiple burials (i.e. burials in which more than one person was interred in a single grave) may indicate violence, particularly sacrifice (Guilane and Zammit 20</w:t>
      </w:r>
      <w:r>
        <w:rPr>
          <w:rFonts w:ascii="Times New Roman" w:hAnsi="Times New Roman"/>
        </w:rPr>
        <w:t>01:33-35).  M</w:t>
      </w:r>
      <w:r w:rsidRPr="00FD0636">
        <w:rPr>
          <w:rFonts w:ascii="Times New Roman" w:hAnsi="Times New Roman"/>
        </w:rPr>
        <w:t>ultiple victims in a single grave “constitute good evidence for intergroup conflict” (Milner 1999:111).  Burials of same sex individuals have been taken as evidenc</w:t>
      </w:r>
      <w:r>
        <w:rPr>
          <w:rFonts w:ascii="Times New Roman" w:hAnsi="Times New Roman"/>
        </w:rPr>
        <w:t>e of ambush of task groups, for example,</w:t>
      </w:r>
      <w:r w:rsidRPr="00FD0636">
        <w:rPr>
          <w:rFonts w:ascii="Times New Roman" w:hAnsi="Times New Roman"/>
        </w:rPr>
        <w:t xml:space="preserve"> groups of women engaged in gathering activities (Dye 2009:9).  Although illness is a possible explanation for multiple burials, all indications are that population levels in hunter-gatherer societies were not high enough to sustain infectious disease epidemics that might result in mass deaths/graves.  Similarly, accidents involving multiple victims would have been quite rare.  While not every single group burial will have been a violent death, </w:t>
      </w:r>
      <w:r>
        <w:rPr>
          <w:rFonts w:ascii="Times New Roman" w:hAnsi="Times New Roman"/>
        </w:rPr>
        <w:t>and</w:t>
      </w:r>
      <w:r w:rsidRPr="00FD0636">
        <w:rPr>
          <w:rFonts w:ascii="Times New Roman" w:hAnsi="Times New Roman"/>
        </w:rPr>
        <w:t xml:space="preserve"> multiple burials are at best an approximation of the rates of trauma and conflict in a society, it is a measurable variable that does not require physical analysis of skeletal remains and can be used for inter</w:t>
      </w:r>
      <w:r>
        <w:rPr>
          <w:rFonts w:ascii="Times New Roman" w:hAnsi="Times New Roman"/>
        </w:rPr>
        <w:t xml:space="preserve">site </w:t>
      </w:r>
      <w:r w:rsidRPr="00FD0636">
        <w:rPr>
          <w:rFonts w:ascii="Times New Roman" w:hAnsi="Times New Roman"/>
        </w:rPr>
        <w:t>comparison</w:t>
      </w:r>
      <w:r>
        <w:rPr>
          <w:rFonts w:ascii="Times New Roman" w:hAnsi="Times New Roman"/>
        </w:rPr>
        <w:t>s</w:t>
      </w:r>
      <w:r w:rsidRPr="00FD0636">
        <w:rPr>
          <w:rFonts w:ascii="Times New Roman" w:hAnsi="Times New Roman"/>
        </w:rPr>
        <w:t xml:space="preserve">.  </w:t>
      </w:r>
    </w:p>
    <w:p w14:paraId="00F884FF" w14:textId="77777777" w:rsidR="00933C62" w:rsidRDefault="00933C62" w:rsidP="00933C62">
      <w:pPr>
        <w:ind w:firstLine="720"/>
        <w:rPr>
          <w:rFonts w:ascii="Times New Roman" w:hAnsi="Times New Roman"/>
        </w:rPr>
      </w:pPr>
      <w:r>
        <w:rPr>
          <w:rFonts w:ascii="Times New Roman" w:hAnsi="Times New Roman"/>
        </w:rPr>
        <w:t xml:space="preserve">This chapter seeks to determine the number of group burials (taken as proxy evidence for </w:t>
      </w:r>
      <w:r w:rsidRPr="00FD0636">
        <w:rPr>
          <w:rFonts w:ascii="Times New Roman" w:hAnsi="Times New Roman"/>
        </w:rPr>
        <w:t>peri-mortem trauma and conflict</w:t>
      </w:r>
      <w:r>
        <w:rPr>
          <w:rFonts w:ascii="Times New Roman" w:hAnsi="Times New Roman"/>
        </w:rPr>
        <w:t xml:space="preserve">) in Wister area Fourche Maline sites.  A second goal is to determine the number of extra and/or missing skulls, used as evidence for trophy taking behavior.  </w:t>
      </w:r>
      <w:r w:rsidRPr="00FD0636">
        <w:rPr>
          <w:rFonts w:ascii="Times New Roman" w:hAnsi="Times New Roman"/>
        </w:rPr>
        <w:t>Evidence for multiple burials (i.e. burials with &gt;1 person)</w:t>
      </w:r>
      <w:r>
        <w:rPr>
          <w:rFonts w:ascii="Times New Roman" w:hAnsi="Times New Roman"/>
        </w:rPr>
        <w:t>,</w:t>
      </w:r>
      <w:r w:rsidRPr="00FD0636">
        <w:rPr>
          <w:rFonts w:ascii="Times New Roman" w:hAnsi="Times New Roman"/>
        </w:rPr>
        <w:t xml:space="preserve"> </w:t>
      </w:r>
      <w:r>
        <w:rPr>
          <w:rFonts w:ascii="Times New Roman" w:hAnsi="Times New Roman"/>
        </w:rPr>
        <w:t>as well as extra and missing skulls, was examined for 13 Fourche Maline sites along Fourche Maline Creek and the Poteau River</w:t>
      </w:r>
      <w:r w:rsidRPr="00FD0636">
        <w:rPr>
          <w:rFonts w:ascii="Times New Roman" w:hAnsi="Times New Roman"/>
        </w:rPr>
        <w:t>.</w:t>
      </w:r>
      <w:r>
        <w:rPr>
          <w:rFonts w:ascii="Times New Roman" w:hAnsi="Times New Roman"/>
        </w:rPr>
        <w:t xml:space="preserve"> </w:t>
      </w:r>
      <w:r w:rsidRPr="00FD0636">
        <w:rPr>
          <w:rFonts w:ascii="Times New Roman" w:hAnsi="Times New Roman"/>
        </w:rPr>
        <w:t xml:space="preserve"> Patterns of conflict are addressed in a valley-wide context.</w:t>
      </w:r>
    </w:p>
    <w:p w14:paraId="5912D7D1" w14:textId="77777777" w:rsidR="00933C62" w:rsidRDefault="00933C62" w:rsidP="00933C62">
      <w:pPr>
        <w:spacing w:line="240" w:lineRule="auto"/>
        <w:ind w:firstLine="720"/>
        <w:rPr>
          <w:rFonts w:ascii="Times New Roman" w:hAnsi="Times New Roman"/>
        </w:rPr>
      </w:pPr>
    </w:p>
    <w:p w14:paraId="42EE5B12" w14:textId="77777777" w:rsidR="00933C62" w:rsidRPr="00625928" w:rsidRDefault="00933C62" w:rsidP="00CB4ED0">
      <w:pPr>
        <w:pStyle w:val="Heading2"/>
      </w:pPr>
      <w:bookmarkStart w:id="100" w:name="_Toc261025879"/>
      <w:r w:rsidRPr="00625928">
        <w:t>Methods and Materials</w:t>
      </w:r>
      <w:bookmarkEnd w:id="100"/>
    </w:p>
    <w:p w14:paraId="4D28A74B" w14:textId="77777777" w:rsidR="00933C62" w:rsidRPr="00FD0636" w:rsidRDefault="00933C62" w:rsidP="00933C62">
      <w:pPr>
        <w:ind w:firstLine="720"/>
        <w:rPr>
          <w:rFonts w:ascii="Times New Roman" w:hAnsi="Times New Roman"/>
        </w:rPr>
      </w:pPr>
      <w:r w:rsidRPr="00FD0636">
        <w:rPr>
          <w:rFonts w:ascii="Times New Roman" w:hAnsi="Times New Roman"/>
        </w:rPr>
        <w:t>The previously discussed WPA excavations</w:t>
      </w:r>
      <w:r>
        <w:rPr>
          <w:rFonts w:ascii="Times New Roman" w:hAnsi="Times New Roman"/>
        </w:rPr>
        <w:t xml:space="preserve"> (see Chapter 3)</w:t>
      </w:r>
      <w:r w:rsidRPr="00FD0636">
        <w:rPr>
          <w:rFonts w:ascii="Times New Roman" w:hAnsi="Times New Roman"/>
        </w:rPr>
        <w:t xml:space="preserve"> along</w:t>
      </w:r>
      <w:r>
        <w:rPr>
          <w:rFonts w:ascii="Times New Roman" w:hAnsi="Times New Roman"/>
        </w:rPr>
        <w:t xml:space="preserve"> Fourche Maline Creek in the</w:t>
      </w:r>
      <w:r w:rsidRPr="00FD0636">
        <w:rPr>
          <w:rFonts w:ascii="Times New Roman" w:hAnsi="Times New Roman"/>
        </w:rPr>
        <w:t xml:space="preserve"> </w:t>
      </w:r>
      <w:r>
        <w:rPr>
          <w:rFonts w:ascii="Times New Roman" w:hAnsi="Times New Roman"/>
        </w:rPr>
        <w:t>Wister area</w:t>
      </w:r>
      <w:r w:rsidRPr="00FD0636">
        <w:rPr>
          <w:rFonts w:ascii="Times New Roman" w:hAnsi="Times New Roman"/>
        </w:rPr>
        <w:t xml:space="preserve"> resulted in a plethora of burials and artifacts, most of which are stored at SNOMNH.  Also stored at SNOMNH are the associated original field notes, Archaeological Data Sheets (ADS), original field photographs, and excavation sketches of nearly every burial excavated in the </w:t>
      </w:r>
      <w:r>
        <w:rPr>
          <w:rFonts w:ascii="Times New Roman" w:hAnsi="Times New Roman"/>
        </w:rPr>
        <w:t>Wister area</w:t>
      </w:r>
      <w:r w:rsidRPr="00FD0636">
        <w:rPr>
          <w:rFonts w:ascii="Times New Roman" w:hAnsi="Times New Roman"/>
        </w:rPr>
        <w:t>.  These archives were examined for ev</w:t>
      </w:r>
      <w:r>
        <w:rPr>
          <w:rFonts w:ascii="Times New Roman" w:hAnsi="Times New Roman"/>
        </w:rPr>
        <w:t>idence of multiple burials at 13</w:t>
      </w:r>
      <w:r w:rsidRPr="00FD0636">
        <w:rPr>
          <w:rFonts w:ascii="Times New Roman" w:hAnsi="Times New Roman"/>
        </w:rPr>
        <w:t xml:space="preserve"> </w:t>
      </w:r>
      <w:r>
        <w:rPr>
          <w:rFonts w:ascii="Times New Roman" w:hAnsi="Times New Roman"/>
        </w:rPr>
        <w:t>Wister area</w:t>
      </w:r>
      <w:r w:rsidRPr="00FD0636">
        <w:rPr>
          <w:rFonts w:ascii="Times New Roman" w:hAnsi="Times New Roman"/>
        </w:rPr>
        <w:t xml:space="preserve"> Fourche Maline sites.</w:t>
      </w:r>
    </w:p>
    <w:p w14:paraId="2BA6B559" w14:textId="77777777" w:rsidR="00933C62" w:rsidRPr="00FD0636" w:rsidRDefault="00933C62" w:rsidP="00933C62">
      <w:pPr>
        <w:ind w:firstLine="720"/>
        <w:rPr>
          <w:rFonts w:ascii="Times New Roman" w:hAnsi="Times New Roman"/>
        </w:rPr>
      </w:pPr>
      <w:r w:rsidRPr="00FD0636">
        <w:rPr>
          <w:rFonts w:ascii="Times New Roman" w:hAnsi="Times New Roman"/>
        </w:rPr>
        <w:t>Given that the predominant burial pattern at Fourche Maline sites was primary, single interments, all burials</w:t>
      </w:r>
      <w:r>
        <w:rPr>
          <w:rFonts w:ascii="Times New Roman" w:hAnsi="Times New Roman"/>
        </w:rPr>
        <w:t xml:space="preserve"> were considered</w:t>
      </w:r>
      <w:r w:rsidRPr="00FD0636">
        <w:rPr>
          <w:rFonts w:ascii="Times New Roman" w:hAnsi="Times New Roman"/>
        </w:rPr>
        <w:t xml:space="preserve"> to be single, primary interments unless there was </w:t>
      </w:r>
      <w:r>
        <w:rPr>
          <w:rFonts w:ascii="Times New Roman" w:hAnsi="Times New Roman"/>
        </w:rPr>
        <w:t>visual</w:t>
      </w:r>
      <w:r w:rsidRPr="00FD0636">
        <w:rPr>
          <w:rFonts w:ascii="Times New Roman" w:hAnsi="Times New Roman"/>
        </w:rPr>
        <w:t xml:space="preserve"> evidence suggesting that more than one set of remains were interred together.  Content analysis of field photographs, field sketches, inspection of field notes, Archaeological Data Sheets, and (when available) site burial maps revealed that some “multiple burials” were actually single burials eith</w:t>
      </w:r>
      <w:r>
        <w:rPr>
          <w:rFonts w:ascii="Times New Roman" w:hAnsi="Times New Roman"/>
        </w:rPr>
        <w:t>er commingled or intruding upon other interments.</w:t>
      </w:r>
    </w:p>
    <w:p w14:paraId="3587EDA6" w14:textId="77777777" w:rsidR="00933C62" w:rsidRDefault="00933C62" w:rsidP="00933C62">
      <w:pPr>
        <w:ind w:firstLine="720"/>
        <w:rPr>
          <w:rFonts w:ascii="Times New Roman" w:hAnsi="Times New Roman"/>
        </w:rPr>
      </w:pPr>
      <w:r w:rsidRPr="00FD0636">
        <w:rPr>
          <w:rFonts w:ascii="Times New Roman" w:hAnsi="Times New Roman"/>
        </w:rPr>
        <w:t xml:space="preserve">For instance, the ADS sheet for Burial 9 from the Akers site (34Lf32) states “compound, consists of 3 inds A, B, C.”  However examination of the excavation photo (Figure </w:t>
      </w:r>
      <w:r>
        <w:rPr>
          <w:rFonts w:ascii="Times New Roman" w:hAnsi="Times New Roman"/>
        </w:rPr>
        <w:t>21)</w:t>
      </w:r>
      <w:r w:rsidRPr="00FD0636">
        <w:rPr>
          <w:rFonts w:ascii="Times New Roman" w:hAnsi="Times New Roman"/>
        </w:rPr>
        <w:t xml:space="preserve"> shows three individuals, in different states of preservation, who appear to have been interred somewhat randomly with no obvious relationship between them.  Burial 9 was therefore considered to be three separate burials: Burial 9A (most complete, burial on the Left), 9B (middle burial, at a lower level, probably an older, intruded upon burial), and 9C (to the Right, skull and arm bones only, probably most recent and disturbed).  The term “compound” in the original notes was </w:t>
      </w:r>
      <w:r>
        <w:rPr>
          <w:rFonts w:ascii="Times New Roman" w:hAnsi="Times New Roman"/>
        </w:rPr>
        <w:t xml:space="preserve">therefore </w:t>
      </w:r>
      <w:r w:rsidRPr="00FD0636">
        <w:rPr>
          <w:rFonts w:ascii="Times New Roman" w:hAnsi="Times New Roman"/>
        </w:rPr>
        <w:t xml:space="preserve">disregarded.  </w:t>
      </w:r>
    </w:p>
    <w:p w14:paraId="3AB4DCBC" w14:textId="77777777" w:rsidR="00933C62" w:rsidRDefault="00933C62" w:rsidP="00933C62">
      <w:pPr>
        <w:ind w:firstLine="720"/>
        <w:rPr>
          <w:rFonts w:ascii="Times New Roman" w:hAnsi="Times New Roman"/>
        </w:rPr>
      </w:pPr>
      <w:r w:rsidRPr="00FD0636">
        <w:rPr>
          <w:rFonts w:ascii="Times New Roman" w:hAnsi="Times New Roman"/>
        </w:rPr>
        <w:t>All burials deemed compound by the WPA were analyzed in this way.  In order to count as a multiple burial for this analysis, two corroborating pieces of evidence had to be available.  Field notes or excavation data sheets</w:t>
      </w:r>
      <w:r>
        <w:rPr>
          <w:rFonts w:ascii="Times New Roman" w:hAnsi="Times New Roman"/>
        </w:rPr>
        <w:t>,</w:t>
      </w:r>
      <w:r w:rsidRPr="00FD0636">
        <w:rPr>
          <w:rFonts w:ascii="Times New Roman" w:hAnsi="Times New Roman"/>
        </w:rPr>
        <w:t xml:space="preserve"> as well as visual documentation such as a field photograph or field excavation drawing</w:t>
      </w:r>
      <w:r>
        <w:rPr>
          <w:rFonts w:ascii="Times New Roman" w:hAnsi="Times New Roman"/>
        </w:rPr>
        <w:t>,</w:t>
      </w:r>
      <w:r w:rsidRPr="00FD0636">
        <w:rPr>
          <w:rFonts w:ascii="Times New Roman" w:hAnsi="Times New Roman"/>
        </w:rPr>
        <w:t xml:space="preserve"> were used to confirm (or dismiss) each instance of multiple burial.</w:t>
      </w:r>
    </w:p>
    <w:p w14:paraId="34329B97" w14:textId="3438528A" w:rsidR="00952643" w:rsidRPr="00FD0636" w:rsidRDefault="00952643" w:rsidP="00952643">
      <w:pPr>
        <w:ind w:firstLine="720"/>
        <w:rPr>
          <w:rFonts w:ascii="Times New Roman" w:hAnsi="Times New Roman"/>
        </w:rPr>
      </w:pPr>
      <w:r w:rsidRPr="00FD0636">
        <w:rPr>
          <w:rFonts w:ascii="Times New Roman" w:hAnsi="Times New Roman"/>
        </w:rPr>
        <w:t xml:space="preserve">The archival documentation was also examined for evidence of trophy taking in the form of </w:t>
      </w:r>
      <w:r>
        <w:rPr>
          <w:rFonts w:ascii="Times New Roman" w:hAnsi="Times New Roman"/>
        </w:rPr>
        <w:t xml:space="preserve">both </w:t>
      </w:r>
      <w:r w:rsidRPr="00FD0636">
        <w:rPr>
          <w:rFonts w:ascii="Times New Roman" w:hAnsi="Times New Roman"/>
        </w:rPr>
        <w:t>extra</w:t>
      </w:r>
      <w:r>
        <w:rPr>
          <w:rFonts w:ascii="Times New Roman" w:hAnsi="Times New Roman"/>
        </w:rPr>
        <w:t xml:space="preserve"> and missing</w:t>
      </w:r>
      <w:r w:rsidRPr="00FD0636">
        <w:rPr>
          <w:rFonts w:ascii="Times New Roman" w:hAnsi="Times New Roman"/>
        </w:rPr>
        <w:t xml:space="preserve"> </w:t>
      </w:r>
      <w:r>
        <w:rPr>
          <w:rFonts w:ascii="Times New Roman" w:hAnsi="Times New Roman"/>
        </w:rPr>
        <w:t>skulls</w:t>
      </w:r>
      <w:r w:rsidRPr="00FD0636">
        <w:rPr>
          <w:rFonts w:ascii="Times New Roman" w:hAnsi="Times New Roman"/>
        </w:rPr>
        <w:t>.  Although hands and feet were also taken as trophies in this time period, very few feet and hand bones from these Fourche Maline sites were recovered.  This is attributed to the fact that hand and feet bones are quite small and may have been easily overlooked by untrained WPA excavators.  Trophy taking was thus addressed solely in terms of extra and missing skulls</w:t>
      </w:r>
      <w:r>
        <w:rPr>
          <w:rFonts w:ascii="Times New Roman" w:hAnsi="Times New Roman"/>
        </w:rPr>
        <w:t>.</w:t>
      </w:r>
    </w:p>
    <w:p w14:paraId="4784F38F" w14:textId="77777777" w:rsidR="00933C62" w:rsidRPr="00FD0636" w:rsidRDefault="00933C62" w:rsidP="00933C62">
      <w:pPr>
        <w:spacing w:line="240" w:lineRule="auto"/>
        <w:rPr>
          <w:rFonts w:ascii="Times New Roman" w:hAnsi="Times New Roman"/>
        </w:rPr>
      </w:pPr>
      <w:r w:rsidRPr="00FD0636">
        <w:rPr>
          <w:rFonts w:ascii="Times New Roman" w:hAnsi="Times New Roman"/>
          <w:noProof/>
          <w:lang w:bidi="ar-SA"/>
        </w:rPr>
        <mc:AlternateContent>
          <mc:Choice Requires="wps">
            <w:drawing>
              <wp:anchor distT="0" distB="0" distL="114300" distR="114300" simplePos="0" relativeHeight="251672576" behindDoc="0" locked="0" layoutInCell="1" allowOverlap="1" wp14:anchorId="3B73063D" wp14:editId="46C31778">
                <wp:simplePos x="0" y="0"/>
                <wp:positionH relativeFrom="column">
                  <wp:posOffset>3429000</wp:posOffset>
                </wp:positionH>
                <wp:positionV relativeFrom="paragraph">
                  <wp:posOffset>0</wp:posOffset>
                </wp:positionV>
                <wp:extent cx="114300" cy="228600"/>
                <wp:effectExtent l="25400" t="0" r="63500" b="50800"/>
                <wp:wrapNone/>
                <wp:docPr id="3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67" style="position:absolute;margin-left:270pt;margin-top:0;width:9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" fillcolor="red"/>
            </w:pict>
          </mc:Fallback>
        </mc:AlternateContent>
      </w:r>
    </w:p>
    <w:p w14:paraId="528097EE" w14:textId="77777777" w:rsidR="00933C62" w:rsidRPr="008020D1" w:rsidRDefault="00933C62" w:rsidP="00933C62">
      <w:pPr>
        <w:jc w:val="center"/>
        <w:rPr>
          <w:rFonts w:ascii="Times New Roman" w:hAnsi="Times New Roman"/>
        </w:rPr>
      </w:pPr>
      <w:r w:rsidRPr="00FD0636">
        <w:rPr>
          <w:rFonts w:ascii="Times New Roman" w:hAnsi="Times New Roman"/>
          <w:noProof/>
          <w:lang w:bidi="ar-SA"/>
        </w:rPr>
        <mc:AlternateContent>
          <mc:Choice Requires="wps">
            <w:drawing>
              <wp:anchor distT="0" distB="0" distL="114300" distR="114300" simplePos="0" relativeHeight="251673600" behindDoc="0" locked="0" layoutInCell="1" allowOverlap="1" wp14:anchorId="4568311B" wp14:editId="4930C2D5">
                <wp:simplePos x="0" y="0"/>
                <wp:positionH relativeFrom="column">
                  <wp:posOffset>4000500</wp:posOffset>
                </wp:positionH>
                <wp:positionV relativeFrom="paragraph">
                  <wp:posOffset>167640</wp:posOffset>
                </wp:positionV>
                <wp:extent cx="114300" cy="228600"/>
                <wp:effectExtent l="25400" t="0" r="63500" b="50800"/>
                <wp:wrapNone/>
                <wp:docPr id="3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67" style="position:absolute;margin-left:315pt;margin-top:13.2pt;width:9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" fillcolor="red"/>
            </w:pict>
          </mc:Fallback>
        </mc:AlternateContent>
      </w:r>
      <w:r w:rsidRPr="00FD0636">
        <w:rPr>
          <w:rFonts w:ascii="Times New Roman" w:hAnsi="Times New Roman"/>
          <w:noProof/>
          <w:lang w:bidi="ar-SA"/>
        </w:rPr>
        <mc:AlternateContent>
          <mc:Choice Requires="wps">
            <w:drawing>
              <wp:anchor distT="0" distB="0" distL="114300" distR="114300" simplePos="0" relativeHeight="251671552" behindDoc="0" locked="0" layoutInCell="1" allowOverlap="1" wp14:anchorId="6EAF400A" wp14:editId="5438B798">
                <wp:simplePos x="0" y="0"/>
                <wp:positionH relativeFrom="column">
                  <wp:posOffset>2628900</wp:posOffset>
                </wp:positionH>
                <wp:positionV relativeFrom="paragraph">
                  <wp:posOffset>755015</wp:posOffset>
                </wp:positionV>
                <wp:extent cx="114300" cy="228600"/>
                <wp:effectExtent l="25400" t="0" r="63500" b="5080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207pt;margin-top:59.45pt;width:9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" fillcolor="red"/>
            </w:pict>
          </mc:Fallback>
        </mc:AlternateContent>
      </w:r>
      <w:r w:rsidRPr="00FD0636">
        <w:rPr>
          <w:rFonts w:ascii="Times New Roman" w:hAnsi="Times New Roman"/>
          <w:noProof/>
          <w:lang w:bidi="ar-SA"/>
        </w:rPr>
        <w:drawing>
          <wp:inline distT="0" distB="0" distL="0" distR="0" wp14:anchorId="1EE814B8" wp14:editId="486F89CB">
            <wp:extent cx="4935342" cy="2838662"/>
            <wp:effectExtent l="0" t="0" r="0" b="6350"/>
            <wp:docPr id="38" name="Picture 38" descr="scan0009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9small"/>
                    <pic:cNvPicPr>
                      <a:picLocks noChangeAspect="1" noChangeArrowheads="1"/>
                    </pic:cNvPicPr>
                  </pic:nvPicPr>
                  <pic:blipFill rotWithShape="1">
                    <a:blip r:embed="rId33">
                      <a:extLst>
                        <a:ext uri="{28A0092B-C50C-407E-A947-70E740481C1C}">
                          <a14:useLocalDpi xmlns:a14="http://schemas.microsoft.com/office/drawing/2010/main" val="0"/>
                        </a:ext>
                      </a:extLst>
                    </a:blip>
                    <a:srcRect t="7196"/>
                    <a:stretch/>
                  </pic:blipFill>
                  <pic:spPr bwMode="auto">
                    <a:xfrm>
                      <a:off x="0" y="0"/>
                      <a:ext cx="4936289" cy="2839207"/>
                    </a:xfrm>
                    <a:prstGeom prst="rect">
                      <a:avLst/>
                    </a:prstGeom>
                    <a:noFill/>
                    <a:ln>
                      <a:noFill/>
                    </a:ln>
                    <a:extLst>
                      <a:ext uri="{53640926-AAD7-44d8-BBD7-CCE9431645EC}">
                        <a14:shadowObscured xmlns:a14="http://schemas.microsoft.com/office/drawing/2010/main"/>
                      </a:ext>
                    </a:extLst>
                  </pic:spPr>
                </pic:pic>
              </a:graphicData>
            </a:graphic>
          </wp:inline>
        </w:drawing>
      </w:r>
    </w:p>
    <w:p w14:paraId="2A515D47" w14:textId="77777777" w:rsidR="00933C62" w:rsidRDefault="00933C62" w:rsidP="00133F61">
      <w:pPr>
        <w:pStyle w:val="Caption"/>
      </w:pPr>
      <w:bookmarkStart w:id="101" w:name="_Toc261025223"/>
      <w:r>
        <w:t xml:space="preserve">Figure </w:t>
      </w:r>
      <w:fldSimple w:instr=" SEQ Figure \* ARABIC ">
        <w:r w:rsidR="00396EB3">
          <w:rPr>
            <w:noProof/>
          </w:rPr>
          <w:t>21</w:t>
        </w:r>
      </w:fldSimple>
      <w:r>
        <w:t xml:space="preserve">  Burial 9 from the Akers site, consisting of three likely non-associated individuals (arrows point to skulls)</w:t>
      </w:r>
      <w:bookmarkEnd w:id="101"/>
    </w:p>
    <w:p w14:paraId="0E744224" w14:textId="77777777" w:rsidR="00933C62" w:rsidRDefault="00933C62" w:rsidP="00933C62">
      <w:pPr>
        <w:ind w:firstLine="720"/>
        <w:rPr>
          <w:rFonts w:ascii="Times New Roman" w:hAnsi="Times New Roman"/>
        </w:rPr>
      </w:pPr>
    </w:p>
    <w:p w14:paraId="0BA2CAA2" w14:textId="77777777" w:rsidR="00933C62" w:rsidRDefault="00933C62" w:rsidP="00933C62">
      <w:pPr>
        <w:ind w:firstLine="720"/>
        <w:rPr>
          <w:rFonts w:ascii="Times New Roman" w:hAnsi="Times New Roman"/>
        </w:rPr>
      </w:pPr>
      <w:r>
        <w:rPr>
          <w:rFonts w:ascii="Times New Roman" w:hAnsi="Times New Roman"/>
        </w:rPr>
        <w:t>About half</w:t>
      </w:r>
      <w:r w:rsidRPr="00FD0636">
        <w:rPr>
          <w:rFonts w:ascii="Times New Roman" w:hAnsi="Times New Roman"/>
        </w:rPr>
        <w:t xml:space="preserve"> of the examined sites had</w:t>
      </w:r>
      <w:r>
        <w:rPr>
          <w:rFonts w:ascii="Times New Roman" w:hAnsi="Times New Roman"/>
        </w:rPr>
        <w:t xml:space="preserve"> multiple extra skulls that were initially </w:t>
      </w:r>
      <w:r w:rsidRPr="00FD0636">
        <w:rPr>
          <w:rFonts w:ascii="Times New Roman" w:hAnsi="Times New Roman"/>
        </w:rPr>
        <w:t xml:space="preserve">interpreted as evidence of successful trophy hunting.  For instance Burial 45 from the Adams site (34Lf33) is difficult to interpret as anything other than a trophy.  As seen in Figure </w:t>
      </w:r>
      <w:r>
        <w:rPr>
          <w:rFonts w:ascii="Times New Roman" w:hAnsi="Times New Roman"/>
        </w:rPr>
        <w:t>22</w:t>
      </w:r>
      <w:r w:rsidRPr="00FD0636">
        <w:rPr>
          <w:rFonts w:ascii="Times New Roman" w:hAnsi="Times New Roman"/>
        </w:rPr>
        <w:t>, an isolated skull was interred surrounded by small shells.</w:t>
      </w:r>
    </w:p>
    <w:p w14:paraId="7F446098" w14:textId="77777777" w:rsidR="00933C62" w:rsidRPr="00FD0636" w:rsidRDefault="00933C62" w:rsidP="00933C62">
      <w:pPr>
        <w:jc w:val="center"/>
        <w:rPr>
          <w:rFonts w:ascii="Times New Roman" w:hAnsi="Times New Roman"/>
        </w:rPr>
      </w:pPr>
      <w:r w:rsidRPr="00FD0636">
        <w:rPr>
          <w:rFonts w:ascii="Times New Roman" w:hAnsi="Times New Roman"/>
          <w:noProof/>
          <w:lang w:bidi="ar-SA"/>
        </w:rPr>
        <w:drawing>
          <wp:inline distT="0" distB="0" distL="0" distR="0" wp14:anchorId="7A061E5D" wp14:editId="57C7CC05">
            <wp:extent cx="4120221" cy="2827867"/>
            <wp:effectExtent l="0" t="0" r="0" b="0"/>
            <wp:docPr id="39" name="Picture 39" descr="B45-2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45-2Crop"/>
                    <pic:cNvPicPr>
                      <a:picLocks noChangeAspect="1" noChangeArrowheads="1"/>
                    </pic:cNvPicPr>
                  </pic:nvPicPr>
                  <pic:blipFill rotWithShape="1">
                    <a:blip r:embed="rId34">
                      <a:extLst>
                        <a:ext uri="{28A0092B-C50C-407E-A947-70E740481C1C}">
                          <a14:useLocalDpi xmlns:a14="http://schemas.microsoft.com/office/drawing/2010/main" val="0"/>
                        </a:ext>
                      </a:extLst>
                    </a:blip>
                    <a:srcRect t="7581" b="15202"/>
                    <a:stretch/>
                  </pic:blipFill>
                  <pic:spPr bwMode="auto">
                    <a:xfrm>
                      <a:off x="0" y="0"/>
                      <a:ext cx="4124895" cy="2831075"/>
                    </a:xfrm>
                    <a:prstGeom prst="rect">
                      <a:avLst/>
                    </a:prstGeom>
                    <a:noFill/>
                    <a:ln>
                      <a:noFill/>
                    </a:ln>
                    <a:extLst>
                      <a:ext uri="{53640926-AAD7-44d8-BBD7-CCE9431645EC}">
                        <a14:shadowObscured xmlns:a14="http://schemas.microsoft.com/office/drawing/2010/main"/>
                      </a:ext>
                    </a:extLst>
                  </pic:spPr>
                </pic:pic>
              </a:graphicData>
            </a:graphic>
          </wp:inline>
        </w:drawing>
      </w:r>
    </w:p>
    <w:p w14:paraId="0B262EF6" w14:textId="77777777" w:rsidR="00FC754F" w:rsidRDefault="00933C62" w:rsidP="00133F61">
      <w:pPr>
        <w:pStyle w:val="Caption"/>
      </w:pPr>
      <w:bookmarkStart w:id="102" w:name="_Toc261025224"/>
      <w:r>
        <w:t xml:space="preserve">Figure </w:t>
      </w:r>
      <w:fldSimple w:instr=" SEQ Figure \* ARABIC ">
        <w:r w:rsidR="00396EB3">
          <w:rPr>
            <w:noProof/>
          </w:rPr>
          <w:t>22</w:t>
        </w:r>
      </w:fldSimple>
      <w:r>
        <w:t xml:space="preserve">  Burial 45 from the Adams site (34Lf33) was an isolated skull surrounded</w:t>
      </w:r>
      <w:bookmarkEnd w:id="102"/>
      <w:r>
        <w:t xml:space="preserve"> </w:t>
      </w:r>
    </w:p>
    <w:p w14:paraId="7D3AACD0" w14:textId="52E43828" w:rsidR="00933C62" w:rsidRPr="00D441FD" w:rsidRDefault="00933C62" w:rsidP="00133F61">
      <w:pPr>
        <w:pStyle w:val="Caption"/>
      </w:pPr>
      <w:r>
        <w:t>by small shells</w:t>
      </w:r>
    </w:p>
    <w:p w14:paraId="4F04A2AB" w14:textId="77777777" w:rsidR="00933C62" w:rsidRDefault="00933C62" w:rsidP="00933C62">
      <w:pPr>
        <w:spacing w:line="240" w:lineRule="auto"/>
        <w:ind w:firstLine="720"/>
        <w:rPr>
          <w:rFonts w:ascii="Times New Roman" w:hAnsi="Times New Roman"/>
        </w:rPr>
      </w:pPr>
    </w:p>
    <w:p w14:paraId="7FE164BE" w14:textId="77777777" w:rsidR="00933C62" w:rsidRPr="00FD0636" w:rsidRDefault="00933C62" w:rsidP="00933C62">
      <w:pPr>
        <w:ind w:firstLine="720"/>
        <w:rPr>
          <w:rFonts w:ascii="Times New Roman" w:hAnsi="Times New Roman"/>
        </w:rPr>
      </w:pPr>
      <w:r w:rsidRPr="00FD0636">
        <w:rPr>
          <w:rFonts w:ascii="Times New Roman" w:hAnsi="Times New Roman"/>
        </w:rPr>
        <w:t xml:space="preserve">It was more difficult to ascertain when burials were missing skulls.  From examining both burials and documentation at the Akers site (34Lf32), I knew that even when the documentation claimed there was no skull and the photograph and excavation sketch appeared to indicate a missing skull, </w:t>
      </w:r>
      <w:r>
        <w:rPr>
          <w:rFonts w:ascii="Times New Roman" w:hAnsi="Times New Roman"/>
        </w:rPr>
        <w:t>fragments of crushed cranial bones</w:t>
      </w:r>
      <w:r w:rsidRPr="00FD0636">
        <w:rPr>
          <w:rFonts w:ascii="Times New Roman" w:hAnsi="Times New Roman"/>
        </w:rPr>
        <w:t xml:space="preserve"> and/or teeth were often found mixed in with the body bones.  This is attributed to </w:t>
      </w:r>
      <w:r>
        <w:rPr>
          <w:rFonts w:ascii="Times New Roman" w:hAnsi="Times New Roman"/>
        </w:rPr>
        <w:t xml:space="preserve">the normal taphonomic processes that can move or crush skulls (such as gravity or animals) </w:t>
      </w:r>
      <w:r w:rsidRPr="00FD0636">
        <w:rPr>
          <w:rFonts w:ascii="Times New Roman" w:hAnsi="Times New Roman"/>
        </w:rPr>
        <w:t xml:space="preserve">after burial, making it difficult for the WPA </w:t>
      </w:r>
      <w:r>
        <w:rPr>
          <w:rFonts w:ascii="Times New Roman" w:hAnsi="Times New Roman"/>
        </w:rPr>
        <w:t xml:space="preserve">workers </w:t>
      </w:r>
      <w:r w:rsidRPr="00FD0636">
        <w:rPr>
          <w:rFonts w:ascii="Times New Roman" w:hAnsi="Times New Roman"/>
        </w:rPr>
        <w:t>to recognize that the skull was indeed still with the body.  However in some cases, contextual analysis made it clear that the skull had probably been removed before burial as a trophy.  For instance, Burial 87 from the Akers site (34Lf32), discussed in the previous chapter,</w:t>
      </w:r>
      <w:r>
        <w:rPr>
          <w:rFonts w:ascii="Times New Roman" w:hAnsi="Times New Roman"/>
        </w:rPr>
        <w:t xml:space="preserve"> and pictured in Figures 16 and 17,</w:t>
      </w:r>
      <w:r w:rsidRPr="00FD0636">
        <w:rPr>
          <w:rFonts w:ascii="Times New Roman" w:hAnsi="Times New Roman"/>
        </w:rPr>
        <w:t xml:space="preserve"> consisted of two well-articulated skeletons.  It is cle</w:t>
      </w:r>
      <w:r>
        <w:rPr>
          <w:rFonts w:ascii="Times New Roman" w:hAnsi="Times New Roman"/>
        </w:rPr>
        <w:t xml:space="preserve">ar from the photographs </w:t>
      </w:r>
      <w:r w:rsidRPr="00FD0636">
        <w:rPr>
          <w:rFonts w:ascii="Times New Roman" w:hAnsi="Times New Roman"/>
        </w:rPr>
        <w:t xml:space="preserve">of this burial that one of the skulls was completely missing.  This is considered evidence of trophy taking.  This interpretation is strengthened by the fact that each body was surrounded with projectile points that had clearly been embedded in the bodies at </w:t>
      </w:r>
      <w:r>
        <w:rPr>
          <w:rFonts w:ascii="Times New Roman" w:hAnsi="Times New Roman"/>
        </w:rPr>
        <w:t>the time of death</w:t>
      </w:r>
      <w:r w:rsidRPr="00FD0636">
        <w:rPr>
          <w:rFonts w:ascii="Times New Roman" w:hAnsi="Times New Roman"/>
        </w:rPr>
        <w:t>.  These individuals are also an example of “pin-cushioning” which is suggestive of vengeance killing (Dye 2009).  Fur</w:t>
      </w:r>
      <w:r>
        <w:rPr>
          <w:rFonts w:ascii="Times New Roman" w:hAnsi="Times New Roman"/>
        </w:rPr>
        <w:t>ther, as can be seen in Figure 17,</w:t>
      </w:r>
      <w:r w:rsidRPr="00FD0636">
        <w:rPr>
          <w:rFonts w:ascii="Times New Roman" w:hAnsi="Times New Roman"/>
        </w:rPr>
        <w:t xml:space="preserve"> a close-up of the one remaining skull revealed that something (possibly phalanges) had been inserted into the nasal cavity.  </w:t>
      </w:r>
    </w:p>
    <w:p w14:paraId="04E2B913" w14:textId="77777777" w:rsidR="00933C62" w:rsidRPr="00FD0636" w:rsidRDefault="00933C62" w:rsidP="00933C62">
      <w:pPr>
        <w:ind w:firstLine="720"/>
        <w:rPr>
          <w:rFonts w:ascii="Times New Roman" w:hAnsi="Times New Roman"/>
        </w:rPr>
      </w:pPr>
      <w:r>
        <w:rPr>
          <w:rFonts w:ascii="Times New Roman" w:hAnsi="Times New Roman"/>
        </w:rPr>
        <w:t>The number of missing skulls was</w:t>
      </w:r>
      <w:r w:rsidRPr="00FD0636">
        <w:rPr>
          <w:rFonts w:ascii="Times New Roman" w:hAnsi="Times New Roman"/>
        </w:rPr>
        <w:t xml:space="preserve"> tabulated</w:t>
      </w:r>
      <w:r>
        <w:rPr>
          <w:rFonts w:ascii="Times New Roman" w:hAnsi="Times New Roman"/>
        </w:rPr>
        <w:t xml:space="preserve"> (to the best of my ability with the available documentation).  However</w:t>
      </w:r>
      <w:r w:rsidRPr="00FD0636">
        <w:rPr>
          <w:rFonts w:ascii="Times New Roman" w:hAnsi="Times New Roman"/>
        </w:rPr>
        <w:t>, due to the difficulty in ascertaining if a burial was indeed missin</w:t>
      </w:r>
      <w:r>
        <w:rPr>
          <w:rFonts w:ascii="Times New Roman" w:hAnsi="Times New Roman"/>
        </w:rPr>
        <w:t xml:space="preserve">g its skull, </w:t>
      </w:r>
      <w:r w:rsidRPr="00FD0636">
        <w:rPr>
          <w:rFonts w:ascii="Times New Roman" w:hAnsi="Times New Roman"/>
        </w:rPr>
        <w:t xml:space="preserve">the degree to which </w:t>
      </w:r>
      <w:r>
        <w:rPr>
          <w:rFonts w:ascii="Times New Roman" w:hAnsi="Times New Roman"/>
        </w:rPr>
        <w:t>Wister area</w:t>
      </w:r>
      <w:r w:rsidRPr="00FD0636">
        <w:rPr>
          <w:rFonts w:ascii="Times New Roman" w:hAnsi="Times New Roman"/>
        </w:rPr>
        <w:t xml:space="preserve"> residents may been the victims of such trophy taking</w:t>
      </w:r>
      <w:r>
        <w:rPr>
          <w:rFonts w:ascii="Times New Roman" w:hAnsi="Times New Roman"/>
        </w:rPr>
        <w:t xml:space="preserve"> is not addressed, nor is</w:t>
      </w:r>
      <w:r w:rsidRPr="00FD0636">
        <w:rPr>
          <w:rFonts w:ascii="Times New Roman" w:hAnsi="Times New Roman"/>
        </w:rPr>
        <w:t xml:space="preserve"> statistical analyses </w:t>
      </w:r>
      <w:r>
        <w:rPr>
          <w:rFonts w:ascii="Times New Roman" w:hAnsi="Times New Roman"/>
        </w:rPr>
        <w:t>for the</w:t>
      </w:r>
      <w:r w:rsidRPr="00FD0636">
        <w:rPr>
          <w:rFonts w:ascii="Times New Roman" w:hAnsi="Times New Roman"/>
        </w:rPr>
        <w:t xml:space="preserve"> num</w:t>
      </w:r>
      <w:r>
        <w:rPr>
          <w:rFonts w:ascii="Times New Roman" w:hAnsi="Times New Roman"/>
        </w:rPr>
        <w:t>ber of missing skulls performed.</w:t>
      </w:r>
    </w:p>
    <w:p w14:paraId="08E2BEAF" w14:textId="77777777" w:rsidR="00933C62" w:rsidRPr="00FD0636" w:rsidRDefault="00933C62" w:rsidP="00933C62">
      <w:pPr>
        <w:ind w:firstLine="720"/>
        <w:rPr>
          <w:rFonts w:ascii="Times New Roman" w:hAnsi="Times New Roman"/>
        </w:rPr>
      </w:pPr>
      <w:r>
        <w:rPr>
          <w:rFonts w:ascii="Times New Roman" w:hAnsi="Times New Roman"/>
        </w:rPr>
        <w:t>To summarize</w:t>
      </w:r>
      <w:r w:rsidRPr="00FD0636">
        <w:rPr>
          <w:rFonts w:ascii="Times New Roman" w:hAnsi="Times New Roman"/>
        </w:rPr>
        <w:t>, by examining archival evidence stored at SNOMNH for o</w:t>
      </w:r>
      <w:r>
        <w:rPr>
          <w:rFonts w:ascii="Times New Roman" w:hAnsi="Times New Roman"/>
        </w:rPr>
        <w:t>ver 1,200 burials, I</w:t>
      </w:r>
      <w:r w:rsidRPr="00FD0636">
        <w:rPr>
          <w:rFonts w:ascii="Times New Roman" w:hAnsi="Times New Roman"/>
        </w:rPr>
        <w:t xml:space="preserve"> tabulate</w:t>
      </w:r>
      <w:r>
        <w:rPr>
          <w:rFonts w:ascii="Times New Roman" w:hAnsi="Times New Roman"/>
        </w:rPr>
        <w:t>d</w:t>
      </w:r>
      <w:r w:rsidRPr="00FD0636">
        <w:rPr>
          <w:rFonts w:ascii="Times New Roman" w:hAnsi="Times New Roman"/>
        </w:rPr>
        <w:t xml:space="preserve"> the </w:t>
      </w:r>
      <w:r>
        <w:rPr>
          <w:rFonts w:ascii="Times New Roman" w:hAnsi="Times New Roman"/>
        </w:rPr>
        <w:t>number of multiple burials at 13</w:t>
      </w:r>
      <w:r w:rsidRPr="00FD0636">
        <w:rPr>
          <w:rFonts w:ascii="Times New Roman" w:hAnsi="Times New Roman"/>
        </w:rPr>
        <w:t xml:space="preserve"> </w:t>
      </w:r>
      <w:r>
        <w:rPr>
          <w:rFonts w:ascii="Times New Roman" w:hAnsi="Times New Roman"/>
        </w:rPr>
        <w:t>Wister area</w:t>
      </w:r>
      <w:r w:rsidRPr="00FD0636">
        <w:rPr>
          <w:rFonts w:ascii="Times New Roman" w:hAnsi="Times New Roman"/>
        </w:rPr>
        <w:t xml:space="preserve"> Fourche Maline sites.  These multiple burials are used as a proxy measure for conflict.  </w:t>
      </w:r>
      <w:r>
        <w:rPr>
          <w:rFonts w:ascii="Times New Roman" w:hAnsi="Times New Roman"/>
        </w:rPr>
        <w:t xml:space="preserve">The </w:t>
      </w:r>
      <w:r w:rsidRPr="00FD0636">
        <w:rPr>
          <w:rFonts w:ascii="Times New Roman" w:hAnsi="Times New Roman"/>
        </w:rPr>
        <w:t>number of extra skulls</w:t>
      </w:r>
      <w:r>
        <w:rPr>
          <w:rFonts w:ascii="Times New Roman" w:hAnsi="Times New Roman"/>
        </w:rPr>
        <w:t xml:space="preserve"> and missing skulls</w:t>
      </w:r>
      <w:r w:rsidRPr="00FD0636">
        <w:rPr>
          <w:rFonts w:ascii="Times New Roman" w:hAnsi="Times New Roman"/>
        </w:rPr>
        <w:t>, taken to represent trophy hunting</w:t>
      </w:r>
      <w:r>
        <w:rPr>
          <w:rFonts w:ascii="Times New Roman" w:hAnsi="Times New Roman"/>
        </w:rPr>
        <w:t xml:space="preserve"> behavior, is also presented.  Intersite </w:t>
      </w:r>
      <w:r w:rsidRPr="00FD0636">
        <w:rPr>
          <w:rFonts w:ascii="Times New Roman" w:hAnsi="Times New Roman"/>
        </w:rPr>
        <w:t>comparison of the rates of violence and trophy taking patte</w:t>
      </w:r>
      <w:r>
        <w:rPr>
          <w:rFonts w:ascii="Times New Roman" w:hAnsi="Times New Roman"/>
        </w:rPr>
        <w:t>rns were</w:t>
      </w:r>
      <w:r w:rsidRPr="00FD0636">
        <w:rPr>
          <w:rFonts w:ascii="Times New Roman" w:hAnsi="Times New Roman"/>
        </w:rPr>
        <w:t xml:space="preserve"> examined in order to quantitatively address the degree of inferred peri-mortem trauma and violence at these </w:t>
      </w:r>
      <w:r>
        <w:rPr>
          <w:rFonts w:ascii="Times New Roman" w:hAnsi="Times New Roman"/>
        </w:rPr>
        <w:t>Wister area</w:t>
      </w:r>
      <w:r w:rsidRPr="00FD0636">
        <w:rPr>
          <w:rFonts w:ascii="Times New Roman" w:hAnsi="Times New Roman"/>
        </w:rPr>
        <w:t xml:space="preserve"> Fourche Maline sites.</w:t>
      </w:r>
    </w:p>
    <w:p w14:paraId="7DB9FC90" w14:textId="77777777" w:rsidR="00933C62" w:rsidRPr="00A478F1" w:rsidRDefault="00933C62" w:rsidP="009C5432">
      <w:pPr>
        <w:pStyle w:val="Heading3"/>
      </w:pPr>
      <w:bookmarkStart w:id="103" w:name="_Toc261025880"/>
      <w:r w:rsidRPr="00625928">
        <w:t>Sites</w:t>
      </w:r>
      <w:bookmarkEnd w:id="103"/>
    </w:p>
    <w:p w14:paraId="631B1AF8" w14:textId="32FF5CAB" w:rsidR="00933C62" w:rsidRPr="00FD0636" w:rsidRDefault="00933C62" w:rsidP="00933C62">
      <w:pPr>
        <w:ind w:firstLine="720"/>
        <w:rPr>
          <w:rFonts w:ascii="Times New Roman" w:hAnsi="Times New Roman"/>
        </w:rPr>
      </w:pPr>
      <w:r>
        <w:rPr>
          <w:rFonts w:ascii="Times New Roman" w:hAnsi="Times New Roman"/>
        </w:rPr>
        <w:t>Thir</w:t>
      </w:r>
      <w:r w:rsidRPr="00FD0636">
        <w:rPr>
          <w:rFonts w:ascii="Times New Roman" w:hAnsi="Times New Roman"/>
        </w:rPr>
        <w:t>teen Fourche</w:t>
      </w:r>
      <w:r>
        <w:rPr>
          <w:rFonts w:ascii="Times New Roman" w:hAnsi="Times New Roman"/>
        </w:rPr>
        <w:t xml:space="preserve"> Maline </w:t>
      </w:r>
      <w:r w:rsidR="007A1E12">
        <w:rPr>
          <w:rFonts w:ascii="Times New Roman" w:hAnsi="Times New Roman"/>
        </w:rPr>
        <w:t>sites (listed in Table 20</w:t>
      </w:r>
      <w:r>
        <w:rPr>
          <w:rFonts w:ascii="Times New Roman" w:hAnsi="Times New Roman"/>
        </w:rPr>
        <w:t>) along</w:t>
      </w:r>
      <w:r w:rsidRPr="00FD0636">
        <w:rPr>
          <w:rFonts w:ascii="Times New Roman" w:hAnsi="Times New Roman"/>
        </w:rPr>
        <w:t xml:space="preserve"> Fourche Maline Creek or</w:t>
      </w:r>
      <w:r>
        <w:rPr>
          <w:rFonts w:ascii="Times New Roman" w:hAnsi="Times New Roman"/>
        </w:rPr>
        <w:t xml:space="preserve"> the</w:t>
      </w:r>
      <w:r w:rsidRPr="00FD0636">
        <w:rPr>
          <w:rFonts w:ascii="Times New Roman" w:hAnsi="Times New Roman"/>
        </w:rPr>
        <w:t xml:space="preserve"> Poteau River in the </w:t>
      </w:r>
      <w:r>
        <w:rPr>
          <w:rFonts w:ascii="Times New Roman" w:hAnsi="Times New Roman"/>
        </w:rPr>
        <w:t>Wister area</w:t>
      </w:r>
      <w:r w:rsidRPr="00FD0636">
        <w:rPr>
          <w:rFonts w:ascii="Times New Roman" w:hAnsi="Times New Roman"/>
        </w:rPr>
        <w:t xml:space="preserve"> were used in this </w:t>
      </w:r>
      <w:r>
        <w:rPr>
          <w:rFonts w:ascii="Times New Roman" w:hAnsi="Times New Roman"/>
        </w:rPr>
        <w:t xml:space="preserve">portion of the </w:t>
      </w:r>
      <w:r w:rsidRPr="00FD0636">
        <w:rPr>
          <w:rFonts w:ascii="Times New Roman" w:hAnsi="Times New Roman"/>
        </w:rPr>
        <w:t>study.  More detail about eac</w:t>
      </w:r>
      <w:r>
        <w:rPr>
          <w:rFonts w:ascii="Times New Roman" w:hAnsi="Times New Roman"/>
        </w:rPr>
        <w:t>h site can be found in Chapter 3</w:t>
      </w:r>
      <w:r w:rsidRPr="00FD0636">
        <w:rPr>
          <w:rFonts w:ascii="Times New Roman" w:hAnsi="Times New Roman"/>
        </w:rPr>
        <w:t xml:space="preserve">.  The following five criteria were used in choosing sites for this comparison:  </w:t>
      </w:r>
    </w:p>
    <w:p w14:paraId="21E68346" w14:textId="77777777" w:rsidR="00933C62" w:rsidRPr="009A7F84" w:rsidRDefault="00933C62" w:rsidP="00933C62">
      <w:pPr>
        <w:pStyle w:val="ListParagraph"/>
        <w:numPr>
          <w:ilvl w:val="0"/>
          <w:numId w:val="12"/>
        </w:numPr>
        <w:rPr>
          <w:rFonts w:ascii="Times New Roman" w:hAnsi="Times New Roman"/>
        </w:rPr>
      </w:pPr>
      <w:r w:rsidRPr="009A7F84">
        <w:rPr>
          <w:rFonts w:ascii="Times New Roman" w:hAnsi="Times New Roman"/>
        </w:rPr>
        <w:t xml:space="preserve">The site was located in the </w:t>
      </w:r>
      <w:r>
        <w:rPr>
          <w:rFonts w:ascii="Times New Roman" w:hAnsi="Times New Roman"/>
        </w:rPr>
        <w:t>Wister area</w:t>
      </w:r>
      <w:r w:rsidRPr="009A7F84">
        <w:rPr>
          <w:rFonts w:ascii="Times New Roman" w:hAnsi="Times New Roman"/>
        </w:rPr>
        <w:t xml:space="preserve"> on Fourche Maline Creek or Poteau River.  </w:t>
      </w:r>
    </w:p>
    <w:p w14:paraId="2346CC7A" w14:textId="77777777" w:rsidR="00933C62" w:rsidRPr="009A7F84" w:rsidRDefault="00933C62" w:rsidP="00933C62">
      <w:pPr>
        <w:pStyle w:val="ListParagraph"/>
        <w:numPr>
          <w:ilvl w:val="0"/>
          <w:numId w:val="12"/>
        </w:numPr>
        <w:rPr>
          <w:rFonts w:ascii="Times New Roman" w:hAnsi="Times New Roman"/>
        </w:rPr>
      </w:pPr>
      <w:r w:rsidRPr="009A7F84">
        <w:rPr>
          <w:rFonts w:ascii="Times New Roman" w:hAnsi="Times New Roman"/>
        </w:rPr>
        <w:t xml:space="preserve">There was a burial mound that was </w:t>
      </w:r>
      <w:r>
        <w:rPr>
          <w:rFonts w:ascii="Times New Roman" w:hAnsi="Times New Roman"/>
        </w:rPr>
        <w:t>at least partially excavated.</w:t>
      </w:r>
    </w:p>
    <w:p w14:paraId="6E1F3910" w14:textId="77777777" w:rsidR="00933C62" w:rsidRPr="009A7F84" w:rsidRDefault="00933C62" w:rsidP="00933C62">
      <w:pPr>
        <w:pStyle w:val="ListParagraph"/>
        <w:numPr>
          <w:ilvl w:val="0"/>
          <w:numId w:val="12"/>
        </w:numPr>
        <w:rPr>
          <w:rFonts w:ascii="Times New Roman" w:hAnsi="Times New Roman"/>
        </w:rPr>
      </w:pPr>
      <w:r w:rsidRPr="009A7F84">
        <w:rPr>
          <w:rFonts w:ascii="Times New Roman" w:hAnsi="Times New Roman"/>
        </w:rPr>
        <w:t>The site was excavated by the WPA (with the exception of 34Lt11 the McCutchan McLaughlin site).</w:t>
      </w:r>
    </w:p>
    <w:p w14:paraId="3EDD055C" w14:textId="77777777" w:rsidR="00933C62" w:rsidRPr="009A7F84" w:rsidRDefault="00933C62" w:rsidP="00933C62">
      <w:pPr>
        <w:pStyle w:val="ListParagraph"/>
        <w:numPr>
          <w:ilvl w:val="0"/>
          <w:numId w:val="12"/>
        </w:numPr>
        <w:rPr>
          <w:rFonts w:ascii="Times New Roman" w:hAnsi="Times New Roman"/>
        </w:rPr>
      </w:pPr>
      <w:r w:rsidRPr="009A7F84">
        <w:rPr>
          <w:rFonts w:ascii="Times New Roman" w:hAnsi="Times New Roman"/>
        </w:rPr>
        <w:t>Original WPA documentation existed and was archived at SNOMNH, including WPA quarterly reports, ADS sheets, field drawings, and field photographs (again with the exception of 34Lt11, the McCutchan McLaughlin site).</w:t>
      </w:r>
    </w:p>
    <w:p w14:paraId="40237FA6" w14:textId="77777777" w:rsidR="00933C62" w:rsidRPr="009A7F84" w:rsidRDefault="00933C62" w:rsidP="00933C62">
      <w:pPr>
        <w:pStyle w:val="ListParagraph"/>
        <w:numPr>
          <w:ilvl w:val="0"/>
          <w:numId w:val="12"/>
        </w:numPr>
        <w:rPr>
          <w:rFonts w:ascii="Times New Roman" w:hAnsi="Times New Roman"/>
        </w:rPr>
      </w:pPr>
      <w:r w:rsidRPr="009A7F84">
        <w:rPr>
          <w:rFonts w:ascii="Times New Roman" w:hAnsi="Times New Roman"/>
        </w:rPr>
        <w:t xml:space="preserve">The site was/is considered primarily “Fourche Maline.”  </w:t>
      </w:r>
    </w:p>
    <w:p w14:paraId="2CE4EC5B" w14:textId="77777777" w:rsidR="00933C62" w:rsidRPr="00FD0636" w:rsidRDefault="00933C62" w:rsidP="00933C62">
      <w:pPr>
        <w:spacing w:line="240" w:lineRule="auto"/>
        <w:ind w:left="720"/>
        <w:rPr>
          <w:rFonts w:ascii="Times New Roman" w:hAnsi="Times New Roman"/>
        </w:rPr>
      </w:pPr>
    </w:p>
    <w:p w14:paraId="654C2BDC" w14:textId="77777777" w:rsidR="00933C62" w:rsidRPr="00FD0636" w:rsidRDefault="00933C62" w:rsidP="00933C62">
      <w:pPr>
        <w:ind w:firstLine="360"/>
        <w:rPr>
          <w:rFonts w:ascii="Times New Roman" w:hAnsi="Times New Roman"/>
        </w:rPr>
      </w:pPr>
      <w:r w:rsidRPr="00FD0636">
        <w:rPr>
          <w:rFonts w:ascii="Times New Roman" w:hAnsi="Times New Roman"/>
        </w:rPr>
        <w:t>The larger mounds (Akers, Mackey, Williams, and Brewer) are undoubtedly multi-component mounds with burials from both the Wister and Fourche Maline phases, and possibly a few later burials as well.  However all the mounds chosen are considered predominately Fourche Maline phase and fit into the original definition of “Fourche Maline.”  Only a few of these sites have had the skeletal remains examined.  McCutchan McLaughlin (34Lt11) (Powell and Rogers 1980) and Wann (34Lf27) and Sam (34Lf28) (McWilliams 1970) have a more or less complete bioarchaeology completed and published.  The Mackey site (34Lf29) has only basic paleodemography completed (Burns 2009)</w:t>
      </w:r>
      <w:r>
        <w:rPr>
          <w:rFonts w:ascii="Times New Roman" w:hAnsi="Times New Roman"/>
        </w:rPr>
        <w:t>.  The</w:t>
      </w:r>
      <w:r w:rsidRPr="00FD0636">
        <w:rPr>
          <w:rFonts w:ascii="Times New Roman" w:hAnsi="Times New Roman"/>
        </w:rPr>
        <w:t xml:space="preserve"> Akers site burials </w:t>
      </w:r>
      <w:r>
        <w:rPr>
          <w:rFonts w:ascii="Times New Roman" w:hAnsi="Times New Roman"/>
        </w:rPr>
        <w:t>have both paleodemography (Rowe 2009) and basic paleopathological analysis completed</w:t>
      </w:r>
      <w:r w:rsidRPr="00FD0636">
        <w:rPr>
          <w:rFonts w:ascii="Times New Roman" w:hAnsi="Times New Roman"/>
        </w:rPr>
        <w:t xml:space="preserve"> (see Chapter 4).</w:t>
      </w:r>
    </w:p>
    <w:p w14:paraId="363B77BB" w14:textId="77777777" w:rsidR="00933C62" w:rsidRDefault="00933C62" w:rsidP="00933C62">
      <w:pPr>
        <w:ind w:firstLine="360"/>
        <w:rPr>
          <w:rFonts w:ascii="Times New Roman" w:hAnsi="Times New Roman"/>
        </w:rPr>
      </w:pPr>
      <w:r w:rsidRPr="00FD0636">
        <w:rPr>
          <w:rFonts w:ascii="Times New Roman" w:hAnsi="Times New Roman"/>
        </w:rPr>
        <w:t>In addition to the WPA excavated sites, the McCut</w:t>
      </w:r>
      <w:r>
        <w:rPr>
          <w:rFonts w:ascii="Times New Roman" w:hAnsi="Times New Roman"/>
        </w:rPr>
        <w:t>chan-McLaughlin (34Lt11) site was</w:t>
      </w:r>
      <w:r w:rsidRPr="00FD0636">
        <w:rPr>
          <w:rFonts w:ascii="Times New Roman" w:hAnsi="Times New Roman"/>
        </w:rPr>
        <w:t xml:space="preserve"> included in this analysis.  Although McCutchan-McLaughlin was not excavated by the WPA, it is by far the best studied </w:t>
      </w:r>
      <w:r>
        <w:rPr>
          <w:rFonts w:ascii="Times New Roman" w:hAnsi="Times New Roman"/>
        </w:rPr>
        <w:t>Wister area</w:t>
      </w:r>
      <w:r w:rsidRPr="00FD0636">
        <w:rPr>
          <w:rFonts w:ascii="Times New Roman" w:hAnsi="Times New Roman"/>
        </w:rPr>
        <w:t xml:space="preserve"> Fourche Maline site and serves as a useful comparison.  </w:t>
      </w:r>
      <w:r>
        <w:rPr>
          <w:rFonts w:ascii="Times New Roman" w:hAnsi="Times New Roman"/>
        </w:rPr>
        <w:t>However, keep in mind that only about 10% of the mound (and presumably the burials) was excavated.</w:t>
      </w:r>
    </w:p>
    <w:p w14:paraId="226D0E7D" w14:textId="77777777" w:rsidR="00933C62" w:rsidRPr="00FD0636" w:rsidRDefault="00933C62" w:rsidP="00933C62">
      <w:pPr>
        <w:spacing w:line="240" w:lineRule="auto"/>
        <w:ind w:firstLine="360"/>
        <w:rPr>
          <w:rFonts w:ascii="Times New Roman" w:hAnsi="Times New Roman"/>
        </w:rPr>
      </w:pPr>
    </w:p>
    <w:p w14:paraId="4CD184CF" w14:textId="77777777" w:rsidR="00933C62" w:rsidRDefault="00933C62" w:rsidP="00CB4ED0">
      <w:pPr>
        <w:pStyle w:val="Heading2"/>
      </w:pPr>
      <w:bookmarkStart w:id="104" w:name="_Toc261025881"/>
      <w:r w:rsidRPr="00986C98">
        <w:t>Results</w:t>
      </w:r>
      <w:bookmarkEnd w:id="104"/>
    </w:p>
    <w:p w14:paraId="1CE0EA45" w14:textId="77777777" w:rsidR="00933C62" w:rsidRPr="00FD0636" w:rsidRDefault="00933C62" w:rsidP="00933C62">
      <w:pPr>
        <w:ind w:firstLine="720"/>
        <w:rPr>
          <w:rFonts w:ascii="Times New Roman" w:hAnsi="Times New Roman"/>
        </w:rPr>
      </w:pPr>
      <w:r>
        <w:rPr>
          <w:rFonts w:ascii="Times New Roman" w:hAnsi="Times New Roman"/>
        </w:rPr>
        <w:t>T</w:t>
      </w:r>
      <w:r w:rsidRPr="00FD0636">
        <w:rPr>
          <w:rFonts w:ascii="Times New Roman" w:hAnsi="Times New Roman"/>
        </w:rPr>
        <w:t xml:space="preserve">he number of multiple burials and the number of </w:t>
      </w:r>
      <w:r>
        <w:rPr>
          <w:rFonts w:ascii="Times New Roman" w:hAnsi="Times New Roman"/>
        </w:rPr>
        <w:t>extra skulls</w:t>
      </w:r>
      <w:r w:rsidRPr="00FD0636">
        <w:rPr>
          <w:rFonts w:ascii="Times New Roman" w:hAnsi="Times New Roman"/>
        </w:rPr>
        <w:t xml:space="preserve"> </w:t>
      </w:r>
      <w:r>
        <w:rPr>
          <w:rFonts w:ascii="Times New Roman" w:hAnsi="Times New Roman"/>
        </w:rPr>
        <w:t>were tabulated for these thirteen</w:t>
      </w:r>
      <w:r w:rsidRPr="00FD0636">
        <w:rPr>
          <w:rFonts w:ascii="Times New Roman" w:hAnsi="Times New Roman"/>
        </w:rPr>
        <w:t xml:space="preserve"> </w:t>
      </w:r>
      <w:r>
        <w:rPr>
          <w:rFonts w:ascii="Times New Roman" w:hAnsi="Times New Roman"/>
        </w:rPr>
        <w:t>Wister area</w:t>
      </w:r>
      <w:r w:rsidRPr="00FD0636">
        <w:rPr>
          <w:rFonts w:ascii="Times New Roman" w:hAnsi="Times New Roman"/>
        </w:rPr>
        <w:t xml:space="preserve"> Fourche Maline sites.</w:t>
      </w:r>
    </w:p>
    <w:p w14:paraId="7B881036" w14:textId="77777777" w:rsidR="00933C62" w:rsidRPr="00104DD2" w:rsidRDefault="00933C62" w:rsidP="009C5432">
      <w:pPr>
        <w:pStyle w:val="Heading3"/>
      </w:pPr>
      <w:bookmarkStart w:id="105" w:name="_Toc261025882"/>
      <w:r>
        <w:t>Multiple Burials</w:t>
      </w:r>
      <w:bookmarkEnd w:id="105"/>
    </w:p>
    <w:p w14:paraId="2DE2DBD5" w14:textId="1FB5B391" w:rsidR="00933C62" w:rsidRDefault="00933C62" w:rsidP="00933C62">
      <w:pPr>
        <w:ind w:firstLine="720"/>
        <w:rPr>
          <w:rFonts w:ascii="Times New Roman" w:hAnsi="Times New Roman"/>
        </w:rPr>
      </w:pPr>
      <w:r>
        <w:rPr>
          <w:rFonts w:ascii="Times New Roman" w:hAnsi="Times New Roman"/>
        </w:rPr>
        <w:t>All of the thir</w:t>
      </w:r>
      <w:r w:rsidRPr="00FD0636">
        <w:rPr>
          <w:rFonts w:ascii="Times New Roman" w:hAnsi="Times New Roman"/>
        </w:rPr>
        <w:t>teen sites had at least one multiple burial</w:t>
      </w:r>
      <w:r>
        <w:rPr>
          <w:rFonts w:ascii="Times New Roman" w:hAnsi="Times New Roman"/>
        </w:rPr>
        <w:t>.  One quarter (25</w:t>
      </w:r>
      <w:r w:rsidRPr="00FD0636">
        <w:rPr>
          <w:rFonts w:ascii="Times New Roman" w:hAnsi="Times New Roman"/>
        </w:rPr>
        <w:t>%</w:t>
      </w:r>
      <w:r>
        <w:rPr>
          <w:rFonts w:ascii="Times New Roman" w:hAnsi="Times New Roman"/>
        </w:rPr>
        <w:t>) of the individuals buried in the Wister area Fourche Maline sites were interred in group burials.</w:t>
      </w:r>
      <w:r w:rsidRPr="00FD0636">
        <w:rPr>
          <w:rFonts w:ascii="Times New Roman" w:hAnsi="Times New Roman"/>
        </w:rPr>
        <w:t xml:space="preserve">  This figure was calculated by dividing the </w:t>
      </w:r>
      <w:r>
        <w:rPr>
          <w:rFonts w:ascii="Times New Roman" w:hAnsi="Times New Roman"/>
        </w:rPr>
        <w:t>total number of individuals in</w:t>
      </w:r>
      <w:r w:rsidRPr="00FD0636">
        <w:rPr>
          <w:rFonts w:ascii="Times New Roman" w:hAnsi="Times New Roman"/>
        </w:rPr>
        <w:t xml:space="preserve"> group bur</w:t>
      </w:r>
      <w:r>
        <w:rPr>
          <w:rFonts w:ascii="Times New Roman" w:hAnsi="Times New Roman"/>
        </w:rPr>
        <w:t>ials by the total</w:t>
      </w:r>
      <w:r w:rsidRPr="00FD0636">
        <w:rPr>
          <w:rFonts w:ascii="Times New Roman" w:hAnsi="Times New Roman"/>
        </w:rPr>
        <w:t xml:space="preserve"> number of individuals excavated.</w:t>
      </w:r>
      <w:r w:rsidR="007A1E12">
        <w:rPr>
          <w:rFonts w:ascii="Times New Roman" w:hAnsi="Times New Roman"/>
        </w:rPr>
        <w:t xml:space="preserve">  Table 20</w:t>
      </w:r>
      <w:r>
        <w:rPr>
          <w:rFonts w:ascii="Times New Roman" w:hAnsi="Times New Roman"/>
        </w:rPr>
        <w:t xml:space="preserve"> </w:t>
      </w:r>
      <w:r w:rsidRPr="00FD0636">
        <w:rPr>
          <w:rFonts w:ascii="Times New Roman" w:hAnsi="Times New Roman"/>
        </w:rPr>
        <w:t>lists the sites and percent multiple burials, sorted from highest to lowest.  The columns list the number of single, double, triple, quadruple, and mass burials for each site as well as the total n</w:t>
      </w:r>
      <w:r>
        <w:rPr>
          <w:rFonts w:ascii="Times New Roman" w:hAnsi="Times New Roman"/>
        </w:rPr>
        <w:t>umber of individuals buried in</w:t>
      </w:r>
      <w:r w:rsidRPr="00FD0636">
        <w:rPr>
          <w:rFonts w:ascii="Times New Roman" w:hAnsi="Times New Roman"/>
        </w:rPr>
        <w:t xml:space="preserve"> multiple grave</w:t>
      </w:r>
      <w:r>
        <w:rPr>
          <w:rFonts w:ascii="Times New Roman" w:hAnsi="Times New Roman"/>
        </w:rPr>
        <w:t>s</w:t>
      </w:r>
      <w:r w:rsidRPr="00FD0636">
        <w:rPr>
          <w:rFonts w:ascii="Times New Roman" w:hAnsi="Times New Roman"/>
        </w:rPr>
        <w:t xml:space="preserve"> and the total number of individuals from each site.  A mass burial is here defined, somewhat arbitrarily</w:t>
      </w:r>
      <w:r>
        <w:rPr>
          <w:rFonts w:ascii="Times New Roman" w:hAnsi="Times New Roman"/>
        </w:rPr>
        <w:t>,</w:t>
      </w:r>
      <w:r w:rsidRPr="00FD0636">
        <w:rPr>
          <w:rFonts w:ascii="Times New Roman" w:hAnsi="Times New Roman"/>
        </w:rPr>
        <w:t xml:space="preserve"> as burial with 5 or more indi</w:t>
      </w:r>
      <w:r>
        <w:rPr>
          <w:rFonts w:ascii="Times New Roman" w:hAnsi="Times New Roman"/>
        </w:rPr>
        <w:t>viduals.  By this definition, 9</w:t>
      </w:r>
      <w:r w:rsidRPr="00FD0636">
        <w:rPr>
          <w:rFonts w:ascii="Times New Roman" w:hAnsi="Times New Roman"/>
        </w:rPr>
        <w:t xml:space="preserve"> of these 14 sites had mass burials</w:t>
      </w:r>
      <w:r w:rsidR="007A1E12">
        <w:rPr>
          <w:rFonts w:ascii="Times New Roman" w:hAnsi="Times New Roman"/>
        </w:rPr>
        <w:t xml:space="preserve"> (previously listed in Table 19</w:t>
      </w:r>
      <w:r>
        <w:rPr>
          <w:rFonts w:ascii="Times New Roman" w:hAnsi="Times New Roman"/>
        </w:rPr>
        <w:t>)</w:t>
      </w:r>
      <w:r w:rsidRPr="00FD0636">
        <w:rPr>
          <w:rFonts w:ascii="Times New Roman" w:hAnsi="Times New Roman"/>
        </w:rPr>
        <w:t xml:space="preserve">.  </w:t>
      </w:r>
    </w:p>
    <w:p w14:paraId="731849BA" w14:textId="620311C1" w:rsidR="00933C62" w:rsidRPr="00FD0636" w:rsidRDefault="00933C62" w:rsidP="00933C62">
      <w:pPr>
        <w:ind w:firstLine="720"/>
        <w:rPr>
          <w:rFonts w:ascii="Times New Roman" w:hAnsi="Times New Roman"/>
        </w:rPr>
      </w:pPr>
      <w:r w:rsidRPr="00FD0636">
        <w:rPr>
          <w:rFonts w:ascii="Times New Roman" w:hAnsi="Times New Roman"/>
        </w:rPr>
        <w:t>This average of</w:t>
      </w:r>
      <w:r>
        <w:rPr>
          <w:rFonts w:ascii="Times New Roman" w:hAnsi="Times New Roman"/>
        </w:rPr>
        <w:t xml:space="preserve"> 25</w:t>
      </w:r>
      <w:r w:rsidRPr="00FD0636">
        <w:rPr>
          <w:rFonts w:ascii="Times New Roman" w:hAnsi="Times New Roman"/>
        </w:rPr>
        <w:t>% masks a large range from just 15% at the Brewer</w:t>
      </w:r>
      <w:r>
        <w:rPr>
          <w:rFonts w:ascii="Times New Roman" w:hAnsi="Times New Roman"/>
        </w:rPr>
        <w:t xml:space="preserve"> site (34Lf39) to 70% at the smallest site</w:t>
      </w:r>
      <w:r w:rsidRPr="00FD0636">
        <w:rPr>
          <w:rFonts w:ascii="Times New Roman" w:hAnsi="Times New Roman"/>
        </w:rPr>
        <w:t xml:space="preserve"> Redwin</w:t>
      </w:r>
      <w:r>
        <w:rPr>
          <w:rFonts w:ascii="Times New Roman" w:hAnsi="Times New Roman"/>
        </w:rPr>
        <w:t>e (34Lf15)</w:t>
      </w:r>
      <w:r w:rsidRPr="00FD0636">
        <w:rPr>
          <w:rFonts w:ascii="Times New Roman" w:hAnsi="Times New Roman"/>
        </w:rPr>
        <w:t>.</w:t>
      </w:r>
      <w:r>
        <w:rPr>
          <w:rFonts w:ascii="Times New Roman" w:hAnsi="Times New Roman"/>
        </w:rPr>
        <w:t xml:space="preserve"> </w:t>
      </w:r>
      <w:r w:rsidRPr="00FD0636">
        <w:rPr>
          <w:rFonts w:ascii="Times New Roman" w:hAnsi="Times New Roman"/>
        </w:rPr>
        <w:t xml:space="preserve"> </w:t>
      </w:r>
      <w:r>
        <w:rPr>
          <w:rFonts w:ascii="Times New Roman" w:hAnsi="Times New Roman"/>
        </w:rPr>
        <w:t>Although all sites have group, or multiple burials, o</w:t>
      </w:r>
      <w:r w:rsidRPr="00FD0636">
        <w:rPr>
          <w:rFonts w:ascii="Times New Roman" w:hAnsi="Times New Roman"/>
        </w:rPr>
        <w:t>nly the Mackey (34Lf29) site had more than one mass b</w:t>
      </w:r>
      <w:r>
        <w:rPr>
          <w:rFonts w:ascii="Times New Roman" w:hAnsi="Times New Roman"/>
        </w:rPr>
        <w:t>ur</w:t>
      </w:r>
      <w:r w:rsidR="007A1E12">
        <w:rPr>
          <w:rFonts w:ascii="Times New Roman" w:hAnsi="Times New Roman"/>
        </w:rPr>
        <w:t>ial.  As can be seen in Table 20</w:t>
      </w:r>
      <w:r>
        <w:rPr>
          <w:rFonts w:ascii="Times New Roman" w:hAnsi="Times New Roman"/>
        </w:rPr>
        <w:t>,</w:t>
      </w:r>
      <w:r w:rsidRPr="00FD0636">
        <w:rPr>
          <w:rFonts w:ascii="Times New Roman" w:hAnsi="Times New Roman"/>
        </w:rPr>
        <w:t xml:space="preserve"> three mass burials </w:t>
      </w:r>
      <w:r>
        <w:rPr>
          <w:rFonts w:ascii="Times New Roman" w:hAnsi="Times New Roman"/>
        </w:rPr>
        <w:t xml:space="preserve">were uncovered </w:t>
      </w:r>
      <w:r w:rsidRPr="00FD0636">
        <w:rPr>
          <w:rFonts w:ascii="Times New Roman" w:hAnsi="Times New Roman"/>
        </w:rPr>
        <w:t>at the Mackey site; two of the mass burials contai</w:t>
      </w:r>
      <w:r>
        <w:rPr>
          <w:rFonts w:ascii="Times New Roman" w:hAnsi="Times New Roman"/>
        </w:rPr>
        <w:t>ned five individuals each, and</w:t>
      </w:r>
      <w:r w:rsidRPr="00FD0636">
        <w:rPr>
          <w:rFonts w:ascii="Times New Roman" w:hAnsi="Times New Roman"/>
        </w:rPr>
        <w:t xml:space="preserve"> the third mass burial contained six individuals.  Additionally, five sites contained very large burials of 9 or more individuals.</w:t>
      </w:r>
    </w:p>
    <w:p w14:paraId="05D14C20" w14:textId="77777777" w:rsidR="00933C62" w:rsidRDefault="00933C62" w:rsidP="00933C62">
      <w:pPr>
        <w:spacing w:line="240" w:lineRule="auto"/>
      </w:pPr>
    </w:p>
    <w:p w14:paraId="49621C4D" w14:textId="77777777" w:rsidR="00933C62" w:rsidRDefault="00933C62" w:rsidP="00133F61">
      <w:pPr>
        <w:pStyle w:val="Caption"/>
      </w:pPr>
      <w:bookmarkStart w:id="106" w:name="_Toc261025248"/>
      <w:r>
        <w:t xml:space="preserve">Table </w:t>
      </w:r>
      <w:fldSimple w:instr=" SEQ Table \* ARABIC ">
        <w:r w:rsidR="00396EB3">
          <w:rPr>
            <w:noProof/>
          </w:rPr>
          <w:t>20</w:t>
        </w:r>
      </w:fldSimple>
      <w:r>
        <w:t xml:space="preserve">  Multiple burials per site in the Wister Area</w:t>
      </w:r>
      <w:bookmarkEnd w:id="106"/>
    </w:p>
    <w:p w14:paraId="53E4840C" w14:textId="77777777" w:rsidR="00933C62" w:rsidRPr="00FD0636" w:rsidRDefault="00933C62" w:rsidP="00133F61">
      <w:pPr>
        <w:pStyle w:val="Caption"/>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163"/>
        <w:gridCol w:w="630"/>
        <w:gridCol w:w="720"/>
        <w:gridCol w:w="630"/>
        <w:gridCol w:w="630"/>
        <w:gridCol w:w="990"/>
        <w:gridCol w:w="990"/>
        <w:gridCol w:w="720"/>
        <w:gridCol w:w="720"/>
      </w:tblGrid>
      <w:tr w:rsidR="00933C62" w:rsidRPr="00FD0636" w14:paraId="7692FEB8" w14:textId="77777777" w:rsidTr="006E6C4E">
        <w:tc>
          <w:tcPr>
            <w:tcW w:w="835" w:type="dxa"/>
            <w:vMerge w:val="restart"/>
            <w:shd w:val="clear" w:color="auto" w:fill="auto"/>
          </w:tcPr>
          <w:p w14:paraId="00AAA48B" w14:textId="77777777" w:rsidR="00933C62" w:rsidRPr="0091676C" w:rsidRDefault="00933C62" w:rsidP="006E6C4E">
            <w:pPr>
              <w:spacing w:line="240" w:lineRule="auto"/>
              <w:rPr>
                <w:rFonts w:ascii="Times New Roman" w:hAnsi="Times New Roman"/>
                <w:b/>
                <w:sz w:val="20"/>
              </w:rPr>
            </w:pPr>
            <w:r w:rsidRPr="0091676C">
              <w:rPr>
                <w:rFonts w:ascii="Times New Roman" w:hAnsi="Times New Roman"/>
                <w:b/>
                <w:sz w:val="20"/>
              </w:rPr>
              <w:t>Site #</w:t>
            </w:r>
          </w:p>
        </w:tc>
        <w:tc>
          <w:tcPr>
            <w:tcW w:w="1163" w:type="dxa"/>
            <w:shd w:val="clear" w:color="auto" w:fill="auto"/>
          </w:tcPr>
          <w:p w14:paraId="2D77165B" w14:textId="77777777" w:rsidR="00933C62" w:rsidRPr="00FD0636" w:rsidRDefault="00933C62" w:rsidP="006E6C4E">
            <w:pPr>
              <w:spacing w:line="240" w:lineRule="auto"/>
              <w:jc w:val="center"/>
              <w:rPr>
                <w:rFonts w:ascii="Times New Roman" w:hAnsi="Times New Roman"/>
                <w:b/>
                <w:sz w:val="20"/>
              </w:rPr>
            </w:pPr>
          </w:p>
        </w:tc>
        <w:tc>
          <w:tcPr>
            <w:tcW w:w="3600" w:type="dxa"/>
            <w:gridSpan w:val="5"/>
            <w:shd w:val="clear" w:color="auto" w:fill="auto"/>
          </w:tcPr>
          <w:p w14:paraId="4CA15AD4"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Individuals per grave</w:t>
            </w:r>
          </w:p>
        </w:tc>
        <w:tc>
          <w:tcPr>
            <w:tcW w:w="990" w:type="dxa"/>
            <w:vMerge w:val="restart"/>
            <w:shd w:val="clear" w:color="auto" w:fill="auto"/>
          </w:tcPr>
          <w:p w14:paraId="65265E14"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Total Multiple Inds</w:t>
            </w:r>
          </w:p>
        </w:tc>
        <w:tc>
          <w:tcPr>
            <w:tcW w:w="720" w:type="dxa"/>
            <w:vMerge w:val="restart"/>
            <w:shd w:val="clear" w:color="auto" w:fill="auto"/>
          </w:tcPr>
          <w:p w14:paraId="0BF40C5F"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Total Inds</w:t>
            </w:r>
          </w:p>
        </w:tc>
        <w:tc>
          <w:tcPr>
            <w:tcW w:w="720" w:type="dxa"/>
            <w:vMerge w:val="restart"/>
            <w:shd w:val="clear" w:color="auto" w:fill="auto"/>
          </w:tcPr>
          <w:p w14:paraId="2C8B4997"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 Mult</w:t>
            </w:r>
          </w:p>
        </w:tc>
      </w:tr>
      <w:tr w:rsidR="00933C62" w:rsidRPr="00FD0636" w14:paraId="5230698E" w14:textId="77777777" w:rsidTr="006E6C4E">
        <w:tc>
          <w:tcPr>
            <w:tcW w:w="835" w:type="dxa"/>
            <w:vMerge/>
            <w:shd w:val="clear" w:color="auto" w:fill="auto"/>
          </w:tcPr>
          <w:p w14:paraId="0042C305" w14:textId="77777777" w:rsidR="00933C62" w:rsidRPr="00FD0636" w:rsidRDefault="00933C62" w:rsidP="006E6C4E">
            <w:pPr>
              <w:spacing w:line="240" w:lineRule="auto"/>
              <w:rPr>
                <w:rFonts w:ascii="Times New Roman" w:hAnsi="Times New Roman"/>
                <w:sz w:val="20"/>
              </w:rPr>
            </w:pPr>
          </w:p>
        </w:tc>
        <w:tc>
          <w:tcPr>
            <w:tcW w:w="1163" w:type="dxa"/>
            <w:shd w:val="clear" w:color="auto" w:fill="auto"/>
          </w:tcPr>
          <w:p w14:paraId="1C405921"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Site Name</w:t>
            </w:r>
          </w:p>
        </w:tc>
        <w:tc>
          <w:tcPr>
            <w:tcW w:w="630" w:type="dxa"/>
            <w:shd w:val="clear" w:color="auto" w:fill="auto"/>
          </w:tcPr>
          <w:p w14:paraId="6BA8174F"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1</w:t>
            </w:r>
          </w:p>
        </w:tc>
        <w:tc>
          <w:tcPr>
            <w:tcW w:w="720" w:type="dxa"/>
            <w:shd w:val="clear" w:color="auto" w:fill="auto"/>
          </w:tcPr>
          <w:p w14:paraId="2A933580"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2</w:t>
            </w:r>
          </w:p>
        </w:tc>
        <w:tc>
          <w:tcPr>
            <w:tcW w:w="630" w:type="dxa"/>
            <w:shd w:val="clear" w:color="auto" w:fill="auto"/>
          </w:tcPr>
          <w:p w14:paraId="6C783674"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3</w:t>
            </w:r>
          </w:p>
        </w:tc>
        <w:tc>
          <w:tcPr>
            <w:tcW w:w="630" w:type="dxa"/>
            <w:shd w:val="clear" w:color="auto" w:fill="auto"/>
          </w:tcPr>
          <w:p w14:paraId="5ACE00DE"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4</w:t>
            </w:r>
          </w:p>
        </w:tc>
        <w:tc>
          <w:tcPr>
            <w:tcW w:w="990" w:type="dxa"/>
            <w:shd w:val="clear" w:color="auto" w:fill="auto"/>
          </w:tcPr>
          <w:p w14:paraId="2C0420E3"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5+</w:t>
            </w:r>
          </w:p>
        </w:tc>
        <w:tc>
          <w:tcPr>
            <w:tcW w:w="990" w:type="dxa"/>
            <w:vMerge/>
            <w:shd w:val="clear" w:color="auto" w:fill="auto"/>
          </w:tcPr>
          <w:p w14:paraId="356E6EF2" w14:textId="77777777" w:rsidR="00933C62" w:rsidRPr="00FD0636" w:rsidRDefault="00933C62" w:rsidP="006E6C4E">
            <w:pPr>
              <w:spacing w:line="240" w:lineRule="auto"/>
              <w:jc w:val="center"/>
              <w:rPr>
                <w:rFonts w:ascii="Times New Roman" w:hAnsi="Times New Roman"/>
                <w:b/>
                <w:sz w:val="20"/>
              </w:rPr>
            </w:pPr>
          </w:p>
        </w:tc>
        <w:tc>
          <w:tcPr>
            <w:tcW w:w="720" w:type="dxa"/>
            <w:vMerge/>
            <w:shd w:val="clear" w:color="auto" w:fill="auto"/>
          </w:tcPr>
          <w:p w14:paraId="68A30284" w14:textId="77777777" w:rsidR="00933C62" w:rsidRPr="00FD0636" w:rsidRDefault="00933C62" w:rsidP="006E6C4E">
            <w:pPr>
              <w:spacing w:line="240" w:lineRule="auto"/>
              <w:jc w:val="center"/>
              <w:rPr>
                <w:rFonts w:ascii="Times New Roman" w:hAnsi="Times New Roman"/>
                <w:b/>
                <w:sz w:val="20"/>
              </w:rPr>
            </w:pPr>
          </w:p>
        </w:tc>
        <w:tc>
          <w:tcPr>
            <w:tcW w:w="720" w:type="dxa"/>
            <w:vMerge/>
            <w:shd w:val="clear" w:color="auto" w:fill="auto"/>
          </w:tcPr>
          <w:p w14:paraId="50A48288" w14:textId="77777777" w:rsidR="00933C62" w:rsidRPr="00FD0636" w:rsidRDefault="00933C62" w:rsidP="006E6C4E">
            <w:pPr>
              <w:spacing w:line="240" w:lineRule="auto"/>
              <w:jc w:val="center"/>
              <w:rPr>
                <w:rFonts w:ascii="Times New Roman" w:hAnsi="Times New Roman"/>
                <w:b/>
                <w:sz w:val="20"/>
              </w:rPr>
            </w:pPr>
          </w:p>
        </w:tc>
      </w:tr>
      <w:tr w:rsidR="00933C62" w:rsidRPr="00FD0636" w14:paraId="7AA4F4F6" w14:textId="77777777" w:rsidTr="006E6C4E">
        <w:tc>
          <w:tcPr>
            <w:tcW w:w="835" w:type="dxa"/>
            <w:shd w:val="clear" w:color="auto" w:fill="auto"/>
          </w:tcPr>
          <w:p w14:paraId="264E57BC"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34Lf39</w:t>
            </w:r>
          </w:p>
        </w:tc>
        <w:tc>
          <w:tcPr>
            <w:tcW w:w="1163" w:type="dxa"/>
            <w:shd w:val="clear" w:color="auto" w:fill="auto"/>
          </w:tcPr>
          <w:p w14:paraId="26889766"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Brewer</w:t>
            </w:r>
          </w:p>
        </w:tc>
        <w:tc>
          <w:tcPr>
            <w:tcW w:w="630" w:type="dxa"/>
            <w:shd w:val="clear" w:color="auto" w:fill="auto"/>
          </w:tcPr>
          <w:p w14:paraId="6124DE3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124</w:t>
            </w:r>
          </w:p>
        </w:tc>
        <w:tc>
          <w:tcPr>
            <w:tcW w:w="720" w:type="dxa"/>
            <w:shd w:val="clear" w:color="auto" w:fill="auto"/>
          </w:tcPr>
          <w:p w14:paraId="5E6D229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6</w:t>
            </w:r>
          </w:p>
        </w:tc>
        <w:tc>
          <w:tcPr>
            <w:tcW w:w="630" w:type="dxa"/>
            <w:shd w:val="clear" w:color="auto" w:fill="auto"/>
          </w:tcPr>
          <w:p w14:paraId="1BD3FEE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2EE7934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050ADC9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 (7)</w:t>
            </w:r>
          </w:p>
        </w:tc>
        <w:tc>
          <w:tcPr>
            <w:tcW w:w="990" w:type="dxa"/>
            <w:shd w:val="clear" w:color="auto" w:fill="auto"/>
          </w:tcPr>
          <w:p w14:paraId="0CBCA09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22</w:t>
            </w:r>
          </w:p>
        </w:tc>
        <w:tc>
          <w:tcPr>
            <w:tcW w:w="720" w:type="dxa"/>
            <w:shd w:val="clear" w:color="auto" w:fill="auto"/>
          </w:tcPr>
          <w:p w14:paraId="3B69624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146</w:t>
            </w:r>
          </w:p>
        </w:tc>
        <w:tc>
          <w:tcPr>
            <w:tcW w:w="720" w:type="dxa"/>
            <w:shd w:val="clear" w:color="auto" w:fill="auto"/>
          </w:tcPr>
          <w:p w14:paraId="54EBF1B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15</w:t>
            </w:r>
          </w:p>
        </w:tc>
      </w:tr>
      <w:tr w:rsidR="00933C62" w:rsidRPr="00FD0636" w14:paraId="5D6259FA" w14:textId="77777777" w:rsidTr="006E6C4E">
        <w:tc>
          <w:tcPr>
            <w:tcW w:w="835" w:type="dxa"/>
            <w:shd w:val="clear" w:color="auto" w:fill="auto"/>
          </w:tcPr>
          <w:p w14:paraId="25566865"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34Lf20</w:t>
            </w:r>
          </w:p>
        </w:tc>
        <w:tc>
          <w:tcPr>
            <w:tcW w:w="1163" w:type="dxa"/>
            <w:shd w:val="clear" w:color="auto" w:fill="auto"/>
          </w:tcPr>
          <w:p w14:paraId="7EEFBB3C"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Copeland</w:t>
            </w:r>
          </w:p>
        </w:tc>
        <w:tc>
          <w:tcPr>
            <w:tcW w:w="630" w:type="dxa"/>
            <w:shd w:val="clear" w:color="auto" w:fill="auto"/>
          </w:tcPr>
          <w:p w14:paraId="4DEEF71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84</w:t>
            </w:r>
          </w:p>
        </w:tc>
        <w:tc>
          <w:tcPr>
            <w:tcW w:w="720" w:type="dxa"/>
            <w:shd w:val="clear" w:color="auto" w:fill="auto"/>
          </w:tcPr>
          <w:p w14:paraId="638AF95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630" w:type="dxa"/>
            <w:shd w:val="clear" w:color="auto" w:fill="auto"/>
          </w:tcPr>
          <w:p w14:paraId="658D38D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w:t>
            </w:r>
          </w:p>
        </w:tc>
        <w:tc>
          <w:tcPr>
            <w:tcW w:w="630" w:type="dxa"/>
            <w:shd w:val="clear" w:color="auto" w:fill="auto"/>
          </w:tcPr>
          <w:p w14:paraId="75CAFBC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0728FEE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 (5)</w:t>
            </w:r>
          </w:p>
        </w:tc>
        <w:tc>
          <w:tcPr>
            <w:tcW w:w="990" w:type="dxa"/>
            <w:shd w:val="clear" w:color="auto" w:fill="auto"/>
          </w:tcPr>
          <w:p w14:paraId="4AC8551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14</w:t>
            </w:r>
          </w:p>
        </w:tc>
        <w:tc>
          <w:tcPr>
            <w:tcW w:w="720" w:type="dxa"/>
            <w:shd w:val="clear" w:color="auto" w:fill="auto"/>
          </w:tcPr>
          <w:p w14:paraId="027607E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88</w:t>
            </w:r>
          </w:p>
        </w:tc>
        <w:tc>
          <w:tcPr>
            <w:tcW w:w="720" w:type="dxa"/>
            <w:shd w:val="clear" w:color="auto" w:fill="auto"/>
          </w:tcPr>
          <w:p w14:paraId="051A4F5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16</w:t>
            </w:r>
          </w:p>
        </w:tc>
      </w:tr>
      <w:tr w:rsidR="00933C62" w:rsidRPr="00FD0636" w14:paraId="6F87B5DF" w14:textId="77777777" w:rsidTr="006E6C4E">
        <w:tc>
          <w:tcPr>
            <w:tcW w:w="835" w:type="dxa"/>
            <w:shd w:val="clear" w:color="auto" w:fill="auto"/>
          </w:tcPr>
          <w:p w14:paraId="2122C473"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34Lf24</w:t>
            </w:r>
          </w:p>
        </w:tc>
        <w:tc>
          <w:tcPr>
            <w:tcW w:w="1163" w:type="dxa"/>
            <w:shd w:val="clear" w:color="auto" w:fill="auto"/>
          </w:tcPr>
          <w:p w14:paraId="4DD724E7"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Williams I</w:t>
            </w:r>
          </w:p>
        </w:tc>
        <w:tc>
          <w:tcPr>
            <w:tcW w:w="630" w:type="dxa"/>
            <w:shd w:val="clear" w:color="auto" w:fill="auto"/>
          </w:tcPr>
          <w:p w14:paraId="51AF8370"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168</w:t>
            </w:r>
          </w:p>
        </w:tc>
        <w:tc>
          <w:tcPr>
            <w:tcW w:w="720" w:type="dxa"/>
            <w:shd w:val="clear" w:color="auto" w:fill="auto"/>
          </w:tcPr>
          <w:p w14:paraId="5552518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7</w:t>
            </w:r>
          </w:p>
        </w:tc>
        <w:tc>
          <w:tcPr>
            <w:tcW w:w="630" w:type="dxa"/>
            <w:shd w:val="clear" w:color="auto" w:fill="auto"/>
          </w:tcPr>
          <w:p w14:paraId="520D9854"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w:t>
            </w:r>
          </w:p>
        </w:tc>
        <w:tc>
          <w:tcPr>
            <w:tcW w:w="630" w:type="dxa"/>
            <w:shd w:val="clear" w:color="auto" w:fill="auto"/>
          </w:tcPr>
          <w:p w14:paraId="6E99BFE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w:t>
            </w:r>
          </w:p>
        </w:tc>
        <w:tc>
          <w:tcPr>
            <w:tcW w:w="990" w:type="dxa"/>
            <w:shd w:val="clear" w:color="auto" w:fill="auto"/>
          </w:tcPr>
          <w:p w14:paraId="1B631420"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 (5)</w:t>
            </w:r>
          </w:p>
        </w:tc>
        <w:tc>
          <w:tcPr>
            <w:tcW w:w="990" w:type="dxa"/>
            <w:shd w:val="clear" w:color="auto" w:fill="auto"/>
          </w:tcPr>
          <w:p w14:paraId="4307CCF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39</w:t>
            </w:r>
          </w:p>
        </w:tc>
        <w:tc>
          <w:tcPr>
            <w:tcW w:w="720" w:type="dxa"/>
            <w:shd w:val="clear" w:color="auto" w:fill="auto"/>
          </w:tcPr>
          <w:p w14:paraId="1D4FFD0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210</w:t>
            </w:r>
          </w:p>
        </w:tc>
        <w:tc>
          <w:tcPr>
            <w:tcW w:w="720" w:type="dxa"/>
            <w:shd w:val="clear" w:color="auto" w:fill="auto"/>
          </w:tcPr>
          <w:p w14:paraId="20AB87D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19</w:t>
            </w:r>
          </w:p>
        </w:tc>
      </w:tr>
      <w:tr w:rsidR="00933C62" w:rsidRPr="00FD0636" w14:paraId="45F43559" w14:textId="77777777" w:rsidTr="006E6C4E">
        <w:tc>
          <w:tcPr>
            <w:tcW w:w="835" w:type="dxa"/>
            <w:shd w:val="clear" w:color="auto" w:fill="auto"/>
          </w:tcPr>
          <w:p w14:paraId="445919A2"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34Lf18</w:t>
            </w:r>
          </w:p>
        </w:tc>
        <w:tc>
          <w:tcPr>
            <w:tcW w:w="1163" w:type="dxa"/>
            <w:shd w:val="clear" w:color="auto" w:fill="auto"/>
          </w:tcPr>
          <w:p w14:paraId="29392BCD"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DeHart I</w:t>
            </w:r>
          </w:p>
        </w:tc>
        <w:tc>
          <w:tcPr>
            <w:tcW w:w="630" w:type="dxa"/>
            <w:shd w:val="clear" w:color="auto" w:fill="auto"/>
          </w:tcPr>
          <w:p w14:paraId="11522A0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28</w:t>
            </w:r>
          </w:p>
        </w:tc>
        <w:tc>
          <w:tcPr>
            <w:tcW w:w="720" w:type="dxa"/>
            <w:shd w:val="clear" w:color="auto" w:fill="auto"/>
          </w:tcPr>
          <w:p w14:paraId="1823C84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w:t>
            </w:r>
          </w:p>
        </w:tc>
        <w:tc>
          <w:tcPr>
            <w:tcW w:w="630" w:type="dxa"/>
            <w:shd w:val="clear" w:color="auto" w:fill="auto"/>
          </w:tcPr>
          <w:p w14:paraId="2FC7354B"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08544E7F"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2554263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284B022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7</w:t>
            </w:r>
          </w:p>
        </w:tc>
        <w:tc>
          <w:tcPr>
            <w:tcW w:w="720" w:type="dxa"/>
            <w:shd w:val="clear" w:color="auto" w:fill="auto"/>
          </w:tcPr>
          <w:p w14:paraId="609E0A1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35</w:t>
            </w:r>
          </w:p>
        </w:tc>
        <w:tc>
          <w:tcPr>
            <w:tcW w:w="720" w:type="dxa"/>
            <w:shd w:val="clear" w:color="auto" w:fill="auto"/>
          </w:tcPr>
          <w:p w14:paraId="29F5636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10</w:t>
            </w:r>
          </w:p>
        </w:tc>
      </w:tr>
      <w:tr w:rsidR="00933C62" w:rsidRPr="00FD0636" w14:paraId="787D27FB" w14:textId="77777777" w:rsidTr="006E6C4E">
        <w:tc>
          <w:tcPr>
            <w:tcW w:w="835" w:type="dxa"/>
            <w:shd w:val="clear" w:color="auto" w:fill="auto"/>
          </w:tcPr>
          <w:p w14:paraId="44AF6EA0"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34Lf32</w:t>
            </w:r>
          </w:p>
        </w:tc>
        <w:tc>
          <w:tcPr>
            <w:tcW w:w="1163" w:type="dxa"/>
            <w:shd w:val="clear" w:color="auto" w:fill="auto"/>
          </w:tcPr>
          <w:p w14:paraId="1933BB0E"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Akers*</w:t>
            </w:r>
          </w:p>
        </w:tc>
        <w:tc>
          <w:tcPr>
            <w:tcW w:w="630" w:type="dxa"/>
            <w:shd w:val="clear" w:color="auto" w:fill="auto"/>
          </w:tcPr>
          <w:p w14:paraId="709BD42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154</w:t>
            </w:r>
          </w:p>
        </w:tc>
        <w:tc>
          <w:tcPr>
            <w:tcW w:w="720" w:type="dxa"/>
            <w:shd w:val="clear" w:color="auto" w:fill="auto"/>
          </w:tcPr>
          <w:p w14:paraId="25262A9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14</w:t>
            </w:r>
          </w:p>
        </w:tc>
        <w:tc>
          <w:tcPr>
            <w:tcW w:w="630" w:type="dxa"/>
            <w:shd w:val="clear" w:color="auto" w:fill="auto"/>
          </w:tcPr>
          <w:p w14:paraId="443BCD3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w:t>
            </w:r>
          </w:p>
        </w:tc>
        <w:tc>
          <w:tcPr>
            <w:tcW w:w="630" w:type="dxa"/>
            <w:shd w:val="clear" w:color="auto" w:fill="auto"/>
          </w:tcPr>
          <w:p w14:paraId="453CE7A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990" w:type="dxa"/>
            <w:shd w:val="clear" w:color="auto" w:fill="auto"/>
          </w:tcPr>
          <w:p w14:paraId="4C902412"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 (11)</w:t>
            </w:r>
          </w:p>
        </w:tc>
        <w:tc>
          <w:tcPr>
            <w:tcW w:w="990" w:type="dxa"/>
            <w:shd w:val="clear" w:color="auto" w:fill="auto"/>
          </w:tcPr>
          <w:p w14:paraId="50C4B30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52</w:t>
            </w:r>
          </w:p>
        </w:tc>
        <w:tc>
          <w:tcPr>
            <w:tcW w:w="720" w:type="dxa"/>
            <w:shd w:val="clear" w:color="auto" w:fill="auto"/>
          </w:tcPr>
          <w:p w14:paraId="25153AB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206</w:t>
            </w:r>
          </w:p>
        </w:tc>
        <w:tc>
          <w:tcPr>
            <w:tcW w:w="720" w:type="dxa"/>
            <w:shd w:val="clear" w:color="auto" w:fill="auto"/>
          </w:tcPr>
          <w:p w14:paraId="3A7A14CF"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25</w:t>
            </w:r>
          </w:p>
        </w:tc>
      </w:tr>
      <w:tr w:rsidR="00933C62" w:rsidRPr="00FD0636" w14:paraId="436A5E89" w14:textId="77777777" w:rsidTr="006E6C4E">
        <w:tc>
          <w:tcPr>
            <w:tcW w:w="835" w:type="dxa"/>
            <w:shd w:val="clear" w:color="auto" w:fill="auto"/>
          </w:tcPr>
          <w:p w14:paraId="7473BFC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34Lf19</w:t>
            </w:r>
          </w:p>
        </w:tc>
        <w:tc>
          <w:tcPr>
            <w:tcW w:w="1163" w:type="dxa"/>
            <w:shd w:val="clear" w:color="auto" w:fill="auto"/>
          </w:tcPr>
          <w:p w14:paraId="1790BE83"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Hooks</w:t>
            </w:r>
          </w:p>
        </w:tc>
        <w:tc>
          <w:tcPr>
            <w:tcW w:w="630" w:type="dxa"/>
            <w:shd w:val="clear" w:color="auto" w:fill="auto"/>
          </w:tcPr>
          <w:p w14:paraId="26E9684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68</w:t>
            </w:r>
          </w:p>
        </w:tc>
        <w:tc>
          <w:tcPr>
            <w:tcW w:w="720" w:type="dxa"/>
            <w:shd w:val="clear" w:color="auto" w:fill="auto"/>
          </w:tcPr>
          <w:p w14:paraId="6351561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11</w:t>
            </w:r>
          </w:p>
        </w:tc>
        <w:tc>
          <w:tcPr>
            <w:tcW w:w="630" w:type="dxa"/>
            <w:shd w:val="clear" w:color="auto" w:fill="auto"/>
          </w:tcPr>
          <w:p w14:paraId="426066F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075B6E9F"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59AF8F8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3F21BF47"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25</w:t>
            </w:r>
          </w:p>
        </w:tc>
        <w:tc>
          <w:tcPr>
            <w:tcW w:w="720" w:type="dxa"/>
            <w:shd w:val="clear" w:color="auto" w:fill="auto"/>
          </w:tcPr>
          <w:p w14:paraId="0CB3D81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93</w:t>
            </w:r>
          </w:p>
        </w:tc>
        <w:tc>
          <w:tcPr>
            <w:tcW w:w="720" w:type="dxa"/>
            <w:shd w:val="clear" w:color="auto" w:fill="auto"/>
          </w:tcPr>
          <w:p w14:paraId="6A75C744"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27</w:t>
            </w:r>
          </w:p>
        </w:tc>
      </w:tr>
      <w:tr w:rsidR="00933C62" w:rsidRPr="00FD0636" w14:paraId="30EC242C" w14:textId="77777777" w:rsidTr="006E6C4E">
        <w:tc>
          <w:tcPr>
            <w:tcW w:w="835" w:type="dxa"/>
            <w:shd w:val="clear" w:color="auto" w:fill="auto"/>
          </w:tcPr>
          <w:p w14:paraId="62B977A6"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34Lf33</w:t>
            </w:r>
          </w:p>
        </w:tc>
        <w:tc>
          <w:tcPr>
            <w:tcW w:w="1163" w:type="dxa"/>
            <w:shd w:val="clear" w:color="auto" w:fill="auto"/>
          </w:tcPr>
          <w:p w14:paraId="002FF8E5"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Adams</w:t>
            </w:r>
          </w:p>
        </w:tc>
        <w:tc>
          <w:tcPr>
            <w:tcW w:w="630" w:type="dxa"/>
            <w:shd w:val="clear" w:color="auto" w:fill="auto"/>
          </w:tcPr>
          <w:p w14:paraId="4B6C17A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58</w:t>
            </w:r>
          </w:p>
        </w:tc>
        <w:tc>
          <w:tcPr>
            <w:tcW w:w="720" w:type="dxa"/>
            <w:shd w:val="clear" w:color="auto" w:fill="auto"/>
          </w:tcPr>
          <w:p w14:paraId="0CD4067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w:t>
            </w:r>
          </w:p>
        </w:tc>
        <w:tc>
          <w:tcPr>
            <w:tcW w:w="630" w:type="dxa"/>
            <w:shd w:val="clear" w:color="auto" w:fill="auto"/>
          </w:tcPr>
          <w:p w14:paraId="3D08A5D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w:t>
            </w:r>
          </w:p>
        </w:tc>
        <w:tc>
          <w:tcPr>
            <w:tcW w:w="630" w:type="dxa"/>
            <w:shd w:val="clear" w:color="auto" w:fill="auto"/>
          </w:tcPr>
          <w:p w14:paraId="0FCF4C87"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1EB79097"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 (11)</w:t>
            </w:r>
          </w:p>
        </w:tc>
        <w:tc>
          <w:tcPr>
            <w:tcW w:w="990" w:type="dxa"/>
            <w:shd w:val="clear" w:color="auto" w:fill="auto"/>
          </w:tcPr>
          <w:p w14:paraId="0332B784"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21</w:t>
            </w:r>
          </w:p>
        </w:tc>
        <w:tc>
          <w:tcPr>
            <w:tcW w:w="720" w:type="dxa"/>
            <w:shd w:val="clear" w:color="auto" w:fill="auto"/>
          </w:tcPr>
          <w:p w14:paraId="4BB7017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79</w:t>
            </w:r>
          </w:p>
        </w:tc>
        <w:tc>
          <w:tcPr>
            <w:tcW w:w="720" w:type="dxa"/>
            <w:shd w:val="clear" w:color="auto" w:fill="auto"/>
          </w:tcPr>
          <w:p w14:paraId="46BF38A0"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27</w:t>
            </w:r>
          </w:p>
        </w:tc>
      </w:tr>
      <w:tr w:rsidR="00933C62" w:rsidRPr="00FD0636" w14:paraId="01E13D2F" w14:textId="77777777" w:rsidTr="006E6C4E">
        <w:tc>
          <w:tcPr>
            <w:tcW w:w="835" w:type="dxa"/>
            <w:shd w:val="clear" w:color="auto" w:fill="auto"/>
          </w:tcPr>
          <w:p w14:paraId="6E3481DA"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34Lf17</w:t>
            </w:r>
          </w:p>
        </w:tc>
        <w:tc>
          <w:tcPr>
            <w:tcW w:w="1163" w:type="dxa"/>
            <w:shd w:val="clear" w:color="auto" w:fill="auto"/>
          </w:tcPr>
          <w:p w14:paraId="6F66682D"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DeHart II</w:t>
            </w:r>
          </w:p>
        </w:tc>
        <w:tc>
          <w:tcPr>
            <w:tcW w:w="630" w:type="dxa"/>
            <w:shd w:val="clear" w:color="auto" w:fill="auto"/>
          </w:tcPr>
          <w:p w14:paraId="46B77A6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26</w:t>
            </w:r>
          </w:p>
        </w:tc>
        <w:tc>
          <w:tcPr>
            <w:tcW w:w="720" w:type="dxa"/>
            <w:shd w:val="clear" w:color="auto" w:fill="auto"/>
          </w:tcPr>
          <w:p w14:paraId="07DFF5E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5</w:t>
            </w:r>
          </w:p>
        </w:tc>
        <w:tc>
          <w:tcPr>
            <w:tcW w:w="630" w:type="dxa"/>
            <w:shd w:val="clear" w:color="auto" w:fill="auto"/>
          </w:tcPr>
          <w:p w14:paraId="35EA282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630" w:type="dxa"/>
            <w:shd w:val="clear" w:color="auto" w:fill="auto"/>
          </w:tcPr>
          <w:p w14:paraId="7313AD6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54EFE93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12D3923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10</w:t>
            </w:r>
          </w:p>
        </w:tc>
        <w:tc>
          <w:tcPr>
            <w:tcW w:w="720" w:type="dxa"/>
            <w:shd w:val="clear" w:color="auto" w:fill="auto"/>
          </w:tcPr>
          <w:p w14:paraId="599D25A4"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36</w:t>
            </w:r>
          </w:p>
        </w:tc>
        <w:tc>
          <w:tcPr>
            <w:tcW w:w="720" w:type="dxa"/>
            <w:shd w:val="clear" w:color="auto" w:fill="auto"/>
          </w:tcPr>
          <w:p w14:paraId="7CB9E05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28</w:t>
            </w:r>
          </w:p>
        </w:tc>
      </w:tr>
      <w:tr w:rsidR="00933C62" w:rsidRPr="00FD0636" w14:paraId="0765E21D" w14:textId="77777777" w:rsidTr="006E6C4E">
        <w:tc>
          <w:tcPr>
            <w:tcW w:w="835" w:type="dxa"/>
            <w:shd w:val="clear" w:color="auto" w:fill="auto"/>
          </w:tcPr>
          <w:p w14:paraId="38F4EF0B"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34Lf28</w:t>
            </w:r>
          </w:p>
        </w:tc>
        <w:tc>
          <w:tcPr>
            <w:tcW w:w="1163" w:type="dxa"/>
            <w:shd w:val="clear" w:color="auto" w:fill="auto"/>
          </w:tcPr>
          <w:p w14:paraId="278350F7"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Sam</w:t>
            </w:r>
          </w:p>
        </w:tc>
        <w:tc>
          <w:tcPr>
            <w:tcW w:w="630" w:type="dxa"/>
            <w:shd w:val="clear" w:color="auto" w:fill="auto"/>
          </w:tcPr>
          <w:p w14:paraId="73C5E7A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38</w:t>
            </w:r>
          </w:p>
        </w:tc>
        <w:tc>
          <w:tcPr>
            <w:tcW w:w="720" w:type="dxa"/>
            <w:shd w:val="clear" w:color="auto" w:fill="auto"/>
          </w:tcPr>
          <w:p w14:paraId="0A54B5E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9</w:t>
            </w:r>
          </w:p>
        </w:tc>
        <w:tc>
          <w:tcPr>
            <w:tcW w:w="630" w:type="dxa"/>
            <w:shd w:val="clear" w:color="auto" w:fill="auto"/>
          </w:tcPr>
          <w:p w14:paraId="6ED43137"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5D710F4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5564F4C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1D0F8782"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21</w:t>
            </w:r>
          </w:p>
        </w:tc>
        <w:tc>
          <w:tcPr>
            <w:tcW w:w="720" w:type="dxa"/>
            <w:shd w:val="clear" w:color="auto" w:fill="auto"/>
          </w:tcPr>
          <w:p w14:paraId="77CE3A7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73</w:t>
            </w:r>
          </w:p>
        </w:tc>
        <w:tc>
          <w:tcPr>
            <w:tcW w:w="720" w:type="dxa"/>
            <w:shd w:val="clear" w:color="auto" w:fill="auto"/>
          </w:tcPr>
          <w:p w14:paraId="3DA53EC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29</w:t>
            </w:r>
          </w:p>
        </w:tc>
      </w:tr>
      <w:tr w:rsidR="00933C62" w:rsidRPr="00FD0636" w14:paraId="4776A850" w14:textId="77777777" w:rsidTr="006E6C4E">
        <w:tc>
          <w:tcPr>
            <w:tcW w:w="835" w:type="dxa"/>
            <w:shd w:val="clear" w:color="auto" w:fill="auto"/>
          </w:tcPr>
          <w:p w14:paraId="6AA01E2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34Lf27</w:t>
            </w:r>
          </w:p>
        </w:tc>
        <w:tc>
          <w:tcPr>
            <w:tcW w:w="1163" w:type="dxa"/>
            <w:shd w:val="clear" w:color="auto" w:fill="auto"/>
          </w:tcPr>
          <w:p w14:paraId="1BB14058"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Wann</w:t>
            </w:r>
          </w:p>
        </w:tc>
        <w:tc>
          <w:tcPr>
            <w:tcW w:w="630" w:type="dxa"/>
            <w:shd w:val="clear" w:color="auto" w:fill="auto"/>
          </w:tcPr>
          <w:p w14:paraId="79FE2DB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21</w:t>
            </w:r>
          </w:p>
        </w:tc>
        <w:tc>
          <w:tcPr>
            <w:tcW w:w="720" w:type="dxa"/>
            <w:shd w:val="clear" w:color="auto" w:fill="auto"/>
          </w:tcPr>
          <w:p w14:paraId="272C6C5F"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6E46367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16A4C87B"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4AABC85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 (5)</w:t>
            </w:r>
          </w:p>
        </w:tc>
        <w:tc>
          <w:tcPr>
            <w:tcW w:w="990" w:type="dxa"/>
            <w:shd w:val="clear" w:color="auto" w:fill="auto"/>
          </w:tcPr>
          <w:p w14:paraId="3B325BA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10</w:t>
            </w:r>
          </w:p>
        </w:tc>
        <w:tc>
          <w:tcPr>
            <w:tcW w:w="720" w:type="dxa"/>
            <w:shd w:val="clear" w:color="auto" w:fill="auto"/>
          </w:tcPr>
          <w:p w14:paraId="15F39EB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32</w:t>
            </w:r>
          </w:p>
        </w:tc>
        <w:tc>
          <w:tcPr>
            <w:tcW w:w="720" w:type="dxa"/>
            <w:shd w:val="clear" w:color="auto" w:fill="auto"/>
          </w:tcPr>
          <w:p w14:paraId="3E1BB18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31</w:t>
            </w:r>
          </w:p>
        </w:tc>
      </w:tr>
      <w:tr w:rsidR="00933C62" w:rsidRPr="00FD0636" w14:paraId="3DB89F4A" w14:textId="77777777" w:rsidTr="006E6C4E">
        <w:tc>
          <w:tcPr>
            <w:tcW w:w="835" w:type="dxa"/>
            <w:shd w:val="clear" w:color="auto" w:fill="auto"/>
          </w:tcPr>
          <w:p w14:paraId="2E23F335"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34Lt11</w:t>
            </w:r>
          </w:p>
        </w:tc>
        <w:tc>
          <w:tcPr>
            <w:tcW w:w="1163" w:type="dxa"/>
            <w:shd w:val="clear" w:color="auto" w:fill="auto"/>
          </w:tcPr>
          <w:p w14:paraId="3436128B"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McC-McL</w:t>
            </w:r>
          </w:p>
        </w:tc>
        <w:tc>
          <w:tcPr>
            <w:tcW w:w="630" w:type="dxa"/>
            <w:shd w:val="clear" w:color="auto" w:fill="auto"/>
          </w:tcPr>
          <w:p w14:paraId="1972339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29</w:t>
            </w:r>
          </w:p>
        </w:tc>
        <w:tc>
          <w:tcPr>
            <w:tcW w:w="720" w:type="dxa"/>
            <w:shd w:val="clear" w:color="auto" w:fill="auto"/>
          </w:tcPr>
          <w:p w14:paraId="4D32F510"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w:t>
            </w:r>
          </w:p>
        </w:tc>
        <w:tc>
          <w:tcPr>
            <w:tcW w:w="630" w:type="dxa"/>
            <w:shd w:val="clear" w:color="auto" w:fill="auto"/>
          </w:tcPr>
          <w:p w14:paraId="36F0374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3885C882"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7F69E6A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1CC2CD8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18</w:t>
            </w:r>
          </w:p>
        </w:tc>
        <w:tc>
          <w:tcPr>
            <w:tcW w:w="720" w:type="dxa"/>
            <w:shd w:val="clear" w:color="auto" w:fill="auto"/>
          </w:tcPr>
          <w:p w14:paraId="78531EF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47</w:t>
            </w:r>
          </w:p>
        </w:tc>
        <w:tc>
          <w:tcPr>
            <w:tcW w:w="720" w:type="dxa"/>
            <w:shd w:val="clear" w:color="auto" w:fill="auto"/>
          </w:tcPr>
          <w:p w14:paraId="27D8A82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38</w:t>
            </w:r>
          </w:p>
        </w:tc>
      </w:tr>
      <w:tr w:rsidR="00933C62" w:rsidRPr="00FD0636" w14:paraId="57B0F08E" w14:textId="77777777" w:rsidTr="006E6C4E">
        <w:tc>
          <w:tcPr>
            <w:tcW w:w="835" w:type="dxa"/>
            <w:shd w:val="clear" w:color="auto" w:fill="auto"/>
          </w:tcPr>
          <w:p w14:paraId="6EC3A4A9"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34Lf29</w:t>
            </w:r>
          </w:p>
        </w:tc>
        <w:tc>
          <w:tcPr>
            <w:tcW w:w="1163" w:type="dxa"/>
            <w:shd w:val="clear" w:color="auto" w:fill="auto"/>
          </w:tcPr>
          <w:p w14:paraId="6290CBDF"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Mackey*</w:t>
            </w:r>
          </w:p>
        </w:tc>
        <w:tc>
          <w:tcPr>
            <w:tcW w:w="630" w:type="dxa"/>
            <w:shd w:val="clear" w:color="auto" w:fill="auto"/>
          </w:tcPr>
          <w:p w14:paraId="67EA1A2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137</w:t>
            </w:r>
          </w:p>
        </w:tc>
        <w:tc>
          <w:tcPr>
            <w:tcW w:w="720" w:type="dxa"/>
            <w:shd w:val="clear" w:color="auto" w:fill="auto"/>
          </w:tcPr>
          <w:p w14:paraId="1AFB2D5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13</w:t>
            </w:r>
          </w:p>
        </w:tc>
        <w:tc>
          <w:tcPr>
            <w:tcW w:w="630" w:type="dxa"/>
            <w:shd w:val="clear" w:color="auto" w:fill="auto"/>
          </w:tcPr>
          <w:p w14:paraId="3106C87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5</w:t>
            </w:r>
          </w:p>
        </w:tc>
        <w:tc>
          <w:tcPr>
            <w:tcW w:w="630" w:type="dxa"/>
            <w:shd w:val="clear" w:color="auto" w:fill="auto"/>
          </w:tcPr>
          <w:p w14:paraId="6C44FB4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w:t>
            </w:r>
          </w:p>
        </w:tc>
        <w:tc>
          <w:tcPr>
            <w:tcW w:w="990" w:type="dxa"/>
            <w:shd w:val="clear" w:color="auto" w:fill="auto"/>
          </w:tcPr>
          <w:p w14:paraId="2D68DDA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 (5,5,6)</w:t>
            </w:r>
          </w:p>
        </w:tc>
        <w:tc>
          <w:tcPr>
            <w:tcW w:w="990" w:type="dxa"/>
            <w:shd w:val="clear" w:color="auto" w:fill="auto"/>
          </w:tcPr>
          <w:p w14:paraId="2B0B800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65</w:t>
            </w:r>
          </w:p>
        </w:tc>
        <w:tc>
          <w:tcPr>
            <w:tcW w:w="720" w:type="dxa"/>
            <w:shd w:val="clear" w:color="auto" w:fill="auto"/>
          </w:tcPr>
          <w:p w14:paraId="733B166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165</w:t>
            </w:r>
          </w:p>
        </w:tc>
        <w:tc>
          <w:tcPr>
            <w:tcW w:w="720" w:type="dxa"/>
            <w:shd w:val="clear" w:color="auto" w:fill="auto"/>
          </w:tcPr>
          <w:p w14:paraId="3CD87944"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39</w:t>
            </w:r>
          </w:p>
        </w:tc>
      </w:tr>
      <w:tr w:rsidR="00933C62" w:rsidRPr="00FD0636" w14:paraId="5A0B190A" w14:textId="77777777" w:rsidTr="006E6C4E">
        <w:tc>
          <w:tcPr>
            <w:tcW w:w="835" w:type="dxa"/>
            <w:shd w:val="clear" w:color="auto" w:fill="auto"/>
          </w:tcPr>
          <w:p w14:paraId="3A096309"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34Lf15</w:t>
            </w:r>
          </w:p>
        </w:tc>
        <w:tc>
          <w:tcPr>
            <w:tcW w:w="1163" w:type="dxa"/>
            <w:shd w:val="clear" w:color="auto" w:fill="auto"/>
          </w:tcPr>
          <w:p w14:paraId="152915E1"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Redwine</w:t>
            </w:r>
          </w:p>
        </w:tc>
        <w:tc>
          <w:tcPr>
            <w:tcW w:w="630" w:type="dxa"/>
            <w:shd w:val="clear" w:color="auto" w:fill="auto"/>
          </w:tcPr>
          <w:p w14:paraId="643928C3"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3</w:t>
            </w:r>
          </w:p>
        </w:tc>
        <w:tc>
          <w:tcPr>
            <w:tcW w:w="720" w:type="dxa"/>
            <w:shd w:val="clear" w:color="auto" w:fill="auto"/>
          </w:tcPr>
          <w:p w14:paraId="7FDD9A60"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w:t>
            </w:r>
          </w:p>
        </w:tc>
        <w:tc>
          <w:tcPr>
            <w:tcW w:w="630" w:type="dxa"/>
            <w:shd w:val="clear" w:color="auto" w:fill="auto"/>
          </w:tcPr>
          <w:p w14:paraId="7378576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w:t>
            </w:r>
          </w:p>
        </w:tc>
        <w:tc>
          <w:tcPr>
            <w:tcW w:w="630" w:type="dxa"/>
            <w:shd w:val="clear" w:color="auto" w:fill="auto"/>
          </w:tcPr>
          <w:p w14:paraId="6ABDCE1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0</w:t>
            </w:r>
          </w:p>
        </w:tc>
        <w:tc>
          <w:tcPr>
            <w:tcW w:w="990" w:type="dxa"/>
            <w:shd w:val="clear" w:color="auto" w:fill="auto"/>
          </w:tcPr>
          <w:p w14:paraId="0E97B002"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 (11)</w:t>
            </w:r>
          </w:p>
        </w:tc>
        <w:tc>
          <w:tcPr>
            <w:tcW w:w="990" w:type="dxa"/>
            <w:shd w:val="clear" w:color="auto" w:fill="auto"/>
          </w:tcPr>
          <w:p w14:paraId="6C47EEED"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7</w:t>
            </w:r>
          </w:p>
        </w:tc>
        <w:tc>
          <w:tcPr>
            <w:tcW w:w="720" w:type="dxa"/>
            <w:shd w:val="clear" w:color="auto" w:fill="auto"/>
          </w:tcPr>
          <w:p w14:paraId="1EA5EEC3"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10</w:t>
            </w:r>
          </w:p>
        </w:tc>
        <w:tc>
          <w:tcPr>
            <w:tcW w:w="720" w:type="dxa"/>
            <w:shd w:val="clear" w:color="auto" w:fill="auto"/>
          </w:tcPr>
          <w:p w14:paraId="5EC581A2"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70</w:t>
            </w:r>
          </w:p>
        </w:tc>
      </w:tr>
      <w:tr w:rsidR="00933C62" w:rsidRPr="00FD0636" w14:paraId="27BE8D55" w14:textId="77777777" w:rsidTr="006E6C4E">
        <w:tc>
          <w:tcPr>
            <w:tcW w:w="835" w:type="dxa"/>
            <w:shd w:val="clear" w:color="auto" w:fill="auto"/>
          </w:tcPr>
          <w:p w14:paraId="76CC71C4" w14:textId="77777777" w:rsidR="00933C62" w:rsidRPr="00FD0636" w:rsidRDefault="00933C62" w:rsidP="006E6C4E">
            <w:pPr>
              <w:spacing w:line="240" w:lineRule="auto"/>
              <w:rPr>
                <w:rFonts w:ascii="Times New Roman" w:hAnsi="Times New Roman"/>
                <w:sz w:val="20"/>
              </w:rPr>
            </w:pPr>
          </w:p>
        </w:tc>
        <w:tc>
          <w:tcPr>
            <w:tcW w:w="1163" w:type="dxa"/>
            <w:shd w:val="clear" w:color="auto" w:fill="auto"/>
          </w:tcPr>
          <w:p w14:paraId="1C3563F1"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Totals</w:t>
            </w:r>
          </w:p>
        </w:tc>
        <w:tc>
          <w:tcPr>
            <w:tcW w:w="630" w:type="dxa"/>
            <w:shd w:val="clear" w:color="auto" w:fill="auto"/>
          </w:tcPr>
          <w:p w14:paraId="4747D237"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93</w:t>
            </w:r>
            <w:r>
              <w:rPr>
                <w:rFonts w:ascii="Times New Roman" w:hAnsi="Times New Roman"/>
                <w:b/>
                <w:sz w:val="20"/>
              </w:rPr>
              <w:t>8</w:t>
            </w:r>
          </w:p>
        </w:tc>
        <w:tc>
          <w:tcPr>
            <w:tcW w:w="720" w:type="dxa"/>
            <w:shd w:val="clear" w:color="auto" w:fill="auto"/>
          </w:tcPr>
          <w:p w14:paraId="295874A1"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7</w:t>
            </w:r>
            <w:r>
              <w:rPr>
                <w:rFonts w:ascii="Times New Roman" w:hAnsi="Times New Roman"/>
                <w:b/>
                <w:sz w:val="20"/>
              </w:rPr>
              <w:t>3</w:t>
            </w:r>
          </w:p>
        </w:tc>
        <w:tc>
          <w:tcPr>
            <w:tcW w:w="630" w:type="dxa"/>
            <w:shd w:val="clear" w:color="auto" w:fill="auto"/>
          </w:tcPr>
          <w:p w14:paraId="417F0680"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2</w:t>
            </w:r>
            <w:r>
              <w:rPr>
                <w:rFonts w:ascii="Times New Roman" w:hAnsi="Times New Roman"/>
                <w:b/>
                <w:sz w:val="20"/>
              </w:rPr>
              <w:t>1</w:t>
            </w:r>
          </w:p>
        </w:tc>
        <w:tc>
          <w:tcPr>
            <w:tcW w:w="630" w:type="dxa"/>
            <w:shd w:val="clear" w:color="auto" w:fill="auto"/>
          </w:tcPr>
          <w:p w14:paraId="41293750"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6</w:t>
            </w:r>
          </w:p>
        </w:tc>
        <w:tc>
          <w:tcPr>
            <w:tcW w:w="990" w:type="dxa"/>
            <w:shd w:val="clear" w:color="auto" w:fill="auto"/>
          </w:tcPr>
          <w:p w14:paraId="653BD798"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10 (71</w:t>
            </w:r>
            <w:r w:rsidRPr="00FD0636">
              <w:rPr>
                <w:rFonts w:ascii="Times New Roman" w:hAnsi="Times New Roman"/>
                <w:b/>
                <w:sz w:val="20"/>
              </w:rPr>
              <w:t>)</w:t>
            </w:r>
          </w:p>
        </w:tc>
        <w:tc>
          <w:tcPr>
            <w:tcW w:w="990" w:type="dxa"/>
            <w:shd w:val="clear" w:color="auto" w:fill="auto"/>
          </w:tcPr>
          <w:p w14:paraId="43CAD2C3"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311</w:t>
            </w:r>
          </w:p>
        </w:tc>
        <w:tc>
          <w:tcPr>
            <w:tcW w:w="720" w:type="dxa"/>
            <w:shd w:val="clear" w:color="auto" w:fill="auto"/>
          </w:tcPr>
          <w:p w14:paraId="570455EF"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1220</w:t>
            </w:r>
          </w:p>
        </w:tc>
        <w:tc>
          <w:tcPr>
            <w:tcW w:w="720" w:type="dxa"/>
            <w:shd w:val="clear" w:color="auto" w:fill="auto"/>
          </w:tcPr>
          <w:p w14:paraId="5C619C85"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2</w:t>
            </w:r>
            <w:r>
              <w:rPr>
                <w:rFonts w:ascii="Times New Roman" w:hAnsi="Times New Roman"/>
                <w:b/>
                <w:sz w:val="20"/>
              </w:rPr>
              <w:t>5</w:t>
            </w:r>
          </w:p>
        </w:tc>
      </w:tr>
    </w:tbl>
    <w:p w14:paraId="5440C8C0" w14:textId="77777777" w:rsidR="00933C62" w:rsidRDefault="00933C62" w:rsidP="00933C62">
      <w:pPr>
        <w:spacing w:line="240" w:lineRule="auto"/>
        <w:rPr>
          <w:rFonts w:ascii="Times New Roman" w:hAnsi="Times New Roman"/>
        </w:rPr>
      </w:pPr>
    </w:p>
    <w:p w14:paraId="5462438B" w14:textId="77777777" w:rsidR="00933C62" w:rsidRPr="009A7F84" w:rsidRDefault="00933C62" w:rsidP="00933C62">
      <w:pPr>
        <w:spacing w:line="240" w:lineRule="auto"/>
        <w:jc w:val="center"/>
        <w:rPr>
          <w:rFonts w:ascii="Times New Roman" w:hAnsi="Times New Roman"/>
          <w:sz w:val="22"/>
          <w:szCs w:val="22"/>
        </w:rPr>
      </w:pPr>
      <w:r w:rsidRPr="009A7F84">
        <w:rPr>
          <w:rFonts w:ascii="Times New Roman" w:hAnsi="Times New Roman"/>
          <w:sz w:val="22"/>
          <w:szCs w:val="22"/>
        </w:rPr>
        <w:t>*In order to keep the co</w:t>
      </w:r>
      <w:r>
        <w:rPr>
          <w:rFonts w:ascii="Times New Roman" w:hAnsi="Times New Roman"/>
          <w:sz w:val="22"/>
          <w:szCs w:val="22"/>
        </w:rPr>
        <w:t>mparisons consistent, the</w:t>
      </w:r>
      <w:r w:rsidRPr="009A7F84">
        <w:rPr>
          <w:rFonts w:ascii="Times New Roman" w:hAnsi="Times New Roman"/>
          <w:sz w:val="22"/>
          <w:szCs w:val="22"/>
        </w:rPr>
        <w:t xml:space="preserve"> </w:t>
      </w:r>
      <w:r>
        <w:rPr>
          <w:rFonts w:ascii="Times New Roman" w:hAnsi="Times New Roman"/>
          <w:sz w:val="22"/>
          <w:szCs w:val="22"/>
        </w:rPr>
        <w:t>numbers for each site reflect what was tabulated via examination of archival photographs and other documentation, and not the numbers of individuals</w:t>
      </w:r>
      <w:r w:rsidRPr="009A7F84">
        <w:rPr>
          <w:rFonts w:ascii="Times New Roman" w:hAnsi="Times New Roman"/>
          <w:sz w:val="22"/>
          <w:szCs w:val="22"/>
        </w:rPr>
        <w:t xml:space="preserve"> discovered during laboratory analysis.</w:t>
      </w:r>
    </w:p>
    <w:p w14:paraId="58C60482" w14:textId="77777777" w:rsidR="00933C62" w:rsidRDefault="00933C62" w:rsidP="00933C62"/>
    <w:p w14:paraId="3FA7E756" w14:textId="19F7BF12" w:rsidR="00933C62" w:rsidRDefault="00933C62" w:rsidP="00933C62">
      <w:pPr>
        <w:ind w:firstLine="720"/>
        <w:rPr>
          <w:rFonts w:ascii="Times New Roman" w:hAnsi="Times New Roman"/>
        </w:rPr>
      </w:pPr>
      <w:r>
        <w:rPr>
          <w:rFonts w:ascii="Times New Roman" w:hAnsi="Times New Roman"/>
        </w:rPr>
        <w:t>It is reasonable to hyp</w:t>
      </w:r>
      <w:r w:rsidR="00507D20">
        <w:rPr>
          <w:rFonts w:ascii="Times New Roman" w:hAnsi="Times New Roman"/>
        </w:rPr>
        <w:t>othesize that larger sites might</w:t>
      </w:r>
      <w:r>
        <w:rPr>
          <w:rFonts w:ascii="Times New Roman" w:hAnsi="Times New Roman"/>
        </w:rPr>
        <w:t xml:space="preserve"> have more people interred in group burials.  </w:t>
      </w:r>
      <w:r w:rsidRPr="00FD0636">
        <w:rPr>
          <w:rFonts w:ascii="Times New Roman" w:hAnsi="Times New Roman"/>
        </w:rPr>
        <w:t xml:space="preserve">In order to discern if there was any relationship between site size and multiple burials, the total number of individuals buried (x axis) versus the percent of individuals interred in a </w:t>
      </w:r>
      <w:r>
        <w:rPr>
          <w:rFonts w:ascii="Times New Roman" w:hAnsi="Times New Roman"/>
        </w:rPr>
        <w:t xml:space="preserve">group burial (y axis) was plotted.  As seen in </w:t>
      </w:r>
      <w:r w:rsidRPr="00FD0636">
        <w:rPr>
          <w:rFonts w:ascii="Times New Roman" w:hAnsi="Times New Roman"/>
        </w:rPr>
        <w:t xml:space="preserve">Figure </w:t>
      </w:r>
      <w:r>
        <w:rPr>
          <w:rFonts w:ascii="Times New Roman" w:hAnsi="Times New Roman"/>
        </w:rPr>
        <w:t xml:space="preserve">23 a weak negative correlation (R=-.4) is apparent.  However if the outlier site of Redwine (small site with suspiciously high percentage of group burial) is removed, the correlation is nonexistent (R=0).  </w:t>
      </w:r>
      <w:r w:rsidRPr="00FD0636">
        <w:rPr>
          <w:rFonts w:ascii="Times New Roman" w:hAnsi="Times New Roman"/>
        </w:rPr>
        <w:t xml:space="preserve">The number of </w:t>
      </w:r>
      <w:r>
        <w:rPr>
          <w:rFonts w:ascii="Times New Roman" w:hAnsi="Times New Roman"/>
        </w:rPr>
        <w:t>individuals</w:t>
      </w:r>
      <w:r w:rsidRPr="00FD0636">
        <w:rPr>
          <w:rFonts w:ascii="Times New Roman" w:hAnsi="Times New Roman"/>
        </w:rPr>
        <w:t xml:space="preserve"> at each site therefore does not appear to have any significant relationship to how many people were interred in a multiple burial.  </w:t>
      </w:r>
      <w:r>
        <w:rPr>
          <w:rFonts w:ascii="Times New Roman" w:hAnsi="Times New Roman"/>
        </w:rPr>
        <w:t>However this analysis is compromised by the fact</w:t>
      </w:r>
      <w:r w:rsidRPr="00FD0636">
        <w:rPr>
          <w:rFonts w:ascii="Times New Roman" w:hAnsi="Times New Roman"/>
        </w:rPr>
        <w:t xml:space="preserve"> that most of the “small” sites were actually larger sites that were not completely excavated.  For instance the McCutchan-McLaughlin (</w:t>
      </w:r>
      <w:r w:rsidR="005544F1">
        <w:rPr>
          <w:rFonts w:ascii="Times New Roman" w:hAnsi="Times New Roman"/>
        </w:rPr>
        <w:t>34</w:t>
      </w:r>
      <w:r w:rsidR="005544F1" w:rsidRPr="00FD0636">
        <w:rPr>
          <w:rFonts w:ascii="Times New Roman" w:hAnsi="Times New Roman"/>
        </w:rPr>
        <w:t>Lt11</w:t>
      </w:r>
      <w:r w:rsidRPr="00FD0636">
        <w:rPr>
          <w:rFonts w:ascii="Times New Roman" w:hAnsi="Times New Roman"/>
        </w:rPr>
        <w:t>) site, with it</w:t>
      </w:r>
      <w:r>
        <w:rPr>
          <w:rFonts w:ascii="Times New Roman" w:hAnsi="Times New Roman"/>
        </w:rPr>
        <w:t>s</w:t>
      </w:r>
      <w:r w:rsidRPr="00FD0636">
        <w:rPr>
          <w:rFonts w:ascii="Times New Roman" w:hAnsi="Times New Roman"/>
        </w:rPr>
        <w:t xml:space="preserve"> mass burial of 9 individual</w:t>
      </w:r>
      <w:r>
        <w:rPr>
          <w:rFonts w:ascii="Times New Roman" w:hAnsi="Times New Roman"/>
        </w:rPr>
        <w:t xml:space="preserve">s, was only about 10% excavated </w:t>
      </w:r>
      <w:r w:rsidRPr="00F631E0">
        <w:rPr>
          <w:rFonts w:ascii="Times New Roman" w:hAnsi="Times New Roman"/>
        </w:rPr>
        <w:t xml:space="preserve">(Wyckoff and Woody 1977).  </w:t>
      </w:r>
      <w:r>
        <w:rPr>
          <w:rFonts w:ascii="Times New Roman" w:hAnsi="Times New Roman"/>
        </w:rPr>
        <w:t>Similarly, the site</w:t>
      </w:r>
      <w:r w:rsidRPr="00FD0636">
        <w:rPr>
          <w:rFonts w:ascii="Times New Roman" w:hAnsi="Times New Roman"/>
        </w:rPr>
        <w:t xml:space="preserve"> with the highest percentage of mas</w:t>
      </w:r>
      <w:r>
        <w:rPr>
          <w:rFonts w:ascii="Times New Roman" w:hAnsi="Times New Roman"/>
        </w:rPr>
        <w:t xml:space="preserve">s burials, Redwine (34Lf15) was </w:t>
      </w:r>
      <w:r w:rsidRPr="00FD0636">
        <w:rPr>
          <w:rFonts w:ascii="Times New Roman" w:hAnsi="Times New Roman"/>
        </w:rPr>
        <w:t>only partially excavated.</w:t>
      </w:r>
    </w:p>
    <w:p w14:paraId="2762AE9A" w14:textId="77777777" w:rsidR="00933C62" w:rsidRPr="00FD0636" w:rsidRDefault="00933C62" w:rsidP="00933C62">
      <w:pPr>
        <w:spacing w:line="240" w:lineRule="auto"/>
        <w:ind w:firstLine="720"/>
        <w:rPr>
          <w:rFonts w:ascii="Times New Roman" w:hAnsi="Times New Roman"/>
        </w:rPr>
      </w:pPr>
    </w:p>
    <w:p w14:paraId="0FD1140D" w14:textId="77777777" w:rsidR="00933C62" w:rsidRPr="00FD0636" w:rsidRDefault="00933C62" w:rsidP="00933C62">
      <w:pPr>
        <w:spacing w:line="240" w:lineRule="auto"/>
        <w:jc w:val="center"/>
        <w:rPr>
          <w:rFonts w:ascii="Times New Roman" w:hAnsi="Times New Roman"/>
        </w:rPr>
      </w:pPr>
      <w:r>
        <w:rPr>
          <w:rFonts w:ascii="Helvetica" w:hAnsi="Helvetica" w:cs="Helvetica"/>
          <w:noProof/>
          <w:color w:val="000000"/>
          <w:sz w:val="38"/>
          <w:szCs w:val="38"/>
          <w:lang w:bidi="ar-SA"/>
        </w:rPr>
        <w:drawing>
          <wp:inline distT="0" distB="0" distL="0" distR="0" wp14:anchorId="26EACDEF" wp14:editId="18EB15CE">
            <wp:extent cx="4361133" cy="3339730"/>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61133" cy="3339730"/>
                    </a:xfrm>
                    <a:prstGeom prst="rect">
                      <a:avLst/>
                    </a:prstGeom>
                    <a:noFill/>
                    <a:ln>
                      <a:noFill/>
                    </a:ln>
                  </pic:spPr>
                </pic:pic>
              </a:graphicData>
            </a:graphic>
          </wp:inline>
        </w:drawing>
      </w:r>
    </w:p>
    <w:p w14:paraId="62FB02D9" w14:textId="77777777" w:rsidR="00933C62" w:rsidRPr="00FD0636" w:rsidRDefault="00933C62" w:rsidP="00933C62">
      <w:pPr>
        <w:spacing w:line="240" w:lineRule="auto"/>
        <w:rPr>
          <w:rFonts w:ascii="Times New Roman" w:hAnsi="Times New Roman"/>
        </w:rPr>
      </w:pPr>
    </w:p>
    <w:p w14:paraId="4995F614" w14:textId="77777777" w:rsidR="00FC754F" w:rsidRDefault="00933C62" w:rsidP="00133F61">
      <w:pPr>
        <w:pStyle w:val="Caption"/>
      </w:pPr>
      <w:bookmarkStart w:id="107" w:name="_Toc261025225"/>
      <w:r>
        <w:t xml:space="preserve">Figure </w:t>
      </w:r>
      <w:fldSimple w:instr=" SEQ Figure \* ARABIC ">
        <w:r w:rsidR="00396EB3">
          <w:rPr>
            <w:noProof/>
          </w:rPr>
          <w:t>23</w:t>
        </w:r>
      </w:fldSimple>
      <w:r>
        <w:t xml:space="preserve">  Biplot of the percentage of total number of individuals (x axis) by</w:t>
      </w:r>
      <w:bookmarkEnd w:id="107"/>
      <w:r>
        <w:t xml:space="preserve"> </w:t>
      </w:r>
    </w:p>
    <w:p w14:paraId="00733C3B" w14:textId="77777777" w:rsidR="00FC754F" w:rsidRDefault="00933C62" w:rsidP="00133F61">
      <w:pPr>
        <w:pStyle w:val="Caption"/>
      </w:pPr>
      <w:r>
        <w:t xml:space="preserve">the percentage of multiple burials (y axis) for all sites, with best fitted line </w:t>
      </w:r>
    </w:p>
    <w:p w14:paraId="52A92DA6" w14:textId="5630F238" w:rsidR="00933C62" w:rsidRDefault="00933C62" w:rsidP="00133F61">
      <w:pPr>
        <w:pStyle w:val="Caption"/>
      </w:pPr>
      <w:r>
        <w:t>for all sites in the study</w:t>
      </w:r>
    </w:p>
    <w:p w14:paraId="3F492BF2" w14:textId="77777777" w:rsidR="00933C62" w:rsidRPr="002D11F8" w:rsidRDefault="00933C62" w:rsidP="00933C62"/>
    <w:p w14:paraId="7527B94E" w14:textId="77777777" w:rsidR="00933C62" w:rsidRPr="00FD0636" w:rsidRDefault="00933C62" w:rsidP="00933C62">
      <w:pPr>
        <w:ind w:firstLine="720"/>
        <w:rPr>
          <w:rFonts w:ascii="Times New Roman" w:hAnsi="Times New Roman"/>
        </w:rPr>
      </w:pPr>
      <w:r>
        <w:rPr>
          <w:rFonts w:ascii="Times New Roman" w:hAnsi="Times New Roman"/>
        </w:rPr>
        <w:t xml:space="preserve">In an attempt to control for incomplete excavation, </w:t>
      </w:r>
      <w:r w:rsidRPr="00FD0636">
        <w:rPr>
          <w:rFonts w:ascii="Times New Roman" w:hAnsi="Times New Roman"/>
        </w:rPr>
        <w:t>Akers (34Lf32), Brewer (34Lf39), Mackey (34Lf29), and Williams I (34Lf24) were selected for separate analysis</w:t>
      </w:r>
      <w:r>
        <w:rPr>
          <w:rFonts w:ascii="Times New Roman" w:hAnsi="Times New Roman"/>
        </w:rPr>
        <w:t>.  Each of these four sites</w:t>
      </w:r>
      <w:r w:rsidRPr="00FD0636">
        <w:rPr>
          <w:rFonts w:ascii="Times New Roman" w:hAnsi="Times New Roman"/>
        </w:rPr>
        <w:t xml:space="preserve"> had over 100 burials and, perhaps more importantly, all f</w:t>
      </w:r>
      <w:r>
        <w:rPr>
          <w:rFonts w:ascii="Times New Roman" w:hAnsi="Times New Roman"/>
        </w:rPr>
        <w:t>our sites were completely</w:t>
      </w:r>
      <w:r w:rsidRPr="00FD0636">
        <w:rPr>
          <w:rFonts w:ascii="Times New Roman" w:hAnsi="Times New Roman"/>
        </w:rPr>
        <w:t xml:space="preserve"> or nearly completely excavated.  </w:t>
      </w:r>
      <w:r>
        <w:rPr>
          <w:rFonts w:ascii="Times New Roman" w:hAnsi="Times New Roman"/>
        </w:rPr>
        <w:t>The</w:t>
      </w:r>
      <w:r w:rsidRPr="00FD0636">
        <w:rPr>
          <w:rFonts w:ascii="Times New Roman" w:hAnsi="Times New Roman"/>
        </w:rPr>
        <w:t xml:space="preserve"> sites range from 146 burials at Brewer, to 210 burials at Williams I</w:t>
      </w:r>
      <w:r>
        <w:rPr>
          <w:rFonts w:ascii="Times New Roman" w:hAnsi="Times New Roman"/>
        </w:rPr>
        <w:t>, as detailed in Table 26</w:t>
      </w:r>
      <w:r w:rsidRPr="00FD0636">
        <w:rPr>
          <w:rFonts w:ascii="Times New Roman" w:hAnsi="Times New Roman"/>
        </w:rPr>
        <w:t xml:space="preserve">.  About 24% of the individuals at these four sites were interred in multiple graves, with a low of 15% at Brewer and a high of 39% at Mackey.  A biplot of the percentage of individuals in multiple burials </w:t>
      </w:r>
      <w:r>
        <w:rPr>
          <w:rFonts w:ascii="Times New Roman" w:hAnsi="Times New Roman"/>
        </w:rPr>
        <w:t>by</w:t>
      </w:r>
      <w:r w:rsidRPr="00FD0636">
        <w:rPr>
          <w:rFonts w:ascii="Times New Roman" w:hAnsi="Times New Roman"/>
        </w:rPr>
        <w:t xml:space="preserve"> total number of individuals (Figure </w:t>
      </w:r>
      <w:r>
        <w:rPr>
          <w:rFonts w:ascii="Times New Roman" w:hAnsi="Times New Roman"/>
        </w:rPr>
        <w:t>24</w:t>
      </w:r>
      <w:r w:rsidRPr="00FD0636">
        <w:rPr>
          <w:rFonts w:ascii="Times New Roman" w:hAnsi="Times New Roman"/>
        </w:rPr>
        <w:t>) again fails t</w:t>
      </w:r>
      <w:r>
        <w:rPr>
          <w:rFonts w:ascii="Times New Roman" w:hAnsi="Times New Roman"/>
        </w:rPr>
        <w:t>o show a meaningful correlation;</w:t>
      </w:r>
      <w:r w:rsidRPr="00FD0636">
        <w:rPr>
          <w:rFonts w:ascii="Times New Roman" w:hAnsi="Times New Roman"/>
        </w:rPr>
        <w:t xml:space="preserve"> indeed the pattern appears quite random.  Neither Brewer nor Williams I have any bioarchaeological analysis to help with interpretation.  However both Akers and Mackey have demographic information available.</w:t>
      </w:r>
    </w:p>
    <w:p w14:paraId="0FFCCFBD" w14:textId="77777777" w:rsidR="00933C62" w:rsidRPr="00FD0636" w:rsidRDefault="00933C62" w:rsidP="00933C62">
      <w:pPr>
        <w:spacing w:line="240" w:lineRule="auto"/>
        <w:ind w:firstLine="720"/>
        <w:rPr>
          <w:rFonts w:ascii="Times New Roman" w:hAnsi="Times New Roman"/>
        </w:rPr>
      </w:pPr>
    </w:p>
    <w:p w14:paraId="70BA3670" w14:textId="77777777" w:rsidR="00933C62" w:rsidRPr="00FD0636" w:rsidRDefault="00933C62" w:rsidP="00933C62">
      <w:pPr>
        <w:jc w:val="center"/>
        <w:rPr>
          <w:rFonts w:ascii="Times New Roman" w:hAnsi="Times New Roman"/>
        </w:rPr>
      </w:pPr>
      <w:r>
        <w:rPr>
          <w:rFonts w:ascii="Times New Roman" w:hAnsi="Times New Roman"/>
          <w:noProof/>
          <w:lang w:bidi="ar-SA"/>
        </w:rPr>
        <w:drawing>
          <wp:inline distT="0" distB="0" distL="0" distR="0" wp14:anchorId="0DB03A5C" wp14:editId="3CBB8994">
            <wp:extent cx="4102100" cy="3378200"/>
            <wp:effectExtent l="0" t="0" r="1270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f"/>
                    <pic:cNvPicPr/>
                  </pic:nvPicPr>
                  <pic:blipFill>
                    <a:blip r:embed="rId36">
                      <a:extLst>
                        <a:ext uri="{28A0092B-C50C-407E-A947-70E740481C1C}">
                          <a14:useLocalDpi xmlns:a14="http://schemas.microsoft.com/office/drawing/2010/main" val="0"/>
                        </a:ext>
                      </a:extLst>
                    </a:blip>
                    <a:stretch>
                      <a:fillRect/>
                    </a:stretch>
                  </pic:blipFill>
                  <pic:spPr>
                    <a:xfrm>
                      <a:off x="0" y="0"/>
                      <a:ext cx="4102100" cy="3378200"/>
                    </a:xfrm>
                    <a:prstGeom prst="rect">
                      <a:avLst/>
                    </a:prstGeom>
                  </pic:spPr>
                </pic:pic>
              </a:graphicData>
            </a:graphic>
          </wp:inline>
        </w:drawing>
      </w:r>
    </w:p>
    <w:p w14:paraId="32C74A0B" w14:textId="77777777" w:rsidR="00933C62" w:rsidRDefault="00933C62" w:rsidP="00133F61">
      <w:pPr>
        <w:pStyle w:val="Caption"/>
      </w:pPr>
      <w:bookmarkStart w:id="108" w:name="_Toc261025226"/>
      <w:r>
        <w:t xml:space="preserve">Figure </w:t>
      </w:r>
      <w:fldSimple w:instr=" SEQ Figure \* ARABIC ">
        <w:r w:rsidR="00396EB3">
          <w:rPr>
            <w:noProof/>
          </w:rPr>
          <w:t>24</w:t>
        </w:r>
      </w:fldSimple>
      <w:r>
        <w:t xml:space="preserve">  Biplot of the total number of buried individuals (x axis) by the percentage of multiple burials (y axis) for the large sites Akers, Brewer, Mackey, and Williams I</w:t>
      </w:r>
      <w:bookmarkEnd w:id="108"/>
    </w:p>
    <w:p w14:paraId="22705C71" w14:textId="77777777" w:rsidR="00933C62" w:rsidRDefault="00933C62" w:rsidP="00933C62">
      <w:pPr>
        <w:spacing w:line="240" w:lineRule="auto"/>
      </w:pPr>
    </w:p>
    <w:p w14:paraId="4B9729BA" w14:textId="77777777" w:rsidR="00933C62" w:rsidRPr="002D11F8" w:rsidRDefault="00933C62" w:rsidP="00933C62">
      <w:pPr>
        <w:spacing w:line="240" w:lineRule="auto"/>
      </w:pPr>
    </w:p>
    <w:p w14:paraId="012893C6" w14:textId="77777777" w:rsidR="00933C62" w:rsidRPr="00FD0636" w:rsidRDefault="00933C62" w:rsidP="00933C62">
      <w:pPr>
        <w:ind w:firstLine="720"/>
        <w:rPr>
          <w:rFonts w:ascii="Times New Roman" w:hAnsi="Times New Roman"/>
        </w:rPr>
      </w:pPr>
      <w:r>
        <w:rPr>
          <w:rFonts w:ascii="Times New Roman" w:hAnsi="Times New Roman"/>
        </w:rPr>
        <w:t>It can be seen from Table 26</w:t>
      </w:r>
      <w:r w:rsidRPr="00FD0636">
        <w:rPr>
          <w:rFonts w:ascii="Times New Roman" w:hAnsi="Times New Roman"/>
        </w:rPr>
        <w:t xml:space="preserve"> that 39% of the individuals at Mackey (34Lf29)</w:t>
      </w:r>
      <w:r>
        <w:rPr>
          <w:rFonts w:ascii="Times New Roman" w:hAnsi="Times New Roman"/>
        </w:rPr>
        <w:t xml:space="preserve"> were in</w:t>
      </w:r>
      <w:r w:rsidRPr="00FD0636">
        <w:rPr>
          <w:rFonts w:ascii="Times New Roman" w:hAnsi="Times New Roman"/>
        </w:rPr>
        <w:t xml:space="preserve"> group burial</w:t>
      </w:r>
      <w:r>
        <w:rPr>
          <w:rFonts w:ascii="Times New Roman" w:hAnsi="Times New Roman"/>
        </w:rPr>
        <w:t>s, and</w:t>
      </w:r>
      <w:r w:rsidRPr="00FD0636">
        <w:rPr>
          <w:rFonts w:ascii="Times New Roman" w:hAnsi="Times New Roman"/>
        </w:rPr>
        <w:t xml:space="preserve"> 25% of the individuals from Akers (34Lf32)</w:t>
      </w:r>
      <w:r>
        <w:rPr>
          <w:rFonts w:ascii="Times New Roman" w:hAnsi="Times New Roman"/>
        </w:rPr>
        <w:t xml:space="preserve"> were in group burials.  Mackey was</w:t>
      </w:r>
      <w:r w:rsidRPr="00FD0636">
        <w:rPr>
          <w:rFonts w:ascii="Times New Roman" w:hAnsi="Times New Roman"/>
        </w:rPr>
        <w:t xml:space="preserve"> the only site with a more than one mass burial (more than 5 individuals in </w:t>
      </w:r>
      <w:r>
        <w:rPr>
          <w:rFonts w:ascii="Times New Roman" w:hAnsi="Times New Roman"/>
        </w:rPr>
        <w:t>a single grave), while Akers had</w:t>
      </w:r>
      <w:r w:rsidRPr="00FD0636">
        <w:rPr>
          <w:rFonts w:ascii="Times New Roman" w:hAnsi="Times New Roman"/>
        </w:rPr>
        <w:t xml:space="preserve"> only one mass burial.  </w:t>
      </w:r>
      <w:r>
        <w:rPr>
          <w:rFonts w:ascii="Times New Roman" w:hAnsi="Times New Roman"/>
        </w:rPr>
        <w:t>Mackey was the deepest of the excavated Wister area Fourche Maline mounds at nearly 10 feet at its maximum depth (Burns 1994), while Akers was quite shallow, only about 3 feet at its maximum depth (Rowe 2009).</w:t>
      </w:r>
    </w:p>
    <w:p w14:paraId="0CB9C62F" w14:textId="77777777" w:rsidR="00933C62" w:rsidRDefault="00933C62" w:rsidP="00933C62">
      <w:pPr>
        <w:ind w:firstLine="720"/>
        <w:rPr>
          <w:rFonts w:ascii="Times New Roman" w:hAnsi="Times New Roman"/>
        </w:rPr>
      </w:pPr>
      <w:r w:rsidRPr="00FD0636">
        <w:rPr>
          <w:rFonts w:ascii="Times New Roman" w:hAnsi="Times New Roman"/>
        </w:rPr>
        <w:t>At the Akers site, with about 25% of the individuals in multiple burials, and only one mass burial, there are nearly twice as many females as males (M:F ratio = 0.6) (Rowe 2009).  With the exception of the incompletely excavated Redwin</w:t>
      </w:r>
      <w:r>
        <w:rPr>
          <w:rFonts w:ascii="Times New Roman" w:hAnsi="Times New Roman"/>
        </w:rPr>
        <w:t>e site (34Lf15)</w:t>
      </w:r>
      <w:r w:rsidRPr="00FD0636">
        <w:rPr>
          <w:rFonts w:ascii="Times New Roman" w:hAnsi="Times New Roman"/>
        </w:rPr>
        <w:t>, Mackey has the highest percentage of multiple burials as well as three mass burials.  In cont</w:t>
      </w:r>
      <w:r>
        <w:rPr>
          <w:rFonts w:ascii="Times New Roman" w:hAnsi="Times New Roman"/>
        </w:rPr>
        <w:t>rast to Akers, Mackey had</w:t>
      </w:r>
      <w:r w:rsidRPr="00FD0636">
        <w:rPr>
          <w:rFonts w:ascii="Times New Roman" w:hAnsi="Times New Roman"/>
        </w:rPr>
        <w:t xml:space="preserve"> nearly twice as many adult males as females </w:t>
      </w:r>
      <w:r>
        <w:rPr>
          <w:rFonts w:ascii="Times New Roman" w:hAnsi="Times New Roman"/>
        </w:rPr>
        <w:t>(M:F ratio = 1.6) (Burns 1994).</w:t>
      </w:r>
      <w:r w:rsidRPr="00FD0636">
        <w:rPr>
          <w:rFonts w:ascii="Times New Roman" w:hAnsi="Times New Roman"/>
        </w:rPr>
        <w:t xml:space="preserve">  It is reasonable to posit that the high </w:t>
      </w:r>
      <w:r>
        <w:rPr>
          <w:rFonts w:ascii="Times New Roman" w:hAnsi="Times New Roman"/>
        </w:rPr>
        <w:t xml:space="preserve">percentage </w:t>
      </w:r>
      <w:r w:rsidRPr="00FD0636">
        <w:rPr>
          <w:rFonts w:ascii="Times New Roman" w:hAnsi="Times New Roman"/>
        </w:rPr>
        <w:t>of male burials at the Mackey site may account for the also high percentage of mu</w:t>
      </w:r>
      <w:r>
        <w:rPr>
          <w:rFonts w:ascii="Times New Roman" w:hAnsi="Times New Roman"/>
        </w:rPr>
        <w:t>ltiple (violent death) burials.</w:t>
      </w:r>
      <w:r w:rsidRPr="00FD0636">
        <w:rPr>
          <w:rFonts w:ascii="Times New Roman" w:hAnsi="Times New Roman"/>
        </w:rPr>
        <w:t xml:space="preserve">  This conclusion would be strengthened if more sites had demographic information available.</w:t>
      </w:r>
    </w:p>
    <w:p w14:paraId="4DF4B5D7" w14:textId="77777777" w:rsidR="00933C62" w:rsidRPr="000B0E81" w:rsidRDefault="00933C62" w:rsidP="009C5432">
      <w:pPr>
        <w:pStyle w:val="Heading3"/>
      </w:pPr>
      <w:bookmarkStart w:id="109" w:name="_Toc261025883"/>
      <w:r>
        <w:t>Trophy taking behavior</w:t>
      </w:r>
      <w:bookmarkEnd w:id="109"/>
    </w:p>
    <w:p w14:paraId="3FF0EA5C" w14:textId="77777777" w:rsidR="00933C62" w:rsidRDefault="00933C62" w:rsidP="00933C62">
      <w:pPr>
        <w:rPr>
          <w:rFonts w:ascii="Times New Roman" w:hAnsi="Times New Roman"/>
        </w:rPr>
      </w:pPr>
      <w:r w:rsidRPr="000B0E81">
        <w:tab/>
      </w:r>
      <w:r w:rsidRPr="00FD0636">
        <w:rPr>
          <w:rFonts w:ascii="Times New Roman" w:hAnsi="Times New Roman"/>
        </w:rPr>
        <w:t xml:space="preserve">Trophy taking </w:t>
      </w:r>
      <w:r>
        <w:rPr>
          <w:rFonts w:ascii="Times New Roman" w:hAnsi="Times New Roman"/>
        </w:rPr>
        <w:t xml:space="preserve">behavior </w:t>
      </w:r>
      <w:r w:rsidRPr="00FD0636">
        <w:rPr>
          <w:rFonts w:ascii="Times New Roman" w:hAnsi="Times New Roman"/>
        </w:rPr>
        <w:t>in the Eastern Woodland</w:t>
      </w:r>
      <w:r>
        <w:rPr>
          <w:rFonts w:ascii="Times New Roman" w:hAnsi="Times New Roman"/>
        </w:rPr>
        <w:t>s is well-documented by</w:t>
      </w:r>
      <w:r w:rsidRPr="00FD0636">
        <w:rPr>
          <w:rFonts w:ascii="Times New Roman" w:hAnsi="Times New Roman"/>
        </w:rPr>
        <w:t xml:space="preserve"> Archaic times (Jacobs</w:t>
      </w:r>
      <w:r>
        <w:rPr>
          <w:rFonts w:ascii="Times New Roman" w:hAnsi="Times New Roman"/>
        </w:rPr>
        <w:t xml:space="preserve"> 2008, Milner 2005, Walker 2001</w:t>
      </w:r>
      <w:r w:rsidRPr="00FD0636">
        <w:rPr>
          <w:rFonts w:ascii="Times New Roman" w:hAnsi="Times New Roman"/>
        </w:rPr>
        <w:t>) and continued well into historic times.  As previously described, the number of extra skulls and the number of missing skulls for each of the</w:t>
      </w:r>
      <w:r>
        <w:rPr>
          <w:rFonts w:ascii="Times New Roman" w:hAnsi="Times New Roman"/>
        </w:rPr>
        <w:t xml:space="preserve"> thirteen</w:t>
      </w:r>
      <w:r w:rsidRPr="00FD0636">
        <w:rPr>
          <w:rFonts w:ascii="Times New Roman" w:hAnsi="Times New Roman"/>
        </w:rPr>
        <w:t xml:space="preserve"> </w:t>
      </w:r>
      <w:r>
        <w:rPr>
          <w:rFonts w:ascii="Times New Roman" w:hAnsi="Times New Roman"/>
        </w:rPr>
        <w:t>Wister area</w:t>
      </w:r>
      <w:r w:rsidRPr="00FD0636">
        <w:rPr>
          <w:rFonts w:ascii="Times New Roman" w:hAnsi="Times New Roman"/>
        </w:rPr>
        <w:t xml:space="preserve"> Fourche Maline sites</w:t>
      </w:r>
      <w:r>
        <w:rPr>
          <w:rFonts w:ascii="Times New Roman" w:hAnsi="Times New Roman"/>
        </w:rPr>
        <w:t xml:space="preserve"> was tabulated.  This data is presented in Table 27</w:t>
      </w:r>
      <w:r w:rsidRPr="00FD0636">
        <w:rPr>
          <w:rFonts w:ascii="Times New Roman" w:hAnsi="Times New Roman"/>
        </w:rPr>
        <w:t>.</w:t>
      </w:r>
      <w:r>
        <w:rPr>
          <w:rFonts w:ascii="Times New Roman" w:hAnsi="Times New Roman"/>
        </w:rPr>
        <w:t xml:space="preserve"> The column labeled “+ Skull” represents the number of extra skulls, while the column labeled “- Skull” represents the number of missing skulls.  Similarly “% +” is the percentage of extra skulls (extra skulls divided by total number of individuals per site) and “% -” is the percentage of missing skulls (missing skulls divided by total number of individuals per site).  However t</w:t>
      </w:r>
      <w:r w:rsidRPr="00FD0636">
        <w:rPr>
          <w:rFonts w:ascii="Times New Roman" w:hAnsi="Times New Roman"/>
        </w:rPr>
        <w:t xml:space="preserve">he number of missing skulls is certainly under-represented for reasons </w:t>
      </w:r>
      <w:r>
        <w:rPr>
          <w:rFonts w:ascii="Times New Roman" w:hAnsi="Times New Roman"/>
        </w:rPr>
        <w:t>reviewed earlier, and will not be further discussed</w:t>
      </w:r>
      <w:r w:rsidRPr="00FD0636">
        <w:rPr>
          <w:rFonts w:ascii="Times New Roman" w:hAnsi="Times New Roman"/>
        </w:rPr>
        <w:t>.</w:t>
      </w:r>
    </w:p>
    <w:p w14:paraId="185BA723" w14:textId="337F3073" w:rsidR="00933C62" w:rsidRDefault="00933C62" w:rsidP="00933C62">
      <w:pPr>
        <w:ind w:firstLine="720"/>
        <w:rPr>
          <w:rFonts w:ascii="Times New Roman" w:hAnsi="Times New Roman"/>
        </w:rPr>
      </w:pPr>
      <w:r>
        <w:rPr>
          <w:rFonts w:ascii="Times New Roman" w:hAnsi="Times New Roman"/>
        </w:rPr>
        <w:t xml:space="preserve">As presented </w:t>
      </w:r>
      <w:r w:rsidR="00C150E0">
        <w:rPr>
          <w:rFonts w:ascii="Times New Roman" w:hAnsi="Times New Roman"/>
        </w:rPr>
        <w:t>in Table 21</w:t>
      </w:r>
      <w:r>
        <w:rPr>
          <w:rFonts w:ascii="Times New Roman" w:hAnsi="Times New Roman"/>
        </w:rPr>
        <w:t>, 7 of the 13</w:t>
      </w:r>
      <w:r w:rsidRPr="00FD0636">
        <w:rPr>
          <w:rFonts w:ascii="Times New Roman" w:hAnsi="Times New Roman"/>
        </w:rPr>
        <w:t xml:space="preserve"> sites had extra skulls, </w:t>
      </w:r>
      <w:r>
        <w:rPr>
          <w:rFonts w:ascii="Times New Roman" w:hAnsi="Times New Roman"/>
        </w:rPr>
        <w:t>which I interpret as</w:t>
      </w:r>
      <w:r w:rsidRPr="00FD0636">
        <w:rPr>
          <w:rFonts w:ascii="Times New Roman" w:hAnsi="Times New Roman"/>
        </w:rPr>
        <w:t xml:space="preserve"> eviden</w:t>
      </w:r>
      <w:r>
        <w:rPr>
          <w:rFonts w:ascii="Times New Roman" w:hAnsi="Times New Roman"/>
        </w:rPr>
        <w:t xml:space="preserve">ce of successful trophy hunting.  Additionally, at least </w:t>
      </w:r>
      <w:r w:rsidRPr="00FD0636">
        <w:rPr>
          <w:rFonts w:ascii="Times New Roman" w:hAnsi="Times New Roman"/>
        </w:rPr>
        <w:t>5 of the sites had skeletons with missing skulls.</w:t>
      </w:r>
      <w:r>
        <w:rPr>
          <w:rFonts w:ascii="Times New Roman" w:hAnsi="Times New Roman"/>
        </w:rPr>
        <w:t xml:space="preserve">  Overall, about 3% of the individuals interred in these mounds were skulls only, and about 1% were missing their skulls.</w:t>
      </w:r>
      <w:r w:rsidRPr="00FD0636">
        <w:rPr>
          <w:rFonts w:ascii="Times New Roman" w:hAnsi="Times New Roman"/>
        </w:rPr>
        <w:t xml:space="preserve">  </w:t>
      </w:r>
    </w:p>
    <w:p w14:paraId="0F27A9C8" w14:textId="77777777" w:rsidR="00933C62" w:rsidRDefault="00933C62" w:rsidP="00133F61">
      <w:pPr>
        <w:pStyle w:val="Caption"/>
      </w:pPr>
    </w:p>
    <w:p w14:paraId="7FA91CBE" w14:textId="77777777" w:rsidR="00933C62" w:rsidRDefault="00933C62" w:rsidP="00133F61">
      <w:pPr>
        <w:pStyle w:val="Caption"/>
      </w:pPr>
      <w:bookmarkStart w:id="110" w:name="_Toc261025249"/>
      <w:r>
        <w:t xml:space="preserve">Table </w:t>
      </w:r>
      <w:fldSimple w:instr=" SEQ Table \* ARABIC ">
        <w:r w:rsidR="00396EB3">
          <w:rPr>
            <w:noProof/>
          </w:rPr>
          <w:t>21</w:t>
        </w:r>
      </w:fldSimple>
      <w:r>
        <w:t xml:space="preserve">  Trophy skulls by site</w:t>
      </w:r>
      <w:bookmarkEnd w:id="110"/>
    </w:p>
    <w:p w14:paraId="15C0A2FB" w14:textId="77777777" w:rsidR="00933C62" w:rsidRPr="00FD0636" w:rsidRDefault="00933C62" w:rsidP="00133F61">
      <w:pPr>
        <w:pStyle w:val="Caption"/>
      </w:pPr>
    </w:p>
    <w:tbl>
      <w:tblPr>
        <w:tblW w:w="7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163"/>
        <w:gridCol w:w="990"/>
        <w:gridCol w:w="720"/>
        <w:gridCol w:w="720"/>
        <w:gridCol w:w="720"/>
        <w:gridCol w:w="720"/>
        <w:gridCol w:w="720"/>
        <w:gridCol w:w="720"/>
      </w:tblGrid>
      <w:tr w:rsidR="00933C62" w:rsidRPr="00FD0636" w14:paraId="51EF9F10" w14:textId="77777777" w:rsidTr="006E6C4E">
        <w:trPr>
          <w:trHeight w:val="690"/>
          <w:jc w:val="center"/>
        </w:trPr>
        <w:tc>
          <w:tcPr>
            <w:tcW w:w="835" w:type="dxa"/>
            <w:shd w:val="clear" w:color="auto" w:fill="auto"/>
          </w:tcPr>
          <w:p w14:paraId="1A3937B3" w14:textId="77777777" w:rsidR="00933C62" w:rsidRPr="0091676C" w:rsidRDefault="00933C62" w:rsidP="006E6C4E">
            <w:pPr>
              <w:spacing w:line="240" w:lineRule="auto"/>
              <w:rPr>
                <w:rFonts w:ascii="Times New Roman" w:hAnsi="Times New Roman"/>
                <w:b/>
                <w:sz w:val="20"/>
              </w:rPr>
            </w:pPr>
            <w:bookmarkStart w:id="111" w:name="OLE_LINK1"/>
            <w:r w:rsidRPr="0091676C">
              <w:rPr>
                <w:rFonts w:ascii="Times New Roman" w:hAnsi="Times New Roman"/>
                <w:b/>
                <w:sz w:val="20"/>
              </w:rPr>
              <w:t>Site #</w:t>
            </w:r>
          </w:p>
        </w:tc>
        <w:tc>
          <w:tcPr>
            <w:tcW w:w="1163" w:type="dxa"/>
            <w:shd w:val="clear" w:color="auto" w:fill="auto"/>
          </w:tcPr>
          <w:p w14:paraId="201A9091" w14:textId="77777777" w:rsidR="00933C62" w:rsidRPr="00FD0636" w:rsidRDefault="00933C62" w:rsidP="006E6C4E">
            <w:pPr>
              <w:jc w:val="center"/>
              <w:rPr>
                <w:rFonts w:ascii="Times New Roman" w:hAnsi="Times New Roman"/>
                <w:b/>
                <w:sz w:val="20"/>
              </w:rPr>
            </w:pPr>
            <w:r w:rsidRPr="00FD0636">
              <w:rPr>
                <w:rFonts w:ascii="Times New Roman" w:hAnsi="Times New Roman"/>
                <w:b/>
                <w:sz w:val="20"/>
              </w:rPr>
              <w:t>Site Name</w:t>
            </w:r>
          </w:p>
        </w:tc>
        <w:tc>
          <w:tcPr>
            <w:tcW w:w="990" w:type="dxa"/>
            <w:shd w:val="clear" w:color="auto" w:fill="auto"/>
          </w:tcPr>
          <w:p w14:paraId="3628C98B"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Total Multiple Inds</w:t>
            </w:r>
          </w:p>
        </w:tc>
        <w:tc>
          <w:tcPr>
            <w:tcW w:w="720" w:type="dxa"/>
            <w:shd w:val="clear" w:color="auto" w:fill="auto"/>
          </w:tcPr>
          <w:p w14:paraId="55C89C2E"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Total Inds</w:t>
            </w:r>
          </w:p>
        </w:tc>
        <w:tc>
          <w:tcPr>
            <w:tcW w:w="720" w:type="dxa"/>
            <w:shd w:val="clear" w:color="auto" w:fill="auto"/>
          </w:tcPr>
          <w:p w14:paraId="0C1C83E1" w14:textId="77777777" w:rsidR="00933C62" w:rsidRPr="00FD0636" w:rsidRDefault="00933C62" w:rsidP="006E6C4E">
            <w:pPr>
              <w:spacing w:line="240" w:lineRule="auto"/>
              <w:jc w:val="center"/>
              <w:rPr>
                <w:rFonts w:ascii="Times New Roman" w:hAnsi="Times New Roman"/>
                <w:b/>
                <w:sz w:val="20"/>
              </w:rPr>
            </w:pPr>
            <w:r w:rsidRPr="00FD0636">
              <w:rPr>
                <w:rFonts w:ascii="Times New Roman" w:hAnsi="Times New Roman"/>
                <w:b/>
                <w:sz w:val="20"/>
              </w:rPr>
              <w:t>% Mult</w:t>
            </w:r>
          </w:p>
        </w:tc>
        <w:tc>
          <w:tcPr>
            <w:tcW w:w="720" w:type="dxa"/>
          </w:tcPr>
          <w:p w14:paraId="3CFC092F" w14:textId="77777777" w:rsidR="00933C62" w:rsidRDefault="00933C62" w:rsidP="006E6C4E">
            <w:pPr>
              <w:spacing w:line="240" w:lineRule="auto"/>
              <w:jc w:val="center"/>
              <w:rPr>
                <w:rFonts w:ascii="Times New Roman" w:hAnsi="Times New Roman"/>
                <w:b/>
                <w:sz w:val="20"/>
              </w:rPr>
            </w:pPr>
            <w:r>
              <w:rPr>
                <w:rFonts w:ascii="Times New Roman" w:hAnsi="Times New Roman"/>
                <w:b/>
                <w:sz w:val="20"/>
              </w:rPr>
              <w:t>+</w:t>
            </w:r>
          </w:p>
          <w:p w14:paraId="2BF91DA0"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Skull</w:t>
            </w:r>
          </w:p>
        </w:tc>
        <w:tc>
          <w:tcPr>
            <w:tcW w:w="720" w:type="dxa"/>
          </w:tcPr>
          <w:p w14:paraId="0EF25CE4" w14:textId="77777777" w:rsidR="00933C62" w:rsidRDefault="00933C62" w:rsidP="006E6C4E">
            <w:pPr>
              <w:spacing w:line="240" w:lineRule="auto"/>
              <w:jc w:val="center"/>
              <w:rPr>
                <w:rFonts w:ascii="Times New Roman" w:hAnsi="Times New Roman"/>
                <w:b/>
                <w:sz w:val="20"/>
              </w:rPr>
            </w:pPr>
            <w:r>
              <w:rPr>
                <w:rFonts w:ascii="Times New Roman" w:hAnsi="Times New Roman"/>
                <w:b/>
                <w:sz w:val="20"/>
              </w:rPr>
              <w:t xml:space="preserve">% </w:t>
            </w:r>
          </w:p>
          <w:p w14:paraId="02E26189"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 xml:space="preserve"> +</w:t>
            </w:r>
          </w:p>
        </w:tc>
        <w:tc>
          <w:tcPr>
            <w:tcW w:w="720" w:type="dxa"/>
          </w:tcPr>
          <w:p w14:paraId="41C47BEB"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 Skull</w:t>
            </w:r>
          </w:p>
        </w:tc>
        <w:tc>
          <w:tcPr>
            <w:tcW w:w="720" w:type="dxa"/>
          </w:tcPr>
          <w:p w14:paraId="29D2B43A" w14:textId="77777777" w:rsidR="00933C62" w:rsidRDefault="00933C62" w:rsidP="006E6C4E">
            <w:pPr>
              <w:spacing w:line="240" w:lineRule="auto"/>
              <w:jc w:val="center"/>
              <w:rPr>
                <w:rFonts w:ascii="Times New Roman" w:hAnsi="Times New Roman"/>
                <w:b/>
                <w:sz w:val="20"/>
              </w:rPr>
            </w:pPr>
            <w:r>
              <w:rPr>
                <w:rFonts w:ascii="Times New Roman" w:hAnsi="Times New Roman"/>
                <w:b/>
                <w:sz w:val="20"/>
              </w:rPr>
              <w:t xml:space="preserve">% </w:t>
            </w:r>
          </w:p>
          <w:p w14:paraId="1358D4FD" w14:textId="77777777" w:rsidR="00933C62" w:rsidRPr="00FD0636" w:rsidRDefault="00933C62" w:rsidP="006E6C4E">
            <w:pPr>
              <w:spacing w:line="240" w:lineRule="auto"/>
              <w:jc w:val="center"/>
              <w:rPr>
                <w:rFonts w:ascii="Times New Roman" w:hAnsi="Times New Roman"/>
                <w:b/>
                <w:sz w:val="20"/>
              </w:rPr>
            </w:pPr>
            <w:r>
              <w:rPr>
                <w:rFonts w:ascii="Times New Roman" w:hAnsi="Times New Roman"/>
                <w:b/>
                <w:sz w:val="20"/>
              </w:rPr>
              <w:t>-</w:t>
            </w:r>
          </w:p>
        </w:tc>
      </w:tr>
      <w:tr w:rsidR="00933C62" w:rsidRPr="00FD0636" w14:paraId="5CCD0819" w14:textId="77777777" w:rsidTr="006E6C4E">
        <w:trPr>
          <w:jc w:val="center"/>
        </w:trPr>
        <w:tc>
          <w:tcPr>
            <w:tcW w:w="835" w:type="dxa"/>
            <w:shd w:val="clear" w:color="auto" w:fill="auto"/>
          </w:tcPr>
          <w:p w14:paraId="70B608A5"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34Lf39</w:t>
            </w:r>
          </w:p>
        </w:tc>
        <w:tc>
          <w:tcPr>
            <w:tcW w:w="1163" w:type="dxa"/>
            <w:shd w:val="clear" w:color="auto" w:fill="auto"/>
          </w:tcPr>
          <w:p w14:paraId="127687FF"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Brewer</w:t>
            </w:r>
          </w:p>
        </w:tc>
        <w:tc>
          <w:tcPr>
            <w:tcW w:w="990" w:type="dxa"/>
            <w:shd w:val="clear" w:color="auto" w:fill="auto"/>
          </w:tcPr>
          <w:p w14:paraId="684C046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22</w:t>
            </w:r>
          </w:p>
        </w:tc>
        <w:tc>
          <w:tcPr>
            <w:tcW w:w="720" w:type="dxa"/>
            <w:shd w:val="clear" w:color="auto" w:fill="auto"/>
          </w:tcPr>
          <w:p w14:paraId="475190D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146</w:t>
            </w:r>
          </w:p>
        </w:tc>
        <w:tc>
          <w:tcPr>
            <w:tcW w:w="720" w:type="dxa"/>
            <w:shd w:val="clear" w:color="auto" w:fill="auto"/>
          </w:tcPr>
          <w:p w14:paraId="1F2DCB57"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15</w:t>
            </w:r>
          </w:p>
        </w:tc>
        <w:tc>
          <w:tcPr>
            <w:tcW w:w="720" w:type="dxa"/>
          </w:tcPr>
          <w:p w14:paraId="3ADE9688"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5</w:t>
            </w:r>
          </w:p>
        </w:tc>
        <w:tc>
          <w:tcPr>
            <w:tcW w:w="720" w:type="dxa"/>
          </w:tcPr>
          <w:p w14:paraId="0841B5A7"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3</w:t>
            </w:r>
          </w:p>
        </w:tc>
        <w:tc>
          <w:tcPr>
            <w:tcW w:w="720" w:type="dxa"/>
          </w:tcPr>
          <w:p w14:paraId="5BE27DC4"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3</w:t>
            </w:r>
          </w:p>
        </w:tc>
        <w:tc>
          <w:tcPr>
            <w:tcW w:w="720" w:type="dxa"/>
          </w:tcPr>
          <w:p w14:paraId="1AFFA797"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2</w:t>
            </w:r>
          </w:p>
        </w:tc>
      </w:tr>
      <w:tr w:rsidR="00933C62" w:rsidRPr="00FD0636" w14:paraId="2E330C92" w14:textId="77777777" w:rsidTr="006E6C4E">
        <w:trPr>
          <w:jc w:val="center"/>
        </w:trPr>
        <w:tc>
          <w:tcPr>
            <w:tcW w:w="835" w:type="dxa"/>
            <w:shd w:val="clear" w:color="auto" w:fill="auto"/>
          </w:tcPr>
          <w:p w14:paraId="40BC826B"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34Lf20</w:t>
            </w:r>
          </w:p>
        </w:tc>
        <w:tc>
          <w:tcPr>
            <w:tcW w:w="1163" w:type="dxa"/>
            <w:shd w:val="clear" w:color="auto" w:fill="auto"/>
          </w:tcPr>
          <w:p w14:paraId="1AE42CD3"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Copeland</w:t>
            </w:r>
          </w:p>
        </w:tc>
        <w:tc>
          <w:tcPr>
            <w:tcW w:w="990" w:type="dxa"/>
            <w:shd w:val="clear" w:color="auto" w:fill="auto"/>
          </w:tcPr>
          <w:p w14:paraId="3E9847F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14</w:t>
            </w:r>
          </w:p>
        </w:tc>
        <w:tc>
          <w:tcPr>
            <w:tcW w:w="720" w:type="dxa"/>
            <w:shd w:val="clear" w:color="auto" w:fill="auto"/>
          </w:tcPr>
          <w:p w14:paraId="730E644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88</w:t>
            </w:r>
          </w:p>
        </w:tc>
        <w:tc>
          <w:tcPr>
            <w:tcW w:w="720" w:type="dxa"/>
            <w:shd w:val="clear" w:color="auto" w:fill="auto"/>
          </w:tcPr>
          <w:p w14:paraId="0A2956C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16</w:t>
            </w:r>
          </w:p>
        </w:tc>
        <w:tc>
          <w:tcPr>
            <w:tcW w:w="720" w:type="dxa"/>
          </w:tcPr>
          <w:p w14:paraId="6EF1D9B1"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5</w:t>
            </w:r>
          </w:p>
        </w:tc>
        <w:tc>
          <w:tcPr>
            <w:tcW w:w="720" w:type="dxa"/>
          </w:tcPr>
          <w:p w14:paraId="4F394240"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7</w:t>
            </w:r>
          </w:p>
        </w:tc>
        <w:tc>
          <w:tcPr>
            <w:tcW w:w="720" w:type="dxa"/>
          </w:tcPr>
          <w:p w14:paraId="62AF8144"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01FEFCC0"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1D257E02" w14:textId="77777777" w:rsidTr="006E6C4E">
        <w:trPr>
          <w:jc w:val="center"/>
        </w:trPr>
        <w:tc>
          <w:tcPr>
            <w:tcW w:w="835" w:type="dxa"/>
            <w:shd w:val="clear" w:color="auto" w:fill="auto"/>
          </w:tcPr>
          <w:p w14:paraId="77760711"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34Lf24</w:t>
            </w:r>
          </w:p>
        </w:tc>
        <w:tc>
          <w:tcPr>
            <w:tcW w:w="1163" w:type="dxa"/>
            <w:shd w:val="clear" w:color="auto" w:fill="auto"/>
          </w:tcPr>
          <w:p w14:paraId="05FA19B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Williams I</w:t>
            </w:r>
          </w:p>
        </w:tc>
        <w:tc>
          <w:tcPr>
            <w:tcW w:w="990" w:type="dxa"/>
            <w:shd w:val="clear" w:color="auto" w:fill="auto"/>
          </w:tcPr>
          <w:p w14:paraId="66B8D20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39</w:t>
            </w:r>
          </w:p>
        </w:tc>
        <w:tc>
          <w:tcPr>
            <w:tcW w:w="720" w:type="dxa"/>
            <w:shd w:val="clear" w:color="auto" w:fill="auto"/>
          </w:tcPr>
          <w:p w14:paraId="5B5F1762"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210</w:t>
            </w:r>
          </w:p>
        </w:tc>
        <w:tc>
          <w:tcPr>
            <w:tcW w:w="720" w:type="dxa"/>
            <w:shd w:val="clear" w:color="auto" w:fill="auto"/>
          </w:tcPr>
          <w:p w14:paraId="6A11028F"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19</w:t>
            </w:r>
          </w:p>
        </w:tc>
        <w:tc>
          <w:tcPr>
            <w:tcW w:w="720" w:type="dxa"/>
          </w:tcPr>
          <w:p w14:paraId="299C20BC"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65A09EA4"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5DF2EB51"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4B3A784A"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740E01FD" w14:textId="77777777" w:rsidTr="006E6C4E">
        <w:trPr>
          <w:jc w:val="center"/>
        </w:trPr>
        <w:tc>
          <w:tcPr>
            <w:tcW w:w="835" w:type="dxa"/>
            <w:shd w:val="clear" w:color="auto" w:fill="auto"/>
          </w:tcPr>
          <w:p w14:paraId="425FE55F"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34Lf18</w:t>
            </w:r>
          </w:p>
        </w:tc>
        <w:tc>
          <w:tcPr>
            <w:tcW w:w="1163" w:type="dxa"/>
            <w:shd w:val="clear" w:color="auto" w:fill="auto"/>
          </w:tcPr>
          <w:p w14:paraId="73EF54C3"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DeHart I</w:t>
            </w:r>
          </w:p>
        </w:tc>
        <w:tc>
          <w:tcPr>
            <w:tcW w:w="990" w:type="dxa"/>
            <w:shd w:val="clear" w:color="auto" w:fill="auto"/>
          </w:tcPr>
          <w:p w14:paraId="3F93A238"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7</w:t>
            </w:r>
          </w:p>
        </w:tc>
        <w:tc>
          <w:tcPr>
            <w:tcW w:w="720" w:type="dxa"/>
            <w:shd w:val="clear" w:color="auto" w:fill="auto"/>
          </w:tcPr>
          <w:p w14:paraId="1DC30F0B"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35</w:t>
            </w:r>
          </w:p>
        </w:tc>
        <w:tc>
          <w:tcPr>
            <w:tcW w:w="720" w:type="dxa"/>
            <w:shd w:val="clear" w:color="auto" w:fill="auto"/>
          </w:tcPr>
          <w:p w14:paraId="5F24E486"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10</w:t>
            </w:r>
          </w:p>
        </w:tc>
        <w:tc>
          <w:tcPr>
            <w:tcW w:w="720" w:type="dxa"/>
          </w:tcPr>
          <w:p w14:paraId="255FC61E"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6</w:t>
            </w:r>
          </w:p>
        </w:tc>
        <w:tc>
          <w:tcPr>
            <w:tcW w:w="720" w:type="dxa"/>
          </w:tcPr>
          <w:p w14:paraId="664033C7"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17</w:t>
            </w:r>
          </w:p>
        </w:tc>
        <w:tc>
          <w:tcPr>
            <w:tcW w:w="720" w:type="dxa"/>
          </w:tcPr>
          <w:p w14:paraId="480F530D"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0EF1F9EF"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3EB8C2BA" w14:textId="77777777" w:rsidTr="006E6C4E">
        <w:trPr>
          <w:jc w:val="center"/>
        </w:trPr>
        <w:tc>
          <w:tcPr>
            <w:tcW w:w="835" w:type="dxa"/>
            <w:shd w:val="clear" w:color="auto" w:fill="auto"/>
          </w:tcPr>
          <w:p w14:paraId="586F41A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34Lf32</w:t>
            </w:r>
          </w:p>
        </w:tc>
        <w:tc>
          <w:tcPr>
            <w:tcW w:w="1163" w:type="dxa"/>
            <w:shd w:val="clear" w:color="auto" w:fill="auto"/>
          </w:tcPr>
          <w:p w14:paraId="3F361ECC"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Akers*</w:t>
            </w:r>
          </w:p>
        </w:tc>
        <w:tc>
          <w:tcPr>
            <w:tcW w:w="990" w:type="dxa"/>
            <w:shd w:val="clear" w:color="auto" w:fill="auto"/>
          </w:tcPr>
          <w:p w14:paraId="1A48595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52</w:t>
            </w:r>
          </w:p>
        </w:tc>
        <w:tc>
          <w:tcPr>
            <w:tcW w:w="720" w:type="dxa"/>
            <w:shd w:val="clear" w:color="auto" w:fill="auto"/>
          </w:tcPr>
          <w:p w14:paraId="64993C2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206</w:t>
            </w:r>
          </w:p>
        </w:tc>
        <w:tc>
          <w:tcPr>
            <w:tcW w:w="720" w:type="dxa"/>
            <w:shd w:val="clear" w:color="auto" w:fill="auto"/>
          </w:tcPr>
          <w:p w14:paraId="65A53ED7"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25</w:t>
            </w:r>
          </w:p>
        </w:tc>
        <w:tc>
          <w:tcPr>
            <w:tcW w:w="720" w:type="dxa"/>
          </w:tcPr>
          <w:p w14:paraId="0F68B16C"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2</w:t>
            </w:r>
          </w:p>
        </w:tc>
        <w:tc>
          <w:tcPr>
            <w:tcW w:w="720" w:type="dxa"/>
          </w:tcPr>
          <w:p w14:paraId="3E6B449E"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w:t>
            </w:r>
          </w:p>
        </w:tc>
        <w:tc>
          <w:tcPr>
            <w:tcW w:w="720" w:type="dxa"/>
          </w:tcPr>
          <w:p w14:paraId="343426B5"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2</w:t>
            </w:r>
          </w:p>
        </w:tc>
        <w:tc>
          <w:tcPr>
            <w:tcW w:w="720" w:type="dxa"/>
          </w:tcPr>
          <w:p w14:paraId="4FBDC844"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w:t>
            </w:r>
          </w:p>
        </w:tc>
      </w:tr>
      <w:tr w:rsidR="00933C62" w:rsidRPr="00FD0636" w14:paraId="5AB9902C" w14:textId="77777777" w:rsidTr="006E6C4E">
        <w:trPr>
          <w:jc w:val="center"/>
        </w:trPr>
        <w:tc>
          <w:tcPr>
            <w:tcW w:w="835" w:type="dxa"/>
            <w:shd w:val="clear" w:color="auto" w:fill="auto"/>
          </w:tcPr>
          <w:p w14:paraId="5113343C"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34Lf19</w:t>
            </w:r>
          </w:p>
        </w:tc>
        <w:tc>
          <w:tcPr>
            <w:tcW w:w="1163" w:type="dxa"/>
            <w:shd w:val="clear" w:color="auto" w:fill="auto"/>
          </w:tcPr>
          <w:p w14:paraId="68C7B36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Hooks</w:t>
            </w:r>
          </w:p>
        </w:tc>
        <w:tc>
          <w:tcPr>
            <w:tcW w:w="990" w:type="dxa"/>
            <w:shd w:val="clear" w:color="auto" w:fill="auto"/>
          </w:tcPr>
          <w:p w14:paraId="5039FC1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25</w:t>
            </w:r>
          </w:p>
        </w:tc>
        <w:tc>
          <w:tcPr>
            <w:tcW w:w="720" w:type="dxa"/>
            <w:shd w:val="clear" w:color="auto" w:fill="auto"/>
          </w:tcPr>
          <w:p w14:paraId="5B89B6E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93</w:t>
            </w:r>
          </w:p>
        </w:tc>
        <w:tc>
          <w:tcPr>
            <w:tcW w:w="720" w:type="dxa"/>
            <w:shd w:val="clear" w:color="auto" w:fill="auto"/>
          </w:tcPr>
          <w:p w14:paraId="4D39C77B"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27</w:t>
            </w:r>
          </w:p>
        </w:tc>
        <w:tc>
          <w:tcPr>
            <w:tcW w:w="720" w:type="dxa"/>
          </w:tcPr>
          <w:p w14:paraId="3CA6892F"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9</w:t>
            </w:r>
          </w:p>
        </w:tc>
        <w:tc>
          <w:tcPr>
            <w:tcW w:w="720" w:type="dxa"/>
          </w:tcPr>
          <w:p w14:paraId="5BE99F32"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10</w:t>
            </w:r>
          </w:p>
        </w:tc>
        <w:tc>
          <w:tcPr>
            <w:tcW w:w="720" w:type="dxa"/>
          </w:tcPr>
          <w:p w14:paraId="2C8D3A2D"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3</w:t>
            </w:r>
          </w:p>
        </w:tc>
        <w:tc>
          <w:tcPr>
            <w:tcW w:w="720" w:type="dxa"/>
          </w:tcPr>
          <w:p w14:paraId="40FD913C"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3</w:t>
            </w:r>
          </w:p>
        </w:tc>
      </w:tr>
      <w:tr w:rsidR="00933C62" w:rsidRPr="00FD0636" w14:paraId="08F54FAC" w14:textId="77777777" w:rsidTr="006E6C4E">
        <w:trPr>
          <w:jc w:val="center"/>
        </w:trPr>
        <w:tc>
          <w:tcPr>
            <w:tcW w:w="835" w:type="dxa"/>
            <w:shd w:val="clear" w:color="auto" w:fill="auto"/>
          </w:tcPr>
          <w:p w14:paraId="1BDCDEF9"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34Lf33</w:t>
            </w:r>
          </w:p>
        </w:tc>
        <w:tc>
          <w:tcPr>
            <w:tcW w:w="1163" w:type="dxa"/>
            <w:shd w:val="clear" w:color="auto" w:fill="auto"/>
          </w:tcPr>
          <w:p w14:paraId="0362BB05"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Adams</w:t>
            </w:r>
          </w:p>
        </w:tc>
        <w:tc>
          <w:tcPr>
            <w:tcW w:w="990" w:type="dxa"/>
            <w:shd w:val="clear" w:color="auto" w:fill="auto"/>
          </w:tcPr>
          <w:p w14:paraId="7DAD6A02"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21</w:t>
            </w:r>
          </w:p>
        </w:tc>
        <w:tc>
          <w:tcPr>
            <w:tcW w:w="720" w:type="dxa"/>
            <w:shd w:val="clear" w:color="auto" w:fill="auto"/>
          </w:tcPr>
          <w:p w14:paraId="00C8BB9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79</w:t>
            </w:r>
          </w:p>
        </w:tc>
        <w:tc>
          <w:tcPr>
            <w:tcW w:w="720" w:type="dxa"/>
            <w:shd w:val="clear" w:color="auto" w:fill="auto"/>
          </w:tcPr>
          <w:p w14:paraId="2FD1B393"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27</w:t>
            </w:r>
          </w:p>
        </w:tc>
        <w:tc>
          <w:tcPr>
            <w:tcW w:w="720" w:type="dxa"/>
          </w:tcPr>
          <w:p w14:paraId="1AE2E3D3"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5</w:t>
            </w:r>
          </w:p>
        </w:tc>
        <w:tc>
          <w:tcPr>
            <w:tcW w:w="720" w:type="dxa"/>
          </w:tcPr>
          <w:p w14:paraId="0D4AD755"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6</w:t>
            </w:r>
          </w:p>
        </w:tc>
        <w:tc>
          <w:tcPr>
            <w:tcW w:w="720" w:type="dxa"/>
          </w:tcPr>
          <w:p w14:paraId="0B338028"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51C83710"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25E1FE52" w14:textId="77777777" w:rsidTr="006E6C4E">
        <w:trPr>
          <w:jc w:val="center"/>
        </w:trPr>
        <w:tc>
          <w:tcPr>
            <w:tcW w:w="835" w:type="dxa"/>
            <w:shd w:val="clear" w:color="auto" w:fill="auto"/>
          </w:tcPr>
          <w:p w14:paraId="45FE3607"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34Lf17</w:t>
            </w:r>
          </w:p>
        </w:tc>
        <w:tc>
          <w:tcPr>
            <w:tcW w:w="1163" w:type="dxa"/>
            <w:shd w:val="clear" w:color="auto" w:fill="auto"/>
          </w:tcPr>
          <w:p w14:paraId="446B7B6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DeHart II</w:t>
            </w:r>
          </w:p>
        </w:tc>
        <w:tc>
          <w:tcPr>
            <w:tcW w:w="990" w:type="dxa"/>
            <w:shd w:val="clear" w:color="auto" w:fill="auto"/>
          </w:tcPr>
          <w:p w14:paraId="6A6984C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10</w:t>
            </w:r>
          </w:p>
        </w:tc>
        <w:tc>
          <w:tcPr>
            <w:tcW w:w="720" w:type="dxa"/>
            <w:shd w:val="clear" w:color="auto" w:fill="auto"/>
          </w:tcPr>
          <w:p w14:paraId="6D1834F0"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36</w:t>
            </w:r>
          </w:p>
        </w:tc>
        <w:tc>
          <w:tcPr>
            <w:tcW w:w="720" w:type="dxa"/>
            <w:shd w:val="clear" w:color="auto" w:fill="auto"/>
          </w:tcPr>
          <w:p w14:paraId="54B3C92E"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28</w:t>
            </w:r>
          </w:p>
        </w:tc>
        <w:tc>
          <w:tcPr>
            <w:tcW w:w="720" w:type="dxa"/>
          </w:tcPr>
          <w:p w14:paraId="1039DC6E"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16CA1EF6"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63128347"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3</w:t>
            </w:r>
          </w:p>
        </w:tc>
        <w:tc>
          <w:tcPr>
            <w:tcW w:w="720" w:type="dxa"/>
          </w:tcPr>
          <w:p w14:paraId="584338AC"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3</w:t>
            </w:r>
          </w:p>
        </w:tc>
      </w:tr>
      <w:tr w:rsidR="00933C62" w:rsidRPr="00FD0636" w14:paraId="6B5CBE5E" w14:textId="77777777" w:rsidTr="006E6C4E">
        <w:trPr>
          <w:jc w:val="center"/>
        </w:trPr>
        <w:tc>
          <w:tcPr>
            <w:tcW w:w="835" w:type="dxa"/>
            <w:shd w:val="clear" w:color="auto" w:fill="auto"/>
          </w:tcPr>
          <w:p w14:paraId="69E64F7A"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34Lf28</w:t>
            </w:r>
          </w:p>
        </w:tc>
        <w:tc>
          <w:tcPr>
            <w:tcW w:w="1163" w:type="dxa"/>
            <w:shd w:val="clear" w:color="auto" w:fill="auto"/>
          </w:tcPr>
          <w:p w14:paraId="4383E44C"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Sam</w:t>
            </w:r>
          </w:p>
        </w:tc>
        <w:tc>
          <w:tcPr>
            <w:tcW w:w="990" w:type="dxa"/>
            <w:shd w:val="clear" w:color="auto" w:fill="auto"/>
          </w:tcPr>
          <w:p w14:paraId="35D9FD72"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21</w:t>
            </w:r>
          </w:p>
        </w:tc>
        <w:tc>
          <w:tcPr>
            <w:tcW w:w="720" w:type="dxa"/>
            <w:shd w:val="clear" w:color="auto" w:fill="auto"/>
          </w:tcPr>
          <w:p w14:paraId="06DCBCF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73</w:t>
            </w:r>
          </w:p>
        </w:tc>
        <w:tc>
          <w:tcPr>
            <w:tcW w:w="720" w:type="dxa"/>
            <w:shd w:val="clear" w:color="auto" w:fill="auto"/>
          </w:tcPr>
          <w:p w14:paraId="5D4AB65C"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29</w:t>
            </w:r>
          </w:p>
        </w:tc>
        <w:tc>
          <w:tcPr>
            <w:tcW w:w="720" w:type="dxa"/>
          </w:tcPr>
          <w:p w14:paraId="1642C4B6"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1A813311"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6990C873"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7266C33C"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798B5A40" w14:textId="77777777" w:rsidTr="006E6C4E">
        <w:trPr>
          <w:jc w:val="center"/>
        </w:trPr>
        <w:tc>
          <w:tcPr>
            <w:tcW w:w="835" w:type="dxa"/>
            <w:shd w:val="clear" w:color="auto" w:fill="auto"/>
          </w:tcPr>
          <w:p w14:paraId="600019CD"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34Lf27</w:t>
            </w:r>
          </w:p>
        </w:tc>
        <w:tc>
          <w:tcPr>
            <w:tcW w:w="1163" w:type="dxa"/>
            <w:shd w:val="clear" w:color="auto" w:fill="auto"/>
          </w:tcPr>
          <w:p w14:paraId="7EEABED6"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Wann</w:t>
            </w:r>
          </w:p>
        </w:tc>
        <w:tc>
          <w:tcPr>
            <w:tcW w:w="990" w:type="dxa"/>
            <w:shd w:val="clear" w:color="auto" w:fill="auto"/>
          </w:tcPr>
          <w:p w14:paraId="0EA8112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10</w:t>
            </w:r>
          </w:p>
        </w:tc>
        <w:tc>
          <w:tcPr>
            <w:tcW w:w="720" w:type="dxa"/>
            <w:shd w:val="clear" w:color="auto" w:fill="auto"/>
          </w:tcPr>
          <w:p w14:paraId="60A5DC5A"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32</w:t>
            </w:r>
          </w:p>
        </w:tc>
        <w:tc>
          <w:tcPr>
            <w:tcW w:w="720" w:type="dxa"/>
            <w:shd w:val="clear" w:color="auto" w:fill="auto"/>
          </w:tcPr>
          <w:p w14:paraId="56035FD5"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31</w:t>
            </w:r>
          </w:p>
        </w:tc>
        <w:tc>
          <w:tcPr>
            <w:tcW w:w="720" w:type="dxa"/>
          </w:tcPr>
          <w:p w14:paraId="5A8040E0"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0545AAB2"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5CB20F8E"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360BB0D3"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5AC45E45" w14:textId="77777777" w:rsidTr="006E6C4E">
        <w:trPr>
          <w:jc w:val="center"/>
        </w:trPr>
        <w:tc>
          <w:tcPr>
            <w:tcW w:w="835" w:type="dxa"/>
            <w:shd w:val="clear" w:color="auto" w:fill="auto"/>
          </w:tcPr>
          <w:p w14:paraId="7212540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34Lt11</w:t>
            </w:r>
          </w:p>
        </w:tc>
        <w:tc>
          <w:tcPr>
            <w:tcW w:w="1163" w:type="dxa"/>
            <w:shd w:val="clear" w:color="auto" w:fill="auto"/>
          </w:tcPr>
          <w:p w14:paraId="442E069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McC-McL</w:t>
            </w:r>
          </w:p>
        </w:tc>
        <w:tc>
          <w:tcPr>
            <w:tcW w:w="990" w:type="dxa"/>
            <w:shd w:val="clear" w:color="auto" w:fill="auto"/>
          </w:tcPr>
          <w:p w14:paraId="34BF2F9D"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18</w:t>
            </w:r>
          </w:p>
        </w:tc>
        <w:tc>
          <w:tcPr>
            <w:tcW w:w="720" w:type="dxa"/>
            <w:shd w:val="clear" w:color="auto" w:fill="auto"/>
          </w:tcPr>
          <w:p w14:paraId="25925754"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47</w:t>
            </w:r>
          </w:p>
        </w:tc>
        <w:tc>
          <w:tcPr>
            <w:tcW w:w="720" w:type="dxa"/>
            <w:shd w:val="clear" w:color="auto" w:fill="auto"/>
          </w:tcPr>
          <w:p w14:paraId="7A2CFB51"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38</w:t>
            </w:r>
          </w:p>
        </w:tc>
        <w:tc>
          <w:tcPr>
            <w:tcW w:w="720" w:type="dxa"/>
          </w:tcPr>
          <w:p w14:paraId="2AB24F68"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159D21B9"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482380FC"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15182807"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380BD6B6" w14:textId="77777777" w:rsidTr="006E6C4E">
        <w:trPr>
          <w:jc w:val="center"/>
        </w:trPr>
        <w:tc>
          <w:tcPr>
            <w:tcW w:w="835" w:type="dxa"/>
            <w:shd w:val="clear" w:color="auto" w:fill="auto"/>
          </w:tcPr>
          <w:p w14:paraId="3A61731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34Lf29</w:t>
            </w:r>
          </w:p>
        </w:tc>
        <w:tc>
          <w:tcPr>
            <w:tcW w:w="1163" w:type="dxa"/>
            <w:shd w:val="clear" w:color="auto" w:fill="auto"/>
          </w:tcPr>
          <w:p w14:paraId="4788A354"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Mackey*</w:t>
            </w:r>
          </w:p>
        </w:tc>
        <w:tc>
          <w:tcPr>
            <w:tcW w:w="990" w:type="dxa"/>
            <w:shd w:val="clear" w:color="auto" w:fill="auto"/>
          </w:tcPr>
          <w:p w14:paraId="5FEE97EB"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65</w:t>
            </w:r>
          </w:p>
        </w:tc>
        <w:tc>
          <w:tcPr>
            <w:tcW w:w="720" w:type="dxa"/>
            <w:shd w:val="clear" w:color="auto" w:fill="auto"/>
          </w:tcPr>
          <w:p w14:paraId="5F46FA5F"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165</w:t>
            </w:r>
          </w:p>
        </w:tc>
        <w:tc>
          <w:tcPr>
            <w:tcW w:w="720" w:type="dxa"/>
            <w:shd w:val="clear" w:color="auto" w:fill="auto"/>
          </w:tcPr>
          <w:p w14:paraId="40FFECD9" w14:textId="77777777" w:rsidR="00933C62" w:rsidRPr="00FD0636" w:rsidRDefault="00933C62" w:rsidP="006E6C4E">
            <w:pPr>
              <w:spacing w:line="240" w:lineRule="auto"/>
              <w:jc w:val="right"/>
              <w:rPr>
                <w:rFonts w:ascii="Times New Roman" w:hAnsi="Times New Roman"/>
                <w:sz w:val="20"/>
              </w:rPr>
            </w:pPr>
            <w:r w:rsidRPr="00FD0636">
              <w:rPr>
                <w:rFonts w:ascii="Times New Roman" w:hAnsi="Times New Roman"/>
                <w:sz w:val="20"/>
              </w:rPr>
              <w:t>39</w:t>
            </w:r>
          </w:p>
        </w:tc>
        <w:tc>
          <w:tcPr>
            <w:tcW w:w="720" w:type="dxa"/>
          </w:tcPr>
          <w:p w14:paraId="352E0E9C"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4</w:t>
            </w:r>
          </w:p>
        </w:tc>
        <w:tc>
          <w:tcPr>
            <w:tcW w:w="720" w:type="dxa"/>
          </w:tcPr>
          <w:p w14:paraId="42F33EFA"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4</w:t>
            </w:r>
          </w:p>
        </w:tc>
        <w:tc>
          <w:tcPr>
            <w:tcW w:w="720" w:type="dxa"/>
          </w:tcPr>
          <w:p w14:paraId="08C3E187"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w:t>
            </w:r>
          </w:p>
        </w:tc>
        <w:tc>
          <w:tcPr>
            <w:tcW w:w="720" w:type="dxa"/>
          </w:tcPr>
          <w:p w14:paraId="5DAFB050"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w:t>
            </w:r>
          </w:p>
        </w:tc>
      </w:tr>
      <w:tr w:rsidR="00933C62" w:rsidRPr="00FD0636" w14:paraId="10BF80E2" w14:textId="77777777" w:rsidTr="006E6C4E">
        <w:trPr>
          <w:jc w:val="center"/>
        </w:trPr>
        <w:tc>
          <w:tcPr>
            <w:tcW w:w="835" w:type="dxa"/>
            <w:shd w:val="clear" w:color="auto" w:fill="auto"/>
          </w:tcPr>
          <w:p w14:paraId="3938E24E"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34Lf15</w:t>
            </w:r>
          </w:p>
        </w:tc>
        <w:tc>
          <w:tcPr>
            <w:tcW w:w="1163" w:type="dxa"/>
            <w:shd w:val="clear" w:color="auto" w:fill="auto"/>
          </w:tcPr>
          <w:p w14:paraId="564E8A2C" w14:textId="77777777" w:rsidR="00933C62" w:rsidRPr="00FD0636" w:rsidRDefault="00933C62" w:rsidP="006E6C4E">
            <w:pPr>
              <w:spacing w:line="240" w:lineRule="auto"/>
              <w:rPr>
                <w:rFonts w:ascii="Times New Roman" w:hAnsi="Times New Roman"/>
                <w:sz w:val="20"/>
              </w:rPr>
            </w:pPr>
            <w:r w:rsidRPr="00FD0636">
              <w:rPr>
                <w:rFonts w:ascii="Times New Roman" w:hAnsi="Times New Roman"/>
                <w:sz w:val="20"/>
              </w:rPr>
              <w:t>Redwine</w:t>
            </w:r>
          </w:p>
        </w:tc>
        <w:tc>
          <w:tcPr>
            <w:tcW w:w="990" w:type="dxa"/>
            <w:shd w:val="clear" w:color="auto" w:fill="auto"/>
          </w:tcPr>
          <w:p w14:paraId="1E17B0E6"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7</w:t>
            </w:r>
          </w:p>
        </w:tc>
        <w:tc>
          <w:tcPr>
            <w:tcW w:w="720" w:type="dxa"/>
            <w:shd w:val="clear" w:color="auto" w:fill="auto"/>
          </w:tcPr>
          <w:p w14:paraId="0DEA2526"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10</w:t>
            </w:r>
          </w:p>
        </w:tc>
        <w:tc>
          <w:tcPr>
            <w:tcW w:w="720" w:type="dxa"/>
            <w:shd w:val="clear" w:color="auto" w:fill="auto"/>
          </w:tcPr>
          <w:p w14:paraId="6A9FE21E" w14:textId="77777777" w:rsidR="00933C62" w:rsidRPr="00FD0636" w:rsidRDefault="00933C62" w:rsidP="006E6C4E">
            <w:pPr>
              <w:spacing w:line="240" w:lineRule="auto"/>
              <w:jc w:val="right"/>
              <w:rPr>
                <w:rFonts w:ascii="Times New Roman" w:hAnsi="Times New Roman"/>
                <w:sz w:val="20"/>
              </w:rPr>
            </w:pPr>
            <w:r>
              <w:rPr>
                <w:rFonts w:ascii="Times New Roman" w:hAnsi="Times New Roman"/>
                <w:sz w:val="20"/>
              </w:rPr>
              <w:t>70</w:t>
            </w:r>
          </w:p>
        </w:tc>
        <w:tc>
          <w:tcPr>
            <w:tcW w:w="720" w:type="dxa"/>
          </w:tcPr>
          <w:p w14:paraId="12B28566" w14:textId="77777777" w:rsidR="00933C62"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65B44E21" w14:textId="77777777" w:rsidR="00933C62"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51262B0B" w14:textId="77777777" w:rsidR="00933C62" w:rsidRDefault="00933C62" w:rsidP="006E6C4E">
            <w:pPr>
              <w:spacing w:line="240" w:lineRule="auto"/>
              <w:jc w:val="right"/>
              <w:rPr>
                <w:rFonts w:ascii="Times New Roman" w:hAnsi="Times New Roman"/>
                <w:sz w:val="20"/>
              </w:rPr>
            </w:pPr>
            <w:r>
              <w:rPr>
                <w:rFonts w:ascii="Times New Roman" w:hAnsi="Times New Roman"/>
                <w:sz w:val="20"/>
              </w:rPr>
              <w:t>0</w:t>
            </w:r>
          </w:p>
        </w:tc>
        <w:tc>
          <w:tcPr>
            <w:tcW w:w="720" w:type="dxa"/>
          </w:tcPr>
          <w:p w14:paraId="404E23C8" w14:textId="77777777" w:rsidR="00933C62" w:rsidRDefault="00933C62" w:rsidP="006E6C4E">
            <w:pPr>
              <w:spacing w:line="240" w:lineRule="auto"/>
              <w:jc w:val="right"/>
              <w:rPr>
                <w:rFonts w:ascii="Times New Roman" w:hAnsi="Times New Roman"/>
                <w:sz w:val="20"/>
              </w:rPr>
            </w:pPr>
            <w:r>
              <w:rPr>
                <w:rFonts w:ascii="Times New Roman" w:hAnsi="Times New Roman"/>
                <w:sz w:val="20"/>
              </w:rPr>
              <w:t>0</w:t>
            </w:r>
          </w:p>
        </w:tc>
      </w:tr>
      <w:tr w:rsidR="00933C62" w:rsidRPr="00FD0636" w14:paraId="56220160" w14:textId="77777777" w:rsidTr="006E6C4E">
        <w:trPr>
          <w:jc w:val="center"/>
        </w:trPr>
        <w:tc>
          <w:tcPr>
            <w:tcW w:w="835" w:type="dxa"/>
            <w:shd w:val="clear" w:color="auto" w:fill="auto"/>
          </w:tcPr>
          <w:p w14:paraId="1DC00DAF" w14:textId="77777777" w:rsidR="00933C62" w:rsidRPr="00FD0636" w:rsidRDefault="00933C62" w:rsidP="006E6C4E">
            <w:pPr>
              <w:spacing w:line="240" w:lineRule="auto"/>
              <w:rPr>
                <w:rFonts w:ascii="Times New Roman" w:hAnsi="Times New Roman"/>
                <w:sz w:val="20"/>
              </w:rPr>
            </w:pPr>
          </w:p>
        </w:tc>
        <w:tc>
          <w:tcPr>
            <w:tcW w:w="1163" w:type="dxa"/>
            <w:shd w:val="clear" w:color="auto" w:fill="auto"/>
          </w:tcPr>
          <w:p w14:paraId="6BD9B329"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Totals</w:t>
            </w:r>
          </w:p>
        </w:tc>
        <w:tc>
          <w:tcPr>
            <w:tcW w:w="990" w:type="dxa"/>
            <w:shd w:val="clear" w:color="auto" w:fill="auto"/>
          </w:tcPr>
          <w:p w14:paraId="19BB1BC4"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311</w:t>
            </w:r>
          </w:p>
        </w:tc>
        <w:tc>
          <w:tcPr>
            <w:tcW w:w="720" w:type="dxa"/>
            <w:shd w:val="clear" w:color="auto" w:fill="auto"/>
          </w:tcPr>
          <w:p w14:paraId="3A24E906"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1220</w:t>
            </w:r>
          </w:p>
        </w:tc>
        <w:tc>
          <w:tcPr>
            <w:tcW w:w="720" w:type="dxa"/>
            <w:shd w:val="clear" w:color="auto" w:fill="auto"/>
          </w:tcPr>
          <w:p w14:paraId="350C5536" w14:textId="77777777" w:rsidR="00933C62" w:rsidRPr="00FD0636" w:rsidRDefault="00933C62" w:rsidP="006E6C4E">
            <w:pPr>
              <w:spacing w:line="240" w:lineRule="auto"/>
              <w:jc w:val="right"/>
              <w:rPr>
                <w:rFonts w:ascii="Times New Roman" w:hAnsi="Times New Roman"/>
                <w:b/>
                <w:sz w:val="20"/>
              </w:rPr>
            </w:pPr>
            <w:r w:rsidRPr="00FD0636">
              <w:rPr>
                <w:rFonts w:ascii="Times New Roman" w:hAnsi="Times New Roman"/>
                <w:b/>
                <w:sz w:val="20"/>
              </w:rPr>
              <w:t>2</w:t>
            </w:r>
            <w:r>
              <w:rPr>
                <w:rFonts w:ascii="Times New Roman" w:hAnsi="Times New Roman"/>
                <w:b/>
                <w:sz w:val="20"/>
              </w:rPr>
              <w:t>5</w:t>
            </w:r>
          </w:p>
        </w:tc>
        <w:tc>
          <w:tcPr>
            <w:tcW w:w="720" w:type="dxa"/>
          </w:tcPr>
          <w:p w14:paraId="352DBDC7"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36</w:t>
            </w:r>
          </w:p>
        </w:tc>
        <w:tc>
          <w:tcPr>
            <w:tcW w:w="720" w:type="dxa"/>
          </w:tcPr>
          <w:p w14:paraId="36D647DF"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3</w:t>
            </w:r>
          </w:p>
        </w:tc>
        <w:tc>
          <w:tcPr>
            <w:tcW w:w="720" w:type="dxa"/>
          </w:tcPr>
          <w:p w14:paraId="559001EA"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12</w:t>
            </w:r>
          </w:p>
        </w:tc>
        <w:tc>
          <w:tcPr>
            <w:tcW w:w="720" w:type="dxa"/>
          </w:tcPr>
          <w:p w14:paraId="10A647ED" w14:textId="77777777" w:rsidR="00933C62" w:rsidRPr="00FD0636" w:rsidRDefault="00933C62" w:rsidP="006E6C4E">
            <w:pPr>
              <w:spacing w:line="240" w:lineRule="auto"/>
              <w:jc w:val="right"/>
              <w:rPr>
                <w:rFonts w:ascii="Times New Roman" w:hAnsi="Times New Roman"/>
                <w:b/>
                <w:sz w:val="20"/>
              </w:rPr>
            </w:pPr>
            <w:r>
              <w:rPr>
                <w:rFonts w:ascii="Times New Roman" w:hAnsi="Times New Roman"/>
                <w:b/>
                <w:sz w:val="20"/>
              </w:rPr>
              <w:t>1</w:t>
            </w:r>
          </w:p>
        </w:tc>
      </w:tr>
      <w:bookmarkEnd w:id="111"/>
    </w:tbl>
    <w:p w14:paraId="719B9524" w14:textId="77777777" w:rsidR="00933C62" w:rsidRDefault="00933C62" w:rsidP="00933C62">
      <w:pPr>
        <w:spacing w:line="240" w:lineRule="auto"/>
      </w:pPr>
    </w:p>
    <w:p w14:paraId="78B57B0A" w14:textId="77777777" w:rsidR="00933C62" w:rsidRDefault="00933C62" w:rsidP="00933C62">
      <w:pPr>
        <w:spacing w:line="240" w:lineRule="auto"/>
        <w:ind w:firstLine="720"/>
        <w:rPr>
          <w:rFonts w:ascii="Times New Roman" w:hAnsi="Times New Roman"/>
        </w:rPr>
      </w:pPr>
    </w:p>
    <w:p w14:paraId="653E1D4D" w14:textId="77777777" w:rsidR="00933C62" w:rsidRDefault="00933C62" w:rsidP="00933C62">
      <w:pPr>
        <w:ind w:firstLine="720"/>
        <w:rPr>
          <w:rFonts w:ascii="Times New Roman" w:hAnsi="Times New Roman"/>
        </w:rPr>
      </w:pPr>
      <w:r>
        <w:rPr>
          <w:rFonts w:ascii="Times New Roman" w:hAnsi="Times New Roman"/>
        </w:rPr>
        <w:t xml:space="preserve">Sites either had 0 extra skulls (Williams I, DeHart II, Sam, Wann, McCutchan-McLaughlin, and Redwine) or 2 or more extra skulls (Brewer, Copeland, Dehart I, Akers, Hooks, Adams, and Mackey).  </w:t>
      </w:r>
      <w:r w:rsidRPr="00FD0636">
        <w:rPr>
          <w:rFonts w:ascii="Times New Roman" w:hAnsi="Times New Roman"/>
        </w:rPr>
        <w:t>Surprisingly, the</w:t>
      </w:r>
      <w:r>
        <w:rPr>
          <w:rFonts w:ascii="Times New Roman" w:hAnsi="Times New Roman"/>
        </w:rPr>
        <w:t xml:space="preserve"> site with the highest percentage of extra</w:t>
      </w:r>
      <w:r w:rsidRPr="00FD0636">
        <w:rPr>
          <w:rFonts w:ascii="Times New Roman" w:hAnsi="Times New Roman"/>
        </w:rPr>
        <w:t xml:space="preserve"> skull</w:t>
      </w:r>
      <w:r>
        <w:rPr>
          <w:rFonts w:ascii="Times New Roman" w:hAnsi="Times New Roman"/>
        </w:rPr>
        <w:t>s (6 skulls, or 17% of the site’s</w:t>
      </w:r>
      <w:r w:rsidRPr="00FD0636">
        <w:rPr>
          <w:rFonts w:ascii="Times New Roman" w:hAnsi="Times New Roman"/>
        </w:rPr>
        <w:t xml:space="preserve"> </w:t>
      </w:r>
      <w:r>
        <w:rPr>
          <w:rFonts w:ascii="Times New Roman" w:hAnsi="Times New Roman"/>
        </w:rPr>
        <w:t xml:space="preserve">excavated </w:t>
      </w:r>
      <w:r w:rsidRPr="00FD0636">
        <w:rPr>
          <w:rFonts w:ascii="Times New Roman" w:hAnsi="Times New Roman"/>
        </w:rPr>
        <w:t xml:space="preserve">burial population) comes from the small site of DeHart I (34Lf18).  These extra skulls do not appear to be clustered together.  However, only a small portion of DeHart I was excavated, so the overall pattern of the burials is not clear. </w:t>
      </w:r>
    </w:p>
    <w:p w14:paraId="1AF6F7C1" w14:textId="77777777" w:rsidR="00933C62" w:rsidRDefault="00933C62" w:rsidP="00933C62">
      <w:pPr>
        <w:ind w:firstLine="720"/>
        <w:rPr>
          <w:rFonts w:ascii="Times New Roman" w:hAnsi="Times New Roman"/>
        </w:rPr>
      </w:pPr>
      <w:r>
        <w:rPr>
          <w:rFonts w:ascii="Times New Roman" w:hAnsi="Times New Roman"/>
        </w:rPr>
        <w:t xml:space="preserve">A reasonable assumption is that sites with high levels of violence (i.e. percentage of group burials) would also have proportionally more extra skulls.  This was examined by plotting the </w:t>
      </w:r>
      <w:r w:rsidRPr="00FD0636">
        <w:rPr>
          <w:rFonts w:ascii="Times New Roman" w:hAnsi="Times New Roman"/>
        </w:rPr>
        <w:t xml:space="preserve">percentage of individuals in multiple graves </w:t>
      </w:r>
      <w:r>
        <w:rPr>
          <w:rFonts w:ascii="Times New Roman" w:hAnsi="Times New Roman"/>
        </w:rPr>
        <w:t xml:space="preserve">(x axis) against </w:t>
      </w:r>
      <w:r w:rsidRPr="00FD0636">
        <w:rPr>
          <w:rFonts w:ascii="Times New Roman" w:hAnsi="Times New Roman"/>
        </w:rPr>
        <w:t xml:space="preserve">the percentage of </w:t>
      </w:r>
      <w:r>
        <w:rPr>
          <w:rFonts w:ascii="Times New Roman" w:hAnsi="Times New Roman"/>
        </w:rPr>
        <w:t>extra skulls (y axis).  As seen in Figure 25, there is a weak negative correlation</w:t>
      </w:r>
      <w:r w:rsidRPr="00FD0636">
        <w:rPr>
          <w:rFonts w:ascii="Times New Roman" w:hAnsi="Times New Roman"/>
        </w:rPr>
        <w:t xml:space="preserve"> </w:t>
      </w:r>
      <w:r>
        <w:rPr>
          <w:rFonts w:ascii="Times New Roman" w:hAnsi="Times New Roman"/>
        </w:rPr>
        <w:t>(R=-.34)</w:t>
      </w:r>
      <w:r w:rsidRPr="00FD0636">
        <w:rPr>
          <w:rFonts w:ascii="Times New Roman" w:hAnsi="Times New Roman"/>
        </w:rPr>
        <w:t xml:space="preserve">.  </w:t>
      </w:r>
      <w:r>
        <w:rPr>
          <w:rFonts w:ascii="Times New Roman" w:hAnsi="Times New Roman"/>
        </w:rPr>
        <w:t xml:space="preserve">This suggests that sites with more violence might actually have fewer extra skulls.  </w:t>
      </w:r>
    </w:p>
    <w:p w14:paraId="0F8B665B" w14:textId="77777777" w:rsidR="00933C62" w:rsidRDefault="00933C62" w:rsidP="00933C62">
      <w:pPr>
        <w:spacing w:line="240" w:lineRule="auto"/>
        <w:rPr>
          <w:rFonts w:ascii="Times New Roman" w:hAnsi="Times New Roman"/>
        </w:rPr>
      </w:pPr>
    </w:p>
    <w:p w14:paraId="71E27038" w14:textId="77777777" w:rsidR="00933C62" w:rsidRPr="00FD0636" w:rsidRDefault="00933C62" w:rsidP="00933C62">
      <w:pPr>
        <w:jc w:val="center"/>
        <w:rPr>
          <w:rFonts w:ascii="Times New Roman" w:hAnsi="Times New Roman"/>
        </w:rPr>
      </w:pPr>
      <w:r>
        <w:rPr>
          <w:rFonts w:ascii="Helvetica" w:hAnsi="Helvetica" w:cs="Helvetica"/>
          <w:noProof/>
          <w:color w:val="000000"/>
          <w:sz w:val="26"/>
          <w:szCs w:val="26"/>
          <w:lang w:bidi="ar-SA"/>
        </w:rPr>
        <w:drawing>
          <wp:inline distT="0" distB="0" distL="0" distR="0" wp14:anchorId="0199C86A" wp14:editId="03AA2F3A">
            <wp:extent cx="3847769" cy="285697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50205" cy="2858786"/>
                    </a:xfrm>
                    <a:prstGeom prst="rect">
                      <a:avLst/>
                    </a:prstGeom>
                    <a:noFill/>
                    <a:ln>
                      <a:noFill/>
                    </a:ln>
                  </pic:spPr>
                </pic:pic>
              </a:graphicData>
            </a:graphic>
          </wp:inline>
        </w:drawing>
      </w:r>
    </w:p>
    <w:p w14:paraId="5AFB8C2D" w14:textId="77777777" w:rsidR="00FC754F" w:rsidRDefault="00933C62" w:rsidP="00133F61">
      <w:pPr>
        <w:pStyle w:val="Caption"/>
      </w:pPr>
      <w:bookmarkStart w:id="112" w:name="_Toc261025227"/>
      <w:r>
        <w:t xml:space="preserve">Figure </w:t>
      </w:r>
      <w:fldSimple w:instr=" SEQ Figure \* ARABIC ">
        <w:r w:rsidR="00396EB3">
          <w:rPr>
            <w:noProof/>
          </w:rPr>
          <w:t>25</w:t>
        </w:r>
      </w:fldSimple>
      <w:r>
        <w:t xml:space="preserve">  Biplot of the percentage of multiple burials (x axis) by percentage of</w:t>
      </w:r>
      <w:bookmarkEnd w:id="112"/>
      <w:r>
        <w:t xml:space="preserve"> </w:t>
      </w:r>
    </w:p>
    <w:p w14:paraId="16F81945" w14:textId="7F3D753B" w:rsidR="00933C62" w:rsidRDefault="00933C62" w:rsidP="00133F61">
      <w:pPr>
        <w:pStyle w:val="Caption"/>
      </w:pPr>
      <w:r>
        <w:t>extra skulls (y axis) per site</w:t>
      </w:r>
    </w:p>
    <w:p w14:paraId="46EE2889" w14:textId="77777777" w:rsidR="00933C62" w:rsidRDefault="00933C62" w:rsidP="00933C62">
      <w:pPr>
        <w:ind w:firstLine="720"/>
        <w:rPr>
          <w:rFonts w:ascii="Times New Roman" w:hAnsi="Times New Roman"/>
        </w:rPr>
      </w:pPr>
    </w:p>
    <w:p w14:paraId="3995D9A6" w14:textId="77777777" w:rsidR="00933C62" w:rsidRPr="00A60E85" w:rsidRDefault="00933C62" w:rsidP="00933C62">
      <w:pPr>
        <w:ind w:firstLine="720"/>
        <w:rPr>
          <w:rFonts w:ascii="Times New Roman" w:hAnsi="Times New Roman"/>
        </w:rPr>
      </w:pPr>
      <w:r>
        <w:rPr>
          <w:rFonts w:ascii="Times New Roman" w:hAnsi="Times New Roman"/>
        </w:rPr>
        <w:t xml:space="preserve">In order to determine if site size had an effect on the number of extra skulls, the total number of individuals buried at each site (x axis) was plotted against the percentage of extra skulls (y axis).  As can be seen in Figure 26, a clear negative correlation (R=-.87) can be seen, once the sites with no extra skulls are excluded.  Larger sites actually have fewer extra skulls.  </w:t>
      </w:r>
    </w:p>
    <w:p w14:paraId="44CB92E4" w14:textId="77777777" w:rsidR="00933C62" w:rsidRDefault="00933C62" w:rsidP="00933C62">
      <w:pPr>
        <w:jc w:val="center"/>
      </w:pPr>
      <w:r>
        <w:rPr>
          <w:rFonts w:ascii="Helvetica" w:hAnsi="Helvetica" w:cs="Helvetica"/>
          <w:noProof/>
          <w:color w:val="000000"/>
          <w:sz w:val="26"/>
          <w:szCs w:val="26"/>
          <w:lang w:bidi="ar-SA"/>
        </w:rPr>
        <w:drawing>
          <wp:inline distT="0" distB="0" distL="0" distR="0" wp14:anchorId="32E277B3" wp14:editId="3516D2C5">
            <wp:extent cx="3870064" cy="287353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73062" cy="2875759"/>
                    </a:xfrm>
                    <a:prstGeom prst="rect">
                      <a:avLst/>
                    </a:prstGeom>
                    <a:noFill/>
                    <a:ln>
                      <a:noFill/>
                    </a:ln>
                  </pic:spPr>
                </pic:pic>
              </a:graphicData>
            </a:graphic>
          </wp:inline>
        </w:drawing>
      </w:r>
    </w:p>
    <w:p w14:paraId="45540A73" w14:textId="77777777" w:rsidR="00FC754F" w:rsidRDefault="00933C62" w:rsidP="00133F61">
      <w:pPr>
        <w:pStyle w:val="Caption"/>
      </w:pPr>
      <w:bookmarkStart w:id="113" w:name="_Toc261025228"/>
      <w:r>
        <w:t xml:space="preserve">Figure </w:t>
      </w:r>
      <w:fldSimple w:instr=" SEQ Figure \* ARABIC ">
        <w:r w:rsidR="00396EB3">
          <w:rPr>
            <w:noProof/>
          </w:rPr>
          <w:t>26</w:t>
        </w:r>
      </w:fldSimple>
      <w:r>
        <w:t xml:space="preserve">  Biplot of the percentage of total individuals per site (x axis) by</w:t>
      </w:r>
      <w:bookmarkEnd w:id="113"/>
      <w:r>
        <w:t xml:space="preserve"> </w:t>
      </w:r>
    </w:p>
    <w:p w14:paraId="50CF09A5" w14:textId="4421AD20" w:rsidR="00933C62" w:rsidRDefault="00933C62" w:rsidP="00133F61">
      <w:pPr>
        <w:pStyle w:val="Caption"/>
      </w:pPr>
      <w:r>
        <w:t>the percentage of extra skulls (y axis) per site</w:t>
      </w:r>
    </w:p>
    <w:p w14:paraId="31B1F075" w14:textId="77777777" w:rsidR="00933C62" w:rsidRDefault="00933C62" w:rsidP="00933C62">
      <w:pPr>
        <w:rPr>
          <w:rFonts w:ascii="Times New Roman" w:hAnsi="Times New Roman"/>
        </w:rPr>
      </w:pPr>
    </w:p>
    <w:p w14:paraId="12629977" w14:textId="77777777" w:rsidR="00933C62" w:rsidRDefault="00933C62" w:rsidP="00933C62">
      <w:pPr>
        <w:ind w:firstLine="720"/>
        <w:rPr>
          <w:rFonts w:ascii="Times New Roman" w:hAnsi="Times New Roman"/>
        </w:rPr>
      </w:pPr>
      <w:r>
        <w:rPr>
          <w:rFonts w:ascii="Times New Roman" w:hAnsi="Times New Roman"/>
        </w:rPr>
        <w:t>N</w:t>
      </w:r>
      <w:r w:rsidRPr="00FD0636">
        <w:rPr>
          <w:rFonts w:ascii="Times New Roman" w:hAnsi="Times New Roman"/>
        </w:rPr>
        <w:t>ote that at Ake</w:t>
      </w:r>
      <w:r>
        <w:rPr>
          <w:rFonts w:ascii="Times New Roman" w:hAnsi="Times New Roman"/>
        </w:rPr>
        <w:t>rs, the site with excess adult f</w:t>
      </w:r>
      <w:r w:rsidRPr="00FD0636">
        <w:rPr>
          <w:rFonts w:ascii="Times New Roman" w:hAnsi="Times New Roman"/>
        </w:rPr>
        <w:t>emales, has only 2 extra skulls, while Mackey, the site with excess adult Males, has 6 extra skulls</w:t>
      </w:r>
      <w:r>
        <w:rPr>
          <w:rFonts w:ascii="Times New Roman" w:hAnsi="Times New Roman"/>
        </w:rPr>
        <w:t>, again suggesting that the extra males at the Mackey site may be the reason for the extra skulls</w:t>
      </w:r>
      <w:r w:rsidRPr="00FD0636">
        <w:rPr>
          <w:rFonts w:ascii="Times New Roman" w:hAnsi="Times New Roman"/>
        </w:rPr>
        <w:t xml:space="preserve">.  </w:t>
      </w:r>
      <w:r>
        <w:rPr>
          <w:rFonts w:ascii="Times New Roman" w:hAnsi="Times New Roman"/>
        </w:rPr>
        <w:t>Again, due to the lack of paleodemography at other sites, it is not possible to see if this pattern holds up through the study area.</w:t>
      </w:r>
    </w:p>
    <w:p w14:paraId="6BA61F5A" w14:textId="77777777" w:rsidR="00933C62" w:rsidRPr="00A80E89" w:rsidRDefault="00933C62" w:rsidP="00933C62">
      <w:pPr>
        <w:spacing w:line="240" w:lineRule="auto"/>
        <w:ind w:firstLine="720"/>
        <w:rPr>
          <w:rFonts w:ascii="Times New Roman" w:hAnsi="Times New Roman"/>
        </w:rPr>
      </w:pPr>
    </w:p>
    <w:p w14:paraId="5F0DB794" w14:textId="77777777" w:rsidR="00933C62" w:rsidRDefault="00933C62" w:rsidP="00CB4ED0">
      <w:pPr>
        <w:pStyle w:val="Heading2"/>
      </w:pPr>
      <w:bookmarkStart w:id="114" w:name="_Toc261025884"/>
      <w:r>
        <w:t xml:space="preserve">Summary and </w:t>
      </w:r>
      <w:r w:rsidRPr="00DE142F">
        <w:t>Discussion</w:t>
      </w:r>
      <w:bookmarkEnd w:id="114"/>
    </w:p>
    <w:p w14:paraId="2C489A95" w14:textId="77777777" w:rsidR="00933C62" w:rsidRDefault="00933C62" w:rsidP="00933C62">
      <w:pPr>
        <w:ind w:firstLine="720"/>
        <w:rPr>
          <w:rFonts w:ascii="Times New Roman" w:hAnsi="Times New Roman"/>
        </w:rPr>
      </w:pPr>
      <w:r>
        <w:rPr>
          <w:rFonts w:ascii="Times New Roman" w:hAnsi="Times New Roman"/>
        </w:rPr>
        <w:t>Group burials were found at all of the 13 Wister area Fourche Maline sites examined, and mass burials were found at 9 of the 13 sites, indicating widespread conflict throughout the area.  However the varying rates of group burials (from 14% at Brewer to 70% at Redwine) suggests that the sites did not all participate in conflict equally.</w:t>
      </w:r>
    </w:p>
    <w:p w14:paraId="785F1C98" w14:textId="2868C28E" w:rsidR="00933C62" w:rsidRPr="00FD0636" w:rsidRDefault="00933C62" w:rsidP="00933C62">
      <w:pPr>
        <w:ind w:firstLine="720"/>
        <w:rPr>
          <w:rFonts w:ascii="Times New Roman" w:hAnsi="Times New Roman"/>
        </w:rPr>
      </w:pPr>
      <w:r>
        <w:rPr>
          <w:rFonts w:ascii="Times New Roman" w:hAnsi="Times New Roman"/>
        </w:rPr>
        <w:t>The site</w:t>
      </w:r>
      <w:r w:rsidRPr="00FD0636">
        <w:rPr>
          <w:rFonts w:ascii="Times New Roman" w:hAnsi="Times New Roman"/>
        </w:rPr>
        <w:t xml:space="preserve"> with </w:t>
      </w:r>
      <w:r>
        <w:rPr>
          <w:rFonts w:ascii="Times New Roman" w:hAnsi="Times New Roman"/>
        </w:rPr>
        <w:t>the highest rate</w:t>
      </w:r>
      <w:r w:rsidRPr="00FD0636">
        <w:rPr>
          <w:rFonts w:ascii="Times New Roman" w:hAnsi="Times New Roman"/>
        </w:rPr>
        <w:t xml:space="preserve"> </w:t>
      </w:r>
      <w:r>
        <w:rPr>
          <w:rFonts w:ascii="Times New Roman" w:hAnsi="Times New Roman"/>
        </w:rPr>
        <w:t xml:space="preserve">of </w:t>
      </w:r>
      <w:r w:rsidRPr="00FD0636">
        <w:rPr>
          <w:rFonts w:ascii="Times New Roman" w:hAnsi="Times New Roman"/>
        </w:rPr>
        <w:t xml:space="preserve">violence </w:t>
      </w:r>
      <w:r>
        <w:rPr>
          <w:rFonts w:ascii="Times New Roman" w:hAnsi="Times New Roman"/>
        </w:rPr>
        <w:t xml:space="preserve">is Redwine (34Lf15), with 70% of the individuals at the site in a (single) group burial.  Excavation notes are scanty, but the site was only worked for four days, and was probably not fully excavated.  Nor has this site been </w:t>
      </w:r>
      <w:r w:rsidRPr="00FD0636">
        <w:rPr>
          <w:rFonts w:ascii="Times New Roman" w:hAnsi="Times New Roman"/>
        </w:rPr>
        <w:t xml:space="preserve">analyzed, either in terms of burials or artifacts.  </w:t>
      </w:r>
      <w:r>
        <w:rPr>
          <w:rFonts w:ascii="Times New Roman" w:hAnsi="Times New Roman"/>
        </w:rPr>
        <w:t>Due to the lack of information it is impossible to speculate why Redwine had such a high rate of multiple burials.  Although it is tempting to dismiss Redwine’s high rate of multiple burials as a statistical anomaly given the few exca</w:t>
      </w:r>
      <w:r w:rsidR="00E03A0A">
        <w:rPr>
          <w:rFonts w:ascii="Times New Roman" w:hAnsi="Times New Roman"/>
        </w:rPr>
        <w:t>vated burials, the site does have a</w:t>
      </w:r>
      <w:r>
        <w:rPr>
          <w:rFonts w:ascii="Times New Roman" w:hAnsi="Times New Roman"/>
        </w:rPr>
        <w:t xml:space="preserve"> mass burial consisting of 11 individuals meaning that there was at least one significant event of violence at the site.</w:t>
      </w:r>
    </w:p>
    <w:p w14:paraId="73D8E495" w14:textId="58DBB51B" w:rsidR="00933C62" w:rsidRDefault="00933C62" w:rsidP="00933C62">
      <w:pPr>
        <w:ind w:firstLine="720"/>
        <w:rPr>
          <w:rFonts w:ascii="Times New Roman" w:hAnsi="Times New Roman"/>
        </w:rPr>
      </w:pPr>
      <w:r w:rsidRPr="00FD0636">
        <w:rPr>
          <w:rFonts w:ascii="Times New Roman" w:hAnsi="Times New Roman"/>
        </w:rPr>
        <w:t>The two sites with the next highest rates of violence are Mackey (34Lf29) and McCutchan-McLaughlin (34Lt11).  Although only about 10% of the mound at McCutchan McLaughlin was excavated, it is by far the best studied of these Fourche Maline mounds, not only in terms of C14 dates (Baugh 1982) and general archaeology (Leith 2006, 2009</w:t>
      </w:r>
      <w:r>
        <w:rPr>
          <w:rFonts w:ascii="Times New Roman" w:hAnsi="Times New Roman"/>
        </w:rPr>
        <w:t>; Wyckoff 1976</w:t>
      </w:r>
      <w:r w:rsidRPr="00FD0636">
        <w:rPr>
          <w:rFonts w:ascii="Times New Roman" w:hAnsi="Times New Roman"/>
        </w:rPr>
        <w:t>)</w:t>
      </w:r>
      <w:r>
        <w:rPr>
          <w:rFonts w:ascii="Times New Roman" w:hAnsi="Times New Roman"/>
        </w:rPr>
        <w:t>,</w:t>
      </w:r>
      <w:r w:rsidRPr="00FD0636">
        <w:rPr>
          <w:rFonts w:ascii="Times New Roman" w:hAnsi="Times New Roman"/>
        </w:rPr>
        <w:t xml:space="preserve"> </w:t>
      </w:r>
      <w:r w:rsidR="005544F1" w:rsidRPr="00FD0636">
        <w:rPr>
          <w:rFonts w:ascii="Times New Roman" w:hAnsi="Times New Roman"/>
        </w:rPr>
        <w:t>but also</w:t>
      </w:r>
      <w:r w:rsidRPr="00FD0636">
        <w:rPr>
          <w:rFonts w:ascii="Times New Roman" w:hAnsi="Times New Roman"/>
        </w:rPr>
        <w:t xml:space="preserve"> in terms of mortuary analysis and </w:t>
      </w:r>
      <w:r w:rsidR="005544F1" w:rsidRPr="00FD0636">
        <w:rPr>
          <w:rFonts w:ascii="Times New Roman" w:hAnsi="Times New Roman"/>
        </w:rPr>
        <w:t>bioarchaeology</w:t>
      </w:r>
      <w:r w:rsidRPr="00FD0636">
        <w:rPr>
          <w:rFonts w:ascii="Times New Roman" w:hAnsi="Times New Roman"/>
        </w:rPr>
        <w:t xml:space="preserve"> (Powell and Rogers 1980).  These studies make clear that McCutchan-McLaughlin has both a Fourche Maline (Woodland) component as well as an older Wister (Archaic) component.  Similarly th</w:t>
      </w:r>
      <w:r>
        <w:rPr>
          <w:rFonts w:ascii="Times New Roman" w:hAnsi="Times New Roman"/>
        </w:rPr>
        <w:t xml:space="preserve">e Mackey site was also divided </w:t>
      </w:r>
      <w:r w:rsidRPr="00FD0636">
        <w:rPr>
          <w:rFonts w:ascii="Times New Roman" w:hAnsi="Times New Roman"/>
        </w:rPr>
        <w:t>into Wister (Archaic) and Fourche Maline (Woodland) components (Burns 1994).  However researchers were not able to assign individual burials to either component</w:t>
      </w:r>
      <w:r>
        <w:rPr>
          <w:rFonts w:ascii="Times New Roman" w:hAnsi="Times New Roman"/>
        </w:rPr>
        <w:t xml:space="preserve"> for either site</w:t>
      </w:r>
      <w:r w:rsidRPr="00FD0636">
        <w:rPr>
          <w:rFonts w:ascii="Times New Roman" w:hAnsi="Times New Roman"/>
        </w:rPr>
        <w:t xml:space="preserve"> and they have all been considered Fourche Maline </w:t>
      </w:r>
      <w:r>
        <w:rPr>
          <w:rFonts w:ascii="Times New Roman" w:hAnsi="Times New Roman"/>
        </w:rPr>
        <w:t xml:space="preserve">for bioarchaeological analysis </w:t>
      </w:r>
      <w:r w:rsidRPr="00FD0636">
        <w:rPr>
          <w:rFonts w:ascii="Times New Roman" w:hAnsi="Times New Roman"/>
        </w:rPr>
        <w:t>(Rose et al. 1999).</w:t>
      </w:r>
      <w:r>
        <w:rPr>
          <w:rFonts w:ascii="Times New Roman" w:hAnsi="Times New Roman"/>
        </w:rPr>
        <w:t xml:space="preserve">  The great depth of the Mackey mound may suggest a longer or more intensive span of use than the other, shallower Fourche Maline mounds.</w:t>
      </w:r>
      <w:r w:rsidRPr="00FD0636">
        <w:rPr>
          <w:rFonts w:ascii="Times New Roman" w:hAnsi="Times New Roman"/>
        </w:rPr>
        <w:t xml:space="preserve">  The higher rate of violence at Mackey is most </w:t>
      </w:r>
      <w:r>
        <w:rPr>
          <w:rFonts w:ascii="Times New Roman" w:hAnsi="Times New Roman"/>
        </w:rPr>
        <w:t>easily attributed</w:t>
      </w:r>
      <w:r w:rsidRPr="00FD0636">
        <w:rPr>
          <w:rFonts w:ascii="Times New Roman" w:hAnsi="Times New Roman"/>
        </w:rPr>
        <w:t xml:space="preserve"> to the higher number of males interred there.  Since McCutchan-McLaughlin is only partially excavated, it is difficult to posit a reason for its </w:t>
      </w:r>
      <w:r>
        <w:rPr>
          <w:rFonts w:ascii="Times New Roman" w:hAnsi="Times New Roman"/>
        </w:rPr>
        <w:t xml:space="preserve">(relatively) </w:t>
      </w:r>
      <w:r w:rsidRPr="00FD0636">
        <w:rPr>
          <w:rFonts w:ascii="Times New Roman" w:hAnsi="Times New Roman"/>
        </w:rPr>
        <w:t>high level of violence.</w:t>
      </w:r>
    </w:p>
    <w:p w14:paraId="62C62196" w14:textId="544E5403" w:rsidR="00933C62" w:rsidRDefault="00933C62" w:rsidP="00933C62">
      <w:pPr>
        <w:ind w:firstLine="720"/>
        <w:rPr>
          <w:rFonts w:ascii="Times New Roman" w:hAnsi="Times New Roman"/>
        </w:rPr>
      </w:pPr>
      <w:r>
        <w:rPr>
          <w:rFonts w:ascii="Times New Roman" w:hAnsi="Times New Roman"/>
        </w:rPr>
        <w:t>Sites either had zero extra skulls (six sites) or a minimum of two extra skulls (seven sites).  This division is perplexing and sug</w:t>
      </w:r>
      <w:r w:rsidR="00E03A0A">
        <w:rPr>
          <w:rFonts w:ascii="Times New Roman" w:hAnsi="Times New Roman"/>
        </w:rPr>
        <w:t>gests that there may be two different</w:t>
      </w:r>
      <w:r>
        <w:rPr>
          <w:rFonts w:ascii="Times New Roman" w:hAnsi="Times New Roman"/>
        </w:rPr>
        <w:t xml:space="preserve"> groups of sites in the area.  The largest percentage of extra skulls was from the small sites of Dehart I.  There was a weak negative correlation between extra skulls and the percentage of multiple burials (violence), and a strong negative correlation between extra skulls and the overall size of the burial population.  It is possible that some of these extra skulls are not actually trophies or representative of violent behavior.  This may be a fruitful avenue for future research.</w:t>
      </w:r>
    </w:p>
    <w:p w14:paraId="66036243" w14:textId="77777777" w:rsidR="00933C62" w:rsidRPr="00FD0636" w:rsidRDefault="00933C62" w:rsidP="00933C62">
      <w:pPr>
        <w:ind w:firstLine="720"/>
        <w:rPr>
          <w:rFonts w:ascii="Times New Roman" w:hAnsi="Times New Roman"/>
        </w:rPr>
      </w:pPr>
      <w:r>
        <w:rPr>
          <w:rFonts w:ascii="Times New Roman" w:hAnsi="Times New Roman"/>
        </w:rPr>
        <w:t xml:space="preserve">The initial question of weather or not the high rates of conflict seen at the Akers site was pervasive throughout the study area is an unqualified yes, given that all of the examined sites had multiple individuals in group burials.  However the sites appear to have engaged in violent behavior in different ways – from low to high rates of group burials, and from no to high rates of possible trophy (extra) skulls.  </w:t>
      </w:r>
    </w:p>
    <w:p w14:paraId="2ADD9E53" w14:textId="77777777" w:rsidR="00933C62" w:rsidRDefault="00933C62" w:rsidP="00933C62">
      <w:pPr>
        <w:ind w:firstLine="720"/>
        <w:rPr>
          <w:rFonts w:ascii="Times New Roman" w:hAnsi="Times New Roman"/>
        </w:rPr>
      </w:pPr>
      <w:r w:rsidRPr="00FD0636">
        <w:rPr>
          <w:rFonts w:ascii="Times New Roman" w:hAnsi="Times New Roman"/>
        </w:rPr>
        <w:t>While the lack of a consistent pattern of violence throughout the valley is frustrating, this is likely partially due to t</w:t>
      </w:r>
      <w:r>
        <w:rPr>
          <w:rFonts w:ascii="Times New Roman" w:hAnsi="Times New Roman"/>
        </w:rPr>
        <w:t>he mixed component nature of most of the</w:t>
      </w:r>
      <w:r w:rsidRPr="00FD0636">
        <w:rPr>
          <w:rFonts w:ascii="Times New Roman" w:hAnsi="Times New Roman"/>
        </w:rPr>
        <w:t xml:space="preserve"> site</w:t>
      </w:r>
      <w:r>
        <w:rPr>
          <w:rFonts w:ascii="Times New Roman" w:hAnsi="Times New Roman"/>
        </w:rPr>
        <w:t>s</w:t>
      </w:r>
      <w:r w:rsidRPr="00FD0636">
        <w:rPr>
          <w:rFonts w:ascii="Times New Roman" w:hAnsi="Times New Roman"/>
        </w:rPr>
        <w:t>.  Additionally, as previously mentioned, Eastern woodland societies were prone to feuding, which matches well with the evidence that exists for the valley.  Raiding parties, in which a small group of (usually) adult men attack</w:t>
      </w:r>
      <w:r>
        <w:rPr>
          <w:rFonts w:ascii="Times New Roman" w:hAnsi="Times New Roman"/>
        </w:rPr>
        <w:t>ed</w:t>
      </w:r>
      <w:r w:rsidRPr="00FD0636">
        <w:rPr>
          <w:rFonts w:ascii="Times New Roman" w:hAnsi="Times New Roman"/>
        </w:rPr>
        <w:t xml:space="preserve"> and kill</w:t>
      </w:r>
      <w:r>
        <w:rPr>
          <w:rFonts w:ascii="Times New Roman" w:hAnsi="Times New Roman"/>
        </w:rPr>
        <w:t>ed</w:t>
      </w:r>
      <w:r w:rsidRPr="00FD0636">
        <w:rPr>
          <w:rFonts w:ascii="Times New Roman" w:hAnsi="Times New Roman"/>
        </w:rPr>
        <w:t xml:space="preserve"> isolated individuals or small groups are a common aspect of feuding groups (Milner 1999, 2005; Walker 2001).  These raiding parties probably had a disproportionate effect on small societies.  In addition to losing the subsistence activities of the adults killed or injured, the remaining adults might be less likely to venture very far in order to hunt or gather.  The very high rates of nutritional deficiencies seen at the Akers site (discussed in the previous chapter) may be a direct result of feuding.  The following chapter will discuss these </w:t>
      </w:r>
      <w:r>
        <w:rPr>
          <w:rFonts w:ascii="Times New Roman" w:hAnsi="Times New Roman"/>
        </w:rPr>
        <w:t>Wister area</w:t>
      </w:r>
      <w:r w:rsidRPr="00FD0636">
        <w:rPr>
          <w:rFonts w:ascii="Times New Roman" w:hAnsi="Times New Roman"/>
        </w:rPr>
        <w:t xml:space="preserve"> findings in a broader context.</w:t>
      </w:r>
    </w:p>
    <w:p w14:paraId="6D80D880" w14:textId="02FE922D" w:rsidR="003B533C" w:rsidRDefault="003B533C">
      <w:pPr>
        <w:spacing w:line="240" w:lineRule="auto"/>
        <w:rPr>
          <w:rFonts w:ascii="Times New Roman" w:hAnsi="Times New Roman"/>
        </w:rPr>
      </w:pPr>
      <w:r>
        <w:rPr>
          <w:rFonts w:ascii="Times New Roman" w:hAnsi="Times New Roman"/>
        </w:rPr>
        <w:br w:type="page"/>
      </w:r>
    </w:p>
    <w:p w14:paraId="3F1C5749" w14:textId="77777777" w:rsidR="003B533C" w:rsidRPr="00357B71" w:rsidRDefault="003B533C" w:rsidP="00FA652B">
      <w:pPr>
        <w:pStyle w:val="Heading1"/>
        <w:rPr>
          <w:rFonts w:ascii="Times New Roman" w:hAnsi="Times New Roman"/>
        </w:rPr>
      </w:pPr>
      <w:bookmarkStart w:id="115" w:name="_Toc261025885"/>
      <w:r>
        <w:t>Chapter 6</w:t>
      </w:r>
      <w:r w:rsidRPr="00056F82">
        <w:t xml:space="preserve">:  </w:t>
      </w:r>
      <w:r>
        <w:t>Discussion and Conclusions</w:t>
      </w:r>
      <w:bookmarkEnd w:id="115"/>
    </w:p>
    <w:p w14:paraId="3D4D5493" w14:textId="645D8A21" w:rsidR="003B533C" w:rsidRDefault="003B533C" w:rsidP="003B533C">
      <w:pPr>
        <w:ind w:firstLine="720"/>
        <w:rPr>
          <w:rFonts w:ascii="Times New Roman" w:hAnsi="Times New Roman"/>
        </w:rPr>
      </w:pPr>
      <w:r w:rsidRPr="00823B88">
        <w:rPr>
          <w:rFonts w:ascii="Times New Roman" w:hAnsi="Times New Roman"/>
        </w:rPr>
        <w:t>Chapter</w:t>
      </w:r>
      <w:r>
        <w:rPr>
          <w:rFonts w:ascii="Times New Roman" w:hAnsi="Times New Roman"/>
        </w:rPr>
        <w:t xml:space="preserve"> 4 reported evidence for skeletal trauma and nutritional stress at the Akers site, and Chapter 5 </w:t>
      </w:r>
      <w:r w:rsidRPr="00823B88">
        <w:rPr>
          <w:rFonts w:ascii="Times New Roman" w:hAnsi="Times New Roman"/>
        </w:rPr>
        <w:t xml:space="preserve">presented an </w:t>
      </w:r>
      <w:r>
        <w:rPr>
          <w:rFonts w:ascii="Times New Roman" w:hAnsi="Times New Roman"/>
        </w:rPr>
        <w:t>analysis of group burials for 13</w:t>
      </w:r>
      <w:r w:rsidRPr="00823B88">
        <w:rPr>
          <w:rFonts w:ascii="Times New Roman" w:hAnsi="Times New Roman"/>
        </w:rPr>
        <w:t xml:space="preserve"> </w:t>
      </w:r>
      <w:r>
        <w:rPr>
          <w:rFonts w:ascii="Times New Roman" w:hAnsi="Times New Roman"/>
        </w:rPr>
        <w:t>Wister area</w:t>
      </w:r>
      <w:r w:rsidRPr="00823B88">
        <w:rPr>
          <w:rFonts w:ascii="Times New Roman" w:hAnsi="Times New Roman"/>
        </w:rPr>
        <w:t xml:space="preserve"> Fourche Maline mounds.  In this chapter </w:t>
      </w:r>
      <w:r>
        <w:rPr>
          <w:rFonts w:ascii="Times New Roman" w:hAnsi="Times New Roman"/>
        </w:rPr>
        <w:t xml:space="preserve">the data are </w:t>
      </w:r>
      <w:r w:rsidR="00C2170A">
        <w:rPr>
          <w:rFonts w:ascii="Times New Roman" w:hAnsi="Times New Roman"/>
        </w:rPr>
        <w:t xml:space="preserve">further </w:t>
      </w:r>
      <w:r>
        <w:rPr>
          <w:rFonts w:ascii="Times New Roman" w:hAnsi="Times New Roman"/>
        </w:rPr>
        <w:t xml:space="preserve">interpreted </w:t>
      </w:r>
      <w:r w:rsidR="00C2170A">
        <w:rPr>
          <w:rFonts w:ascii="Times New Roman" w:hAnsi="Times New Roman"/>
        </w:rPr>
        <w:t>and discussed.</w:t>
      </w:r>
    </w:p>
    <w:p w14:paraId="5AB26910" w14:textId="77777777" w:rsidR="003B533C" w:rsidRDefault="003B533C" w:rsidP="003B533C">
      <w:pPr>
        <w:spacing w:line="240" w:lineRule="auto"/>
        <w:ind w:firstLine="720"/>
        <w:rPr>
          <w:rFonts w:ascii="Times New Roman" w:hAnsi="Times New Roman"/>
        </w:rPr>
      </w:pPr>
    </w:p>
    <w:p w14:paraId="0975669A" w14:textId="77777777" w:rsidR="003B533C" w:rsidRDefault="003B533C" w:rsidP="00CB4ED0">
      <w:pPr>
        <w:pStyle w:val="Heading2"/>
      </w:pPr>
      <w:bookmarkStart w:id="116" w:name="_Toc258757712"/>
      <w:bookmarkStart w:id="117" w:name="_Toc261025886"/>
      <w:r>
        <w:t>Wister Area Demography</w:t>
      </w:r>
      <w:bookmarkEnd w:id="116"/>
      <w:r>
        <w:t xml:space="preserve"> and Time Scale</w:t>
      </w:r>
      <w:bookmarkEnd w:id="117"/>
    </w:p>
    <w:p w14:paraId="77EDE8F9" w14:textId="1578596C" w:rsidR="003B533C" w:rsidRDefault="003B533C" w:rsidP="003B533C">
      <w:pPr>
        <w:ind w:firstLine="720"/>
        <w:rPr>
          <w:rFonts w:ascii="Times New Roman" w:hAnsi="Times New Roman"/>
        </w:rPr>
      </w:pPr>
      <w:r>
        <w:rPr>
          <w:rFonts w:ascii="Times New Roman" w:hAnsi="Times New Roman"/>
        </w:rPr>
        <w:t xml:space="preserve">Before discussing the health status of the Wister area, a brief overview of its paleodemography is in order.  However radiocarbon dates indicate that the Wister area was occupied for a very long time period.  The two dates from the Akers site alone span a period </w:t>
      </w:r>
      <w:r w:rsidR="00F67EBA">
        <w:rPr>
          <w:rFonts w:ascii="Times New Roman" w:hAnsi="Times New Roman"/>
        </w:rPr>
        <w:t>of over</w:t>
      </w:r>
      <w:r>
        <w:rPr>
          <w:rFonts w:ascii="Times New Roman" w:hAnsi="Times New Roman"/>
        </w:rPr>
        <w:t xml:space="preserve"> two thousand years</w:t>
      </w:r>
      <w:r w:rsidR="00F67EBA">
        <w:rPr>
          <w:rFonts w:ascii="Times New Roman" w:hAnsi="Times New Roman"/>
        </w:rPr>
        <w:t xml:space="preserve"> (840 BCE – 1300 CE)</w:t>
      </w:r>
      <w:r>
        <w:rPr>
          <w:rFonts w:ascii="Times New Roman" w:hAnsi="Times New Roman"/>
        </w:rPr>
        <w:t xml:space="preserve">.  Clearly the individuals buried in the Wister area mounds span a much longer time period than is usually appropriate for an examination of demography.  As discussed in Chapter 3, Schambach (1990, 2002) opines that it </w:t>
      </w:r>
      <w:r w:rsidR="00AE531B">
        <w:rPr>
          <w:rFonts w:ascii="Times New Roman" w:hAnsi="Times New Roman"/>
        </w:rPr>
        <w:t xml:space="preserve">is </w:t>
      </w:r>
      <w:r>
        <w:rPr>
          <w:rFonts w:ascii="Times New Roman" w:hAnsi="Times New Roman"/>
        </w:rPr>
        <w:t xml:space="preserve">not appropriate to discuss the Wister Area Fourche Maline mounds as a single population due to both the very long time span involved and he </w:t>
      </w:r>
      <w:r w:rsidR="00AE531B">
        <w:rPr>
          <w:rFonts w:ascii="Times New Roman" w:hAnsi="Times New Roman"/>
        </w:rPr>
        <w:t>is convinced</w:t>
      </w:r>
      <w:r>
        <w:rPr>
          <w:rFonts w:ascii="Times New Roman" w:hAnsi="Times New Roman"/>
        </w:rPr>
        <w:t xml:space="preserve"> that a migration group displaced or assimilated local residents.</w:t>
      </w:r>
    </w:p>
    <w:p w14:paraId="7D0FA026" w14:textId="18F8B1CF" w:rsidR="003B533C" w:rsidRDefault="003B533C" w:rsidP="003B533C">
      <w:pPr>
        <w:ind w:firstLine="720"/>
        <w:rPr>
          <w:rFonts w:ascii="Times New Roman" w:hAnsi="Times New Roman"/>
        </w:rPr>
      </w:pPr>
      <w:r>
        <w:rPr>
          <w:rFonts w:ascii="Times New Roman" w:hAnsi="Times New Roman"/>
        </w:rPr>
        <w:t xml:space="preserve">The theory that a migrating group displaced or assimilated the local residents has not met with much support from other archaeologists.  Rogers (1991) explicitly addressed Schambach’s (2002) migration theory, noting that there is no archaeological evidence for such a migration/displacement/assimilation and that the status quo explanation of </w:t>
      </w:r>
      <w:r w:rsidRPr="00F17C97">
        <w:rPr>
          <w:rFonts w:ascii="Times New Roman" w:hAnsi="Times New Roman"/>
          <w:i/>
        </w:rPr>
        <w:t>in situ</w:t>
      </w:r>
      <w:r>
        <w:rPr>
          <w:rFonts w:ascii="Times New Roman" w:hAnsi="Times New Roman"/>
        </w:rPr>
        <w:t xml:space="preserve"> cultural development is </w:t>
      </w:r>
      <w:r w:rsidR="00C2170A">
        <w:rPr>
          <w:rFonts w:ascii="Times New Roman" w:hAnsi="Times New Roman"/>
        </w:rPr>
        <w:t xml:space="preserve">a </w:t>
      </w:r>
      <w:r>
        <w:rPr>
          <w:rFonts w:ascii="Times New Roman" w:hAnsi="Times New Roman"/>
        </w:rPr>
        <w:t>far more parsimonious</w:t>
      </w:r>
      <w:r w:rsidR="00C2170A">
        <w:rPr>
          <w:rFonts w:ascii="Times New Roman" w:hAnsi="Times New Roman"/>
        </w:rPr>
        <w:t xml:space="preserve"> scenario</w:t>
      </w:r>
      <w:r>
        <w:rPr>
          <w:rFonts w:ascii="Times New Roman" w:hAnsi="Times New Roman"/>
        </w:rPr>
        <w:t xml:space="preserve">.  Roger’s view is echoed by a host of other researchers </w:t>
      </w:r>
      <w:r w:rsidRPr="00E00F53">
        <w:rPr>
          <w:rFonts w:ascii="Times New Roman" w:hAnsi="Times New Roman"/>
        </w:rPr>
        <w:t>(</w:t>
      </w:r>
      <w:r>
        <w:rPr>
          <w:rFonts w:ascii="Times New Roman" w:hAnsi="Times New Roman"/>
        </w:rPr>
        <w:t>e.g. Bell 1980, 1984; Brown 1984; Bruseth 1998; Galm 1978, 1984; Perttula 2012; Rogers 1991a, 1991b; Wyckoff 1980)</w:t>
      </w:r>
      <w:r w:rsidRPr="00E00F53">
        <w:rPr>
          <w:rFonts w:ascii="Times New Roman" w:hAnsi="Times New Roman"/>
        </w:rPr>
        <w:t>.</w:t>
      </w:r>
      <w:r>
        <w:rPr>
          <w:rFonts w:ascii="Times New Roman" w:hAnsi="Times New Roman"/>
        </w:rPr>
        <w:t xml:space="preserve">  As previously stated, this work follows the view that </w:t>
      </w:r>
      <w:r w:rsidR="00594F9A">
        <w:rPr>
          <w:rFonts w:ascii="Times New Roman" w:hAnsi="Times New Roman"/>
        </w:rPr>
        <w:t xml:space="preserve">the </w:t>
      </w:r>
      <w:r>
        <w:rPr>
          <w:rFonts w:ascii="Times New Roman" w:hAnsi="Times New Roman"/>
        </w:rPr>
        <w:t>Wister area Fourche Maline was an antecedent, ancestral manifestation of Caddoan culture.</w:t>
      </w:r>
    </w:p>
    <w:p w14:paraId="5B7FD035" w14:textId="27985AC8" w:rsidR="003B533C" w:rsidRDefault="003B533C" w:rsidP="003B533C">
      <w:pPr>
        <w:ind w:firstLine="720"/>
        <w:rPr>
          <w:rFonts w:ascii="Times New Roman" w:hAnsi="Times New Roman"/>
        </w:rPr>
      </w:pPr>
      <w:r w:rsidRPr="008B108E">
        <w:rPr>
          <w:rFonts w:ascii="Times New Roman" w:hAnsi="Times New Roman"/>
        </w:rPr>
        <w:t>Previous studies</w:t>
      </w:r>
      <w:r>
        <w:rPr>
          <w:rFonts w:ascii="Times New Roman" w:hAnsi="Times New Roman"/>
        </w:rPr>
        <w:t xml:space="preserve"> of </w:t>
      </w:r>
      <w:r w:rsidR="00594F9A">
        <w:rPr>
          <w:rFonts w:ascii="Times New Roman" w:hAnsi="Times New Roman"/>
        </w:rPr>
        <w:t xml:space="preserve">the </w:t>
      </w:r>
      <w:r>
        <w:rPr>
          <w:rFonts w:ascii="Times New Roman" w:hAnsi="Times New Roman"/>
        </w:rPr>
        <w:t>Wister area populations</w:t>
      </w:r>
      <w:r w:rsidRPr="008B108E">
        <w:rPr>
          <w:rFonts w:ascii="Times New Roman" w:hAnsi="Times New Roman"/>
        </w:rPr>
        <w:t xml:space="preserve"> (McWilliams 1970, Powell and</w:t>
      </w:r>
      <w:r>
        <w:rPr>
          <w:rFonts w:ascii="Times New Roman" w:hAnsi="Times New Roman"/>
        </w:rPr>
        <w:t xml:space="preserve"> Rogers 1980, Rose et al. 1983)</w:t>
      </w:r>
      <w:r w:rsidRPr="008B108E">
        <w:rPr>
          <w:rFonts w:ascii="Times New Roman" w:hAnsi="Times New Roman"/>
        </w:rPr>
        <w:t xml:space="preserve"> based on non-metric traits of the skull, which are though</w:t>
      </w:r>
      <w:r>
        <w:rPr>
          <w:rFonts w:ascii="Times New Roman" w:hAnsi="Times New Roman"/>
        </w:rPr>
        <w:t>t</w:t>
      </w:r>
      <w:r w:rsidRPr="008B108E">
        <w:rPr>
          <w:rFonts w:ascii="Times New Roman" w:hAnsi="Times New Roman"/>
        </w:rPr>
        <w:t xml:space="preserve"> to be genetically</w:t>
      </w:r>
      <w:r w:rsidR="00594F9A">
        <w:rPr>
          <w:rFonts w:ascii="Times New Roman" w:hAnsi="Times New Roman"/>
        </w:rPr>
        <w:t xml:space="preserve"> controlled and thus are indicative of</w:t>
      </w:r>
      <w:r w:rsidRPr="008B108E">
        <w:rPr>
          <w:rFonts w:ascii="Times New Roman" w:hAnsi="Times New Roman"/>
        </w:rPr>
        <w:t xml:space="preserve"> biological relatedness, have concluded that the </w:t>
      </w:r>
      <w:r>
        <w:rPr>
          <w:rFonts w:ascii="Times New Roman" w:hAnsi="Times New Roman"/>
        </w:rPr>
        <w:t>Wister area</w:t>
      </w:r>
      <w:r w:rsidRPr="008B108E">
        <w:rPr>
          <w:rFonts w:ascii="Times New Roman" w:hAnsi="Times New Roman"/>
        </w:rPr>
        <w:t xml:space="preserve"> sites shared a common genetic heritage and could be viewed as </w:t>
      </w:r>
      <w:r>
        <w:rPr>
          <w:rFonts w:ascii="Times New Roman" w:hAnsi="Times New Roman"/>
        </w:rPr>
        <w:t xml:space="preserve">a </w:t>
      </w:r>
      <w:r w:rsidRPr="008B108E">
        <w:rPr>
          <w:rFonts w:ascii="Times New Roman" w:hAnsi="Times New Roman"/>
        </w:rPr>
        <w:t>single breeding population.</w:t>
      </w:r>
      <w:r>
        <w:rPr>
          <w:rFonts w:ascii="Times New Roman" w:hAnsi="Times New Roman"/>
        </w:rPr>
        <w:t xml:space="preserve">  </w:t>
      </w:r>
      <w:r w:rsidRPr="008B108E">
        <w:rPr>
          <w:rFonts w:ascii="Times New Roman" w:hAnsi="Times New Roman"/>
        </w:rPr>
        <w:t xml:space="preserve">This conclusion of a common gene pool allows for assumptions of common resistance and susceptibility to disease processes and allows </w:t>
      </w:r>
      <w:r>
        <w:rPr>
          <w:rFonts w:ascii="Times New Roman" w:hAnsi="Times New Roman"/>
        </w:rPr>
        <w:t xml:space="preserve">for </w:t>
      </w:r>
      <w:r w:rsidRPr="008B108E">
        <w:rPr>
          <w:rFonts w:ascii="Times New Roman" w:hAnsi="Times New Roman"/>
        </w:rPr>
        <w:t xml:space="preserve">intra-valley </w:t>
      </w:r>
      <w:r>
        <w:rPr>
          <w:rFonts w:ascii="Times New Roman" w:hAnsi="Times New Roman"/>
        </w:rPr>
        <w:t xml:space="preserve">comparisons.  </w:t>
      </w:r>
    </w:p>
    <w:p w14:paraId="51636B94" w14:textId="087E77A3" w:rsidR="003B533C" w:rsidRDefault="003B533C" w:rsidP="003B533C">
      <w:pPr>
        <w:ind w:firstLine="720"/>
        <w:rPr>
          <w:rFonts w:ascii="Times New Roman" w:hAnsi="Times New Roman"/>
        </w:rPr>
      </w:pPr>
      <w:r w:rsidRPr="008B108E">
        <w:rPr>
          <w:rFonts w:ascii="Times New Roman" w:hAnsi="Times New Roman"/>
        </w:rPr>
        <w:t>Additionally, because the sites are geogra</w:t>
      </w:r>
      <w:r>
        <w:rPr>
          <w:rFonts w:ascii="Times New Roman" w:hAnsi="Times New Roman"/>
        </w:rPr>
        <w:t>phically close and all</w:t>
      </w:r>
      <w:r w:rsidRPr="008B108E">
        <w:rPr>
          <w:rFonts w:ascii="Times New Roman" w:hAnsi="Times New Roman"/>
        </w:rPr>
        <w:t xml:space="preserve"> with</w:t>
      </w:r>
      <w:r>
        <w:rPr>
          <w:rFonts w:ascii="Times New Roman" w:hAnsi="Times New Roman"/>
        </w:rPr>
        <w:t>in</w:t>
      </w:r>
      <w:r w:rsidRPr="008B108E">
        <w:rPr>
          <w:rFonts w:ascii="Times New Roman" w:hAnsi="Times New Roman"/>
        </w:rPr>
        <w:t xml:space="preserve"> the same valley of the Ouachita Mountains, they share similar ecological constraints</w:t>
      </w:r>
      <w:r>
        <w:rPr>
          <w:rFonts w:ascii="Times New Roman" w:hAnsi="Times New Roman"/>
        </w:rPr>
        <w:t xml:space="preserve"> and resources,</w:t>
      </w:r>
      <w:r w:rsidRPr="008B108E">
        <w:rPr>
          <w:rFonts w:ascii="Times New Roman" w:hAnsi="Times New Roman"/>
        </w:rPr>
        <w:t xml:space="preserve"> as well as presumably similar cultural attributes, strengthening comparisons (Rose et al. 1999).</w:t>
      </w:r>
      <w:r>
        <w:rPr>
          <w:rFonts w:ascii="Times New Roman" w:hAnsi="Times New Roman"/>
        </w:rPr>
        <w:t xml:space="preserve">  Furthermore, the stable artifact assemblages, which have stymied temporal fine-tuning, str</w:t>
      </w:r>
      <w:r w:rsidR="00C2170A">
        <w:rPr>
          <w:rFonts w:ascii="Times New Roman" w:hAnsi="Times New Roman"/>
        </w:rPr>
        <w:t>ongly support the idea of a</w:t>
      </w:r>
      <w:r>
        <w:rPr>
          <w:rFonts w:ascii="Times New Roman" w:hAnsi="Times New Roman"/>
        </w:rPr>
        <w:t xml:space="preserve"> stable population that lived a similar lifestyle for a very long period of time.</w:t>
      </w:r>
    </w:p>
    <w:p w14:paraId="6E22DCF0" w14:textId="3884EB4C" w:rsidR="003B533C" w:rsidRDefault="003B533C" w:rsidP="003B533C">
      <w:pPr>
        <w:ind w:firstLine="720"/>
        <w:rPr>
          <w:rFonts w:ascii="Times New Roman" w:hAnsi="Times New Roman"/>
        </w:rPr>
      </w:pPr>
      <w:r>
        <w:rPr>
          <w:rFonts w:ascii="Times New Roman" w:hAnsi="Times New Roman"/>
        </w:rPr>
        <w:t>This study</w:t>
      </w:r>
      <w:r w:rsidR="00C2170A">
        <w:rPr>
          <w:rFonts w:ascii="Times New Roman" w:hAnsi="Times New Roman"/>
        </w:rPr>
        <w:t xml:space="preserve"> does not attempt temporal refinement, but</w:t>
      </w:r>
      <w:r>
        <w:rPr>
          <w:rFonts w:ascii="Times New Roman" w:hAnsi="Times New Roman"/>
        </w:rPr>
        <w:t xml:space="preserve"> takes </w:t>
      </w:r>
      <w:r w:rsidR="00C2170A">
        <w:rPr>
          <w:rFonts w:ascii="Times New Roman" w:hAnsi="Times New Roman"/>
        </w:rPr>
        <w:t>a macro look at the Wister Area</w:t>
      </w:r>
      <w:r w:rsidR="00594F9A">
        <w:rPr>
          <w:rFonts w:ascii="Times New Roman" w:hAnsi="Times New Roman"/>
        </w:rPr>
        <w:t xml:space="preserve"> through a long term</w:t>
      </w:r>
      <w:r>
        <w:rPr>
          <w:rFonts w:ascii="Times New Roman" w:hAnsi="Times New Roman"/>
        </w:rPr>
        <w:t xml:space="preserve"> lens.  Because the area is broad and the time span long, the documented anomalies are all the more striking.</w:t>
      </w:r>
    </w:p>
    <w:p w14:paraId="4A82CAAA" w14:textId="77777777" w:rsidR="003B533C" w:rsidRDefault="003B533C" w:rsidP="009C5432">
      <w:pPr>
        <w:pStyle w:val="Heading3"/>
      </w:pPr>
      <w:bookmarkStart w:id="118" w:name="_Toc261025887"/>
      <w:r>
        <w:t>Wister Area Demography</w:t>
      </w:r>
      <w:bookmarkEnd w:id="118"/>
    </w:p>
    <w:p w14:paraId="16A5AFC1" w14:textId="34F276F4" w:rsidR="003B533C" w:rsidRDefault="003B533C" w:rsidP="003B533C">
      <w:pPr>
        <w:ind w:firstLine="720"/>
        <w:rPr>
          <w:rFonts w:ascii="Times New Roman" w:hAnsi="Times New Roman"/>
        </w:rPr>
      </w:pPr>
      <w:r>
        <w:rPr>
          <w:rFonts w:ascii="Times New Roman" w:hAnsi="Times New Roman"/>
        </w:rPr>
        <w:t>The numbers of adults from the six Wister area Fourche Maline sites with publish</w:t>
      </w:r>
      <w:r w:rsidR="00971105">
        <w:rPr>
          <w:rFonts w:ascii="Times New Roman" w:hAnsi="Times New Roman"/>
        </w:rPr>
        <w:t>ed data is presented in Table 22</w:t>
      </w:r>
      <w:r>
        <w:rPr>
          <w:rFonts w:ascii="Times New Roman" w:hAnsi="Times New Roman"/>
        </w:rPr>
        <w:t xml:space="preserve">, along with M:F ratios.  </w:t>
      </w:r>
      <w:r w:rsidRPr="00B30EE6">
        <w:rPr>
          <w:rFonts w:ascii="Times New Roman" w:hAnsi="Times New Roman"/>
        </w:rPr>
        <w:t>As previously reported, the M:F ratio at the Akers site was 0.6, or nearly twice as many adult females as adult males (Rowe 2009).</w:t>
      </w:r>
      <w:r>
        <w:rPr>
          <w:rFonts w:ascii="Times New Roman" w:hAnsi="Times New Roman"/>
        </w:rPr>
        <w:t xml:space="preserve"> </w:t>
      </w:r>
      <w:r w:rsidRPr="00B30EE6">
        <w:rPr>
          <w:rFonts w:ascii="Times New Roman" w:hAnsi="Times New Roman"/>
        </w:rPr>
        <w:t xml:space="preserve"> </w:t>
      </w:r>
      <w:r>
        <w:rPr>
          <w:rFonts w:ascii="Times New Roman" w:hAnsi="Times New Roman"/>
        </w:rPr>
        <w:t>The Akers site is not the only Wister area Fourche Maline site with an unusual M:F ratio.</w:t>
      </w:r>
      <w:r w:rsidRPr="00B30EE6">
        <w:rPr>
          <w:rFonts w:ascii="Times New Roman" w:hAnsi="Times New Roman"/>
        </w:rPr>
        <w:t xml:space="preserve">  </w:t>
      </w:r>
      <w:r>
        <w:rPr>
          <w:rFonts w:ascii="Times New Roman" w:hAnsi="Times New Roman"/>
        </w:rPr>
        <w:t>The Mackey site, situated only a few kilometers from Akers, had the opposite ratio,</w:t>
      </w:r>
      <w:r w:rsidRPr="00B30EE6">
        <w:rPr>
          <w:rFonts w:ascii="Times New Roman" w:hAnsi="Times New Roman"/>
        </w:rPr>
        <w:t xml:space="preserve"> with nearly two</w:t>
      </w:r>
      <w:r>
        <w:rPr>
          <w:rFonts w:ascii="Times New Roman" w:hAnsi="Times New Roman"/>
        </w:rPr>
        <w:t xml:space="preserve"> times as many males as females (Burns 1994)</w:t>
      </w:r>
      <w:r w:rsidRPr="00B30EE6">
        <w:rPr>
          <w:rFonts w:ascii="Times New Roman" w:hAnsi="Times New Roman"/>
        </w:rPr>
        <w:t>.</w:t>
      </w:r>
    </w:p>
    <w:p w14:paraId="6D544A57" w14:textId="0ED649E6" w:rsidR="003B533C" w:rsidRDefault="003B533C" w:rsidP="003B533C">
      <w:pPr>
        <w:ind w:firstLine="720"/>
        <w:rPr>
          <w:rFonts w:ascii="Times New Roman" w:hAnsi="Times New Roman"/>
        </w:rPr>
      </w:pPr>
      <w:r w:rsidRPr="00B30EE6">
        <w:rPr>
          <w:rFonts w:ascii="Times New Roman" w:hAnsi="Times New Roman"/>
        </w:rPr>
        <w:t>The unusual M:F ratios from the Akers and Mackey site</w:t>
      </w:r>
      <w:r>
        <w:rPr>
          <w:rFonts w:ascii="Times New Roman" w:hAnsi="Times New Roman"/>
        </w:rPr>
        <w:t>s</w:t>
      </w:r>
      <w:r w:rsidRPr="00B30EE6">
        <w:rPr>
          <w:rFonts w:ascii="Times New Roman" w:hAnsi="Times New Roman"/>
        </w:rPr>
        <w:t xml:space="preserve"> cannot be dismissed due to small sample size, nor to non-random sampling, as both </w:t>
      </w:r>
      <w:r>
        <w:rPr>
          <w:rFonts w:ascii="Times New Roman" w:hAnsi="Times New Roman"/>
        </w:rPr>
        <w:t xml:space="preserve">mounds </w:t>
      </w:r>
      <w:r w:rsidRPr="00B30EE6">
        <w:rPr>
          <w:rFonts w:ascii="Times New Roman" w:hAnsi="Times New Roman"/>
        </w:rPr>
        <w:t xml:space="preserve">were completely, or nearly completely excavated.  </w:t>
      </w:r>
      <w:r>
        <w:rPr>
          <w:rFonts w:ascii="Times New Roman" w:hAnsi="Times New Roman"/>
        </w:rPr>
        <w:t>Both studies were overseen by the same experienced physical anthropologist (Dr. Lesley Rankin Hill of the University of Oklahoma Department of Anthropology).  Therefore</w:t>
      </w:r>
      <w:r w:rsidRPr="00B30EE6">
        <w:rPr>
          <w:rFonts w:ascii="Times New Roman" w:hAnsi="Times New Roman"/>
        </w:rPr>
        <w:t xml:space="preserve"> the M:F ratios presented should be considered a real representation of the burial populations at the Akers and Mackey sites.  More females (nearly twice as many) were buried at the Akers site, and more males (again, nearly twice as many) were buried at the Mackey site.  </w:t>
      </w:r>
    </w:p>
    <w:p w14:paraId="1C4F60B3" w14:textId="75C52758" w:rsidR="003B533C" w:rsidRDefault="005544F1" w:rsidP="00133F61">
      <w:pPr>
        <w:pStyle w:val="Caption"/>
      </w:pPr>
      <w:bookmarkStart w:id="119" w:name="_Toc261025250"/>
      <w:r>
        <w:t xml:space="preserve">Table </w:t>
      </w:r>
      <w:r w:rsidR="00C7315B">
        <w:fldChar w:fldCharType="begin"/>
      </w:r>
      <w:r w:rsidR="00C7315B">
        <w:instrText xml:space="preserve"> SEQ Table \</w:instrText>
      </w:r>
      <w:r w:rsidR="00C7315B">
        <w:instrText xml:space="preserve">* ARABIC </w:instrText>
      </w:r>
      <w:r w:rsidR="00C7315B">
        <w:fldChar w:fldCharType="separate"/>
      </w:r>
      <w:r>
        <w:rPr>
          <w:noProof/>
        </w:rPr>
        <w:t>22</w:t>
      </w:r>
      <w:r w:rsidR="00C7315B">
        <w:rPr>
          <w:noProof/>
        </w:rPr>
        <w:fldChar w:fldCharType="end"/>
      </w:r>
      <w:r>
        <w:t xml:space="preserve">  Male:Female ratio comparisons, adapted from Rowe 2009</w:t>
      </w:r>
      <w:bookmarkEnd w:id="119"/>
    </w:p>
    <w:p w14:paraId="5B20AE26" w14:textId="77777777" w:rsidR="00971105" w:rsidRPr="00971105" w:rsidRDefault="00971105" w:rsidP="00971105">
      <w:pPr>
        <w:spacing w:line="240" w:lineRule="auto"/>
      </w:pPr>
    </w:p>
    <w:tbl>
      <w:tblPr>
        <w:tblStyle w:val="TableGrid"/>
        <w:tblW w:w="6750" w:type="dxa"/>
        <w:tblInd w:w="738" w:type="dxa"/>
        <w:tblLayout w:type="fixed"/>
        <w:tblLook w:val="04A0" w:firstRow="1" w:lastRow="0" w:firstColumn="1" w:lastColumn="0" w:noHBand="0" w:noVBand="1"/>
      </w:tblPr>
      <w:tblGrid>
        <w:gridCol w:w="873"/>
        <w:gridCol w:w="837"/>
        <w:gridCol w:w="990"/>
        <w:gridCol w:w="900"/>
        <w:gridCol w:w="900"/>
        <w:gridCol w:w="1170"/>
        <w:gridCol w:w="1080"/>
      </w:tblGrid>
      <w:tr w:rsidR="003B533C" w14:paraId="187E1B56" w14:textId="77777777" w:rsidTr="00D70C0E">
        <w:tc>
          <w:tcPr>
            <w:tcW w:w="873" w:type="dxa"/>
          </w:tcPr>
          <w:p w14:paraId="2C3D76D7" w14:textId="77777777" w:rsidR="003B533C" w:rsidRPr="00351131" w:rsidRDefault="003B533C" w:rsidP="00D70C0E">
            <w:pPr>
              <w:spacing w:line="240" w:lineRule="auto"/>
              <w:jc w:val="center"/>
              <w:rPr>
                <w:b/>
              </w:rPr>
            </w:pPr>
            <w:r w:rsidRPr="00351131">
              <w:rPr>
                <w:b/>
              </w:rPr>
              <w:t>Sex</w:t>
            </w:r>
          </w:p>
        </w:tc>
        <w:tc>
          <w:tcPr>
            <w:tcW w:w="837" w:type="dxa"/>
          </w:tcPr>
          <w:p w14:paraId="4D04D857" w14:textId="77777777" w:rsidR="003B533C" w:rsidRPr="00351131" w:rsidRDefault="003B533C" w:rsidP="00D70C0E">
            <w:pPr>
              <w:spacing w:line="240" w:lineRule="auto"/>
              <w:jc w:val="center"/>
              <w:rPr>
                <w:b/>
              </w:rPr>
            </w:pPr>
            <w:r w:rsidRPr="00351131">
              <w:rPr>
                <w:b/>
              </w:rPr>
              <w:t>Akers</w:t>
            </w:r>
          </w:p>
        </w:tc>
        <w:tc>
          <w:tcPr>
            <w:tcW w:w="990" w:type="dxa"/>
          </w:tcPr>
          <w:p w14:paraId="4DEC7153" w14:textId="77777777" w:rsidR="003B533C" w:rsidRPr="006E2C16" w:rsidRDefault="003B533C" w:rsidP="00D70C0E">
            <w:pPr>
              <w:spacing w:line="240" w:lineRule="auto"/>
              <w:jc w:val="center"/>
              <w:rPr>
                <w:b/>
              </w:rPr>
            </w:pPr>
            <w:r w:rsidRPr="006E2C16">
              <w:rPr>
                <w:b/>
              </w:rPr>
              <w:t>Mackey</w:t>
            </w:r>
          </w:p>
        </w:tc>
        <w:tc>
          <w:tcPr>
            <w:tcW w:w="900" w:type="dxa"/>
          </w:tcPr>
          <w:p w14:paraId="02C45054" w14:textId="77777777" w:rsidR="003B533C" w:rsidRPr="006E2C16" w:rsidRDefault="003B533C" w:rsidP="00D70C0E">
            <w:pPr>
              <w:spacing w:line="240" w:lineRule="auto"/>
              <w:jc w:val="center"/>
              <w:rPr>
                <w:b/>
              </w:rPr>
            </w:pPr>
            <w:r w:rsidRPr="006E2C16">
              <w:rPr>
                <w:b/>
              </w:rPr>
              <w:t>Scott</w:t>
            </w:r>
          </w:p>
        </w:tc>
        <w:tc>
          <w:tcPr>
            <w:tcW w:w="900" w:type="dxa"/>
          </w:tcPr>
          <w:p w14:paraId="404A4B75" w14:textId="75F4313A" w:rsidR="003B533C" w:rsidRPr="006E2C16" w:rsidRDefault="005544F1" w:rsidP="00D70C0E">
            <w:pPr>
              <w:spacing w:line="240" w:lineRule="auto"/>
              <w:jc w:val="center"/>
              <w:rPr>
                <w:b/>
              </w:rPr>
            </w:pPr>
            <w:r w:rsidRPr="006E2C16">
              <w:rPr>
                <w:b/>
              </w:rPr>
              <w:t>McC</w:t>
            </w:r>
            <w:r>
              <w:rPr>
                <w:b/>
              </w:rPr>
              <w:t>-</w:t>
            </w:r>
          </w:p>
          <w:p w14:paraId="7D3D9009" w14:textId="77777777" w:rsidR="003B533C" w:rsidRPr="006E2C16" w:rsidRDefault="003B533C" w:rsidP="00D70C0E">
            <w:pPr>
              <w:spacing w:line="240" w:lineRule="auto"/>
              <w:jc w:val="center"/>
              <w:rPr>
                <w:b/>
              </w:rPr>
            </w:pPr>
            <w:r w:rsidRPr="006E2C16">
              <w:rPr>
                <w:b/>
              </w:rPr>
              <w:t>McL</w:t>
            </w:r>
          </w:p>
        </w:tc>
        <w:tc>
          <w:tcPr>
            <w:tcW w:w="1170" w:type="dxa"/>
          </w:tcPr>
          <w:p w14:paraId="3DCB9385" w14:textId="77777777" w:rsidR="003B533C" w:rsidRDefault="003B533C" w:rsidP="00D70C0E">
            <w:pPr>
              <w:spacing w:line="240" w:lineRule="auto"/>
              <w:jc w:val="center"/>
              <w:rPr>
                <w:b/>
              </w:rPr>
            </w:pPr>
            <w:r>
              <w:rPr>
                <w:b/>
              </w:rPr>
              <w:t>Sam/</w:t>
            </w:r>
          </w:p>
          <w:p w14:paraId="45E71EAC" w14:textId="77777777" w:rsidR="003B533C" w:rsidRPr="006E2C16" w:rsidRDefault="003B533C" w:rsidP="00D70C0E">
            <w:pPr>
              <w:spacing w:line="240" w:lineRule="auto"/>
              <w:jc w:val="center"/>
              <w:rPr>
                <w:b/>
              </w:rPr>
            </w:pPr>
            <w:r w:rsidRPr="006E2C16">
              <w:rPr>
                <w:b/>
              </w:rPr>
              <w:t>Wann</w:t>
            </w:r>
          </w:p>
        </w:tc>
        <w:tc>
          <w:tcPr>
            <w:tcW w:w="1080" w:type="dxa"/>
          </w:tcPr>
          <w:p w14:paraId="4E907FA7" w14:textId="77777777" w:rsidR="003B533C" w:rsidRPr="006E2C16" w:rsidRDefault="003B533C" w:rsidP="00D70C0E">
            <w:pPr>
              <w:spacing w:line="240" w:lineRule="auto"/>
              <w:jc w:val="center"/>
              <w:rPr>
                <w:b/>
              </w:rPr>
            </w:pPr>
            <w:r w:rsidRPr="006E2C16">
              <w:rPr>
                <w:b/>
              </w:rPr>
              <w:t>Total</w:t>
            </w:r>
          </w:p>
        </w:tc>
      </w:tr>
      <w:tr w:rsidR="003B533C" w14:paraId="61D81CE4" w14:textId="77777777" w:rsidTr="00D70C0E">
        <w:tc>
          <w:tcPr>
            <w:tcW w:w="873" w:type="dxa"/>
          </w:tcPr>
          <w:p w14:paraId="38EB7AC6" w14:textId="77777777" w:rsidR="003B533C" w:rsidRPr="006E2C16" w:rsidRDefault="003B533C" w:rsidP="00D70C0E">
            <w:pPr>
              <w:spacing w:line="240" w:lineRule="auto"/>
              <w:rPr>
                <w:b/>
              </w:rPr>
            </w:pPr>
            <w:r w:rsidRPr="006E2C16">
              <w:rPr>
                <w:b/>
              </w:rPr>
              <w:t>Male</w:t>
            </w:r>
          </w:p>
        </w:tc>
        <w:tc>
          <w:tcPr>
            <w:tcW w:w="837" w:type="dxa"/>
          </w:tcPr>
          <w:p w14:paraId="3CD1D12D" w14:textId="77777777" w:rsidR="003B533C" w:rsidRPr="00351131" w:rsidRDefault="003B533C" w:rsidP="00D70C0E">
            <w:pPr>
              <w:spacing w:line="240" w:lineRule="auto"/>
              <w:jc w:val="right"/>
            </w:pPr>
            <w:r w:rsidRPr="00351131">
              <w:t>53</w:t>
            </w:r>
          </w:p>
        </w:tc>
        <w:tc>
          <w:tcPr>
            <w:tcW w:w="990" w:type="dxa"/>
          </w:tcPr>
          <w:p w14:paraId="58527D9E" w14:textId="77777777" w:rsidR="003B533C" w:rsidRPr="00B30EE6" w:rsidRDefault="003B533C" w:rsidP="00D70C0E">
            <w:pPr>
              <w:spacing w:line="240" w:lineRule="auto"/>
              <w:jc w:val="right"/>
            </w:pPr>
            <w:r w:rsidRPr="00B30EE6">
              <w:t>45</w:t>
            </w:r>
          </w:p>
        </w:tc>
        <w:tc>
          <w:tcPr>
            <w:tcW w:w="900" w:type="dxa"/>
          </w:tcPr>
          <w:p w14:paraId="6FAA012B" w14:textId="77777777" w:rsidR="003B533C" w:rsidRPr="00B30EE6" w:rsidRDefault="003B533C" w:rsidP="00D70C0E">
            <w:pPr>
              <w:spacing w:line="240" w:lineRule="auto"/>
              <w:jc w:val="right"/>
            </w:pPr>
            <w:r w:rsidRPr="00B30EE6">
              <w:t>8</w:t>
            </w:r>
          </w:p>
        </w:tc>
        <w:tc>
          <w:tcPr>
            <w:tcW w:w="900" w:type="dxa"/>
          </w:tcPr>
          <w:p w14:paraId="67FBC89A" w14:textId="77777777" w:rsidR="003B533C" w:rsidRPr="00B30EE6" w:rsidRDefault="003B533C" w:rsidP="00D70C0E">
            <w:pPr>
              <w:spacing w:line="240" w:lineRule="auto"/>
              <w:jc w:val="right"/>
            </w:pPr>
            <w:r w:rsidRPr="00B30EE6">
              <w:t>13</w:t>
            </w:r>
          </w:p>
        </w:tc>
        <w:tc>
          <w:tcPr>
            <w:tcW w:w="1170" w:type="dxa"/>
          </w:tcPr>
          <w:p w14:paraId="414BB10F" w14:textId="77777777" w:rsidR="003B533C" w:rsidRPr="00B30EE6" w:rsidRDefault="003B533C" w:rsidP="00D70C0E">
            <w:pPr>
              <w:spacing w:line="240" w:lineRule="auto"/>
              <w:jc w:val="right"/>
            </w:pPr>
            <w:r>
              <w:t>33</w:t>
            </w:r>
          </w:p>
        </w:tc>
        <w:tc>
          <w:tcPr>
            <w:tcW w:w="1080" w:type="dxa"/>
          </w:tcPr>
          <w:p w14:paraId="0FD4629F" w14:textId="77777777" w:rsidR="003B533C" w:rsidRPr="00B30EE6" w:rsidRDefault="003B533C" w:rsidP="00D70C0E">
            <w:pPr>
              <w:spacing w:line="240" w:lineRule="auto"/>
              <w:jc w:val="right"/>
            </w:pPr>
            <w:r w:rsidRPr="00B30EE6">
              <w:t>150</w:t>
            </w:r>
          </w:p>
        </w:tc>
      </w:tr>
      <w:tr w:rsidR="003B533C" w14:paraId="3F2C1384" w14:textId="77777777" w:rsidTr="00D70C0E">
        <w:tc>
          <w:tcPr>
            <w:tcW w:w="873" w:type="dxa"/>
          </w:tcPr>
          <w:p w14:paraId="3AD93A55" w14:textId="77777777" w:rsidR="003B533C" w:rsidRPr="006E2C16" w:rsidRDefault="003B533C" w:rsidP="00D70C0E">
            <w:pPr>
              <w:spacing w:line="240" w:lineRule="auto"/>
              <w:rPr>
                <w:b/>
              </w:rPr>
            </w:pPr>
            <w:r w:rsidRPr="006E2C16">
              <w:rPr>
                <w:b/>
              </w:rPr>
              <w:t>Female</w:t>
            </w:r>
          </w:p>
        </w:tc>
        <w:tc>
          <w:tcPr>
            <w:tcW w:w="837" w:type="dxa"/>
          </w:tcPr>
          <w:p w14:paraId="3A9FB11C" w14:textId="77777777" w:rsidR="003B533C" w:rsidRPr="00351131" w:rsidRDefault="003B533C" w:rsidP="00D70C0E">
            <w:pPr>
              <w:spacing w:line="240" w:lineRule="auto"/>
              <w:jc w:val="right"/>
            </w:pPr>
            <w:r w:rsidRPr="00351131">
              <w:t>90</w:t>
            </w:r>
          </w:p>
        </w:tc>
        <w:tc>
          <w:tcPr>
            <w:tcW w:w="990" w:type="dxa"/>
          </w:tcPr>
          <w:p w14:paraId="1B5A5E09" w14:textId="77777777" w:rsidR="003B533C" w:rsidRPr="00B30EE6" w:rsidRDefault="003B533C" w:rsidP="00D70C0E">
            <w:pPr>
              <w:spacing w:line="240" w:lineRule="auto"/>
              <w:jc w:val="right"/>
            </w:pPr>
            <w:r w:rsidRPr="00B30EE6">
              <w:t>29</w:t>
            </w:r>
          </w:p>
        </w:tc>
        <w:tc>
          <w:tcPr>
            <w:tcW w:w="900" w:type="dxa"/>
          </w:tcPr>
          <w:p w14:paraId="74D63118" w14:textId="77777777" w:rsidR="003B533C" w:rsidRPr="00B30EE6" w:rsidRDefault="003B533C" w:rsidP="00D70C0E">
            <w:pPr>
              <w:spacing w:line="240" w:lineRule="auto"/>
              <w:jc w:val="right"/>
            </w:pPr>
            <w:r w:rsidRPr="00B30EE6">
              <w:t>7</w:t>
            </w:r>
          </w:p>
        </w:tc>
        <w:tc>
          <w:tcPr>
            <w:tcW w:w="900" w:type="dxa"/>
          </w:tcPr>
          <w:p w14:paraId="58265DE7" w14:textId="77777777" w:rsidR="003B533C" w:rsidRPr="00B30EE6" w:rsidRDefault="003B533C" w:rsidP="00D70C0E">
            <w:pPr>
              <w:spacing w:line="240" w:lineRule="auto"/>
              <w:jc w:val="right"/>
            </w:pPr>
            <w:r w:rsidRPr="00B30EE6">
              <w:t>14</w:t>
            </w:r>
          </w:p>
        </w:tc>
        <w:tc>
          <w:tcPr>
            <w:tcW w:w="1170" w:type="dxa"/>
          </w:tcPr>
          <w:p w14:paraId="52ED4E3E" w14:textId="77777777" w:rsidR="003B533C" w:rsidRPr="00B30EE6" w:rsidRDefault="003B533C" w:rsidP="00D70C0E">
            <w:pPr>
              <w:spacing w:line="240" w:lineRule="auto"/>
              <w:jc w:val="right"/>
            </w:pPr>
            <w:r>
              <w:t>36</w:t>
            </w:r>
          </w:p>
        </w:tc>
        <w:tc>
          <w:tcPr>
            <w:tcW w:w="1080" w:type="dxa"/>
          </w:tcPr>
          <w:p w14:paraId="74DF8CDE" w14:textId="77777777" w:rsidR="003B533C" w:rsidRPr="00B30EE6" w:rsidRDefault="003B533C" w:rsidP="00D70C0E">
            <w:pPr>
              <w:spacing w:line="240" w:lineRule="auto"/>
              <w:jc w:val="right"/>
            </w:pPr>
            <w:r w:rsidRPr="00B30EE6">
              <w:t>176</w:t>
            </w:r>
          </w:p>
        </w:tc>
      </w:tr>
      <w:tr w:rsidR="003B533C" w14:paraId="175DE2D8" w14:textId="77777777" w:rsidTr="00D70C0E">
        <w:tc>
          <w:tcPr>
            <w:tcW w:w="873" w:type="dxa"/>
          </w:tcPr>
          <w:p w14:paraId="18F573F7" w14:textId="77777777" w:rsidR="003B533C" w:rsidRPr="006E2C16" w:rsidRDefault="003B533C" w:rsidP="00D70C0E">
            <w:pPr>
              <w:spacing w:line="240" w:lineRule="auto"/>
              <w:rPr>
                <w:b/>
              </w:rPr>
            </w:pPr>
            <w:r w:rsidRPr="006E2C16">
              <w:rPr>
                <w:b/>
              </w:rPr>
              <w:t>Ratio</w:t>
            </w:r>
          </w:p>
        </w:tc>
        <w:tc>
          <w:tcPr>
            <w:tcW w:w="837" w:type="dxa"/>
          </w:tcPr>
          <w:p w14:paraId="1B6E8960" w14:textId="77777777" w:rsidR="003B533C" w:rsidRPr="00351131" w:rsidRDefault="003B533C" w:rsidP="00D70C0E">
            <w:pPr>
              <w:spacing w:line="240" w:lineRule="auto"/>
              <w:jc w:val="right"/>
              <w:rPr>
                <w:b/>
              </w:rPr>
            </w:pPr>
            <w:r w:rsidRPr="00351131">
              <w:rPr>
                <w:b/>
              </w:rPr>
              <w:t>0.6</w:t>
            </w:r>
          </w:p>
        </w:tc>
        <w:tc>
          <w:tcPr>
            <w:tcW w:w="990" w:type="dxa"/>
          </w:tcPr>
          <w:p w14:paraId="7A98D5A7" w14:textId="77777777" w:rsidR="003B533C" w:rsidRPr="006E2C16" w:rsidRDefault="003B533C" w:rsidP="00D70C0E">
            <w:pPr>
              <w:spacing w:line="240" w:lineRule="auto"/>
              <w:jc w:val="right"/>
              <w:rPr>
                <w:b/>
              </w:rPr>
            </w:pPr>
            <w:r w:rsidRPr="006E2C16">
              <w:rPr>
                <w:b/>
              </w:rPr>
              <w:t>1.6</w:t>
            </w:r>
          </w:p>
        </w:tc>
        <w:tc>
          <w:tcPr>
            <w:tcW w:w="900" w:type="dxa"/>
          </w:tcPr>
          <w:p w14:paraId="54496732" w14:textId="77777777" w:rsidR="003B533C" w:rsidRPr="006E2C16" w:rsidRDefault="003B533C" w:rsidP="00D70C0E">
            <w:pPr>
              <w:spacing w:line="240" w:lineRule="auto"/>
              <w:jc w:val="right"/>
              <w:rPr>
                <w:b/>
              </w:rPr>
            </w:pPr>
            <w:r w:rsidRPr="006E2C16">
              <w:rPr>
                <w:b/>
              </w:rPr>
              <w:t>1.1</w:t>
            </w:r>
          </w:p>
        </w:tc>
        <w:tc>
          <w:tcPr>
            <w:tcW w:w="900" w:type="dxa"/>
          </w:tcPr>
          <w:p w14:paraId="1F08C900" w14:textId="77777777" w:rsidR="003B533C" w:rsidRPr="006E2C16" w:rsidRDefault="003B533C" w:rsidP="00D70C0E">
            <w:pPr>
              <w:spacing w:line="240" w:lineRule="auto"/>
              <w:jc w:val="right"/>
              <w:rPr>
                <w:b/>
              </w:rPr>
            </w:pPr>
            <w:r w:rsidRPr="006E2C16">
              <w:rPr>
                <w:b/>
              </w:rPr>
              <w:t>0.9</w:t>
            </w:r>
          </w:p>
        </w:tc>
        <w:tc>
          <w:tcPr>
            <w:tcW w:w="1170" w:type="dxa"/>
          </w:tcPr>
          <w:p w14:paraId="2F13C4B1" w14:textId="77777777" w:rsidR="003B533C" w:rsidRPr="006E2C16" w:rsidRDefault="003B533C" w:rsidP="00D70C0E">
            <w:pPr>
              <w:spacing w:line="240" w:lineRule="auto"/>
              <w:jc w:val="right"/>
              <w:rPr>
                <w:b/>
              </w:rPr>
            </w:pPr>
            <w:r w:rsidRPr="006E2C16">
              <w:rPr>
                <w:b/>
              </w:rPr>
              <w:t>0.9</w:t>
            </w:r>
          </w:p>
        </w:tc>
        <w:tc>
          <w:tcPr>
            <w:tcW w:w="1080" w:type="dxa"/>
          </w:tcPr>
          <w:p w14:paraId="246D7CEA" w14:textId="77777777" w:rsidR="003B533C" w:rsidRPr="006E2C16" w:rsidRDefault="003B533C" w:rsidP="00D70C0E">
            <w:pPr>
              <w:spacing w:line="240" w:lineRule="auto"/>
              <w:jc w:val="right"/>
              <w:rPr>
                <w:b/>
              </w:rPr>
            </w:pPr>
            <w:r w:rsidRPr="006E2C16">
              <w:rPr>
                <w:b/>
              </w:rPr>
              <w:t>0.9</w:t>
            </w:r>
          </w:p>
        </w:tc>
      </w:tr>
    </w:tbl>
    <w:p w14:paraId="07D4370A" w14:textId="77777777" w:rsidR="003B533C" w:rsidRDefault="003B533C" w:rsidP="003B533C">
      <w:pPr>
        <w:rPr>
          <w:rFonts w:ascii="Times New Roman" w:hAnsi="Times New Roman"/>
        </w:rPr>
      </w:pPr>
    </w:p>
    <w:p w14:paraId="73502171" w14:textId="1DCCF91D" w:rsidR="003B533C" w:rsidRPr="00B30EE6" w:rsidRDefault="003B533C" w:rsidP="002812F3">
      <w:pPr>
        <w:ind w:firstLine="720"/>
        <w:rPr>
          <w:rFonts w:ascii="Times New Roman" w:hAnsi="Times New Roman"/>
        </w:rPr>
      </w:pPr>
      <w:r w:rsidRPr="00B30EE6">
        <w:rPr>
          <w:rFonts w:ascii="Times New Roman" w:hAnsi="Times New Roman"/>
        </w:rPr>
        <w:t>The Sam and Wann sites were</w:t>
      </w:r>
      <w:r>
        <w:rPr>
          <w:rFonts w:ascii="Times New Roman" w:hAnsi="Times New Roman"/>
        </w:rPr>
        <w:t xml:space="preserve"> situated very close together along</w:t>
      </w:r>
      <w:r w:rsidRPr="00B30EE6">
        <w:rPr>
          <w:rFonts w:ascii="Times New Roman" w:hAnsi="Times New Roman"/>
        </w:rPr>
        <w:t xml:space="preserve"> the northern bank of Fourche Maline Creek.  Because of their proximity as well as small sample sizes, the skeletal data are often collapsed and analyzed as a single unit.  If this is done, there are 31 adults males and 32 adult females for a M:F ratio of 0.86 or 0.9 from the Sam and Wann sites, which is close to the expected 1.  The Scott and McCutchan-McLaughlin site ratios are also close to expectations of nearly equal numbers of male and female burials, although the Scott size is suspect due to low sample size</w:t>
      </w:r>
      <w:r>
        <w:rPr>
          <w:rFonts w:ascii="Times New Roman" w:hAnsi="Times New Roman"/>
        </w:rPr>
        <w:t xml:space="preserve"> as well as issues with the analysis itself</w:t>
      </w:r>
      <w:r w:rsidRPr="00B30EE6">
        <w:rPr>
          <w:rFonts w:ascii="Times New Roman" w:hAnsi="Times New Roman"/>
        </w:rPr>
        <w:t>.</w:t>
      </w:r>
      <w:r>
        <w:rPr>
          <w:rFonts w:ascii="Times New Roman" w:hAnsi="Times New Roman"/>
        </w:rPr>
        <w:t xml:space="preserve">  If all six sites are</w:t>
      </w:r>
      <w:r w:rsidRPr="00B30EE6">
        <w:rPr>
          <w:rFonts w:ascii="Times New Roman" w:hAnsi="Times New Roman"/>
        </w:rPr>
        <w:t xml:space="preserve"> collapsed into a single metric, the results are close to the expected ratio</w:t>
      </w:r>
      <w:r>
        <w:rPr>
          <w:rFonts w:ascii="Times New Roman" w:hAnsi="Times New Roman"/>
        </w:rPr>
        <w:t xml:space="preserve"> of 1</w:t>
      </w:r>
      <w:r w:rsidRPr="00B30EE6">
        <w:rPr>
          <w:rFonts w:ascii="Times New Roman" w:hAnsi="Times New Roman"/>
        </w:rPr>
        <w:t xml:space="preserve">.  </w:t>
      </w:r>
      <w:r>
        <w:rPr>
          <w:rFonts w:ascii="Times New Roman" w:hAnsi="Times New Roman"/>
        </w:rPr>
        <w:t>Combined, the</w:t>
      </w:r>
      <w:r w:rsidRPr="00B30EE6">
        <w:rPr>
          <w:rFonts w:ascii="Times New Roman" w:hAnsi="Times New Roman"/>
        </w:rPr>
        <w:t xml:space="preserve"> six sites yielded 150 adult males and 176 adult females for M:F ratio of 0.85 or 0.9.  </w:t>
      </w:r>
      <w:r w:rsidR="002812F3">
        <w:rPr>
          <w:rFonts w:ascii="Times New Roman" w:hAnsi="Times New Roman"/>
        </w:rPr>
        <w:t>T</w:t>
      </w:r>
      <w:r w:rsidRPr="00B30EE6">
        <w:rPr>
          <w:rFonts w:ascii="Times New Roman" w:hAnsi="Times New Roman"/>
        </w:rPr>
        <w:t>aken as a single community, the sites in the Fourche Maline drainage display nearly equal numbers of adult males and females</w:t>
      </w:r>
      <w:r>
        <w:rPr>
          <w:rFonts w:ascii="Times New Roman" w:hAnsi="Times New Roman"/>
        </w:rPr>
        <w:t>, as expected</w:t>
      </w:r>
      <w:r w:rsidRPr="00B30EE6">
        <w:rPr>
          <w:rFonts w:ascii="Times New Roman" w:hAnsi="Times New Roman"/>
        </w:rPr>
        <w:t xml:space="preserve">.  </w:t>
      </w:r>
      <w:r>
        <w:rPr>
          <w:rFonts w:ascii="Times New Roman" w:hAnsi="Times New Roman"/>
        </w:rPr>
        <w:t>However the Akers and Mackey sites strongly suggest that</w:t>
      </w:r>
      <w:r w:rsidRPr="00B30EE6">
        <w:rPr>
          <w:rFonts w:ascii="Times New Roman" w:hAnsi="Times New Roman"/>
        </w:rPr>
        <w:t xml:space="preserve"> populational patterns and trends must be considered on a regional lev</w:t>
      </w:r>
      <w:r>
        <w:rPr>
          <w:rFonts w:ascii="Times New Roman" w:hAnsi="Times New Roman"/>
        </w:rPr>
        <w:t>el in the Fourche Maline Valley, and that each mound should not be considered as a separate, discrete population.</w:t>
      </w:r>
      <w:r w:rsidR="002812F3" w:rsidRPr="002812F3">
        <w:rPr>
          <w:rFonts w:ascii="Times New Roman" w:hAnsi="Times New Roman"/>
        </w:rPr>
        <w:t xml:space="preserve"> </w:t>
      </w:r>
      <w:r w:rsidR="000225ED">
        <w:rPr>
          <w:rFonts w:ascii="Times New Roman" w:hAnsi="Times New Roman"/>
        </w:rPr>
        <w:t xml:space="preserve"> It may be noteworthy that</w:t>
      </w:r>
      <w:r w:rsidR="002812F3">
        <w:rPr>
          <w:rFonts w:ascii="Times New Roman" w:hAnsi="Times New Roman"/>
        </w:rPr>
        <w:t xml:space="preserve">, of this group, only Mackey and Akers were fully excavated, and it is possible that some of the remaining sites only appear to have equal </w:t>
      </w:r>
      <w:r w:rsidR="005544F1">
        <w:rPr>
          <w:rFonts w:ascii="Times New Roman" w:hAnsi="Times New Roman"/>
        </w:rPr>
        <w:t>male:female</w:t>
      </w:r>
      <w:r w:rsidR="000225ED">
        <w:rPr>
          <w:rFonts w:ascii="Times New Roman" w:hAnsi="Times New Roman"/>
        </w:rPr>
        <w:t xml:space="preserve"> ratios due to sampling error from incomplete excavations.</w:t>
      </w:r>
    </w:p>
    <w:p w14:paraId="641FEFB3" w14:textId="56F9F68C" w:rsidR="003B533C" w:rsidRDefault="003B533C" w:rsidP="003B533C">
      <w:pPr>
        <w:ind w:firstLine="720"/>
        <w:rPr>
          <w:rFonts w:ascii="Times New Roman" w:hAnsi="Times New Roman"/>
        </w:rPr>
      </w:pPr>
      <w:r w:rsidRPr="00B30EE6">
        <w:rPr>
          <w:rFonts w:ascii="Times New Roman" w:hAnsi="Times New Roman"/>
        </w:rPr>
        <w:t xml:space="preserve">One explanation for the high numbers of women at the Akers site and the high numbers of men at the Mackey site is that people preferentially (purposely) buried women at the Akers mound and men at the Mackey mound.  </w:t>
      </w:r>
      <w:r w:rsidR="002812F3">
        <w:rPr>
          <w:rFonts w:ascii="Times New Roman" w:hAnsi="Times New Roman"/>
        </w:rPr>
        <w:t>However</w:t>
      </w:r>
      <w:r>
        <w:rPr>
          <w:rFonts w:ascii="Times New Roman" w:hAnsi="Times New Roman"/>
        </w:rPr>
        <w:t>, if Wister area Fourche Maline peoples followed this sort of burial program, then other burial mound sites should also follow this pattern, not just Akers and Mackey.</w:t>
      </w:r>
    </w:p>
    <w:p w14:paraId="383B8569" w14:textId="77777777" w:rsidR="003B533C" w:rsidRDefault="003B533C" w:rsidP="003B533C">
      <w:pPr>
        <w:ind w:firstLine="720"/>
        <w:rPr>
          <w:rFonts w:ascii="Times New Roman" w:hAnsi="Times New Roman"/>
        </w:rPr>
      </w:pPr>
      <w:r>
        <w:rPr>
          <w:rFonts w:ascii="Times New Roman" w:hAnsi="Times New Roman"/>
        </w:rPr>
        <w:t>A more parsimonious</w:t>
      </w:r>
      <w:r w:rsidRPr="00B30EE6">
        <w:rPr>
          <w:rFonts w:ascii="Times New Roman" w:hAnsi="Times New Roman"/>
        </w:rPr>
        <w:t xml:space="preserve"> explanation</w:t>
      </w:r>
      <w:r>
        <w:rPr>
          <w:rFonts w:ascii="Times New Roman" w:hAnsi="Times New Roman"/>
        </w:rPr>
        <w:t xml:space="preserve"> (rather than a complex valley wide burial program)</w:t>
      </w:r>
      <w:r w:rsidRPr="00B30EE6">
        <w:rPr>
          <w:rFonts w:ascii="Times New Roman" w:hAnsi="Times New Roman"/>
        </w:rPr>
        <w:t xml:space="preserve"> is that when a person died, they were laid to rest in the closest burial mound.  This explanation requires that more women died close to the Akers site and that more men died close to the Mackey site.  One natural way this could happen is if different sites were</w:t>
      </w:r>
      <w:r>
        <w:rPr>
          <w:rFonts w:ascii="Times New Roman" w:hAnsi="Times New Roman"/>
        </w:rPr>
        <w:t xml:space="preserve"> preferentially (but not exclusively)</w:t>
      </w:r>
      <w:r w:rsidRPr="00B30EE6">
        <w:rPr>
          <w:rFonts w:ascii="Times New Roman" w:hAnsi="Times New Roman"/>
        </w:rPr>
        <w:t xml:space="preserve"> utilized for different purposes</w:t>
      </w:r>
      <w:r>
        <w:rPr>
          <w:rFonts w:ascii="Times New Roman" w:hAnsi="Times New Roman"/>
        </w:rPr>
        <w:t xml:space="preserve"> or tasks that may have often been performed by a certain group of people (e.g. sex-segregated activities)</w:t>
      </w:r>
      <w:r w:rsidRPr="00B30EE6">
        <w:rPr>
          <w:rFonts w:ascii="Times New Roman" w:hAnsi="Times New Roman"/>
        </w:rPr>
        <w:t xml:space="preserve">.  </w:t>
      </w:r>
      <w:r>
        <w:rPr>
          <w:rFonts w:ascii="Times New Roman" w:hAnsi="Times New Roman"/>
        </w:rPr>
        <w:t>In this way</w:t>
      </w:r>
      <w:r w:rsidRPr="00B30EE6">
        <w:rPr>
          <w:rFonts w:ascii="Times New Roman" w:hAnsi="Times New Roman"/>
        </w:rPr>
        <w:t xml:space="preserve"> </w:t>
      </w:r>
      <w:r>
        <w:rPr>
          <w:rFonts w:ascii="Times New Roman" w:hAnsi="Times New Roman"/>
        </w:rPr>
        <w:t xml:space="preserve">it </w:t>
      </w:r>
      <w:r w:rsidRPr="00B30EE6">
        <w:rPr>
          <w:rFonts w:ascii="Times New Roman" w:hAnsi="Times New Roman"/>
        </w:rPr>
        <w:t>would be easy to accumulate more burials of men at a site where adult males congregated, or more women at a site where adul</w:t>
      </w:r>
      <w:r>
        <w:rPr>
          <w:rFonts w:ascii="Times New Roman" w:hAnsi="Times New Roman"/>
        </w:rPr>
        <w:t>t females congregated</w:t>
      </w:r>
      <w:r w:rsidRPr="00B30EE6">
        <w:rPr>
          <w:rFonts w:ascii="Times New Roman" w:hAnsi="Times New Roman"/>
        </w:rPr>
        <w:t xml:space="preserve">.  </w:t>
      </w:r>
    </w:p>
    <w:p w14:paraId="5E79EFC0" w14:textId="77777777" w:rsidR="003B533C" w:rsidRDefault="003B533C" w:rsidP="003B533C">
      <w:pPr>
        <w:ind w:firstLine="720"/>
        <w:rPr>
          <w:rFonts w:ascii="Times New Roman" w:hAnsi="Times New Roman"/>
        </w:rPr>
      </w:pPr>
      <w:r w:rsidRPr="00B30EE6">
        <w:rPr>
          <w:rFonts w:ascii="Times New Roman" w:hAnsi="Times New Roman"/>
        </w:rPr>
        <w:t>There is some</w:t>
      </w:r>
      <w:r>
        <w:rPr>
          <w:rFonts w:ascii="Times New Roman" w:hAnsi="Times New Roman"/>
        </w:rPr>
        <w:t xml:space="preserve"> evidence</w:t>
      </w:r>
      <w:r w:rsidRPr="00B30EE6">
        <w:rPr>
          <w:rFonts w:ascii="Times New Roman" w:hAnsi="Times New Roman"/>
        </w:rPr>
        <w:t xml:space="preserve"> </w:t>
      </w:r>
      <w:r>
        <w:rPr>
          <w:rFonts w:ascii="Times New Roman" w:hAnsi="Times New Roman"/>
        </w:rPr>
        <w:t xml:space="preserve">to support this idea that different sites may have been used for different purposes at least some of the time.  </w:t>
      </w:r>
      <w:r w:rsidRPr="00B30EE6">
        <w:rPr>
          <w:rFonts w:ascii="Times New Roman" w:hAnsi="Times New Roman"/>
        </w:rPr>
        <w:t>For instance</w:t>
      </w:r>
      <w:r>
        <w:rPr>
          <w:rFonts w:ascii="Times New Roman" w:hAnsi="Times New Roman"/>
        </w:rPr>
        <w:t>, as discussed in Chapter 3,</w:t>
      </w:r>
      <w:r w:rsidRPr="00B30EE6">
        <w:rPr>
          <w:rFonts w:ascii="Times New Roman" w:hAnsi="Times New Roman"/>
        </w:rPr>
        <w:t xml:space="preserve"> excavations at the Hooks site uncovered li</w:t>
      </w:r>
      <w:r>
        <w:rPr>
          <w:rFonts w:ascii="Times New Roman" w:hAnsi="Times New Roman"/>
        </w:rPr>
        <w:t>terally hundreds of manos and me</w:t>
      </w:r>
      <w:r w:rsidRPr="00B30EE6">
        <w:rPr>
          <w:rFonts w:ascii="Times New Roman" w:hAnsi="Times New Roman"/>
        </w:rPr>
        <w:t>tates (used for grinding nuts and seeds)</w:t>
      </w:r>
      <w:r>
        <w:rPr>
          <w:rFonts w:ascii="Times New Roman" w:hAnsi="Times New Roman"/>
        </w:rPr>
        <w:t>, as pictured in Figure 7</w:t>
      </w:r>
      <w:r w:rsidRPr="00B30EE6">
        <w:rPr>
          <w:rFonts w:ascii="Times New Roman" w:hAnsi="Times New Roman"/>
        </w:rPr>
        <w:t>.  It is quite possible that the Hooks site was preferentially utilized for processing of plant material.</w:t>
      </w:r>
      <w:r>
        <w:rPr>
          <w:rFonts w:ascii="Times New Roman" w:hAnsi="Times New Roman"/>
        </w:rPr>
        <w:t xml:space="preserve">  Because the Hooks burials have not been analyzed, the paleodemographic profile is unknown.  </w:t>
      </w:r>
    </w:p>
    <w:p w14:paraId="06EF7417" w14:textId="4EDEDBBF" w:rsidR="003B533C" w:rsidRDefault="003B533C" w:rsidP="003B533C">
      <w:pPr>
        <w:ind w:firstLine="720"/>
        <w:rPr>
          <w:rFonts w:ascii="Times New Roman" w:hAnsi="Times New Roman"/>
        </w:rPr>
      </w:pPr>
      <w:r>
        <w:rPr>
          <w:rFonts w:ascii="Times New Roman" w:hAnsi="Times New Roman"/>
        </w:rPr>
        <w:t xml:space="preserve">It is currently unclear why the Akers site had a preponderance of females or the Mackey site a preponderance of males.  Note however that the Mackey site, with its </w:t>
      </w:r>
      <w:r w:rsidR="002170F7">
        <w:rPr>
          <w:rFonts w:ascii="Times New Roman" w:hAnsi="Times New Roman"/>
        </w:rPr>
        <w:t xml:space="preserve">high proportion </w:t>
      </w:r>
      <w:r>
        <w:rPr>
          <w:rFonts w:ascii="Times New Roman" w:hAnsi="Times New Roman"/>
        </w:rPr>
        <w:t xml:space="preserve">of adult males, is the only site in the Wister area Fourche Maline with more than one mass burial (see Chapter 5), suggesting that this site may have been preferentially (though not exclusively) used in times of conflict. </w:t>
      </w:r>
    </w:p>
    <w:p w14:paraId="2B4559F1" w14:textId="77777777" w:rsidR="003B533C" w:rsidRDefault="003B533C" w:rsidP="003B533C">
      <w:pPr>
        <w:spacing w:line="240" w:lineRule="auto"/>
        <w:ind w:firstLine="720"/>
        <w:rPr>
          <w:rFonts w:ascii="Times New Roman" w:hAnsi="Times New Roman"/>
        </w:rPr>
      </w:pPr>
    </w:p>
    <w:p w14:paraId="1E984640" w14:textId="77777777" w:rsidR="003B533C" w:rsidRDefault="003B533C" w:rsidP="00CB4ED0">
      <w:pPr>
        <w:pStyle w:val="Heading2"/>
      </w:pPr>
      <w:bookmarkStart w:id="120" w:name="_Toc258757711"/>
      <w:bookmarkStart w:id="121" w:name="_Toc261025888"/>
      <w:r>
        <w:t>Wister Area Fourche Maline Health and Nutritional Status</w:t>
      </w:r>
      <w:bookmarkEnd w:id="120"/>
      <w:bookmarkEnd w:id="121"/>
    </w:p>
    <w:p w14:paraId="52CBB49B" w14:textId="77777777" w:rsidR="003B533C" w:rsidRDefault="003B533C" w:rsidP="003B533C">
      <w:pPr>
        <w:ind w:firstLine="720"/>
        <w:rPr>
          <w:rFonts w:ascii="Times New Roman" w:hAnsi="Times New Roman"/>
        </w:rPr>
      </w:pPr>
      <w:r w:rsidRPr="00823B88">
        <w:rPr>
          <w:rFonts w:ascii="Times New Roman" w:hAnsi="Times New Roman"/>
        </w:rPr>
        <w:t xml:space="preserve">When the skeletons of the people buried at the </w:t>
      </w:r>
      <w:r>
        <w:rPr>
          <w:rFonts w:ascii="Times New Roman" w:hAnsi="Times New Roman"/>
        </w:rPr>
        <w:t>Akers site are compared to other analyzed Wister area Fourche Maline sites (</w:t>
      </w:r>
      <w:r w:rsidRPr="00823B88">
        <w:rPr>
          <w:rFonts w:ascii="Times New Roman" w:hAnsi="Times New Roman"/>
        </w:rPr>
        <w:t>McCutchan-McLaughlin, Ma</w:t>
      </w:r>
      <w:r>
        <w:rPr>
          <w:rFonts w:ascii="Times New Roman" w:hAnsi="Times New Roman"/>
        </w:rPr>
        <w:t>ckey, Scott, Sam, and Wann), several differences are clear.  The Akers burials had more than expected adult females, a high prevalence of broken and fractured bones, and both healed and active cribra orbitalia lesions.</w:t>
      </w:r>
    </w:p>
    <w:p w14:paraId="6BDC705A" w14:textId="77777777" w:rsidR="003B533C" w:rsidRDefault="003B533C" w:rsidP="003B533C">
      <w:pPr>
        <w:ind w:firstLine="720"/>
        <w:rPr>
          <w:rFonts w:ascii="Times New Roman" w:hAnsi="Times New Roman"/>
        </w:rPr>
      </w:pPr>
    </w:p>
    <w:p w14:paraId="02CF28EE" w14:textId="77777777" w:rsidR="003B533C" w:rsidRPr="00A34385" w:rsidRDefault="003B533C" w:rsidP="009C5432">
      <w:pPr>
        <w:pStyle w:val="Heading3"/>
      </w:pPr>
      <w:bookmarkStart w:id="122" w:name="_Toc258757713"/>
      <w:bookmarkStart w:id="123" w:name="_Toc261025889"/>
      <w:r w:rsidRPr="001E3607">
        <w:t>Skeletal Trauma</w:t>
      </w:r>
      <w:bookmarkEnd w:id="122"/>
      <w:bookmarkEnd w:id="123"/>
    </w:p>
    <w:p w14:paraId="6061EC3B" w14:textId="3385455D" w:rsidR="003B533C" w:rsidRDefault="003B533C" w:rsidP="003B533C">
      <w:pPr>
        <w:ind w:firstLine="720"/>
        <w:rPr>
          <w:rFonts w:ascii="Times New Roman" w:hAnsi="Times New Roman"/>
        </w:rPr>
      </w:pPr>
      <w:r>
        <w:rPr>
          <w:rFonts w:ascii="Times New Roman" w:hAnsi="Times New Roman"/>
        </w:rPr>
        <w:t>Chapter 4 detailed skeletal trauma at the Akers site.  When cranial and limb fractures we</w:t>
      </w:r>
      <w:r w:rsidR="00FD2304">
        <w:rPr>
          <w:rFonts w:ascii="Times New Roman" w:hAnsi="Times New Roman"/>
        </w:rPr>
        <w:t>re combined, 35% of the assessed</w:t>
      </w:r>
      <w:r>
        <w:rPr>
          <w:rFonts w:ascii="Times New Roman" w:hAnsi="Times New Roman"/>
        </w:rPr>
        <w:t xml:space="preserve"> population was observed with at least one fractured bone.  The difference by sex (29% male, 39%) was not statistically significant.  When patterns of fractures were compar</w:t>
      </w:r>
      <w:r w:rsidR="00FD2304">
        <w:rPr>
          <w:rFonts w:ascii="Times New Roman" w:hAnsi="Times New Roman"/>
        </w:rPr>
        <w:t xml:space="preserve">ed by anatomical region, </w:t>
      </w:r>
      <w:r>
        <w:rPr>
          <w:rFonts w:ascii="Times New Roman" w:hAnsi="Times New Roman"/>
        </w:rPr>
        <w:t xml:space="preserve">females were more likely to fracture their lower limbs than their male counterparts.  Females were also more likely than m ales to have multiple bone fractures. </w:t>
      </w:r>
    </w:p>
    <w:p w14:paraId="27B06F00" w14:textId="71F1F2D8" w:rsidR="003B533C" w:rsidRDefault="00FD2304" w:rsidP="003B533C">
      <w:pPr>
        <w:ind w:firstLine="720"/>
        <w:rPr>
          <w:rFonts w:ascii="Times New Roman" w:hAnsi="Times New Roman"/>
        </w:rPr>
      </w:pPr>
      <w:r>
        <w:rPr>
          <w:rFonts w:ascii="Times New Roman" w:hAnsi="Times New Roman"/>
        </w:rPr>
        <w:t>As</w:t>
      </w:r>
      <w:r w:rsidR="003B533C">
        <w:rPr>
          <w:rFonts w:ascii="Times New Roman" w:hAnsi="Times New Roman"/>
        </w:rPr>
        <w:t xml:space="preserve"> suggested in Chapter 4</w:t>
      </w:r>
      <w:r>
        <w:rPr>
          <w:rFonts w:ascii="Times New Roman" w:hAnsi="Times New Roman"/>
        </w:rPr>
        <w:t>,</w:t>
      </w:r>
      <w:r w:rsidR="003B533C" w:rsidRPr="00327C9E">
        <w:rPr>
          <w:rFonts w:ascii="Times New Roman" w:hAnsi="Times New Roman"/>
        </w:rPr>
        <w:t xml:space="preserve"> at least some of these multiple injuries to adult females </w:t>
      </w:r>
      <w:r>
        <w:rPr>
          <w:rFonts w:ascii="Times New Roman" w:hAnsi="Times New Roman"/>
        </w:rPr>
        <w:t>may have been</w:t>
      </w:r>
      <w:r w:rsidR="003B533C" w:rsidRPr="00327C9E">
        <w:rPr>
          <w:rFonts w:ascii="Times New Roman" w:hAnsi="Times New Roman"/>
        </w:rPr>
        <w:t xml:space="preserve"> the result of repeated abuse.  The most dramatic example is Burial 142, a young female found with neonatal bone fragments, indicating that she was either pregnant or had just given birth.  At time of death she had bilateral femur fractures, fractures to the right tibia and right fibula, and a depressed fracture to the frontal bone.  She was also suffering from a systemic infection.  These injuries represent at least two, and possibly three separate</w:t>
      </w:r>
      <w:r w:rsidR="002170F7">
        <w:rPr>
          <w:rFonts w:ascii="Times New Roman" w:hAnsi="Times New Roman"/>
        </w:rPr>
        <w:t xml:space="preserve"> traumatic</w:t>
      </w:r>
      <w:r w:rsidR="003B533C" w:rsidRPr="00327C9E">
        <w:rPr>
          <w:rFonts w:ascii="Times New Roman" w:hAnsi="Times New Roman"/>
        </w:rPr>
        <w:t xml:space="preserve"> incidents.  It is difficult to escape the conclusion that this individual was severely beaten on at least two occasions, if not more.</w:t>
      </w:r>
      <w:r w:rsidR="003B533C">
        <w:rPr>
          <w:rFonts w:ascii="Times New Roman" w:hAnsi="Times New Roman"/>
        </w:rPr>
        <w:t xml:space="preserve"> </w:t>
      </w:r>
    </w:p>
    <w:p w14:paraId="369F1C22" w14:textId="5AB07B68" w:rsidR="003B533C" w:rsidRDefault="003B533C" w:rsidP="003B533C">
      <w:pPr>
        <w:ind w:firstLine="720"/>
        <w:rPr>
          <w:rFonts w:ascii="Times New Roman" w:hAnsi="Times New Roman"/>
        </w:rPr>
      </w:pPr>
      <w:r>
        <w:rPr>
          <w:rFonts w:ascii="Times New Roman" w:hAnsi="Times New Roman"/>
        </w:rPr>
        <w:t xml:space="preserve">Skeletal trauma from other Wister area Fourche Maline sites is negligible.  At the McCutchan-McLaughlin site, only a single individual (an old adult male) was noted to have a healed fracture (Powell and Rogers 1980:19).  Since there were 27 successfully aged and sexed adult individuals recovered from the site, this is about 4% of the population.  The Wann and Sam sites produced a total of five fractured bones and 69 aged and sexed adults (McWilliams 1970), or about 7% of the population.  </w:t>
      </w:r>
      <w:r w:rsidR="002170F7">
        <w:rPr>
          <w:rFonts w:ascii="Times New Roman" w:hAnsi="Times New Roman"/>
        </w:rPr>
        <w:t xml:space="preserve">The much higher rates of fractured bones from the Akers site </w:t>
      </w:r>
      <w:r w:rsidR="005544F1">
        <w:rPr>
          <w:rFonts w:ascii="Times New Roman" w:hAnsi="Times New Roman"/>
        </w:rPr>
        <w:t>are</w:t>
      </w:r>
      <w:r w:rsidR="002170F7">
        <w:rPr>
          <w:rFonts w:ascii="Times New Roman" w:hAnsi="Times New Roman"/>
        </w:rPr>
        <w:t xml:space="preserve"> perplexing.</w:t>
      </w:r>
    </w:p>
    <w:p w14:paraId="1107029F" w14:textId="77777777" w:rsidR="003B533C" w:rsidRPr="00B926B1" w:rsidRDefault="003B533C" w:rsidP="009C5432">
      <w:pPr>
        <w:pStyle w:val="Heading3"/>
      </w:pPr>
      <w:bookmarkStart w:id="124" w:name="_Toc258757715"/>
      <w:bookmarkStart w:id="125" w:name="_Toc261025890"/>
      <w:r w:rsidRPr="00327C9E">
        <w:t>Nutritional status</w:t>
      </w:r>
      <w:bookmarkEnd w:id="124"/>
      <w:bookmarkEnd w:id="125"/>
      <w:r w:rsidRPr="00327C9E">
        <w:t xml:space="preserve"> </w:t>
      </w:r>
    </w:p>
    <w:p w14:paraId="54FC3F10" w14:textId="72FBF84A" w:rsidR="003B533C" w:rsidRDefault="003B533C" w:rsidP="003B533C">
      <w:pPr>
        <w:ind w:firstLine="720"/>
        <w:rPr>
          <w:rFonts w:ascii="Times New Roman" w:hAnsi="Times New Roman"/>
        </w:rPr>
      </w:pPr>
      <w:r>
        <w:rPr>
          <w:rFonts w:ascii="Times New Roman" w:hAnsi="Times New Roman"/>
        </w:rPr>
        <w:t xml:space="preserve">As reported in Chapter 4, </w:t>
      </w:r>
      <w:r w:rsidRPr="001B4526">
        <w:rPr>
          <w:rFonts w:ascii="Times New Roman" w:hAnsi="Times New Roman"/>
        </w:rPr>
        <w:t>6% of the adults</w:t>
      </w:r>
      <w:r>
        <w:rPr>
          <w:rFonts w:ascii="Times New Roman" w:hAnsi="Times New Roman"/>
        </w:rPr>
        <w:t xml:space="preserve"> examined</w:t>
      </w:r>
      <w:r w:rsidRPr="001B4526">
        <w:rPr>
          <w:rFonts w:ascii="Times New Roman" w:hAnsi="Times New Roman"/>
        </w:rPr>
        <w:t xml:space="preserve"> at the Akers site </w:t>
      </w:r>
      <w:r>
        <w:rPr>
          <w:rFonts w:ascii="Times New Roman" w:hAnsi="Times New Roman"/>
        </w:rPr>
        <w:t>were observed with</w:t>
      </w:r>
      <w:r w:rsidRPr="001B4526">
        <w:rPr>
          <w:rFonts w:ascii="Times New Roman" w:hAnsi="Times New Roman"/>
        </w:rPr>
        <w:t xml:space="preserve"> signs of porotic hyperostosis.</w:t>
      </w:r>
      <w:r>
        <w:rPr>
          <w:rFonts w:ascii="Times New Roman" w:hAnsi="Times New Roman"/>
        </w:rPr>
        <w:t xml:space="preserve">  The frequency was higher in subadults, at 21% (Rowe 2009). </w:t>
      </w:r>
      <w:r w:rsidRPr="001B4526">
        <w:rPr>
          <w:rFonts w:ascii="Times New Roman" w:hAnsi="Times New Roman"/>
        </w:rPr>
        <w:t xml:space="preserve"> As reviewed in Chapter 2, porotic hyperostosis</w:t>
      </w:r>
      <w:r>
        <w:rPr>
          <w:rFonts w:ascii="Times New Roman" w:hAnsi="Times New Roman"/>
        </w:rPr>
        <w:t xml:space="preserve"> interpretations are in flux.  Although Ortner suggests they may</w:t>
      </w:r>
      <w:r w:rsidRPr="001B4526">
        <w:rPr>
          <w:rFonts w:ascii="Times New Roman" w:hAnsi="Times New Roman"/>
        </w:rPr>
        <w:t xml:space="preserve"> be interpreted as parasite load,</w:t>
      </w:r>
      <w:r>
        <w:rPr>
          <w:rFonts w:ascii="Times New Roman" w:hAnsi="Times New Roman"/>
        </w:rPr>
        <w:t xml:space="preserve"> other researchers continue to refer to them as a symptom of anemia (e.g. </w:t>
      </w:r>
      <w:r w:rsidR="005544F1">
        <w:rPr>
          <w:rFonts w:ascii="Times New Roman" w:hAnsi="Times New Roman"/>
        </w:rPr>
        <w:t>Steckel</w:t>
      </w:r>
      <w:r>
        <w:rPr>
          <w:rFonts w:ascii="Times New Roman" w:hAnsi="Times New Roman"/>
        </w:rPr>
        <w:t xml:space="preserve"> and Rose eds. 2002, Cohen and Crane-Kramer eds. 2007).  </w:t>
      </w:r>
    </w:p>
    <w:p w14:paraId="6C0C3695" w14:textId="3D3768CD" w:rsidR="003B533C" w:rsidRPr="007A491A" w:rsidRDefault="003B533C" w:rsidP="003B533C">
      <w:pPr>
        <w:ind w:firstLine="720"/>
        <w:rPr>
          <w:rFonts w:ascii="Times New Roman" w:hAnsi="Times New Roman"/>
        </w:rPr>
      </w:pPr>
      <w:r>
        <w:rPr>
          <w:rFonts w:ascii="Times New Roman" w:hAnsi="Times New Roman"/>
        </w:rPr>
        <w:t>While only 18% of the adults had active cribra orbitalia lesions, over half the adult population had healed cribra orbitalia lesions, for a total of 72% of the adults with either healed or active lesions.  Subadults also had high rates of cribra orbitalia (68% active lesions) (Rowe 2009).</w:t>
      </w:r>
      <w:bookmarkStart w:id="126" w:name="_Toc258757568"/>
      <w:r w:rsidR="00416FBB">
        <w:rPr>
          <w:rFonts w:ascii="Times New Roman" w:hAnsi="Times New Roman"/>
        </w:rPr>
        <w:t xml:space="preserve">  Cribra orbitalia lesions are currently interpreted as good evidence for Vitamin C deficiency (Ortner et al. 2001, Walker et al. 2009).</w:t>
      </w:r>
    </w:p>
    <w:bookmarkEnd w:id="126"/>
    <w:p w14:paraId="2B96CFF1" w14:textId="089BB9A7" w:rsidR="003B533C" w:rsidRDefault="003B533C" w:rsidP="003B533C">
      <w:pPr>
        <w:ind w:firstLine="720"/>
        <w:rPr>
          <w:rFonts w:ascii="Times New Roman" w:hAnsi="Times New Roman"/>
        </w:rPr>
      </w:pPr>
      <w:r>
        <w:rPr>
          <w:rFonts w:ascii="Times New Roman" w:hAnsi="Times New Roman"/>
        </w:rPr>
        <w:t>Subadults at Akers displayed higher rates</w:t>
      </w:r>
      <w:r w:rsidRPr="001B4526">
        <w:rPr>
          <w:rFonts w:ascii="Times New Roman" w:hAnsi="Times New Roman"/>
        </w:rPr>
        <w:t xml:space="preserve"> than adults for b</w:t>
      </w:r>
      <w:r w:rsidR="00AE7EAC">
        <w:rPr>
          <w:rFonts w:ascii="Times New Roman" w:hAnsi="Times New Roman"/>
        </w:rPr>
        <w:t>oth indicator</w:t>
      </w:r>
      <w:r>
        <w:rPr>
          <w:rFonts w:ascii="Times New Roman" w:hAnsi="Times New Roman"/>
        </w:rPr>
        <w:t>s of nutritional stress.  S</w:t>
      </w:r>
      <w:r w:rsidRPr="001B4526">
        <w:rPr>
          <w:rFonts w:ascii="Times New Roman" w:hAnsi="Times New Roman"/>
        </w:rPr>
        <w:t>ubadult rates at Akers were 21% for porotic hyperostosis and 68% for (activ</w:t>
      </w:r>
      <w:r>
        <w:rPr>
          <w:rFonts w:ascii="Times New Roman" w:hAnsi="Times New Roman"/>
        </w:rPr>
        <w:t>e) cribra orbitalia (Rowe 2009), sugge</w:t>
      </w:r>
      <w:r w:rsidR="00AE7EAC">
        <w:rPr>
          <w:rFonts w:ascii="Times New Roman" w:hAnsi="Times New Roman"/>
        </w:rPr>
        <w:t>sting that they were at higher</w:t>
      </w:r>
      <w:r>
        <w:rPr>
          <w:rFonts w:ascii="Times New Roman" w:hAnsi="Times New Roman"/>
        </w:rPr>
        <w:t xml:space="preserve"> risk of nutritional stress than the adults.</w:t>
      </w:r>
    </w:p>
    <w:p w14:paraId="53B413E9" w14:textId="5CAC6ACA" w:rsidR="003B533C" w:rsidRDefault="003B533C" w:rsidP="003B533C">
      <w:pPr>
        <w:ind w:firstLine="720"/>
        <w:rPr>
          <w:rFonts w:ascii="Times New Roman" w:hAnsi="Times New Roman"/>
        </w:rPr>
      </w:pPr>
      <w:r>
        <w:rPr>
          <w:rFonts w:ascii="Times New Roman" w:hAnsi="Times New Roman"/>
        </w:rPr>
        <w:t>Once again, data from other Wister area</w:t>
      </w:r>
      <w:r w:rsidRPr="00EB541F">
        <w:rPr>
          <w:rFonts w:ascii="Times New Roman" w:hAnsi="Times New Roman"/>
        </w:rPr>
        <w:t xml:space="preserve"> </w:t>
      </w:r>
      <w:r>
        <w:rPr>
          <w:rFonts w:ascii="Times New Roman" w:hAnsi="Times New Roman"/>
        </w:rPr>
        <w:t>Fourche Maline sites differs from the</w:t>
      </w:r>
      <w:r w:rsidRPr="00EB541F">
        <w:rPr>
          <w:rFonts w:ascii="Times New Roman" w:hAnsi="Times New Roman"/>
        </w:rPr>
        <w:t xml:space="preserve"> A</w:t>
      </w:r>
      <w:r>
        <w:rPr>
          <w:rFonts w:ascii="Times New Roman" w:hAnsi="Times New Roman"/>
        </w:rPr>
        <w:t>kers results</w:t>
      </w:r>
      <w:r w:rsidRPr="00EB541F">
        <w:rPr>
          <w:rFonts w:ascii="Times New Roman" w:hAnsi="Times New Roman"/>
        </w:rPr>
        <w:t>.  At McCutchan-McLaughlin (34Lt11), there was one possible case of porotic hyperostosis</w:t>
      </w:r>
      <w:r>
        <w:rPr>
          <w:rFonts w:ascii="Times New Roman" w:hAnsi="Times New Roman"/>
        </w:rPr>
        <w:t xml:space="preserve"> (2%)</w:t>
      </w:r>
      <w:r w:rsidRPr="00EB541F">
        <w:rPr>
          <w:rFonts w:ascii="Times New Roman" w:hAnsi="Times New Roman"/>
        </w:rPr>
        <w:t xml:space="preserve"> and one possible case of cribra orbitalia</w:t>
      </w:r>
      <w:r>
        <w:rPr>
          <w:rFonts w:ascii="Times New Roman" w:hAnsi="Times New Roman"/>
        </w:rPr>
        <w:t xml:space="preserve"> (2%)</w:t>
      </w:r>
      <w:r w:rsidRPr="00EB541F">
        <w:rPr>
          <w:rFonts w:ascii="Times New Roman" w:hAnsi="Times New Roman"/>
        </w:rPr>
        <w:t xml:space="preserve"> (Powell and Rogers 1980:27).  No cases of porotic hyperostosis or cribra orbitalia were reported from either Sam or Wann (McWilliams 1970).</w:t>
      </w:r>
      <w:r>
        <w:rPr>
          <w:rFonts w:ascii="Times New Roman" w:hAnsi="Times New Roman"/>
        </w:rPr>
        <w:t xml:space="preserve">  A summary table for the DeHart II site, presum</w:t>
      </w:r>
      <w:r w:rsidR="00AE7EAC">
        <w:rPr>
          <w:rFonts w:ascii="Times New Roman" w:hAnsi="Times New Roman"/>
        </w:rPr>
        <w:t>ably compiled by R. Vehik reports</w:t>
      </w:r>
      <w:r>
        <w:rPr>
          <w:rFonts w:ascii="Times New Roman" w:hAnsi="Times New Roman"/>
        </w:rPr>
        <w:t xml:space="preserve"> 45.5% of the subadults and 22.2 % of the adults had “osteoporotic pitting.”  However it is not clear if this refers to porotic </w:t>
      </w:r>
      <w:r w:rsidR="005544F1">
        <w:rPr>
          <w:rFonts w:ascii="Times New Roman" w:hAnsi="Times New Roman"/>
        </w:rPr>
        <w:t>hyperostosis</w:t>
      </w:r>
      <w:r>
        <w:rPr>
          <w:rFonts w:ascii="Times New Roman" w:hAnsi="Times New Roman"/>
        </w:rPr>
        <w:t xml:space="preserve"> and/or cribra orbitalia, or the more general pitting found over the occipital region of many skulls at Akers and McCutchan-McLaughlin.</w:t>
      </w:r>
    </w:p>
    <w:p w14:paraId="3E6CB6CC" w14:textId="2FA09CD6" w:rsidR="003B533C" w:rsidRDefault="003B533C" w:rsidP="003B533C">
      <w:pPr>
        <w:ind w:firstLine="720"/>
        <w:rPr>
          <w:rFonts w:ascii="Times New Roman" w:hAnsi="Times New Roman"/>
        </w:rPr>
      </w:pPr>
      <w:r>
        <w:rPr>
          <w:rFonts w:ascii="Times New Roman" w:hAnsi="Times New Roman"/>
        </w:rPr>
        <w:t>A 1980 summary of Wister area health and nutritional status, dismissed</w:t>
      </w:r>
      <w:r w:rsidRPr="00EB541F">
        <w:rPr>
          <w:rFonts w:ascii="Times New Roman" w:hAnsi="Times New Roman"/>
        </w:rPr>
        <w:t xml:space="preserve"> scurvy, iron deficiency anemia, and rickets as an issue for the McCutchan-McLaughlin site</w:t>
      </w:r>
      <w:r>
        <w:rPr>
          <w:rFonts w:ascii="Times New Roman" w:hAnsi="Times New Roman"/>
        </w:rPr>
        <w:t xml:space="preserve"> as well as the Sam and Wann sites</w:t>
      </w:r>
      <w:r w:rsidRPr="00EB541F">
        <w:rPr>
          <w:rFonts w:ascii="Times New Roman" w:hAnsi="Times New Roman"/>
        </w:rPr>
        <w:t xml:space="preserve"> (Powell and Rogers 1980:47).  </w:t>
      </w:r>
      <w:r w:rsidR="00AE7EAC">
        <w:rPr>
          <w:rFonts w:ascii="Times New Roman" w:hAnsi="Times New Roman"/>
        </w:rPr>
        <w:t>In addition, b</w:t>
      </w:r>
      <w:r>
        <w:rPr>
          <w:rFonts w:ascii="Times New Roman" w:hAnsi="Times New Roman"/>
        </w:rPr>
        <w:t>oth</w:t>
      </w:r>
      <w:r w:rsidRPr="00EB541F">
        <w:rPr>
          <w:rFonts w:ascii="Times New Roman" w:hAnsi="Times New Roman"/>
        </w:rPr>
        <w:t xml:space="preserve"> parasitic infestation and fungal infections were</w:t>
      </w:r>
      <w:r>
        <w:rPr>
          <w:rFonts w:ascii="Times New Roman" w:hAnsi="Times New Roman"/>
        </w:rPr>
        <w:t xml:space="preserve"> thought to be</w:t>
      </w:r>
      <w:r w:rsidRPr="00EB541F">
        <w:rPr>
          <w:rFonts w:ascii="Times New Roman" w:hAnsi="Times New Roman"/>
        </w:rPr>
        <w:t xml:space="preserve"> uncommon for the Fourche Maline</w:t>
      </w:r>
      <w:r>
        <w:rPr>
          <w:rFonts w:ascii="Times New Roman" w:hAnsi="Times New Roman"/>
        </w:rPr>
        <w:t xml:space="preserve"> phase</w:t>
      </w:r>
      <w:r w:rsidRPr="00EB541F">
        <w:rPr>
          <w:rFonts w:ascii="Times New Roman" w:hAnsi="Times New Roman"/>
        </w:rPr>
        <w:t xml:space="preserve"> people of southeastern Oklahoma</w:t>
      </w:r>
      <w:r>
        <w:rPr>
          <w:rFonts w:ascii="Times New Roman" w:hAnsi="Times New Roman"/>
        </w:rPr>
        <w:t>, based on the available data</w:t>
      </w:r>
      <w:r w:rsidRPr="00EB541F">
        <w:rPr>
          <w:rFonts w:ascii="Times New Roman" w:hAnsi="Times New Roman"/>
        </w:rPr>
        <w:t xml:space="preserve"> (Powell and Rogers 1980:46).  Overall, </w:t>
      </w:r>
      <w:r>
        <w:rPr>
          <w:rFonts w:ascii="Times New Roman" w:hAnsi="Times New Roman"/>
        </w:rPr>
        <w:t xml:space="preserve">the study </w:t>
      </w:r>
      <w:r w:rsidRPr="00EB541F">
        <w:rPr>
          <w:rFonts w:ascii="Times New Roman" w:hAnsi="Times New Roman"/>
        </w:rPr>
        <w:t xml:space="preserve">concluded that </w:t>
      </w:r>
      <w:r w:rsidR="00AE7EAC">
        <w:rPr>
          <w:rFonts w:ascii="Times New Roman" w:hAnsi="Times New Roman"/>
        </w:rPr>
        <w:t xml:space="preserve">the </w:t>
      </w:r>
      <w:r w:rsidRPr="00EB541F">
        <w:rPr>
          <w:rFonts w:ascii="Times New Roman" w:hAnsi="Times New Roman"/>
        </w:rPr>
        <w:t>population had a diet “adequate in both calories and essential nutrients” (Powell and Rogers 1980:47) and that the health of the population was “generally good” (Powell and Rogers 1980:48).</w:t>
      </w:r>
      <w:r>
        <w:rPr>
          <w:rFonts w:ascii="Times New Roman" w:hAnsi="Times New Roman"/>
        </w:rPr>
        <w:t xml:space="preserve">  However this summary is somewhat at odds not only with the Akers data, </w:t>
      </w:r>
      <w:r w:rsidR="005544F1">
        <w:rPr>
          <w:rFonts w:ascii="Times New Roman" w:hAnsi="Times New Roman"/>
        </w:rPr>
        <w:t>but also</w:t>
      </w:r>
      <w:r>
        <w:rPr>
          <w:rFonts w:ascii="Times New Roman" w:hAnsi="Times New Roman"/>
        </w:rPr>
        <w:t xml:space="preserve"> with other Eastern Woodland summaries for similar time periods.</w:t>
      </w:r>
    </w:p>
    <w:p w14:paraId="6BAD9230" w14:textId="2CA6A6D4" w:rsidR="003B533C" w:rsidRDefault="003B533C" w:rsidP="003B533C">
      <w:pPr>
        <w:ind w:firstLine="720"/>
        <w:rPr>
          <w:rFonts w:ascii="Times New Roman" w:hAnsi="Times New Roman"/>
        </w:rPr>
      </w:pPr>
      <w:r>
        <w:rPr>
          <w:rFonts w:ascii="Times New Roman" w:hAnsi="Times New Roman"/>
        </w:rPr>
        <w:t xml:space="preserve">Both porotic </w:t>
      </w:r>
      <w:r w:rsidR="005544F1">
        <w:rPr>
          <w:rFonts w:ascii="Times New Roman" w:hAnsi="Times New Roman"/>
        </w:rPr>
        <w:t>hyperostosis</w:t>
      </w:r>
      <w:r>
        <w:rPr>
          <w:rFonts w:ascii="Times New Roman" w:hAnsi="Times New Roman"/>
        </w:rPr>
        <w:t xml:space="preserve"> and cribra orbitalia</w:t>
      </w:r>
      <w:r w:rsidRPr="001B4526">
        <w:rPr>
          <w:rFonts w:ascii="Times New Roman" w:hAnsi="Times New Roman"/>
        </w:rPr>
        <w:t xml:space="preserve"> lesions are quite common in other North American pre-contact sites, although they do tend to be low in pre-agricultural skeletal series.  For instance, in pre-contact, pre-agricultural sites at the Georgia bight (a long coastland area extending from North Carolina to Florida), cribra </w:t>
      </w:r>
      <w:r>
        <w:rPr>
          <w:rFonts w:ascii="Times New Roman" w:hAnsi="Times New Roman"/>
        </w:rPr>
        <w:t xml:space="preserve">orbitalia </w:t>
      </w:r>
      <w:r w:rsidRPr="001B4526">
        <w:rPr>
          <w:rFonts w:ascii="Times New Roman" w:hAnsi="Times New Roman"/>
        </w:rPr>
        <w:t>rates were 5.7% overall (38.5% for Juveniles) (Larsen and Sering 2000).  By contrast, cribra orbitalia lesions ranged from 23-63% for 13 maize dependent sites in Virginia and North Carolina (Lambert 2000:179).  This general trend of lower rates of cribra orbit</w:t>
      </w:r>
      <w:r>
        <w:rPr>
          <w:rFonts w:ascii="Times New Roman" w:hAnsi="Times New Roman"/>
        </w:rPr>
        <w:t>alia in pre-agricultural societ</w:t>
      </w:r>
      <w:r w:rsidRPr="001B4526">
        <w:rPr>
          <w:rFonts w:ascii="Times New Roman" w:hAnsi="Times New Roman"/>
        </w:rPr>
        <w:t>i</w:t>
      </w:r>
      <w:r>
        <w:rPr>
          <w:rFonts w:ascii="Times New Roman" w:hAnsi="Times New Roman"/>
        </w:rPr>
        <w:t>e</w:t>
      </w:r>
      <w:r w:rsidRPr="001B4526">
        <w:rPr>
          <w:rFonts w:ascii="Times New Roman" w:hAnsi="Times New Roman"/>
        </w:rPr>
        <w:t>s and higher rates in agriculture</w:t>
      </w:r>
      <w:r>
        <w:rPr>
          <w:rFonts w:ascii="Times New Roman" w:hAnsi="Times New Roman"/>
        </w:rPr>
        <w:t xml:space="preserve"> depende</w:t>
      </w:r>
      <w:r w:rsidRPr="001B4526">
        <w:rPr>
          <w:rFonts w:ascii="Times New Roman" w:hAnsi="Times New Roman"/>
        </w:rPr>
        <w:t xml:space="preserve">nt groups is </w:t>
      </w:r>
      <w:r>
        <w:rPr>
          <w:rFonts w:ascii="Times New Roman" w:hAnsi="Times New Roman"/>
        </w:rPr>
        <w:t>largely consistent (</w:t>
      </w:r>
      <w:r w:rsidRPr="001B4526">
        <w:rPr>
          <w:rFonts w:ascii="Times New Roman" w:hAnsi="Times New Roman"/>
        </w:rPr>
        <w:t xml:space="preserve">Cohen and </w:t>
      </w:r>
      <w:r>
        <w:rPr>
          <w:rFonts w:ascii="Times New Roman" w:hAnsi="Times New Roman"/>
        </w:rPr>
        <w:t>Crane-Kramer 2007</w:t>
      </w:r>
      <w:r w:rsidRPr="001B4526">
        <w:rPr>
          <w:rFonts w:ascii="Times New Roman" w:hAnsi="Times New Roman"/>
        </w:rPr>
        <w:t xml:space="preserve">, </w:t>
      </w:r>
      <w:r>
        <w:rPr>
          <w:rFonts w:ascii="Times New Roman" w:hAnsi="Times New Roman"/>
        </w:rPr>
        <w:t xml:space="preserve">Steckel and Rose 2002, </w:t>
      </w:r>
      <w:r w:rsidRPr="001B4526">
        <w:rPr>
          <w:rFonts w:ascii="Times New Roman" w:hAnsi="Times New Roman"/>
        </w:rPr>
        <w:t>etc.)</w:t>
      </w:r>
      <w:r>
        <w:rPr>
          <w:rFonts w:ascii="Times New Roman" w:hAnsi="Times New Roman"/>
        </w:rPr>
        <w:t>.</w:t>
      </w:r>
    </w:p>
    <w:p w14:paraId="7CCE32B8" w14:textId="77777777" w:rsidR="003B533C" w:rsidRDefault="003B533C" w:rsidP="003B533C">
      <w:pPr>
        <w:ind w:firstLine="720"/>
        <w:rPr>
          <w:rFonts w:ascii="Times New Roman" w:hAnsi="Times New Roman"/>
        </w:rPr>
      </w:pPr>
      <w:r w:rsidRPr="001B4526">
        <w:rPr>
          <w:rFonts w:ascii="Times New Roman" w:hAnsi="Times New Roman"/>
        </w:rPr>
        <w:t xml:space="preserve">The higher rates of cribra orbitalia in both subadults and adults at the Akers site, where agriculture was not a significant factor, require explanation.  I originally suggested that high rates of cribra orbitalia in subadults signaled Vitamin C deficiency and were due to an over-reliance on hickory nut mash for weanlings </w:t>
      </w:r>
      <w:r>
        <w:rPr>
          <w:rFonts w:ascii="Times New Roman" w:hAnsi="Times New Roman"/>
        </w:rPr>
        <w:t xml:space="preserve">and children </w:t>
      </w:r>
      <w:r w:rsidRPr="001B4526">
        <w:rPr>
          <w:rFonts w:ascii="Times New Roman" w:hAnsi="Times New Roman"/>
        </w:rPr>
        <w:t>(Rowe 2009).  Hickory nuts, while an excellent source of calories, protein, and fat, have almost no Vitamin C</w:t>
      </w:r>
      <w:r>
        <w:rPr>
          <w:rFonts w:ascii="Times New Roman" w:hAnsi="Times New Roman"/>
        </w:rPr>
        <w:t xml:space="preserve"> content</w:t>
      </w:r>
      <w:r w:rsidRPr="001B4526">
        <w:rPr>
          <w:rFonts w:ascii="Times New Roman" w:hAnsi="Times New Roman"/>
        </w:rPr>
        <w:t xml:space="preserve">.  I anticipated that adults would </w:t>
      </w:r>
      <w:r>
        <w:rPr>
          <w:rFonts w:ascii="Times New Roman" w:hAnsi="Times New Roman"/>
        </w:rPr>
        <w:t xml:space="preserve">have </w:t>
      </w:r>
      <w:r w:rsidRPr="001B4526">
        <w:rPr>
          <w:rFonts w:ascii="Times New Roman" w:hAnsi="Times New Roman"/>
        </w:rPr>
        <w:t xml:space="preserve">much lower rates of cribra orbitalia once their diets expanded.  </w:t>
      </w:r>
    </w:p>
    <w:p w14:paraId="0D7CC3A5" w14:textId="66D233DB" w:rsidR="003B533C" w:rsidRDefault="003B533C" w:rsidP="003B533C">
      <w:pPr>
        <w:ind w:firstLine="720"/>
        <w:rPr>
          <w:rFonts w:ascii="Times New Roman" w:hAnsi="Times New Roman"/>
        </w:rPr>
      </w:pPr>
      <w:r>
        <w:rPr>
          <w:rFonts w:ascii="Times New Roman" w:hAnsi="Times New Roman"/>
        </w:rPr>
        <w:t>Active rates of cribra orbitalia are indeed lower in adults.  However the majority of adult</w:t>
      </w:r>
      <w:r w:rsidR="00AE7EAC">
        <w:rPr>
          <w:rFonts w:ascii="Times New Roman" w:hAnsi="Times New Roman"/>
        </w:rPr>
        <w:t>s</w:t>
      </w:r>
      <w:r>
        <w:rPr>
          <w:rFonts w:ascii="Times New Roman" w:hAnsi="Times New Roman"/>
        </w:rPr>
        <w:t xml:space="preserve"> also had healed cribra orbitalia lesions.  Combined with the high subadult rate, this suggests that nutritional stress, particularly Vitamin C deficiency, was a persistent (though intermittent) problem at Akers.  Hunger osteopathies</w:t>
      </w:r>
      <w:r w:rsidR="000D58B0">
        <w:rPr>
          <w:rFonts w:ascii="Times New Roman" w:hAnsi="Times New Roman"/>
        </w:rPr>
        <w:t xml:space="preserve"> (</w:t>
      </w:r>
      <w:r w:rsidR="000D58B0" w:rsidRPr="00A00300">
        <w:rPr>
          <w:rFonts w:ascii="Times New Roman" w:hAnsi="Times New Roman"/>
        </w:rPr>
        <w:t>a syndrome of severe osteoporosis, periostitis, cribra orbitalia and porotic hyperostosis</w:t>
      </w:r>
      <w:r w:rsidR="000D58B0">
        <w:rPr>
          <w:rFonts w:ascii="Times New Roman" w:hAnsi="Times New Roman"/>
        </w:rPr>
        <w:t>)</w:t>
      </w:r>
      <w:r>
        <w:rPr>
          <w:rFonts w:ascii="Times New Roman" w:hAnsi="Times New Roman"/>
        </w:rPr>
        <w:t>, as described by Ortner (2003:405) were not observed.  Heights for the adults at Akers are not significantly lower than for other studied Wister area Fourche Maline sites (Rowe 2009).  Both of these results suggest that actual famine was not the issue at Akers.  Rather intermittent deficiency in Vitamin C was probably a persistent, intergeneratio</w:t>
      </w:r>
      <w:r w:rsidR="00AE7EAC">
        <w:rPr>
          <w:rFonts w:ascii="Times New Roman" w:hAnsi="Times New Roman"/>
        </w:rPr>
        <w:t>nal problem for the Akers residents</w:t>
      </w:r>
      <w:r>
        <w:rPr>
          <w:rFonts w:ascii="Times New Roman" w:hAnsi="Times New Roman"/>
        </w:rPr>
        <w:t xml:space="preserve">.  </w:t>
      </w:r>
    </w:p>
    <w:p w14:paraId="066A3BBB" w14:textId="77777777" w:rsidR="003B533C" w:rsidRDefault="003B533C" w:rsidP="003B533C">
      <w:pPr>
        <w:ind w:firstLine="720"/>
        <w:rPr>
          <w:rFonts w:ascii="Times New Roman" w:hAnsi="Times New Roman"/>
        </w:rPr>
      </w:pPr>
      <w:r>
        <w:rPr>
          <w:rFonts w:ascii="Times New Roman" w:hAnsi="Times New Roman"/>
        </w:rPr>
        <w:t>This interpretation is consistent with what we know about Vitamin C deficiency.  Recent evidence has demonstrated that scurvy can be a significant seasonal stressor even in non-displaced populations (</w:t>
      </w:r>
      <w:r w:rsidRPr="00A00300">
        <w:rPr>
          <w:rFonts w:ascii="Times New Roman" w:hAnsi="Times New Roman"/>
        </w:rPr>
        <w:t>Cheung et al. 2003</w:t>
      </w:r>
      <w:r>
        <w:rPr>
          <w:rFonts w:ascii="Times New Roman" w:hAnsi="Times New Roman"/>
        </w:rPr>
        <w:t>).  It is also possible that Akers was used more heavily in the winter, when fresh foods containing Vitamin C would be scarce.  However</w:t>
      </w:r>
      <w:r w:rsidRPr="001B4526">
        <w:rPr>
          <w:rFonts w:ascii="Times New Roman" w:hAnsi="Times New Roman"/>
        </w:rPr>
        <w:t xml:space="preserve"> </w:t>
      </w:r>
      <w:r>
        <w:rPr>
          <w:rFonts w:ascii="Times New Roman" w:hAnsi="Times New Roman"/>
        </w:rPr>
        <w:t>the enduring Vitamin C shortages</w:t>
      </w:r>
      <w:r w:rsidRPr="001B4526">
        <w:rPr>
          <w:rFonts w:ascii="Times New Roman" w:hAnsi="Times New Roman"/>
        </w:rPr>
        <w:t xml:space="preserve"> may also have been the consequence of a restricted hunting and foraging range due to intense feuding that occurred along the entire </w:t>
      </w:r>
      <w:r>
        <w:rPr>
          <w:rFonts w:ascii="Times New Roman" w:hAnsi="Times New Roman"/>
        </w:rPr>
        <w:t>Fourche Maline-Poteau drainage valley, or Wister area</w:t>
      </w:r>
      <w:r w:rsidRPr="001B4526">
        <w:rPr>
          <w:rFonts w:ascii="Times New Roman" w:hAnsi="Times New Roman"/>
        </w:rPr>
        <w:t xml:space="preserve">.  </w:t>
      </w:r>
    </w:p>
    <w:p w14:paraId="34821D8C" w14:textId="77777777" w:rsidR="003B533C" w:rsidRDefault="003B533C" w:rsidP="003B533C">
      <w:pPr>
        <w:spacing w:line="240" w:lineRule="auto"/>
        <w:ind w:firstLine="720"/>
        <w:rPr>
          <w:rFonts w:ascii="Times New Roman" w:hAnsi="Times New Roman"/>
        </w:rPr>
      </w:pPr>
    </w:p>
    <w:p w14:paraId="7EB44891" w14:textId="77777777" w:rsidR="003B533C" w:rsidRDefault="003B533C" w:rsidP="00CB4ED0">
      <w:pPr>
        <w:pStyle w:val="Heading2"/>
      </w:pPr>
      <w:bookmarkStart w:id="127" w:name="_Toc258757716"/>
      <w:bookmarkStart w:id="128" w:name="_Toc261025891"/>
      <w:r>
        <w:t>Wister Area Group Burials and Violent Death</w:t>
      </w:r>
      <w:bookmarkEnd w:id="127"/>
      <w:bookmarkEnd w:id="128"/>
    </w:p>
    <w:p w14:paraId="6550D22B" w14:textId="77777777" w:rsidR="003B533C" w:rsidRPr="00AF1945" w:rsidRDefault="003B533C" w:rsidP="003B533C">
      <w:pPr>
        <w:rPr>
          <w:rFonts w:ascii="Times New Roman" w:hAnsi="Times New Roman"/>
        </w:rPr>
      </w:pPr>
      <w:r w:rsidRPr="00327C9E">
        <w:rPr>
          <w:rFonts w:ascii="Times New Roman" w:hAnsi="Times New Roman"/>
        </w:rPr>
        <w:tab/>
      </w:r>
      <w:r>
        <w:rPr>
          <w:rFonts w:ascii="Times New Roman" w:hAnsi="Times New Roman"/>
        </w:rPr>
        <w:t xml:space="preserve">Conflict in the Wister area during the Fourche Maline was expected to manifest as feuding.  Specifically, burials would be expected to show high rates of skeletal trauma, which was demonstrated at the Akers site (Chapter 4).  Burials should also show evidence of mass graves and small group burials as well as trophy taking behavior (Dye 1997, 2013).  These correlates were demonstrated for the Wister area Fourche Maline in Chapter 5.   </w:t>
      </w:r>
    </w:p>
    <w:p w14:paraId="689BA03F" w14:textId="77777777" w:rsidR="003B533C" w:rsidRPr="00FB2872" w:rsidRDefault="003B533C" w:rsidP="003B533C">
      <w:pPr>
        <w:ind w:firstLine="720"/>
        <w:rPr>
          <w:rFonts w:ascii="Times New Roman" w:hAnsi="Times New Roman"/>
        </w:rPr>
      </w:pPr>
      <w:r w:rsidRPr="00327C9E">
        <w:rPr>
          <w:rFonts w:ascii="Times New Roman" w:hAnsi="Times New Roman"/>
        </w:rPr>
        <w:t>Although frequency of and severity of the feuding appears to have varied, it is clear that conflict was a persistent, valley wide phenomenon.</w:t>
      </w:r>
      <w:r>
        <w:rPr>
          <w:rFonts w:ascii="Times New Roman" w:hAnsi="Times New Roman"/>
        </w:rPr>
        <w:t xml:space="preserve">  As detailed in Chapter 5, rates of group burial, taken as a proxy for violent death, varied from 15% at the Brewer site (34Lf9) to 70% at the Redwine site (34Lf5).  For the entire Wister area Fourche Maline, 311 individuals, or 25% of those examined, were interred in group burials.  Furthermore, 71 individuals, or 6% of the total number of individuals, were interred in mass graves (5 or more individuals).</w:t>
      </w:r>
    </w:p>
    <w:p w14:paraId="355F8EEB" w14:textId="77777777" w:rsidR="003B533C" w:rsidRDefault="003B533C" w:rsidP="003B533C">
      <w:pPr>
        <w:ind w:firstLine="720"/>
        <w:rPr>
          <w:rFonts w:ascii="Times New Roman" w:hAnsi="Times New Roman"/>
        </w:rPr>
      </w:pPr>
      <w:r w:rsidRPr="008A77C0">
        <w:rPr>
          <w:rFonts w:ascii="Times New Roman" w:hAnsi="Times New Roman"/>
        </w:rPr>
        <w:t>A previous estim</w:t>
      </w:r>
      <w:r>
        <w:rPr>
          <w:rFonts w:ascii="Times New Roman" w:hAnsi="Times New Roman"/>
        </w:rPr>
        <w:t>ate for violent death in the</w:t>
      </w:r>
      <w:r w:rsidRPr="008A77C0">
        <w:rPr>
          <w:rFonts w:ascii="Times New Roman" w:hAnsi="Times New Roman"/>
        </w:rPr>
        <w:t xml:space="preserve"> </w:t>
      </w:r>
      <w:r>
        <w:rPr>
          <w:rFonts w:ascii="Times New Roman" w:hAnsi="Times New Roman"/>
        </w:rPr>
        <w:t>Wister area Fourche Maline was 4% (Galm 1978:241).  It is unclear how this number was calculated, although it appears to be a combination of mass graves and embedded projectile points.  Clearly this early estimate is far too conservative, given that 25% of the Wister area Fourche Maline population was interred in group burials.  Even if half of the</w:t>
      </w:r>
      <w:r w:rsidRPr="008A77C0">
        <w:rPr>
          <w:rFonts w:ascii="Times New Roman" w:hAnsi="Times New Roman"/>
        </w:rPr>
        <w:t xml:space="preserve"> group burials </w:t>
      </w:r>
      <w:r>
        <w:rPr>
          <w:rFonts w:ascii="Times New Roman" w:hAnsi="Times New Roman"/>
        </w:rPr>
        <w:t xml:space="preserve">from the Wister area Fourche Maline </w:t>
      </w:r>
      <w:r w:rsidRPr="008A77C0">
        <w:rPr>
          <w:rFonts w:ascii="Times New Roman" w:hAnsi="Times New Roman"/>
        </w:rPr>
        <w:t xml:space="preserve">are not the result of violent death, this early estimate is far too low.  </w:t>
      </w:r>
    </w:p>
    <w:p w14:paraId="2DFA94C7" w14:textId="77777777" w:rsidR="003B533C" w:rsidRDefault="003B533C" w:rsidP="003B533C">
      <w:pPr>
        <w:ind w:firstLine="720"/>
        <w:rPr>
          <w:rFonts w:ascii="Times New Roman" w:hAnsi="Times New Roman"/>
        </w:rPr>
      </w:pPr>
      <w:r>
        <w:rPr>
          <w:rFonts w:ascii="Times New Roman" w:hAnsi="Times New Roman"/>
        </w:rPr>
        <w:t>Although the evidence for conflict may seem extreme in the study area, in truth it may not have been that unusual for its time.  Ethnographic studies suggest that modern hunter-gatherers engage in violent conflict on average once every other year (</w:t>
      </w:r>
      <w:r w:rsidRPr="00A00300">
        <w:rPr>
          <w:rFonts w:ascii="Times New Roman" w:hAnsi="Times New Roman"/>
        </w:rPr>
        <w:t>Ember and Ember 1997:5</w:t>
      </w:r>
      <w:r>
        <w:rPr>
          <w:rFonts w:ascii="Times New Roman" w:hAnsi="Times New Roman"/>
        </w:rPr>
        <w:t xml:space="preserve">) and that </w:t>
      </w:r>
      <w:r w:rsidRPr="00A00300">
        <w:rPr>
          <w:rFonts w:ascii="Times New Roman" w:hAnsi="Times New Roman"/>
        </w:rPr>
        <w:t xml:space="preserve">about 25% of adult males in non-state level societies died from </w:t>
      </w:r>
      <w:r>
        <w:rPr>
          <w:rFonts w:ascii="Times New Roman" w:hAnsi="Times New Roman"/>
        </w:rPr>
        <w:t xml:space="preserve">violence </w:t>
      </w:r>
      <w:r w:rsidRPr="00A00300">
        <w:rPr>
          <w:rFonts w:ascii="Times New Roman" w:hAnsi="Times New Roman"/>
        </w:rPr>
        <w:t>well into the 20</w:t>
      </w:r>
      <w:r w:rsidRPr="00A00300">
        <w:rPr>
          <w:rFonts w:ascii="Times New Roman" w:hAnsi="Times New Roman"/>
          <w:vertAlign w:val="superscript"/>
        </w:rPr>
        <w:t>th</w:t>
      </w:r>
      <w:r w:rsidRPr="00A00300">
        <w:rPr>
          <w:rFonts w:ascii="Times New Roman" w:hAnsi="Times New Roman"/>
        </w:rPr>
        <w:t xml:space="preserve"> century (Keeley 1996).  </w:t>
      </w:r>
    </w:p>
    <w:p w14:paraId="012A741B" w14:textId="77777777" w:rsidR="003B533C" w:rsidRDefault="003B533C" w:rsidP="003B533C">
      <w:pPr>
        <w:ind w:firstLine="720"/>
        <w:rPr>
          <w:rFonts w:ascii="Times New Roman" w:hAnsi="Times New Roman"/>
        </w:rPr>
      </w:pPr>
      <w:r>
        <w:rPr>
          <w:rFonts w:ascii="Times New Roman" w:hAnsi="Times New Roman"/>
        </w:rPr>
        <w:t>The Wister area is not unique archaeologically either.  For instance at the Norris Farms #36 cemetery in the central Illinois River Valley, up to one-third of adults lost their life due to warfare (Milner et al. 1991).  At the Dickson M</w:t>
      </w:r>
      <w:r w:rsidRPr="00EB541F">
        <w:rPr>
          <w:rFonts w:ascii="Times New Roman" w:hAnsi="Times New Roman"/>
        </w:rPr>
        <w:t>ound</w:t>
      </w:r>
      <w:r>
        <w:rPr>
          <w:rFonts w:ascii="Times New Roman" w:hAnsi="Times New Roman"/>
        </w:rPr>
        <w:t>s site in Ohio,</w:t>
      </w:r>
      <w:r w:rsidRPr="00EB541F">
        <w:rPr>
          <w:rFonts w:ascii="Times New Roman" w:hAnsi="Times New Roman"/>
        </w:rPr>
        <w:t xml:space="preserve"> 16% of</w:t>
      </w:r>
      <w:r>
        <w:rPr>
          <w:rFonts w:ascii="Times New Roman" w:hAnsi="Times New Roman"/>
        </w:rPr>
        <w:t xml:space="preserve"> the 264 individuals interred there were killed by others (Lallo, Rose, and Armelagos 1980).</w:t>
      </w:r>
    </w:p>
    <w:p w14:paraId="54B4F32B" w14:textId="79A083C3" w:rsidR="003B533C" w:rsidRDefault="003B533C" w:rsidP="003B533C">
      <w:pPr>
        <w:ind w:firstLine="720"/>
        <w:rPr>
          <w:rFonts w:ascii="Times New Roman" w:hAnsi="Times New Roman"/>
        </w:rPr>
      </w:pPr>
      <w:r w:rsidRPr="00B151B6">
        <w:rPr>
          <w:rFonts w:ascii="Times New Roman" w:hAnsi="Times New Roman"/>
        </w:rPr>
        <w:t xml:space="preserve">Spontaneous conflicts over resources tend to arise even in resource-rich area such as river valleys (Dye 2013:135).  These conflicts are between co-residents of an area who routinely hunt/gather together, and weapons are simply those carried for food procurement.  Such conflict is the result not only of population density </w:t>
      </w:r>
      <w:r w:rsidR="005544F1" w:rsidRPr="00B151B6">
        <w:rPr>
          <w:rFonts w:ascii="Times New Roman" w:hAnsi="Times New Roman"/>
        </w:rPr>
        <w:t>but also</w:t>
      </w:r>
      <w:r w:rsidRPr="00B151B6">
        <w:rPr>
          <w:rFonts w:ascii="Times New Roman" w:hAnsi="Times New Roman"/>
        </w:rPr>
        <w:t xml:space="preserve"> of resource availability, and the desire to secure resources without having to share them (Dye 2013:135-136).</w:t>
      </w:r>
      <w:r>
        <w:rPr>
          <w:rFonts w:ascii="Times New Roman" w:hAnsi="Times New Roman"/>
        </w:rPr>
        <w:t xml:space="preserve">  </w:t>
      </w:r>
    </w:p>
    <w:p w14:paraId="3CE19DC7" w14:textId="319EFC69" w:rsidR="003B533C" w:rsidRDefault="003B533C" w:rsidP="003B533C">
      <w:pPr>
        <w:ind w:firstLine="720"/>
        <w:rPr>
          <w:rFonts w:ascii="Times New Roman" w:hAnsi="Times New Roman"/>
        </w:rPr>
      </w:pPr>
      <w:r>
        <w:rPr>
          <w:rFonts w:ascii="Times New Roman" w:hAnsi="Times New Roman"/>
        </w:rPr>
        <w:t>Throughout eastern North America, the late Woodland period (ca 400-100</w:t>
      </w:r>
      <w:r w:rsidR="00AE6769">
        <w:rPr>
          <w:rFonts w:ascii="Times New Roman" w:hAnsi="Times New Roman"/>
        </w:rPr>
        <w:t xml:space="preserve"> CE</w:t>
      </w:r>
      <w:r>
        <w:rPr>
          <w:rFonts w:ascii="Times New Roman" w:hAnsi="Times New Roman"/>
        </w:rPr>
        <w:t xml:space="preserve">), roughly contemporaneous with the Fourche Maline, was characterized by population growth and increasing conflict (Anderson 2001:163).  Both the archaeological and paleopathological evidence indicate that the Wister area Fourche Maline was a regional variant of this larger pattern. </w:t>
      </w:r>
    </w:p>
    <w:p w14:paraId="366EA27A" w14:textId="77777777" w:rsidR="003B533C" w:rsidRDefault="003B533C" w:rsidP="00CB4ED0">
      <w:pPr>
        <w:pStyle w:val="Heading2"/>
      </w:pPr>
      <w:bookmarkStart w:id="129" w:name="_Toc258757717"/>
      <w:bookmarkStart w:id="130" w:name="_Toc261025892"/>
      <w:r>
        <w:t>Future Work</w:t>
      </w:r>
      <w:bookmarkEnd w:id="129"/>
      <w:bookmarkEnd w:id="130"/>
      <w:r w:rsidRPr="00F62464">
        <w:tab/>
      </w:r>
    </w:p>
    <w:p w14:paraId="4D5BEB3A" w14:textId="5B9DA8A8" w:rsidR="003B533C" w:rsidRDefault="003B533C" w:rsidP="003B533C">
      <w:pPr>
        <w:ind w:firstLine="720"/>
        <w:rPr>
          <w:rFonts w:ascii="Times New Roman" w:hAnsi="Times New Roman"/>
        </w:rPr>
      </w:pPr>
      <w:r>
        <w:rPr>
          <w:rFonts w:ascii="Times New Roman" w:hAnsi="Times New Roman"/>
        </w:rPr>
        <w:t xml:space="preserve">This work has demonstrated that the Wister area Fourche Maline was a contested landscape.  Although this is clear at the regional level, further studies are needed in order to further understand the dynamics and health status of these ancestral Spiroans.  Further biological (osteological) and material (artifacts, landscape studies) investigations are needed not only at Akers, </w:t>
      </w:r>
      <w:r w:rsidR="005544F1">
        <w:rPr>
          <w:rFonts w:ascii="Times New Roman" w:hAnsi="Times New Roman"/>
        </w:rPr>
        <w:t>but also</w:t>
      </w:r>
      <w:r>
        <w:rPr>
          <w:rFonts w:ascii="Times New Roman" w:hAnsi="Times New Roman"/>
        </w:rPr>
        <w:t xml:space="preserve"> throughout the Fourche Maline and Poteau stream valleys, or Wister area.</w:t>
      </w:r>
    </w:p>
    <w:p w14:paraId="5A5BDFCB" w14:textId="77777777" w:rsidR="003B533C" w:rsidRPr="00F62464" w:rsidRDefault="003B533C" w:rsidP="003B533C">
      <w:pPr>
        <w:ind w:firstLine="720"/>
        <w:rPr>
          <w:rFonts w:ascii="Times New Roman" w:hAnsi="Times New Roman"/>
        </w:rPr>
      </w:pPr>
      <w:r>
        <w:rPr>
          <w:rFonts w:ascii="Times New Roman" w:hAnsi="Times New Roman"/>
        </w:rPr>
        <w:t xml:space="preserve">Analysis of the Akers site is ongoing.  </w:t>
      </w:r>
      <w:r w:rsidRPr="00F62464">
        <w:rPr>
          <w:rFonts w:ascii="Times New Roman" w:hAnsi="Times New Roman"/>
        </w:rPr>
        <w:t xml:space="preserve">As previously mentioned, the majority of crania from Akers were </w:t>
      </w:r>
      <w:r>
        <w:rPr>
          <w:rFonts w:ascii="Times New Roman" w:hAnsi="Times New Roman"/>
        </w:rPr>
        <w:t xml:space="preserve">culturally </w:t>
      </w:r>
      <w:r w:rsidRPr="00F62464">
        <w:rPr>
          <w:rFonts w:ascii="Times New Roman" w:hAnsi="Times New Roman"/>
        </w:rPr>
        <w:t>modified.  Cranial analysis</w:t>
      </w:r>
      <w:r>
        <w:rPr>
          <w:rFonts w:ascii="Times New Roman" w:hAnsi="Times New Roman"/>
        </w:rPr>
        <w:t xml:space="preserve"> is in the final stages of assessment</w:t>
      </w:r>
      <w:r w:rsidRPr="00F62464">
        <w:rPr>
          <w:rFonts w:ascii="Times New Roman" w:hAnsi="Times New Roman"/>
        </w:rPr>
        <w:t>, and will detail the multiple types of modifications seen at Akers.</w:t>
      </w:r>
      <w:r>
        <w:rPr>
          <w:rFonts w:ascii="Times New Roman" w:hAnsi="Times New Roman"/>
        </w:rPr>
        <w:t xml:space="preserve"> This work will be reported in a separate publication.  Paleopathological assessment of the dentition from Akers is limited due to the few maxilla recovered.  However </w:t>
      </w:r>
      <w:r w:rsidRPr="00F62464">
        <w:rPr>
          <w:rFonts w:ascii="Times New Roman" w:hAnsi="Times New Roman"/>
        </w:rPr>
        <w:t>a number of relatively complete mandibles with dentit</w:t>
      </w:r>
      <w:r>
        <w:rPr>
          <w:rFonts w:ascii="Times New Roman" w:hAnsi="Times New Roman"/>
        </w:rPr>
        <w:t>ion are available for analysis.  This analysis will be completed at a later date.</w:t>
      </w:r>
    </w:p>
    <w:p w14:paraId="11A552C7" w14:textId="50233A17" w:rsidR="003B533C" w:rsidRPr="00F62464" w:rsidRDefault="003B533C" w:rsidP="003B533C">
      <w:pPr>
        <w:ind w:firstLine="720"/>
        <w:rPr>
          <w:rFonts w:ascii="Times New Roman" w:hAnsi="Times New Roman"/>
        </w:rPr>
      </w:pPr>
      <w:r w:rsidRPr="00F62464">
        <w:rPr>
          <w:rFonts w:ascii="Times New Roman" w:hAnsi="Times New Roman"/>
        </w:rPr>
        <w:t>Additionally</w:t>
      </w:r>
      <w:r w:rsidR="003B63DD">
        <w:rPr>
          <w:rFonts w:ascii="Times New Roman" w:hAnsi="Times New Roman"/>
        </w:rPr>
        <w:t>,</w:t>
      </w:r>
      <w:r w:rsidRPr="00F62464">
        <w:rPr>
          <w:rFonts w:ascii="Times New Roman" w:hAnsi="Times New Roman"/>
        </w:rPr>
        <w:t xml:space="preserve"> a co</w:t>
      </w:r>
      <w:r>
        <w:rPr>
          <w:rFonts w:ascii="Times New Roman" w:hAnsi="Times New Roman"/>
        </w:rPr>
        <w:t>llaborative</w:t>
      </w:r>
      <w:r w:rsidRPr="00F62464">
        <w:rPr>
          <w:rFonts w:ascii="Times New Roman" w:hAnsi="Times New Roman"/>
        </w:rPr>
        <w:t xml:space="preserve"> analysis of the chipped stone lithic assemblage from the Akers site in </w:t>
      </w:r>
      <w:r>
        <w:rPr>
          <w:rFonts w:ascii="Times New Roman" w:hAnsi="Times New Roman"/>
        </w:rPr>
        <w:t>in process</w:t>
      </w:r>
      <w:r w:rsidRPr="00F62464">
        <w:rPr>
          <w:rFonts w:ascii="Times New Roman" w:hAnsi="Times New Roman"/>
        </w:rPr>
        <w:t xml:space="preserve">.  This study will compare the artifacts from burial squares with non-burial squares in order to be directly comparable with previous </w:t>
      </w:r>
      <w:r>
        <w:rPr>
          <w:rFonts w:ascii="Times New Roman" w:hAnsi="Times New Roman"/>
        </w:rPr>
        <w:t>Wister area</w:t>
      </w:r>
      <w:r w:rsidRPr="00F62464">
        <w:rPr>
          <w:rFonts w:ascii="Times New Roman" w:hAnsi="Times New Roman"/>
        </w:rPr>
        <w:t xml:space="preserve"> Fourche Maline lithic analyses</w:t>
      </w:r>
      <w:r>
        <w:rPr>
          <w:rFonts w:ascii="Times New Roman" w:hAnsi="Times New Roman"/>
        </w:rPr>
        <w:t xml:space="preserve"> (Burns 2007, Leader 1997)</w:t>
      </w:r>
      <w:r w:rsidRPr="00F62464">
        <w:rPr>
          <w:rFonts w:ascii="Times New Roman" w:hAnsi="Times New Roman"/>
        </w:rPr>
        <w:t xml:space="preserve">.  Analysis of the faunal remains from the Akers site </w:t>
      </w:r>
      <w:r>
        <w:rPr>
          <w:rFonts w:ascii="Times New Roman" w:hAnsi="Times New Roman"/>
        </w:rPr>
        <w:t>has also begun</w:t>
      </w:r>
      <w:r w:rsidRPr="00F62464">
        <w:rPr>
          <w:rFonts w:ascii="Times New Roman" w:hAnsi="Times New Roman"/>
        </w:rPr>
        <w:t>.</w:t>
      </w:r>
    </w:p>
    <w:p w14:paraId="0E656294" w14:textId="77777777" w:rsidR="003B533C" w:rsidRPr="00F62464" w:rsidRDefault="003B533C" w:rsidP="003B533C">
      <w:pPr>
        <w:ind w:firstLine="720"/>
        <w:rPr>
          <w:rFonts w:ascii="Times New Roman" w:hAnsi="Times New Roman"/>
        </w:rPr>
      </w:pPr>
      <w:r w:rsidRPr="00F62464">
        <w:rPr>
          <w:rFonts w:ascii="Times New Roman" w:hAnsi="Times New Roman"/>
        </w:rPr>
        <w:t xml:space="preserve">Several sites in the </w:t>
      </w:r>
      <w:r>
        <w:rPr>
          <w:rFonts w:ascii="Times New Roman" w:hAnsi="Times New Roman"/>
        </w:rPr>
        <w:t>study area</w:t>
      </w:r>
      <w:r w:rsidRPr="00F62464">
        <w:rPr>
          <w:rFonts w:ascii="Times New Roman" w:hAnsi="Times New Roman"/>
        </w:rPr>
        <w:t xml:space="preserve"> deserve special mention as needing analysis.  The Scott site burials were examined in the 1950s by an undergraduate student and require reanalysis.  Although the Mackey site has had basic </w:t>
      </w:r>
      <w:r>
        <w:rPr>
          <w:rFonts w:ascii="Times New Roman" w:hAnsi="Times New Roman"/>
        </w:rPr>
        <w:t>paleo</w:t>
      </w:r>
      <w:r w:rsidRPr="00F62464">
        <w:rPr>
          <w:rFonts w:ascii="Times New Roman" w:hAnsi="Times New Roman"/>
        </w:rPr>
        <w:t xml:space="preserve">demography completed, a thorough paleopathological </w:t>
      </w:r>
      <w:r>
        <w:rPr>
          <w:rFonts w:ascii="Times New Roman" w:hAnsi="Times New Roman"/>
        </w:rPr>
        <w:t>assessment should be undertaken</w:t>
      </w:r>
      <w:r w:rsidRPr="00F62464">
        <w:rPr>
          <w:rFonts w:ascii="Times New Roman" w:hAnsi="Times New Roman"/>
        </w:rPr>
        <w:t xml:space="preserve">.  The Adams site, </w:t>
      </w:r>
      <w:r>
        <w:rPr>
          <w:rFonts w:ascii="Times New Roman" w:hAnsi="Times New Roman"/>
        </w:rPr>
        <w:t>which has a</w:t>
      </w:r>
      <w:r w:rsidRPr="00F62464">
        <w:rPr>
          <w:rFonts w:ascii="Times New Roman" w:hAnsi="Times New Roman"/>
        </w:rPr>
        <w:t xml:space="preserve"> mass burial of nine individuals</w:t>
      </w:r>
      <w:r>
        <w:rPr>
          <w:rFonts w:ascii="Times New Roman" w:hAnsi="Times New Roman"/>
        </w:rPr>
        <w:t xml:space="preserve"> buried facedown,</w:t>
      </w:r>
      <w:r w:rsidRPr="00F62464">
        <w:rPr>
          <w:rFonts w:ascii="Times New Roman" w:hAnsi="Times New Roman"/>
        </w:rPr>
        <w:t xml:space="preserve"> </w:t>
      </w:r>
      <w:r>
        <w:rPr>
          <w:rFonts w:ascii="Times New Roman" w:hAnsi="Times New Roman"/>
        </w:rPr>
        <w:t>is an important site that needs bioarchaeological analysis</w:t>
      </w:r>
      <w:r w:rsidRPr="00F62464">
        <w:rPr>
          <w:rFonts w:ascii="Times New Roman" w:hAnsi="Times New Roman"/>
        </w:rPr>
        <w:t xml:space="preserve">.  Williams I, the most carefully excavated of the </w:t>
      </w:r>
      <w:r>
        <w:rPr>
          <w:rFonts w:ascii="Times New Roman" w:hAnsi="Times New Roman"/>
        </w:rPr>
        <w:t>WPA Wister area</w:t>
      </w:r>
      <w:r w:rsidRPr="00F62464">
        <w:rPr>
          <w:rFonts w:ascii="Times New Roman" w:hAnsi="Times New Roman"/>
        </w:rPr>
        <w:t xml:space="preserve"> Fourche Maline sites, has over 200 unanalyzed burials and a large number of artifacts that </w:t>
      </w:r>
      <w:r>
        <w:rPr>
          <w:rFonts w:ascii="Times New Roman" w:hAnsi="Times New Roman"/>
        </w:rPr>
        <w:t>also require careful assessment.</w:t>
      </w:r>
    </w:p>
    <w:p w14:paraId="628389C7" w14:textId="03E64C6C" w:rsidR="003B533C" w:rsidRPr="00F62464" w:rsidRDefault="003B533C" w:rsidP="003B533C">
      <w:pPr>
        <w:rPr>
          <w:rFonts w:ascii="Times New Roman" w:hAnsi="Times New Roman"/>
        </w:rPr>
      </w:pPr>
      <w:r w:rsidRPr="00F62464">
        <w:rPr>
          <w:rFonts w:ascii="Times New Roman" w:hAnsi="Times New Roman"/>
        </w:rPr>
        <w:tab/>
        <w:t xml:space="preserve">Additionally, several recurring themes at these sites </w:t>
      </w:r>
      <w:r>
        <w:rPr>
          <w:rFonts w:ascii="Times New Roman" w:hAnsi="Times New Roman"/>
        </w:rPr>
        <w:t>need</w:t>
      </w:r>
      <w:r w:rsidRPr="00F62464">
        <w:rPr>
          <w:rFonts w:ascii="Times New Roman" w:hAnsi="Times New Roman"/>
        </w:rPr>
        <w:t xml:space="preserve"> further investigation.  For instance, most of these sites have dog burials, which would make a fascinating study in itself.  All of the sites have ash deposits, many of them (possibly all of them) without evidence of in situ development.  Secondary ash deposits are an interesting feature that requires theorization and analysis.</w:t>
      </w:r>
      <w:r>
        <w:rPr>
          <w:rFonts w:ascii="Times New Roman" w:hAnsi="Times New Roman"/>
        </w:rPr>
        <w:t xml:space="preserve">  Although this study has avoided issues of temporality, it may be possible to assign some of the Akers burials dates based on a combination of paleopathological and artifact data.</w:t>
      </w:r>
    </w:p>
    <w:p w14:paraId="6B49721B" w14:textId="4C308C57" w:rsidR="003B533C" w:rsidRPr="00F62464" w:rsidRDefault="003B533C" w:rsidP="003B533C">
      <w:pPr>
        <w:rPr>
          <w:rFonts w:ascii="Times New Roman" w:hAnsi="Times New Roman"/>
        </w:rPr>
      </w:pPr>
      <w:r w:rsidRPr="00F62464">
        <w:rPr>
          <w:rFonts w:ascii="Times New Roman" w:hAnsi="Times New Roman"/>
        </w:rPr>
        <w:tab/>
        <w:t>Finally, the mounds themselves require a more theoretical orientation than they have previously received.  The mounds have been uncritically characterized as middens since the early 1940s, despite their predominate feature being human burials.  If the artifacts in the mounds are reconceptualized as purposeful deposits rather than refu</w:t>
      </w:r>
      <w:r>
        <w:rPr>
          <w:rFonts w:ascii="Times New Roman" w:hAnsi="Times New Roman"/>
        </w:rPr>
        <w:t xml:space="preserve">se, whole new areas of inquiry </w:t>
      </w:r>
      <w:r w:rsidR="004D5735">
        <w:rPr>
          <w:rFonts w:ascii="Times New Roman" w:hAnsi="Times New Roman"/>
        </w:rPr>
        <w:t>are possible, including</w:t>
      </w:r>
      <w:r w:rsidRPr="00F62464">
        <w:rPr>
          <w:rFonts w:ascii="Times New Roman" w:hAnsi="Times New Roman"/>
        </w:rPr>
        <w:t xml:space="preserve"> theoretically and methodologically rich concepts such as feasting, ceremonialism, and ritual.</w:t>
      </w:r>
    </w:p>
    <w:p w14:paraId="7BAB5557" w14:textId="77777777" w:rsidR="003B533C" w:rsidRDefault="003B533C" w:rsidP="003B533C">
      <w:pPr>
        <w:spacing w:line="240" w:lineRule="auto"/>
        <w:rPr>
          <w:rFonts w:ascii="Times New Roman" w:hAnsi="Times New Roman"/>
        </w:rPr>
      </w:pPr>
    </w:p>
    <w:p w14:paraId="76F5DB38" w14:textId="77777777" w:rsidR="003B533C" w:rsidRDefault="003B533C" w:rsidP="00CB4ED0">
      <w:pPr>
        <w:pStyle w:val="Heading2"/>
      </w:pPr>
      <w:bookmarkStart w:id="131" w:name="_Toc258757718"/>
      <w:bookmarkStart w:id="132" w:name="_Toc261025893"/>
      <w:r>
        <w:t>Conclusions</w:t>
      </w:r>
      <w:bookmarkEnd w:id="131"/>
      <w:bookmarkEnd w:id="132"/>
    </w:p>
    <w:p w14:paraId="50E7F3D8" w14:textId="77777777" w:rsidR="003B533C" w:rsidRDefault="003B533C" w:rsidP="003B533C">
      <w:pPr>
        <w:ind w:firstLine="720"/>
        <w:rPr>
          <w:rFonts w:ascii="Times New Roman" w:hAnsi="Times New Roman"/>
        </w:rPr>
      </w:pPr>
      <w:r>
        <w:rPr>
          <w:rFonts w:ascii="Times New Roman" w:hAnsi="Times New Roman"/>
        </w:rPr>
        <w:t xml:space="preserve">The Wister area during the Fourche Maline cultural phase was a contested landscape.  Although overall violence in the valley varied considerably by site, 25% of the residents in the valley were interred in group or mass burials, suggesting widespread conflict.  </w:t>
      </w:r>
      <w:r w:rsidRPr="00F62464">
        <w:rPr>
          <w:rFonts w:ascii="Times New Roman" w:hAnsi="Times New Roman"/>
        </w:rPr>
        <w:t>The previous chapters have demonstrated hi</w:t>
      </w:r>
      <w:r>
        <w:rPr>
          <w:rFonts w:ascii="Times New Roman" w:hAnsi="Times New Roman"/>
        </w:rPr>
        <w:t xml:space="preserve">gh rates of skeletal trauma, </w:t>
      </w:r>
      <w:r w:rsidRPr="00F62464">
        <w:rPr>
          <w:rFonts w:ascii="Times New Roman" w:hAnsi="Times New Roman"/>
        </w:rPr>
        <w:t>high rates of subadult nutritional deficiencies</w:t>
      </w:r>
      <w:r>
        <w:rPr>
          <w:rFonts w:ascii="Times New Roman" w:hAnsi="Times New Roman"/>
        </w:rPr>
        <w:t>,</w:t>
      </w:r>
      <w:r w:rsidRPr="00F62464">
        <w:rPr>
          <w:rFonts w:ascii="Times New Roman" w:hAnsi="Times New Roman"/>
        </w:rPr>
        <w:t xml:space="preserve"> and moderate rates of adult nutritional deficiencies at the Akers site (34Lf32), a large, completely excavated burial mound from the eastern end of the </w:t>
      </w:r>
      <w:r>
        <w:rPr>
          <w:rFonts w:ascii="Times New Roman" w:hAnsi="Times New Roman"/>
        </w:rPr>
        <w:t>Wister area</w:t>
      </w:r>
      <w:r w:rsidRPr="00F62464">
        <w:rPr>
          <w:rFonts w:ascii="Times New Roman" w:hAnsi="Times New Roman"/>
        </w:rPr>
        <w:t xml:space="preserve"> Fourche Maline complex.  Examina</w:t>
      </w:r>
      <w:r>
        <w:rPr>
          <w:rFonts w:ascii="Times New Roman" w:hAnsi="Times New Roman"/>
        </w:rPr>
        <w:t>tion of multiple Fourche Maline</w:t>
      </w:r>
      <w:r w:rsidRPr="00F62464">
        <w:rPr>
          <w:rFonts w:ascii="Times New Roman" w:hAnsi="Times New Roman"/>
        </w:rPr>
        <w:t xml:space="preserve"> mounds has </w:t>
      </w:r>
      <w:r>
        <w:rPr>
          <w:rFonts w:ascii="Times New Roman" w:hAnsi="Times New Roman"/>
        </w:rPr>
        <w:t>documented</w:t>
      </w:r>
      <w:r w:rsidRPr="00F62464">
        <w:rPr>
          <w:rFonts w:ascii="Times New Roman" w:hAnsi="Times New Roman"/>
        </w:rPr>
        <w:t xml:space="preserve"> varying, but generally high rates</w:t>
      </w:r>
      <w:r>
        <w:rPr>
          <w:rFonts w:ascii="Times New Roman" w:hAnsi="Times New Roman"/>
        </w:rPr>
        <w:t>,</w:t>
      </w:r>
      <w:r w:rsidRPr="00F62464">
        <w:rPr>
          <w:rFonts w:ascii="Times New Roman" w:hAnsi="Times New Roman"/>
        </w:rPr>
        <w:t xml:space="preserve"> of group burials, which are taken as proxy evidence for violent death.  </w:t>
      </w:r>
    </w:p>
    <w:p w14:paraId="6D829316" w14:textId="77777777" w:rsidR="003B533C" w:rsidRPr="00D961AB" w:rsidRDefault="003B533C" w:rsidP="003B533C">
      <w:pPr>
        <w:ind w:firstLine="720"/>
        <w:rPr>
          <w:rFonts w:ascii="Times New Roman" w:hAnsi="Times New Roman"/>
        </w:rPr>
      </w:pPr>
      <w:r>
        <w:rPr>
          <w:rFonts w:ascii="Times New Roman" w:hAnsi="Times New Roman"/>
        </w:rPr>
        <w:t>Because the</w:t>
      </w:r>
      <w:r w:rsidRPr="00F62464">
        <w:rPr>
          <w:rFonts w:ascii="Times New Roman" w:hAnsi="Times New Roman"/>
        </w:rPr>
        <w:t xml:space="preserve"> </w:t>
      </w:r>
      <w:r>
        <w:rPr>
          <w:rFonts w:ascii="Times New Roman" w:hAnsi="Times New Roman"/>
        </w:rPr>
        <w:t>Wister area Fourche Maline</w:t>
      </w:r>
      <w:r w:rsidRPr="00F62464">
        <w:rPr>
          <w:rFonts w:ascii="Times New Roman" w:hAnsi="Times New Roman"/>
        </w:rPr>
        <w:t xml:space="preserve"> </w:t>
      </w:r>
      <w:r>
        <w:rPr>
          <w:rFonts w:ascii="Times New Roman" w:hAnsi="Times New Roman"/>
        </w:rPr>
        <w:t>w</w:t>
      </w:r>
      <w:r w:rsidRPr="00F62464">
        <w:rPr>
          <w:rFonts w:ascii="Times New Roman" w:hAnsi="Times New Roman"/>
        </w:rPr>
        <w:t xml:space="preserve">as a contested landscape, residents of the valley were affected in multiple ways, including </w:t>
      </w:r>
      <w:r>
        <w:rPr>
          <w:rFonts w:ascii="Times New Roman" w:hAnsi="Times New Roman"/>
        </w:rPr>
        <w:t>compromised</w:t>
      </w:r>
      <w:r w:rsidRPr="00F62464">
        <w:rPr>
          <w:rFonts w:ascii="Times New Roman" w:hAnsi="Times New Roman"/>
        </w:rPr>
        <w:t xml:space="preserve"> health</w:t>
      </w:r>
      <w:r>
        <w:rPr>
          <w:rFonts w:ascii="Times New Roman" w:hAnsi="Times New Roman"/>
        </w:rPr>
        <w:t xml:space="preserve"> status</w:t>
      </w:r>
      <w:r w:rsidRPr="00F62464">
        <w:rPr>
          <w:rFonts w:ascii="Times New Roman" w:hAnsi="Times New Roman"/>
        </w:rPr>
        <w:t>, a</w:t>
      </w:r>
      <w:r>
        <w:rPr>
          <w:rFonts w:ascii="Times New Roman" w:hAnsi="Times New Roman"/>
        </w:rPr>
        <w:t xml:space="preserve">s reflected by rates of skeletal trauma </w:t>
      </w:r>
      <w:r w:rsidRPr="00F62464">
        <w:rPr>
          <w:rFonts w:ascii="Times New Roman" w:hAnsi="Times New Roman"/>
        </w:rPr>
        <w:t xml:space="preserve">and decreased nutritional status.  </w:t>
      </w:r>
      <w:r>
        <w:rPr>
          <w:rFonts w:ascii="Times New Roman" w:hAnsi="Times New Roman"/>
        </w:rPr>
        <w:t>Both children and adults were at risk of violent death</w:t>
      </w:r>
      <w:r w:rsidRPr="00F62464">
        <w:rPr>
          <w:rFonts w:ascii="Times New Roman" w:hAnsi="Times New Roman"/>
        </w:rPr>
        <w:t>.</w:t>
      </w:r>
      <w:r>
        <w:rPr>
          <w:rFonts w:ascii="Times New Roman" w:hAnsi="Times New Roman"/>
        </w:rPr>
        <w:t xml:space="preserve">  However in addition to violence and periodic nutritional stress, there were no doubt attempts at conciliation,</w:t>
      </w:r>
      <w:r w:rsidRPr="00F62464">
        <w:rPr>
          <w:rFonts w:ascii="Times New Roman" w:hAnsi="Times New Roman"/>
        </w:rPr>
        <w:t xml:space="preserve"> ceremony</w:t>
      </w:r>
      <w:r>
        <w:rPr>
          <w:rFonts w:ascii="Times New Roman" w:hAnsi="Times New Roman"/>
        </w:rPr>
        <w:t>,</w:t>
      </w:r>
      <w:r w:rsidRPr="00F62464">
        <w:rPr>
          <w:rFonts w:ascii="Times New Roman" w:hAnsi="Times New Roman"/>
        </w:rPr>
        <w:t xml:space="preserve"> and ritual.  The </w:t>
      </w:r>
      <w:r>
        <w:rPr>
          <w:rFonts w:ascii="Times New Roman" w:hAnsi="Times New Roman"/>
        </w:rPr>
        <w:t>Wister area</w:t>
      </w:r>
      <w:r w:rsidRPr="00F62464">
        <w:rPr>
          <w:rFonts w:ascii="Times New Roman" w:hAnsi="Times New Roman"/>
        </w:rPr>
        <w:t xml:space="preserve"> Fourche Maline offers a rich arena for further exploration of these</w:t>
      </w:r>
      <w:r>
        <w:rPr>
          <w:rFonts w:ascii="Times New Roman" w:hAnsi="Times New Roman"/>
        </w:rPr>
        <w:t xml:space="preserve"> important issues.  </w:t>
      </w:r>
    </w:p>
    <w:p w14:paraId="304EEB93" w14:textId="44E721BF" w:rsidR="00EC6051" w:rsidRPr="00AA5EEF" w:rsidRDefault="003B533C" w:rsidP="00AA5EEF">
      <w:pPr>
        <w:pStyle w:val="Heading1"/>
      </w:pPr>
      <w:r>
        <w:br w:type="page"/>
      </w:r>
      <w:bookmarkStart w:id="133" w:name="_Toc261025894"/>
      <w:r>
        <w:t>References</w:t>
      </w:r>
      <w:bookmarkEnd w:id="133"/>
    </w:p>
    <w:p w14:paraId="5EB028DD" w14:textId="77777777" w:rsidR="00EC6051" w:rsidRPr="00C97542" w:rsidRDefault="00EC6051" w:rsidP="00EC6051">
      <w:pPr>
        <w:spacing w:line="240" w:lineRule="auto"/>
        <w:rPr>
          <w:rFonts w:ascii="Times New Roman" w:hAnsi="Times New Roman"/>
        </w:rPr>
      </w:pPr>
      <w:r w:rsidRPr="00C97542">
        <w:rPr>
          <w:rFonts w:ascii="Times New Roman" w:hAnsi="Times New Roman"/>
        </w:rPr>
        <w:t>Albert, Lois E.</w:t>
      </w:r>
    </w:p>
    <w:p w14:paraId="271C848C"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1981</w:t>
      </w:r>
      <w:r w:rsidRPr="00C97542">
        <w:rPr>
          <w:rFonts w:ascii="Times New Roman" w:hAnsi="Times New Roman"/>
        </w:rPr>
        <w:tab/>
        <w:t>Ferndale Bog and Natural Lake: Five Thousand Years of Environmental Change in Southeastern Oklahoma: Oklahoma Archeological Survey, Studies in Oklahoma’s Past, Number 7.</w:t>
      </w:r>
    </w:p>
    <w:p w14:paraId="0C15B5AC"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Albert, Lois E., and Don G. Wyckoff</w:t>
      </w:r>
    </w:p>
    <w:p w14:paraId="37E72D8C"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Oklahoma Environments: Past and Present. In Prehistory of Oklahoma. R.E. Bell, ed. Pp. 1-43: Academic Press.</w:t>
      </w:r>
    </w:p>
    <w:p w14:paraId="3ACB3830" w14:textId="77777777" w:rsidR="00EC6051" w:rsidRDefault="00EC6051" w:rsidP="00EC6051">
      <w:pPr>
        <w:spacing w:line="240" w:lineRule="auto"/>
        <w:rPr>
          <w:rFonts w:ascii="Times New Roman" w:hAnsi="Times New Roman"/>
        </w:rPr>
      </w:pPr>
      <w:r w:rsidRPr="00667592">
        <w:rPr>
          <w:rFonts w:ascii="Times New Roman" w:hAnsi="Times New Roman"/>
        </w:rPr>
        <w:t>Altschul, Jeffrey, ed.</w:t>
      </w:r>
      <w:r w:rsidRPr="00667592">
        <w:rPr>
          <w:rFonts w:ascii="Times New Roman" w:hAnsi="Times New Roman"/>
        </w:rPr>
        <w:tab/>
      </w:r>
    </w:p>
    <w:p w14:paraId="21376B99" w14:textId="77777777" w:rsidR="00EC6051" w:rsidRDefault="00EC6051" w:rsidP="00EC6051">
      <w:pPr>
        <w:spacing w:line="240" w:lineRule="auto"/>
        <w:ind w:left="1440" w:hanging="720"/>
        <w:rPr>
          <w:rFonts w:ascii="Times New Roman" w:hAnsi="Times New Roman"/>
        </w:rPr>
      </w:pPr>
      <w:r w:rsidRPr="00667592">
        <w:rPr>
          <w:rFonts w:ascii="Times New Roman" w:hAnsi="Times New Roman"/>
        </w:rPr>
        <w:t>1983</w:t>
      </w:r>
      <w:r w:rsidRPr="00667592">
        <w:rPr>
          <w:rFonts w:ascii="Times New Roman" w:hAnsi="Times New Roman"/>
        </w:rPr>
        <w:tab/>
        <w:t>Bug Hill: Excavation of a Multicomponent Midden Mound in the Jackforth Valley, Southeast Oklahoma: New World Research, Pollock Louisiana.  US Army Corps Engineers, Tulsa.</w:t>
      </w:r>
    </w:p>
    <w:p w14:paraId="66277E1C" w14:textId="77777777" w:rsidR="00EC6051" w:rsidRPr="00667592" w:rsidRDefault="00EC6051" w:rsidP="00EC6051">
      <w:pPr>
        <w:spacing w:line="240" w:lineRule="auto"/>
        <w:rPr>
          <w:rFonts w:ascii="Times New Roman" w:hAnsi="Times New Roman"/>
        </w:rPr>
      </w:pPr>
      <w:r>
        <w:rPr>
          <w:rFonts w:ascii="Times New Roman" w:hAnsi="Times New Roman"/>
        </w:rPr>
        <w:t>Anderson, David G.</w:t>
      </w:r>
    </w:p>
    <w:p w14:paraId="141DD47D" w14:textId="77777777" w:rsidR="00EC6051" w:rsidRPr="00667592" w:rsidRDefault="00EC6051" w:rsidP="00EC6051">
      <w:pPr>
        <w:spacing w:line="240" w:lineRule="auto"/>
        <w:ind w:left="1440" w:hanging="720"/>
        <w:rPr>
          <w:rFonts w:ascii="Times New Roman" w:hAnsi="Times New Roman"/>
        </w:rPr>
      </w:pPr>
      <w:r w:rsidRPr="00667592">
        <w:rPr>
          <w:rFonts w:ascii="Times New Roman" w:hAnsi="Times New Roman"/>
        </w:rPr>
        <w:t>2001</w:t>
      </w:r>
      <w:r w:rsidRPr="00667592">
        <w:rPr>
          <w:rFonts w:ascii="Times New Roman" w:hAnsi="Times New Roman"/>
        </w:rPr>
        <w:tab/>
        <w:t>Climate and culture change in prehistoric and early historic eastern North America. Archaeology of Eastern North America 20:143-186.</w:t>
      </w:r>
    </w:p>
    <w:p w14:paraId="576D6A7E"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Angel, J. Lawrence</w:t>
      </w:r>
    </w:p>
    <w:p w14:paraId="1B9B4EA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1966</w:t>
      </w:r>
      <w:r w:rsidRPr="00C97542">
        <w:rPr>
          <w:rFonts w:ascii="Times New Roman" w:hAnsi="Times New Roman"/>
        </w:rPr>
        <w:tab/>
        <w:t>Porotic Hyperostosis, Anemias, Malarias, and Marshes in the Prehistoric Eastern Mediterranean. Science 153(3737):760-763.</w:t>
      </w:r>
    </w:p>
    <w:p w14:paraId="3024045A" w14:textId="77777777" w:rsidR="00EC6051" w:rsidRPr="00C97542" w:rsidRDefault="00EC6051" w:rsidP="00EC6051">
      <w:pPr>
        <w:spacing w:line="240" w:lineRule="auto"/>
        <w:rPr>
          <w:rFonts w:ascii="Times New Roman" w:hAnsi="Times New Roman"/>
        </w:rPr>
      </w:pPr>
      <w:r w:rsidRPr="00C97542">
        <w:rPr>
          <w:rFonts w:ascii="Times New Roman" w:hAnsi="Times New Roman"/>
        </w:rPr>
        <w:t>Altschul, Jeffrey, ed.</w:t>
      </w:r>
      <w:r w:rsidRPr="00C97542">
        <w:rPr>
          <w:rFonts w:ascii="Times New Roman" w:hAnsi="Times New Roman"/>
        </w:rPr>
        <w:tab/>
      </w:r>
    </w:p>
    <w:p w14:paraId="70C7BB5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1983</w:t>
      </w:r>
      <w:r w:rsidRPr="00C97542">
        <w:rPr>
          <w:rFonts w:ascii="Times New Roman" w:hAnsi="Times New Roman"/>
        </w:rPr>
        <w:tab/>
        <w:t>Bug Hill: Excavation of a Multicomponent Midden Mound in the Jackforth Valley, Southeast Oklahoma: New World Research, Pollock Louisiana.  US Army Corps Engineers, Tulsa.</w:t>
      </w:r>
    </w:p>
    <w:p w14:paraId="396A35B2"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Armelagos, George J., and Mark Nathan Cohen</w:t>
      </w:r>
    </w:p>
    <w:p w14:paraId="3A9ABFB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2013</w:t>
      </w:r>
      <w:r w:rsidRPr="00C97542">
        <w:rPr>
          <w:rFonts w:ascii="Times New Roman" w:hAnsi="Times New Roman"/>
        </w:rPr>
        <w:tab/>
        <w:t xml:space="preserve">Preface to the 2013 Edition. </w:t>
      </w:r>
      <w:r w:rsidRPr="00C97542">
        <w:rPr>
          <w:rFonts w:ascii="Times New Roman" w:hAnsi="Times New Roman"/>
          <w:i/>
          <w:iCs/>
        </w:rPr>
        <w:t>In</w:t>
      </w:r>
      <w:r w:rsidRPr="00C97542">
        <w:rPr>
          <w:rFonts w:ascii="Times New Roman" w:hAnsi="Times New Roman"/>
        </w:rPr>
        <w:t xml:space="preserve"> Paleopathology at the Origins of Agriculture. 2nd edition. M.N. Cohen and G.J. Armelagos, eds. Pp. xvii-xxxvi. Gainsville.: University Press of Florida.</w:t>
      </w:r>
    </w:p>
    <w:p w14:paraId="5DB97EFC"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Aufderheide, Author C., and Conrado Rodriguez-Martin</w:t>
      </w:r>
    </w:p>
    <w:p w14:paraId="3049698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1998</w:t>
      </w:r>
      <w:r w:rsidRPr="00C97542">
        <w:rPr>
          <w:rFonts w:ascii="Times New Roman" w:hAnsi="Times New Roman"/>
        </w:rPr>
        <w:tab/>
        <w:t>The Cambridge Encyclopedia of Human Paleopathology. Cambridge University Press.</w:t>
      </w:r>
    </w:p>
    <w:p w14:paraId="0B625409" w14:textId="77777777" w:rsidR="00EC6051" w:rsidRPr="00C97542" w:rsidRDefault="00EC6051" w:rsidP="00EC6051">
      <w:pPr>
        <w:spacing w:line="240" w:lineRule="auto"/>
        <w:rPr>
          <w:rFonts w:ascii="Times New Roman" w:hAnsi="Times New Roman"/>
        </w:rPr>
      </w:pPr>
      <w:r w:rsidRPr="00C97542">
        <w:rPr>
          <w:rFonts w:ascii="Times New Roman" w:hAnsi="Times New Roman"/>
        </w:rPr>
        <w:t xml:space="preserve">Banks, Larry D.  </w:t>
      </w:r>
    </w:p>
    <w:p w14:paraId="563E97A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Lithic Resources and Quarries. In Prehistory of Oklahoma. R.E. Bell, ed. Pp. 65-95. Orlando: Academic Press.</w:t>
      </w:r>
    </w:p>
    <w:p w14:paraId="3A4C352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1990</w:t>
      </w:r>
      <w:r w:rsidRPr="00C97542">
        <w:rPr>
          <w:rFonts w:ascii="Times New Roman" w:hAnsi="Times New Roman"/>
        </w:rPr>
        <w:tab/>
        <w:t>From Mountain Peaks to Alligator Stomachs: A Review of Lithic Sources in the Trans-Mississippi South, the Southern Plains, and Adjacent Southwest: Memoir No. 4.  Oklahoma Anthropological Society, Lawton.</w:t>
      </w:r>
    </w:p>
    <w:p w14:paraId="18A043C8"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Baugh, Susan Thomas</w:t>
      </w:r>
    </w:p>
    <w:p w14:paraId="575519FC" w14:textId="77777777" w:rsidR="00EC6051" w:rsidRPr="00C97542" w:rsidRDefault="00EC6051" w:rsidP="00EC6051">
      <w:pPr>
        <w:spacing w:line="240" w:lineRule="auto"/>
        <w:ind w:left="720"/>
        <w:rPr>
          <w:rFonts w:ascii="Times New Roman" w:hAnsi="Times New Roman"/>
        </w:rPr>
      </w:pPr>
      <w:r w:rsidRPr="00C97542">
        <w:rPr>
          <w:rFonts w:ascii="Times New Roman" w:hAnsi="Times New Roman"/>
        </w:rPr>
        <w:t>1982</w:t>
      </w:r>
      <w:r w:rsidRPr="00C97542">
        <w:rPr>
          <w:rFonts w:ascii="Times New Roman" w:hAnsi="Times New Roman"/>
        </w:rPr>
        <w:tab/>
        <w:t>Radiocarbon Dates from McCutchan-McLaughlin Site 34LT-11. Oklahoma Anthropological Society Newsletter 30(2):4-8.</w:t>
      </w:r>
    </w:p>
    <w:p w14:paraId="76D2B993" w14:textId="77777777" w:rsidR="00EC6051" w:rsidRPr="00C97542" w:rsidRDefault="00EC6051" w:rsidP="00EC6051">
      <w:pPr>
        <w:spacing w:line="240" w:lineRule="auto"/>
        <w:rPr>
          <w:rFonts w:ascii="Times New Roman" w:hAnsi="Times New Roman"/>
        </w:rPr>
      </w:pPr>
      <w:r w:rsidRPr="00C97542">
        <w:rPr>
          <w:rFonts w:ascii="Times New Roman" w:hAnsi="Times New Roman"/>
        </w:rPr>
        <w:t>Bell, Robert E.</w:t>
      </w:r>
    </w:p>
    <w:p w14:paraId="0D26453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1953</w:t>
      </w:r>
      <w:r w:rsidRPr="00C97542">
        <w:rPr>
          <w:rFonts w:ascii="Times New Roman" w:hAnsi="Times New Roman"/>
        </w:rPr>
        <w:tab/>
        <w:t>The Scott Site, Le Flore County, Oklahoma. American Antiquity 18(4):314-331.</w:t>
      </w:r>
    </w:p>
    <w:p w14:paraId="103A694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1972</w:t>
      </w:r>
      <w:r w:rsidRPr="00C97542">
        <w:rPr>
          <w:rFonts w:ascii="Times New Roman" w:hAnsi="Times New Roman"/>
        </w:rPr>
        <w:tab/>
        <w:t>The Harlan site, Ck-6: A prehistoric mound center in Cherokee County, Eastern Oklahoma: Oklahoma Anthropological Society.</w:t>
      </w:r>
    </w:p>
    <w:p w14:paraId="2BE4E2B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1980</w:t>
      </w:r>
      <w:r w:rsidRPr="00C97542">
        <w:rPr>
          <w:rFonts w:ascii="Times New Roman" w:hAnsi="Times New Roman"/>
        </w:rPr>
        <w:tab/>
        <w:t>Fourche Maline: An Archaeological Manifestation in Eastern Oklahoma. In Caddoan and Poverty Point Archaeology: Essays in Honor of C.H. Webb. Louisiana Archaeological Society Bulletin.</w:t>
      </w:r>
    </w:p>
    <w:p w14:paraId="06DB5DB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Arkansas Valley Caddoan:  The Harlan Phase. In Prehistory of Oklahoma. R.E. Bell, ed. Pp. 221-240. New York: Academic Press.</w:t>
      </w:r>
    </w:p>
    <w:p w14:paraId="28A78615"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Bell, R.E., and D.A. Baerreis</w:t>
      </w:r>
    </w:p>
    <w:p w14:paraId="6172BAF5" w14:textId="4ACC32C0" w:rsidR="00EC6051" w:rsidRPr="00C97542" w:rsidRDefault="00EC6051" w:rsidP="006F2234">
      <w:pPr>
        <w:spacing w:line="240" w:lineRule="auto"/>
        <w:ind w:left="1440" w:hanging="720"/>
        <w:rPr>
          <w:rFonts w:ascii="Times New Roman" w:hAnsi="Times New Roman"/>
        </w:rPr>
      </w:pPr>
      <w:r w:rsidRPr="00C97542">
        <w:rPr>
          <w:rFonts w:ascii="Times New Roman" w:hAnsi="Times New Roman"/>
        </w:rPr>
        <w:t>1953</w:t>
      </w:r>
      <w:r w:rsidRPr="00C97542">
        <w:rPr>
          <w:rFonts w:ascii="Times New Roman" w:hAnsi="Times New Roman"/>
        </w:rPr>
        <w:tab/>
        <w:t>A Survey of Oklahoma Archaeology. Bulletin of the Texas Archaeological and Paleontological Society 22:7-100.</w:t>
      </w:r>
    </w:p>
    <w:p w14:paraId="097B2997" w14:textId="77777777" w:rsidR="00EC6051" w:rsidRPr="00C97542" w:rsidRDefault="00EC6051" w:rsidP="00EC6051">
      <w:pPr>
        <w:spacing w:line="240" w:lineRule="auto"/>
        <w:rPr>
          <w:rFonts w:ascii="Times New Roman" w:hAnsi="Times New Roman"/>
        </w:rPr>
      </w:pPr>
      <w:r w:rsidRPr="00C97542">
        <w:rPr>
          <w:rFonts w:ascii="Times New Roman" w:hAnsi="Times New Roman"/>
        </w:rPr>
        <w:t>Benedict, Francis G., et al.</w:t>
      </w:r>
    </w:p>
    <w:p w14:paraId="54F73E8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1919</w:t>
      </w:r>
      <w:r w:rsidRPr="00C97542">
        <w:rPr>
          <w:rFonts w:ascii="Times New Roman" w:hAnsi="Times New Roman"/>
        </w:rPr>
        <w:tab/>
        <w:t>Human Vitality and Efficiency Under Prolonged Restricted Diet: Carnegie Institution of Washington.</w:t>
      </w:r>
    </w:p>
    <w:p w14:paraId="2C259AA1"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Berger, Thomas D., and Erik Trinkaus</w:t>
      </w:r>
    </w:p>
    <w:p w14:paraId="39A9DC12"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1995</w:t>
      </w:r>
      <w:r w:rsidRPr="00C97542">
        <w:rPr>
          <w:rFonts w:ascii="Times New Roman" w:hAnsi="Times New Roman"/>
        </w:rPr>
        <w:tab/>
        <w:t>Patterns of Trauma among the Neandertals. Journal of Archaeological Science 22:841:852.</w:t>
      </w:r>
    </w:p>
    <w:p w14:paraId="446C6040"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Bonogofsky, Michelle</w:t>
      </w:r>
    </w:p>
    <w:p w14:paraId="0CB55C8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2011</w:t>
      </w:r>
      <w:r w:rsidRPr="00C97542">
        <w:rPr>
          <w:rFonts w:ascii="Times New Roman" w:hAnsi="Times New Roman"/>
        </w:rPr>
        <w:tab/>
        <w:t xml:space="preserve">Contextualizing the Human Head: An Introduction. </w:t>
      </w:r>
      <w:r w:rsidRPr="00C97542">
        <w:rPr>
          <w:rFonts w:ascii="Times New Roman" w:hAnsi="Times New Roman"/>
          <w:i/>
          <w:iCs/>
        </w:rPr>
        <w:t>In</w:t>
      </w:r>
      <w:r w:rsidRPr="00C97542">
        <w:rPr>
          <w:rFonts w:ascii="Times New Roman" w:hAnsi="Times New Roman"/>
        </w:rPr>
        <w:t xml:space="preserve"> The Bioarchaeology of the Human Head:  Decapitation, Decoration, and Deformation. M. Bonogofsky, ed. Pp. 1-47. Gainsville: University Press of Florida.</w:t>
      </w:r>
    </w:p>
    <w:p w14:paraId="24AC7D3E" w14:textId="77777777" w:rsidR="00EC6051" w:rsidRPr="00C97542" w:rsidRDefault="00EC6051" w:rsidP="00EC6051">
      <w:pPr>
        <w:spacing w:line="240" w:lineRule="auto"/>
        <w:rPr>
          <w:rFonts w:ascii="Times New Roman" w:hAnsi="Times New Roman"/>
        </w:rPr>
      </w:pPr>
      <w:r w:rsidRPr="00C97542">
        <w:rPr>
          <w:rFonts w:ascii="Times New Roman" w:hAnsi="Times New Roman"/>
        </w:rPr>
        <w:t>Bonogofsky, Michelle, ed.</w:t>
      </w:r>
      <w:r w:rsidRPr="00C97542">
        <w:rPr>
          <w:rFonts w:ascii="Times New Roman" w:hAnsi="Times New Roman"/>
        </w:rPr>
        <w:tab/>
      </w:r>
    </w:p>
    <w:p w14:paraId="084D7C3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2011</w:t>
      </w:r>
      <w:r w:rsidRPr="00C97542">
        <w:rPr>
          <w:rFonts w:ascii="Times New Roman" w:hAnsi="Times New Roman"/>
        </w:rPr>
        <w:tab/>
        <w:t>The Bioarchaeology of the Human Head:  Decapitation, Decoration, and Deformation. Gainsville: University Press of Florida.</w:t>
      </w:r>
    </w:p>
    <w:p w14:paraId="1FA2B813" w14:textId="77777777" w:rsidR="00EC6051" w:rsidRPr="00C97542" w:rsidRDefault="00EC6051" w:rsidP="00EC6051">
      <w:pPr>
        <w:spacing w:line="240" w:lineRule="auto"/>
        <w:rPr>
          <w:rFonts w:ascii="Times New Roman" w:hAnsi="Times New Roman"/>
        </w:rPr>
      </w:pPr>
      <w:r w:rsidRPr="00C97542">
        <w:rPr>
          <w:rFonts w:ascii="Times New Roman" w:hAnsi="Times New Roman"/>
        </w:rPr>
        <w:t>Bowen, Kimberly M.</w:t>
      </w:r>
    </w:p>
    <w:p w14:paraId="407C7AEF"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2011</w:t>
      </w:r>
      <w:r w:rsidRPr="00C97542">
        <w:rPr>
          <w:rFonts w:ascii="Times New Roman" w:hAnsi="Times New Roman"/>
        </w:rPr>
        <w:tab/>
        <w:t>Dental health at the Mackey site (34LF29) in LeFlore County Oklahoma.  Unpublished M.A. Department of Anthropology, University of Oklahoma.</w:t>
      </w:r>
    </w:p>
    <w:p w14:paraId="0284E7FD"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Brickley, Megan, and Rachel Ives</w:t>
      </w:r>
    </w:p>
    <w:p w14:paraId="3FC47B20"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2008</w:t>
      </w:r>
      <w:r w:rsidRPr="00C97542">
        <w:rPr>
          <w:rFonts w:ascii="Times New Roman" w:hAnsi="Times New Roman"/>
        </w:rPr>
        <w:tab/>
        <w:t xml:space="preserve">Vitamin C Deficiency Scurvy. </w:t>
      </w:r>
      <w:r w:rsidRPr="00C97542">
        <w:rPr>
          <w:rFonts w:ascii="Times New Roman" w:hAnsi="Times New Roman"/>
          <w:i/>
          <w:iCs/>
        </w:rPr>
        <w:t>In</w:t>
      </w:r>
      <w:r w:rsidRPr="00C97542">
        <w:rPr>
          <w:rFonts w:ascii="Times New Roman" w:hAnsi="Times New Roman"/>
        </w:rPr>
        <w:t xml:space="preserve"> The Bioarchaeology of Metabolic Bone Disease. Pp. 41-74: Academic Press.</w:t>
      </w:r>
    </w:p>
    <w:p w14:paraId="6FB44687"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Bridges, Patricia S., Keith P. Jacobi, and Mary Lucas Powell</w:t>
      </w:r>
    </w:p>
    <w:p w14:paraId="720299F5" w14:textId="77777777" w:rsidR="00EC6051" w:rsidRPr="00C97542" w:rsidRDefault="00EC6051" w:rsidP="00EC6051">
      <w:pPr>
        <w:pStyle w:val="b"/>
      </w:pPr>
      <w:r w:rsidRPr="00C97542">
        <w:t>2000</w:t>
      </w:r>
      <w:r w:rsidRPr="00C97542">
        <w:tab/>
        <w:t>Warfare-Related Trauma in the Late Prehistory of Alabama. In Bioarchaeological Studies of Life in the Age of Agriculture: A View from the Southeast. P.M. Lambert, ed. Pp. 35-62. Tuscaloosa and London: The University of Alabama Press.</w:t>
      </w:r>
    </w:p>
    <w:p w14:paraId="68D94204"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Brinlee, R. C., and R. Clay Wilson</w:t>
      </w:r>
    </w:p>
    <w:p w14:paraId="71C67096"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1981</w:t>
      </w:r>
      <w:r w:rsidRPr="00C97542">
        <w:rPr>
          <w:rFonts w:ascii="Times New Roman" w:hAnsi="Times New Roman"/>
        </w:rPr>
        <w:tab/>
        <w:t>Soil Survey of Latimer County, Oklahoma. United States Department of Agriculture, Soil Conservation Service, in cooperation with Oklahoma Agricultural Experimental Station.</w:t>
      </w:r>
    </w:p>
    <w:p w14:paraId="64DA223A"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Brown, James, and David H. Dye</w:t>
      </w:r>
    </w:p>
    <w:p w14:paraId="1F5FEF1A" w14:textId="4A5C0E92"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Severed Heads and Sacred Scaplocks:  Mississippian Iconogra</w:t>
      </w:r>
      <w:r w:rsidR="005544F1">
        <w:rPr>
          <w:rFonts w:ascii="Times New Roman" w:hAnsi="Times New Roman"/>
        </w:rPr>
        <w:t>p</w:t>
      </w:r>
      <w:r w:rsidRPr="00C97542">
        <w:rPr>
          <w:rFonts w:ascii="Times New Roman" w:hAnsi="Times New Roman"/>
        </w:rPr>
        <w:t>hic Trophies. In The Taking and Displaying of Human Body Parts as Trophies by Amerindians. R.J. Chacon and D.H. Dye, eds. Pp. 278-298: Springer.</w:t>
      </w:r>
    </w:p>
    <w:p w14:paraId="3E647EBA" w14:textId="77777777" w:rsidR="00EC6051" w:rsidRDefault="00EC6051" w:rsidP="00EC6051">
      <w:pPr>
        <w:spacing w:line="240" w:lineRule="auto"/>
        <w:rPr>
          <w:rFonts w:ascii="Times New Roman" w:hAnsi="Times New Roman"/>
        </w:rPr>
      </w:pPr>
    </w:p>
    <w:p w14:paraId="305E8DF2" w14:textId="77777777" w:rsidR="00EC6051" w:rsidRDefault="00EC6051" w:rsidP="00EC6051">
      <w:pPr>
        <w:spacing w:line="240" w:lineRule="auto"/>
        <w:rPr>
          <w:rFonts w:ascii="Times New Roman" w:hAnsi="Times New Roman"/>
        </w:rPr>
      </w:pPr>
    </w:p>
    <w:p w14:paraId="16C3DAD3" w14:textId="77777777" w:rsidR="006F2234" w:rsidRDefault="006F2234" w:rsidP="00EC6051">
      <w:pPr>
        <w:spacing w:line="240" w:lineRule="auto"/>
        <w:rPr>
          <w:rFonts w:ascii="Times New Roman" w:hAnsi="Times New Roman"/>
        </w:rPr>
      </w:pPr>
    </w:p>
    <w:p w14:paraId="367857BA" w14:textId="77777777" w:rsidR="00EC6051" w:rsidRPr="00C97542" w:rsidRDefault="00EC6051" w:rsidP="00EC6051">
      <w:pPr>
        <w:spacing w:line="240" w:lineRule="auto"/>
        <w:rPr>
          <w:rFonts w:ascii="Times New Roman" w:hAnsi="Times New Roman"/>
        </w:rPr>
      </w:pPr>
      <w:r w:rsidRPr="00C97542">
        <w:rPr>
          <w:rFonts w:ascii="Times New Roman" w:hAnsi="Times New Roman"/>
        </w:rPr>
        <w:t>Brown, James A.</w:t>
      </w:r>
    </w:p>
    <w:p w14:paraId="41CA5A1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1975</w:t>
      </w:r>
      <w:r w:rsidRPr="00C97542">
        <w:rPr>
          <w:rFonts w:ascii="Times New Roman" w:hAnsi="Times New Roman"/>
        </w:rPr>
        <w:tab/>
        <w:t>Spiro Art and Its Mortuary Contexts. In Death and the Afterlife in Precolumbian America. E. Benson, ed. Pp. 1-32. Washington D.C.: Dumbarton Oaks Research Library.</w:t>
      </w:r>
    </w:p>
    <w:p w14:paraId="0AEF87F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Arkansas Valley Caddoan: The Spiro Phase. In Prehistory of Oklahoma. R.E. Bell, ed. New York: Academic Press.</w:t>
      </w:r>
    </w:p>
    <w:p w14:paraId="2240C80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1995</w:t>
      </w:r>
      <w:r w:rsidRPr="00C97542">
        <w:rPr>
          <w:rFonts w:ascii="Times New Roman" w:hAnsi="Times New Roman"/>
        </w:rPr>
        <w:tab/>
        <w:t>The Spiro Ceremonial Center:  the Archaeology of the Arkansas Valley. In Caddoan Culture in Eastern Oklahoma, Memoirs of the Museum of Anthropology. Vol. 2. Ann Arbor: University of Michigan.</w:t>
      </w:r>
    </w:p>
    <w:p w14:paraId="2A45B91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2112</w:t>
      </w:r>
      <w:r w:rsidRPr="00C97542">
        <w:rPr>
          <w:rFonts w:ascii="Times New Roman" w:hAnsi="Times New Roman"/>
        </w:rPr>
        <w:tab/>
        <w:t>Spiro Reconsidered: Sacred Economy at the Western Frontier of the Eastern Woodland. In The Archaeology of the Caddo. T.K. Perttula and C.P. Walker, eds. Pp. 117-138. Lincoln and London The University of Nebraska Press.</w:t>
      </w:r>
    </w:p>
    <w:p w14:paraId="4FD96777" w14:textId="77777777" w:rsidR="00EC6051" w:rsidRPr="00C97542" w:rsidRDefault="00EC6051" w:rsidP="00EC6051">
      <w:pPr>
        <w:spacing w:line="240" w:lineRule="auto"/>
        <w:rPr>
          <w:rFonts w:ascii="Times New Roman" w:hAnsi="Times New Roman"/>
        </w:rPr>
      </w:pPr>
      <w:r w:rsidRPr="00C97542">
        <w:rPr>
          <w:rFonts w:ascii="Times New Roman" w:hAnsi="Times New Roman"/>
        </w:rPr>
        <w:t>Brues, Alice M.</w:t>
      </w:r>
    </w:p>
    <w:p w14:paraId="6263131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1988</w:t>
      </w:r>
      <w:r w:rsidRPr="00C97542">
        <w:rPr>
          <w:rFonts w:ascii="Times New Roman" w:hAnsi="Times New Roman"/>
        </w:rPr>
        <w:tab/>
        <w:t>The Spiro Skeletal Material. In The Burials. J.B. Brown, ed. Norman: Oklahoma Research Institute.</w:t>
      </w:r>
    </w:p>
    <w:p w14:paraId="0DE0A23E" w14:textId="77777777" w:rsidR="00EC6051" w:rsidRPr="00C97542" w:rsidRDefault="00EC6051" w:rsidP="00EC6051">
      <w:pPr>
        <w:spacing w:line="240" w:lineRule="auto"/>
        <w:rPr>
          <w:rFonts w:ascii="Times New Roman" w:hAnsi="Times New Roman"/>
        </w:rPr>
      </w:pPr>
      <w:r w:rsidRPr="00C97542">
        <w:rPr>
          <w:rFonts w:ascii="Times New Roman" w:hAnsi="Times New Roman"/>
        </w:rPr>
        <w:t xml:space="preserve">Bruseth, James E. </w:t>
      </w:r>
    </w:p>
    <w:p w14:paraId="7DBCD72C"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1998</w:t>
      </w:r>
      <w:r w:rsidRPr="00C97542">
        <w:rPr>
          <w:rFonts w:ascii="Times New Roman" w:hAnsi="Times New Roman"/>
        </w:rPr>
        <w:tab/>
        <w:t>The Development of Caddoan Polities along the Middle Red River Valley of Eastern Texas and Oklahoma. In The Native History of the Caddo. T.K. Perttula and J.E. Bruseth, eds. University of Texas at Austin: Texas Archeological Research Laboratory, Studies in Archeology 30.</w:t>
      </w:r>
    </w:p>
    <w:p w14:paraId="5097AB18"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Buikstra, Jane E., and Douglas K. Charles</w:t>
      </w:r>
    </w:p>
    <w:p w14:paraId="658B982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1999</w:t>
      </w:r>
      <w:r w:rsidRPr="00C97542">
        <w:rPr>
          <w:rFonts w:ascii="Times New Roman" w:hAnsi="Times New Roman"/>
        </w:rPr>
        <w:tab/>
        <w:t xml:space="preserve">Centering the Ancestors: Cemeteries, Mounds, and Sacred Landscapes of the Ancient North American Midcontinent. </w:t>
      </w:r>
      <w:r w:rsidRPr="00C97542">
        <w:rPr>
          <w:rFonts w:ascii="Times New Roman" w:hAnsi="Times New Roman"/>
          <w:i/>
          <w:iCs/>
        </w:rPr>
        <w:t>In</w:t>
      </w:r>
      <w:r w:rsidRPr="00C97542">
        <w:rPr>
          <w:rFonts w:ascii="Times New Roman" w:hAnsi="Times New Roman"/>
        </w:rPr>
        <w:t xml:space="preserve"> Archaeologies of Landscape: Current Perspectives. W. Ashmore and A.B. Knapp, eds. Pp. 201-228. Oxford: Blackwell Publishers Inc.</w:t>
      </w:r>
    </w:p>
    <w:p w14:paraId="3758E13E"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Buikstra, Jane E., and Douglas Ubelaker, eds.</w:t>
      </w:r>
    </w:p>
    <w:p w14:paraId="67C5CF87"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1994</w:t>
      </w:r>
      <w:r w:rsidRPr="00C97542">
        <w:rPr>
          <w:rFonts w:ascii="Times New Roman" w:hAnsi="Times New Roman"/>
        </w:rPr>
        <w:tab/>
        <w:t>Standards for Data Collection from Human Skeletal Remains. Fayetteville: Arkansas Archaeological Survey Research Series No. 44.</w:t>
      </w:r>
    </w:p>
    <w:p w14:paraId="2AB75D3D" w14:textId="77777777" w:rsidR="00EC6051" w:rsidRPr="00C97542" w:rsidRDefault="00EC6051" w:rsidP="00EC6051">
      <w:pPr>
        <w:spacing w:line="240" w:lineRule="auto"/>
        <w:rPr>
          <w:rFonts w:ascii="Times New Roman" w:hAnsi="Times New Roman"/>
        </w:rPr>
      </w:pPr>
      <w:r w:rsidRPr="00C97542">
        <w:rPr>
          <w:rFonts w:ascii="Times New Roman" w:hAnsi="Times New Roman"/>
        </w:rPr>
        <w:t>Burnett, Barbara A.</w:t>
      </w:r>
    </w:p>
    <w:p w14:paraId="5780B5E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1990</w:t>
      </w:r>
      <w:r w:rsidRPr="00C97542">
        <w:rPr>
          <w:rFonts w:ascii="Times New Roman" w:hAnsi="Times New Roman"/>
        </w:rPr>
        <w:tab/>
        <w:t>The Bioarcheological Synthesis. In Human Adaptation in the Ozark and Ouachita Mountains. G.S. III, A.M. Early, J.C. Rose, B.A. Burnett, L.V. Jr., and J.P. Harcourt, eds. Pp. 193-220.  Fayetteville: Arkansas Archeological Survey Research Series No. 31.</w:t>
      </w:r>
    </w:p>
    <w:p w14:paraId="7FCFBA28"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Burns, Cassandra</w:t>
      </w:r>
    </w:p>
    <w:p w14:paraId="5F257CCD" w14:textId="48A7D333"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2007</w:t>
      </w:r>
      <w:r w:rsidRPr="00C97542">
        <w:rPr>
          <w:rFonts w:ascii="Times New Roman" w:hAnsi="Times New Roman"/>
        </w:rPr>
        <w:tab/>
        <w:t>An Investigation of the Hooks Site, LeF</w:t>
      </w:r>
      <w:r w:rsidR="005544F1">
        <w:rPr>
          <w:rFonts w:ascii="Times New Roman" w:hAnsi="Times New Roman"/>
        </w:rPr>
        <w:t>l</w:t>
      </w:r>
      <w:r w:rsidRPr="00C97542">
        <w:rPr>
          <w:rFonts w:ascii="Times New Roman" w:hAnsi="Times New Roman"/>
        </w:rPr>
        <w:t>ore County, Oklahoma.  Unpublished M.A. Department of Anthropology, The University of Tulsa.</w:t>
      </w:r>
    </w:p>
    <w:p w14:paraId="3C31B072"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Burns, Stephanie</w:t>
      </w:r>
    </w:p>
    <w:p w14:paraId="594AD57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1994</w:t>
      </w:r>
      <w:r w:rsidRPr="00C97542">
        <w:rPr>
          <w:rFonts w:ascii="Times New Roman" w:hAnsi="Times New Roman"/>
        </w:rPr>
        <w:tab/>
        <w:t>Bioarchaeology of the Mackey Site in Southeastern Oklahoma.  Unpublished M.A. Department of Anthropology, University of Oklahoma.</w:t>
      </w:r>
    </w:p>
    <w:p w14:paraId="26EB033B" w14:textId="77777777" w:rsidR="00EC6051" w:rsidRDefault="00EC6051" w:rsidP="00EC6051">
      <w:pPr>
        <w:widowControl w:val="0"/>
        <w:autoSpaceDE w:val="0"/>
        <w:autoSpaceDN w:val="0"/>
        <w:adjustRightInd w:val="0"/>
        <w:spacing w:line="240" w:lineRule="auto"/>
        <w:rPr>
          <w:rFonts w:ascii="Times New Roman" w:hAnsi="Times New Roman"/>
        </w:rPr>
      </w:pPr>
    </w:p>
    <w:p w14:paraId="20E7A43C"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Chacon, Richard J., and David H. Dye</w:t>
      </w:r>
    </w:p>
    <w:p w14:paraId="7194554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 xml:space="preserve">Introduction to Human Trophy Taking: An Ancient and Widespread Practice. </w:t>
      </w:r>
      <w:r w:rsidRPr="00C97542">
        <w:rPr>
          <w:rFonts w:ascii="Times New Roman" w:hAnsi="Times New Roman"/>
          <w:i/>
          <w:iCs/>
        </w:rPr>
        <w:t>In</w:t>
      </w:r>
      <w:r w:rsidRPr="00C97542">
        <w:rPr>
          <w:rFonts w:ascii="Times New Roman" w:hAnsi="Times New Roman"/>
        </w:rPr>
        <w:t xml:space="preserve"> The Taking and Displaying of Human Body Parts as Trophies by Amerindians. R.J. Chacon and D.H. Dye, eds. Pp. 5-31. New York: Springer.</w:t>
      </w:r>
    </w:p>
    <w:p w14:paraId="6299846D" w14:textId="77777777" w:rsidR="00EC6051" w:rsidRPr="00C97542" w:rsidRDefault="00EC6051" w:rsidP="00EC6051">
      <w:pPr>
        <w:spacing w:line="240" w:lineRule="auto"/>
        <w:rPr>
          <w:rFonts w:ascii="Times New Roman" w:hAnsi="Times New Roman"/>
        </w:rPr>
      </w:pPr>
      <w:r w:rsidRPr="00C97542">
        <w:rPr>
          <w:rFonts w:ascii="Times New Roman" w:hAnsi="Times New Roman"/>
        </w:rPr>
        <w:t>Chacon, Richard J., and David H. Dye, eds.</w:t>
      </w:r>
    </w:p>
    <w:p w14:paraId="367A237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The Taking and Displaying of Human Body Parts as Trophies by Amerindians. New York: Springer.</w:t>
      </w:r>
    </w:p>
    <w:p w14:paraId="06AE515D" w14:textId="77777777" w:rsidR="00EC6051" w:rsidRPr="00C97542" w:rsidRDefault="00EC6051" w:rsidP="00EC6051">
      <w:pPr>
        <w:spacing w:line="240" w:lineRule="auto"/>
        <w:rPr>
          <w:rFonts w:ascii="Times New Roman" w:hAnsi="Times New Roman"/>
        </w:rPr>
      </w:pPr>
      <w:r w:rsidRPr="00C97542">
        <w:rPr>
          <w:rFonts w:ascii="Times New Roman" w:hAnsi="Times New Roman"/>
        </w:rPr>
        <w:t>Chacon, Richard J., and Ruben G. Mendoza, eds.</w:t>
      </w:r>
    </w:p>
    <w:p w14:paraId="478F6CCA" w14:textId="72AE99C8" w:rsidR="00EC6051" w:rsidRPr="00C97542" w:rsidRDefault="00EC6051" w:rsidP="006F2234">
      <w:pPr>
        <w:spacing w:line="240" w:lineRule="auto"/>
        <w:ind w:left="1440" w:hanging="720"/>
        <w:rPr>
          <w:rFonts w:ascii="Times New Roman" w:hAnsi="Times New Roman"/>
        </w:rPr>
      </w:pPr>
      <w:r w:rsidRPr="00C97542">
        <w:rPr>
          <w:rFonts w:ascii="Times New Roman" w:hAnsi="Times New Roman"/>
        </w:rPr>
        <w:t>2007</w:t>
      </w:r>
      <w:r w:rsidRPr="00C97542">
        <w:rPr>
          <w:rFonts w:ascii="Times New Roman" w:hAnsi="Times New Roman"/>
        </w:rPr>
        <w:tab/>
        <w:t>North American Indigenous Warfare and Ritual Violence. Tucson: The University of Arizona Press.</w:t>
      </w:r>
    </w:p>
    <w:p w14:paraId="644D4D22"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Charles, Douglas K., and Jane E. Buikstra</w:t>
      </w:r>
    </w:p>
    <w:p w14:paraId="049503B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1983</w:t>
      </w:r>
      <w:r w:rsidRPr="00C97542">
        <w:rPr>
          <w:rFonts w:ascii="Times New Roman" w:hAnsi="Times New Roman"/>
        </w:rPr>
        <w:tab/>
        <w:t xml:space="preserve">Archaic Mortuary Sites in the Central Mississippi Drainage: Distribution, Structure, and Behavioral Implications. </w:t>
      </w:r>
      <w:r w:rsidRPr="00C97542">
        <w:rPr>
          <w:rFonts w:ascii="Times New Roman" w:hAnsi="Times New Roman"/>
          <w:i/>
          <w:iCs/>
        </w:rPr>
        <w:t>In</w:t>
      </w:r>
      <w:r w:rsidRPr="00C97542">
        <w:rPr>
          <w:rFonts w:ascii="Times New Roman" w:hAnsi="Times New Roman"/>
        </w:rPr>
        <w:t xml:space="preserve"> Archaic Hunters and Gatherers in the American Midwest. J.L. Phillips and J.A. Brown, eds. Pp. 117-146.  New York: Academic Press.</w:t>
      </w:r>
    </w:p>
    <w:p w14:paraId="63BB7E2E" w14:textId="77777777" w:rsidR="00EC6051" w:rsidRPr="00C97542" w:rsidRDefault="00EC6051" w:rsidP="00EC6051">
      <w:pPr>
        <w:spacing w:line="240" w:lineRule="auto"/>
        <w:rPr>
          <w:rFonts w:ascii="Times New Roman" w:hAnsi="Times New Roman"/>
        </w:rPr>
      </w:pPr>
      <w:r w:rsidRPr="00C97542">
        <w:rPr>
          <w:rFonts w:ascii="Times New Roman" w:hAnsi="Times New Roman"/>
        </w:rPr>
        <w:t>Cheung, E., et al.</w:t>
      </w:r>
    </w:p>
    <w:p w14:paraId="2AE4A59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2003</w:t>
      </w:r>
      <w:r w:rsidRPr="00C97542">
        <w:rPr>
          <w:rFonts w:ascii="Times New Roman" w:hAnsi="Times New Roman"/>
        </w:rPr>
        <w:tab/>
        <w:t>Malnutrition in complex emergencies. Food and Nutrition Bulletin 24(3):247-255.</w:t>
      </w:r>
    </w:p>
    <w:p w14:paraId="20B18DDD"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Clark, Cherie</w:t>
      </w:r>
    </w:p>
    <w:p w14:paraId="569C225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1987</w:t>
      </w:r>
      <w:r w:rsidRPr="00C97542">
        <w:rPr>
          <w:rFonts w:ascii="Times New Roman" w:hAnsi="Times New Roman"/>
        </w:rPr>
        <w:tab/>
        <w:t>Subsistence Intensification in Deer Resource Use at the McCutchan-McLaughlin (34Lt11) Site, Latimer County, Oklahoma.  Unpublished M.A. Department of Anthropology, University of Oklahoma.</w:t>
      </w:r>
    </w:p>
    <w:p w14:paraId="3EDF23C6"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Cohen, Mark Nathan</w:t>
      </w:r>
    </w:p>
    <w:p w14:paraId="116C428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1994</w:t>
      </w:r>
      <w:r w:rsidRPr="00C97542">
        <w:rPr>
          <w:rFonts w:ascii="Times New Roman" w:hAnsi="Times New Roman"/>
        </w:rPr>
        <w:tab/>
        <w:t>The Osteological Paradox Reconsidered. Current Anthropology 35(5):629-637.</w:t>
      </w:r>
    </w:p>
    <w:p w14:paraId="01417949" w14:textId="77777777" w:rsidR="00EC6051" w:rsidRPr="00C97542" w:rsidRDefault="00EC6051" w:rsidP="00EC6051">
      <w:pPr>
        <w:spacing w:line="240" w:lineRule="auto"/>
        <w:rPr>
          <w:rFonts w:ascii="Times New Roman" w:hAnsi="Times New Roman"/>
        </w:rPr>
      </w:pPr>
      <w:r w:rsidRPr="00C97542">
        <w:rPr>
          <w:rFonts w:ascii="Times New Roman" w:hAnsi="Times New Roman"/>
        </w:rPr>
        <w:t>Cohen, Mark N., and George J. Armelagos, eds.</w:t>
      </w:r>
    </w:p>
    <w:p w14:paraId="47D68E2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Paleopathology at the Origins of Agriculture. New York: Academic Press.</w:t>
      </w:r>
    </w:p>
    <w:p w14:paraId="0D177311" w14:textId="77777777" w:rsidR="00EC6051" w:rsidRPr="00C97542" w:rsidRDefault="00EC6051" w:rsidP="00EC6051">
      <w:pPr>
        <w:spacing w:line="240" w:lineRule="auto"/>
        <w:rPr>
          <w:rFonts w:ascii="Times New Roman" w:hAnsi="Times New Roman"/>
        </w:rPr>
      </w:pPr>
      <w:r w:rsidRPr="00C97542">
        <w:rPr>
          <w:rFonts w:ascii="Times New Roman" w:hAnsi="Times New Roman"/>
        </w:rPr>
        <w:t>Cohen, Mark Nathan, and Gillian M.M. Crane-Kramer, eds.</w:t>
      </w:r>
    </w:p>
    <w:p w14:paraId="57A6016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2007</w:t>
      </w:r>
      <w:r w:rsidRPr="00C97542">
        <w:rPr>
          <w:rFonts w:ascii="Times New Roman" w:hAnsi="Times New Roman"/>
        </w:rPr>
        <w:tab/>
        <w:t>Ancient Health: Skeletal Indicators of Agricultural and Economic Intensification.  Gainsville: University Press of Florida.</w:t>
      </w:r>
    </w:p>
    <w:p w14:paraId="1690CF65"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Cohen, Mark Nathan, and Gillian M.M. Crane-Kramer</w:t>
      </w:r>
    </w:p>
    <w:p w14:paraId="4C711CA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2007</w:t>
      </w:r>
      <w:r w:rsidRPr="00C97542">
        <w:rPr>
          <w:rFonts w:ascii="Times New Roman" w:hAnsi="Times New Roman"/>
        </w:rPr>
        <w:tab/>
        <w:t>Editor's Summation. In Ancient Health: Skeletal Indicators of Agricultural and Economic Intensification. M.N. Cohen and G.M.M. Crane-Kramer, eds. Pp. 320-344: University Press of Florida.</w:t>
      </w:r>
    </w:p>
    <w:p w14:paraId="2A64E6AB"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Corbin, J. E., and J. P. Hart</w:t>
      </w:r>
    </w:p>
    <w:p w14:paraId="7BF20A34"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1998</w:t>
      </w:r>
      <w:r w:rsidRPr="00C97542">
        <w:rPr>
          <w:rFonts w:ascii="Times New Roman" w:hAnsi="Times New Roman"/>
        </w:rPr>
        <w:tab/>
        <w:t>The Washington Square Mound Site: A Middle Caddo Mound Complex in South Central East Texas. Bulletin of the Texas Archeological Society 69:47-78.</w:t>
      </w:r>
    </w:p>
    <w:p w14:paraId="0F7E762A" w14:textId="77777777" w:rsidR="00EC6051" w:rsidRPr="00C97542" w:rsidRDefault="00EC6051" w:rsidP="00EC6051">
      <w:pPr>
        <w:spacing w:line="240" w:lineRule="auto"/>
        <w:rPr>
          <w:rFonts w:ascii="Times New Roman" w:hAnsi="Times New Roman"/>
        </w:rPr>
      </w:pPr>
      <w:r w:rsidRPr="00C97542">
        <w:rPr>
          <w:rFonts w:ascii="Times New Roman" w:hAnsi="Times New Roman"/>
        </w:rPr>
        <w:t>Court-Brown, Charles M., Kate E. Bugler, Nicholas D. Clement, Andrew D. Duckworth, and Margaret M. McQueen</w:t>
      </w:r>
    </w:p>
    <w:p w14:paraId="0187D3BF"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2012</w:t>
      </w:r>
      <w:r w:rsidRPr="00C97542">
        <w:rPr>
          <w:rFonts w:ascii="Times New Roman" w:hAnsi="Times New Roman"/>
        </w:rPr>
        <w:tab/>
        <w:t>The epidemiology of open fractures in adults. A 15-year review. Injury 43(6):891-897.</w:t>
      </w:r>
    </w:p>
    <w:p w14:paraId="2F4E7249" w14:textId="77777777" w:rsidR="006F2234" w:rsidRDefault="006F2234" w:rsidP="00EC6051">
      <w:pPr>
        <w:spacing w:line="240" w:lineRule="auto"/>
        <w:outlineLvl w:val="0"/>
        <w:rPr>
          <w:rFonts w:ascii="Times New Roman" w:hAnsi="Times New Roman"/>
        </w:rPr>
      </w:pPr>
    </w:p>
    <w:p w14:paraId="52D2F97D"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Court-Brown, Charles M., and Ben Caesar</w:t>
      </w:r>
    </w:p>
    <w:p w14:paraId="02BA059C"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2006</w:t>
      </w:r>
      <w:r w:rsidRPr="00C97542">
        <w:rPr>
          <w:rFonts w:ascii="Times New Roman" w:hAnsi="Times New Roman"/>
        </w:rPr>
        <w:tab/>
        <w:t>Epidemiology of adult fractures: A review. Injury 37:691-697.</w:t>
      </w:r>
    </w:p>
    <w:p w14:paraId="3575DE68"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 xml:space="preserve">Danforth, Marie Elaine, </w:t>
      </w:r>
      <w:r w:rsidRPr="00C97542">
        <w:rPr>
          <w:rFonts w:ascii="Times New Roman" w:hAnsi="Times New Roman"/>
          <w:color w:val="000000"/>
        </w:rPr>
        <w:t>Keith P. Jacobi</w:t>
      </w:r>
      <w:r w:rsidRPr="00C97542">
        <w:rPr>
          <w:rFonts w:ascii="Times New Roman" w:hAnsi="Times New Roman"/>
        </w:rPr>
        <w:t xml:space="preserve">, </w:t>
      </w:r>
      <w:r w:rsidRPr="00C97542">
        <w:rPr>
          <w:rFonts w:ascii="Times New Roman" w:hAnsi="Times New Roman"/>
          <w:color w:val="000000"/>
        </w:rPr>
        <w:t>Gabriel D. Wrobel</w:t>
      </w:r>
      <w:r w:rsidRPr="00C97542">
        <w:rPr>
          <w:rFonts w:ascii="Times New Roman" w:hAnsi="Times New Roman"/>
        </w:rPr>
        <w:t xml:space="preserve">, and </w:t>
      </w:r>
      <w:r w:rsidRPr="00C97542">
        <w:rPr>
          <w:rFonts w:ascii="Times New Roman" w:hAnsi="Times New Roman"/>
          <w:color w:val="000000"/>
        </w:rPr>
        <w:t>Sara Glassman</w:t>
      </w:r>
    </w:p>
    <w:p w14:paraId="05E2001F"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2007</w:t>
      </w:r>
      <w:r w:rsidRPr="00C97542">
        <w:rPr>
          <w:rFonts w:ascii="Times New Roman" w:hAnsi="Times New Roman"/>
        </w:rPr>
        <w:tab/>
        <w:t>Health and the Transition to Horticulture in the South Central United States. In Ancient Health:  Skeletal Indicators of Agriculture and Economic Intensification. M.N. Cohen and G.M.M. Crane-Kramer, eds. Pp. 67-79.  Gainsville: University Press of Florida.</w:t>
      </w:r>
    </w:p>
    <w:p w14:paraId="4A2B628E" w14:textId="77777777" w:rsidR="00EC6051" w:rsidRPr="00C97542" w:rsidRDefault="00EC6051" w:rsidP="00EC6051">
      <w:pPr>
        <w:widowControl w:val="0"/>
        <w:autoSpaceDE w:val="0"/>
        <w:autoSpaceDN w:val="0"/>
        <w:adjustRightInd w:val="0"/>
        <w:spacing w:line="240" w:lineRule="auto"/>
        <w:outlineLvl w:val="0"/>
        <w:rPr>
          <w:rFonts w:ascii="Times New Roman" w:hAnsi="Times New Roman"/>
        </w:rPr>
      </w:pPr>
      <w:r w:rsidRPr="00C97542">
        <w:rPr>
          <w:rFonts w:ascii="Times New Roman" w:hAnsi="Times New Roman"/>
        </w:rPr>
        <w:t>Davis, E. Mott</w:t>
      </w:r>
    </w:p>
    <w:p w14:paraId="7D70AB6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1970</w:t>
      </w:r>
      <w:r w:rsidRPr="00C97542">
        <w:rPr>
          <w:rFonts w:ascii="Times New Roman" w:hAnsi="Times New Roman"/>
        </w:rPr>
        <w:tab/>
        <w:t xml:space="preserve">Archaeological and historical assessment of the Red River basin in Texas. </w:t>
      </w:r>
      <w:r w:rsidRPr="00C97542">
        <w:rPr>
          <w:rFonts w:ascii="Times New Roman" w:hAnsi="Times New Roman"/>
          <w:i/>
          <w:iCs/>
        </w:rPr>
        <w:t>In</w:t>
      </w:r>
      <w:r w:rsidRPr="00C97542">
        <w:rPr>
          <w:rFonts w:ascii="Times New Roman" w:hAnsi="Times New Roman"/>
        </w:rPr>
        <w:t xml:space="preserve"> Archaeological and Historical Resources of the Red River Basin, Research Series 1. Pp. 25-65.</w:t>
      </w:r>
    </w:p>
    <w:p w14:paraId="666BF1F1"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Diamond, Jared</w:t>
      </w:r>
    </w:p>
    <w:p w14:paraId="562DA9D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1987</w:t>
      </w:r>
      <w:r w:rsidRPr="00C97542">
        <w:rPr>
          <w:rFonts w:ascii="Times New Roman" w:hAnsi="Times New Roman"/>
        </w:rPr>
        <w:tab/>
        <w:t>The Worst Mistake in the History of the Human Race. Discover Magazine May:64:66.</w:t>
      </w:r>
    </w:p>
    <w:p w14:paraId="30DA0157"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Dirks, Robert</w:t>
      </w:r>
    </w:p>
    <w:p w14:paraId="367224B9"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1993</w:t>
      </w:r>
      <w:r w:rsidRPr="00C97542">
        <w:rPr>
          <w:rFonts w:ascii="Times New Roman" w:hAnsi="Times New Roman"/>
        </w:rPr>
        <w:tab/>
        <w:t>Starvation and Famine. Cross-Cultural Research 27:28-69.</w:t>
      </w:r>
    </w:p>
    <w:p w14:paraId="53F796F0"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Domett, K. M., and N. Tayles</w:t>
      </w:r>
    </w:p>
    <w:p w14:paraId="5C6644D6"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2006</w:t>
      </w:r>
      <w:r w:rsidRPr="00C97542">
        <w:rPr>
          <w:rFonts w:ascii="Times New Roman" w:hAnsi="Times New Roman"/>
        </w:rPr>
        <w:tab/>
        <w:t>Adult fracture patterns in prehistoric Thailand: a biocultural interpretation. International Journal of Osteoarchaeology 16:185:199.</w:t>
      </w:r>
    </w:p>
    <w:p w14:paraId="5A6BA2CD"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Duday, Henri</w:t>
      </w:r>
    </w:p>
    <w:p w14:paraId="6E51833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2009</w:t>
      </w:r>
      <w:r w:rsidRPr="00C97542">
        <w:rPr>
          <w:rFonts w:ascii="Times New Roman" w:hAnsi="Times New Roman"/>
        </w:rPr>
        <w:tab/>
        <w:t>The Archaeology of the Dead: Lectures in Archaeothanatology.  Oxford: Oxbow Books.</w:t>
      </w:r>
    </w:p>
    <w:p w14:paraId="4824A329"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Durham, J.H., and M.K. Davis</w:t>
      </w:r>
    </w:p>
    <w:p w14:paraId="40943A3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1975</w:t>
      </w:r>
      <w:r w:rsidRPr="00C97542">
        <w:rPr>
          <w:rFonts w:ascii="Times New Roman" w:hAnsi="Times New Roman"/>
        </w:rPr>
        <w:tab/>
        <w:t>Report on Burials Found at Crenshaw Mound “C”, Miller County, Arkansas. Bulletin of the Oklahoma Anthropological Society 23:1-90.</w:t>
      </w:r>
    </w:p>
    <w:p w14:paraId="118AB736"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1981</w:t>
      </w:r>
      <w:r w:rsidRPr="00C97542">
        <w:rPr>
          <w:rFonts w:ascii="Times New Roman" w:hAnsi="Times New Roman"/>
        </w:rPr>
        <w:tab/>
        <w:t>The Poole Site, 3GA3. The Arkansas Archaeologist 22:7-64.</w:t>
      </w:r>
    </w:p>
    <w:p w14:paraId="11A35AED" w14:textId="77777777" w:rsidR="00EC6051" w:rsidRPr="00C97542" w:rsidRDefault="00EC6051" w:rsidP="00EC6051">
      <w:pPr>
        <w:spacing w:line="240" w:lineRule="auto"/>
        <w:rPr>
          <w:rFonts w:ascii="Times New Roman" w:hAnsi="Times New Roman"/>
        </w:rPr>
      </w:pPr>
      <w:r w:rsidRPr="00C97542">
        <w:rPr>
          <w:rFonts w:ascii="Times New Roman" w:hAnsi="Times New Roman"/>
        </w:rPr>
        <w:t>Dye, David H.</w:t>
      </w:r>
    </w:p>
    <w:p w14:paraId="42E3F47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2009</w:t>
      </w:r>
      <w:r w:rsidRPr="00C97542">
        <w:rPr>
          <w:rFonts w:ascii="Times New Roman" w:hAnsi="Times New Roman"/>
        </w:rPr>
        <w:tab/>
        <w:t>War Paths, Peace Paths: An Archaeology of Cooperation and Conflict in Native Eastern North America.  Lanham, MD: AltaMira Press.</w:t>
      </w:r>
    </w:p>
    <w:p w14:paraId="3E254B5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2013</w:t>
      </w:r>
      <w:r w:rsidRPr="00C97542">
        <w:rPr>
          <w:rFonts w:ascii="Times New Roman" w:hAnsi="Times New Roman"/>
        </w:rPr>
        <w:tab/>
        <w:t>Trends in Cooperation and Conflict in Native Eastern North America. In War, Peace, and Human Nature: The Convergence of Evolutionary and Cultural Views D.P. Fry, ed. Pp. 132-150: Oxford University Press.</w:t>
      </w:r>
    </w:p>
    <w:p w14:paraId="37C77270"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Early, Ann M.</w:t>
      </w:r>
    </w:p>
    <w:p w14:paraId="797E10DF"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2004</w:t>
      </w:r>
      <w:r w:rsidRPr="00C97542">
        <w:rPr>
          <w:rFonts w:ascii="Times New Roman" w:hAnsi="Times New Roman"/>
        </w:rPr>
        <w:tab/>
        <w:t xml:space="preserve">Prehistory of the Western Interior After 500 B.C. </w:t>
      </w:r>
      <w:r w:rsidRPr="00C97542">
        <w:rPr>
          <w:rFonts w:ascii="Times New Roman" w:hAnsi="Times New Roman"/>
          <w:i/>
          <w:iCs/>
        </w:rPr>
        <w:t>In</w:t>
      </w:r>
      <w:r w:rsidRPr="00C97542">
        <w:rPr>
          <w:rFonts w:ascii="Times New Roman" w:hAnsi="Times New Roman"/>
        </w:rPr>
        <w:t xml:space="preserve"> Southeast. R.D. Fogelson, ed. Pp. 560-573. Washington: Smithsonian Institution.</w:t>
      </w:r>
    </w:p>
    <w:p w14:paraId="745A2136"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Ember, Carol R., and Melvin Ember</w:t>
      </w:r>
    </w:p>
    <w:p w14:paraId="40B90B87"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Violence in the Ethnographic Record: Results of Cross-Cultural Research on War and Aggression. In Troubled Times: Violence and Warfare in the Past. D.L. Martin and D.W. Frayer, eds. Pp. 1-20.  Newark, NJ: Gordon and Breach Publishers.</w:t>
      </w:r>
    </w:p>
    <w:p w14:paraId="15FC1E13"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Fain, Olivier</w:t>
      </w:r>
    </w:p>
    <w:p w14:paraId="041A853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2005</w:t>
      </w:r>
      <w:r w:rsidRPr="00C97542">
        <w:rPr>
          <w:rFonts w:ascii="Times New Roman" w:hAnsi="Times New Roman"/>
        </w:rPr>
        <w:tab/>
        <w:t>Musculoskeletal manifestations of scurvy. Joint Bone Spine 72(2):124-128.</w:t>
      </w:r>
    </w:p>
    <w:p w14:paraId="08744474"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Fauchier, Rachel</w:t>
      </w:r>
    </w:p>
    <w:p w14:paraId="6F72CA9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2009</w:t>
      </w:r>
      <w:r w:rsidRPr="00C97542">
        <w:rPr>
          <w:rFonts w:ascii="Times New Roman" w:hAnsi="Times New Roman"/>
        </w:rPr>
        <w:tab/>
        <w:t>Contextual Analysis of Burial Practices and Associations from a Shallow Fourche Maline Site: Akers 34Lf32.  Unpublished M.A. thesis, Anthropology, University of Oklahoma.</w:t>
      </w:r>
    </w:p>
    <w:p w14:paraId="21D2E264"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Feldman, George Franklin</w:t>
      </w:r>
    </w:p>
    <w:p w14:paraId="3243E09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Sons of the Morning Star - The Skidi Pawnee. In Cannibalism, Headhunting and Human Sacrifice in North America: A History Forgotten. Pp. 35-49. Chambersburg, PA: Alan C. Hood &amp; Co., Inc.</w:t>
      </w:r>
    </w:p>
    <w:p w14:paraId="710B8E31" w14:textId="77777777" w:rsidR="00EC6051" w:rsidRPr="00C97542" w:rsidRDefault="00EC6051" w:rsidP="00EC6051">
      <w:pPr>
        <w:spacing w:line="240" w:lineRule="auto"/>
        <w:rPr>
          <w:rFonts w:ascii="Times New Roman" w:hAnsi="Times New Roman"/>
        </w:rPr>
      </w:pPr>
      <w:r w:rsidRPr="00C97542">
        <w:rPr>
          <w:rFonts w:ascii="Times New Roman" w:hAnsi="Times New Roman"/>
        </w:rPr>
        <w:t>Ferguson, Brian R.</w:t>
      </w:r>
    </w:p>
    <w:p w14:paraId="635AD46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Violence and War in Prehistory. In Troubled Times: Violence and Warfare in the Past. D.L. Martin and D.W. Frayer, eds. Pp. 321-355.  Newark, NJ: Gordon and Breach Publishers.</w:t>
      </w:r>
    </w:p>
    <w:p w14:paraId="2E925A57" w14:textId="77777777" w:rsidR="00EC6051" w:rsidRPr="00C97542" w:rsidRDefault="00EC6051" w:rsidP="00EC6051">
      <w:pPr>
        <w:spacing w:line="240" w:lineRule="auto"/>
        <w:rPr>
          <w:rFonts w:ascii="Times New Roman" w:hAnsi="Times New Roman"/>
        </w:rPr>
      </w:pPr>
      <w:r w:rsidRPr="00C97542">
        <w:rPr>
          <w:rFonts w:ascii="Times New Roman" w:hAnsi="Times New Roman"/>
        </w:rPr>
        <w:t>Frayer, David W.</w:t>
      </w:r>
    </w:p>
    <w:p w14:paraId="3FA091EC"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Ofnet: Evidence for a Mesolithic Massacre. In Troubled Times: Violence and Warfare in the Past. D.L. Martin and D.W. Frayer, eds. Pp. 181-216.  Newark, NJ: Gordon and Breach Publishers.</w:t>
      </w:r>
    </w:p>
    <w:p w14:paraId="0E0AEE2B"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Galm, Jerry. R.</w:t>
      </w:r>
    </w:p>
    <w:p w14:paraId="545F9C8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1978</w:t>
      </w:r>
      <w:r w:rsidRPr="00C97542">
        <w:rPr>
          <w:rFonts w:ascii="Times New Roman" w:hAnsi="Times New Roman"/>
        </w:rPr>
        <w:tab/>
        <w:t>Archaeological Investigations at Wister Lake, Le Flore County, Oklahoma. Volume 1. Norman, Oklahoma: Archaeological Research and Management Center, The University of Oklahoma.</w:t>
      </w:r>
    </w:p>
    <w:p w14:paraId="73047D4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1981</w:t>
      </w:r>
      <w:r w:rsidRPr="00C97542">
        <w:rPr>
          <w:rFonts w:ascii="Times New Roman" w:hAnsi="Times New Roman"/>
        </w:rPr>
        <w:tab/>
        <w:t>Prehistoric Cultural Adaptations in the Wister Valley, East-Central Oklahoma.  Unpublished PhD dissertation, Anthropology, Washington State University.</w:t>
      </w:r>
    </w:p>
    <w:p w14:paraId="0E47A46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Arkansas Valley Caddoan Formative:  The Wister and Fourche Maline Phases. In Prehistory of Oklahoma. R.E. Bell, ed. Pp. 199-219. New York: Academic Press.</w:t>
      </w:r>
    </w:p>
    <w:p w14:paraId="6D7BBEF0"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Galm, Jerry R., and Peggy Flynn</w:t>
      </w:r>
    </w:p>
    <w:p w14:paraId="3F58F91F"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1978</w:t>
      </w:r>
      <w:r w:rsidRPr="00C97542">
        <w:rPr>
          <w:rFonts w:ascii="Times New Roman" w:hAnsi="Times New Roman"/>
        </w:rPr>
        <w:tab/>
        <w:t>The Cultural Sequence at the Scott (34Lf11) and Wann (34Lf27) Sites. In The Prehistory of the Wister Valley.  Research Series No. 3. Norman, Oklahoma: Archaeological Research and Management Center, University of Oklahoma.</w:t>
      </w:r>
    </w:p>
    <w:p w14:paraId="5359DE85"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Gat, Azar</w:t>
      </w:r>
    </w:p>
    <w:p w14:paraId="39BA805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1999</w:t>
      </w:r>
      <w:r w:rsidRPr="00C97542">
        <w:rPr>
          <w:rFonts w:ascii="Times New Roman" w:hAnsi="Times New Roman"/>
        </w:rPr>
        <w:tab/>
        <w:t>The Pattern of Fighting in Simple, Small-Scale, Prestate Societies. Journal of Archaeological Research 55(4):563-583.</w:t>
      </w:r>
    </w:p>
    <w:p w14:paraId="42DB46C7"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Giesen, Myra Jayne</w:t>
      </w:r>
    </w:p>
    <w:p w14:paraId="713715B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1986</w:t>
      </w:r>
      <w:r w:rsidRPr="00C97542">
        <w:rPr>
          <w:rFonts w:ascii="Times New Roman" w:hAnsi="Times New Roman"/>
        </w:rPr>
        <w:tab/>
        <w:t>Dental Attrition and Alveolar Resorption: A Case Study of Williams I (34-Lf24).  Unpublished M.A. thesis, Anthropology, The Wichita State University.</w:t>
      </w:r>
    </w:p>
    <w:p w14:paraId="6948C3A7"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Goodman, Alan H., George J. Armelagos, and Jerome C. Rose</w:t>
      </w:r>
    </w:p>
    <w:p w14:paraId="2786C419"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The chronological distribution of enamel hypoplasias from prehistoric Dickson Mounds populations. American Journal of Physical Anthropology 65(3):259-266.</w:t>
      </w:r>
    </w:p>
    <w:p w14:paraId="781DB22B" w14:textId="77777777" w:rsidR="00EC6051" w:rsidRPr="00C97542" w:rsidRDefault="00EC6051" w:rsidP="00EC6051">
      <w:pPr>
        <w:spacing w:line="240" w:lineRule="auto"/>
        <w:rPr>
          <w:rFonts w:ascii="Times New Roman" w:hAnsi="Times New Roman"/>
        </w:rPr>
      </w:pPr>
      <w:r w:rsidRPr="00C97542">
        <w:rPr>
          <w:rFonts w:ascii="Times New Roman" w:hAnsi="Times New Roman"/>
        </w:rPr>
        <w:t>Guccione, Margaret J.</w:t>
      </w:r>
    </w:p>
    <w:p w14:paraId="26491994"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Impact of the alluvial style on the geoarcheology of stream valleys Geomorphology 101(1-2):378-401.</w:t>
      </w:r>
    </w:p>
    <w:p w14:paraId="5D670347"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1999</w:t>
      </w:r>
      <w:r w:rsidRPr="00C97542">
        <w:rPr>
          <w:rFonts w:ascii="Times New Roman" w:hAnsi="Times New Roman"/>
        </w:rPr>
        <w:tab/>
        <w:t xml:space="preserve">Geomorphology of the Poteau River and Fourche Maline Creek. </w:t>
      </w:r>
      <w:r w:rsidRPr="00C97542">
        <w:rPr>
          <w:rFonts w:ascii="Times New Roman" w:hAnsi="Times New Roman"/>
          <w:i/>
          <w:iCs/>
        </w:rPr>
        <w:t>In</w:t>
      </w:r>
      <w:r w:rsidRPr="00C97542">
        <w:rPr>
          <w:rFonts w:ascii="Times New Roman" w:hAnsi="Times New Roman"/>
        </w:rPr>
        <w:t xml:space="preserve"> Guidebook, Aspects of Soil Geomorphology in Eastern Oklahoma: A Pleistocene Medley. Stillwater, OK: Oklahoma State University.</w:t>
      </w:r>
    </w:p>
    <w:p w14:paraId="53F5A3B1"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Guilaine, Jean, and Jean Zammit</w:t>
      </w:r>
    </w:p>
    <w:p w14:paraId="1195A28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2001</w:t>
      </w:r>
      <w:r w:rsidRPr="00C97542">
        <w:rPr>
          <w:rFonts w:ascii="Times New Roman" w:hAnsi="Times New Roman"/>
        </w:rPr>
        <w:tab/>
        <w:t>The Origins of War: Violence in Prehistory. M. Hersey, transl.  Oxford: Blackwell Publishing.</w:t>
      </w:r>
    </w:p>
    <w:p w14:paraId="3488FE18" w14:textId="77777777" w:rsidR="00EC6051" w:rsidRPr="00C97542" w:rsidRDefault="00EC6051" w:rsidP="00EC6051">
      <w:pPr>
        <w:spacing w:line="240" w:lineRule="auto"/>
        <w:rPr>
          <w:rFonts w:ascii="Times New Roman" w:hAnsi="Times New Roman"/>
        </w:rPr>
      </w:pPr>
      <w:r w:rsidRPr="00C97542">
        <w:rPr>
          <w:rFonts w:ascii="Times New Roman" w:hAnsi="Times New Roman"/>
        </w:rPr>
        <w:t>Guilinger, Edwin L.</w:t>
      </w:r>
    </w:p>
    <w:p w14:paraId="0688AB8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1971</w:t>
      </w:r>
      <w:r w:rsidRPr="00C97542">
        <w:rPr>
          <w:rFonts w:ascii="Times New Roman" w:hAnsi="Times New Roman"/>
        </w:rPr>
        <w:tab/>
        <w:t>The Archaeological Situation at the Copeland Site, A Fourche Maline Site in LeFlore County. Unpublished M.A. Department of Anthropology, University of Oklahoma.</w:t>
      </w:r>
    </w:p>
    <w:p w14:paraId="4428EE20" w14:textId="77777777" w:rsidR="00EC6051" w:rsidRPr="007A1C43" w:rsidRDefault="00EC6051" w:rsidP="00EC6051">
      <w:pPr>
        <w:widowControl w:val="0"/>
        <w:autoSpaceDE w:val="0"/>
        <w:autoSpaceDN w:val="0"/>
        <w:adjustRightInd w:val="0"/>
        <w:spacing w:line="240" w:lineRule="auto"/>
        <w:rPr>
          <w:rFonts w:ascii="Times New Roman" w:hAnsi="Times New Roman"/>
        </w:rPr>
      </w:pPr>
      <w:r w:rsidRPr="007A1C43">
        <w:rPr>
          <w:rFonts w:ascii="Times New Roman" w:hAnsi="Times New Roman"/>
        </w:rPr>
        <w:t>Hammett, M.</w:t>
      </w:r>
    </w:p>
    <w:p w14:paraId="71440F2C" w14:textId="77777777" w:rsidR="00EC6051" w:rsidRPr="007A1C43" w:rsidRDefault="00EC6051" w:rsidP="00EC6051">
      <w:pPr>
        <w:widowControl w:val="0"/>
        <w:autoSpaceDE w:val="0"/>
        <w:autoSpaceDN w:val="0"/>
        <w:adjustRightInd w:val="0"/>
        <w:spacing w:line="240" w:lineRule="auto"/>
        <w:ind w:left="1440" w:hanging="720"/>
        <w:rPr>
          <w:rFonts w:ascii="Times New Roman" w:hAnsi="Times New Roman"/>
        </w:rPr>
      </w:pPr>
      <w:r w:rsidRPr="007A1C43">
        <w:rPr>
          <w:rFonts w:ascii="Times New Roman" w:hAnsi="Times New Roman"/>
        </w:rPr>
        <w:t>1978</w:t>
      </w:r>
      <w:r w:rsidRPr="007A1C43">
        <w:rPr>
          <w:rFonts w:ascii="Times New Roman" w:hAnsi="Times New Roman"/>
        </w:rPr>
        <w:tab/>
        <w:t xml:space="preserve">Burial Data from Phase II Investigations at the Scott (34LF11) and Wann (34LF27) Sites. </w:t>
      </w:r>
      <w:r w:rsidRPr="007A1C43">
        <w:rPr>
          <w:rFonts w:ascii="Times New Roman" w:hAnsi="Times New Roman"/>
          <w:i/>
          <w:iCs/>
        </w:rPr>
        <w:t>In</w:t>
      </w:r>
      <w:r w:rsidRPr="007A1C43">
        <w:rPr>
          <w:rFonts w:ascii="Times New Roman" w:hAnsi="Times New Roman"/>
        </w:rPr>
        <w:t xml:space="preserve"> The Cultural Sequences at the Scott (34LF11) and Wann (34LF27) Sites and Prehistory of the Wister Valley. J. Galm and P. Flynn, eds. Norman: Archeological Research and Management Center, Research Series No 3.</w:t>
      </w:r>
    </w:p>
    <w:p w14:paraId="5B070B1C" w14:textId="77777777" w:rsidR="00EC6051" w:rsidRPr="007A1C43" w:rsidRDefault="00EC6051" w:rsidP="00EC6051">
      <w:pPr>
        <w:widowControl w:val="0"/>
        <w:autoSpaceDE w:val="0"/>
        <w:autoSpaceDN w:val="0"/>
        <w:adjustRightInd w:val="0"/>
        <w:spacing w:line="240" w:lineRule="auto"/>
        <w:rPr>
          <w:rFonts w:ascii="Times New Roman" w:hAnsi="Times New Roman"/>
        </w:rPr>
      </w:pPr>
      <w:r w:rsidRPr="007A1C43">
        <w:rPr>
          <w:rFonts w:ascii="Times New Roman" w:hAnsi="Times New Roman"/>
        </w:rPr>
        <w:t>Harrington, Mark R.</w:t>
      </w:r>
    </w:p>
    <w:p w14:paraId="38422264"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1920</w:t>
      </w:r>
      <w:r w:rsidRPr="00C97542">
        <w:rPr>
          <w:rFonts w:ascii="Times New Roman" w:hAnsi="Times New Roman"/>
        </w:rPr>
        <w:tab/>
        <w:t>Certain Caddo Sites in Arkansas: Miscellaneous Series No. 10. Museum of the American Indian, Indian Notes and Monographs, Miscellaneous Series No. 1(2). Heye Foundation, New York.</w:t>
      </w:r>
    </w:p>
    <w:p w14:paraId="5C2E1B69"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Hoffman, Michael P.</w:t>
      </w:r>
    </w:p>
    <w:p w14:paraId="6FDE771D" w14:textId="77777777" w:rsidR="00EC6051" w:rsidRDefault="00EC6051" w:rsidP="00EC6051">
      <w:pPr>
        <w:spacing w:line="240" w:lineRule="auto"/>
        <w:ind w:left="1440" w:hanging="720"/>
        <w:outlineLvl w:val="0"/>
        <w:rPr>
          <w:rFonts w:ascii="Times New Roman" w:hAnsi="Times New Roman"/>
        </w:rPr>
      </w:pPr>
      <w:r w:rsidRPr="00C97542">
        <w:rPr>
          <w:rFonts w:ascii="Times New Roman" w:hAnsi="Times New Roman"/>
        </w:rPr>
        <w:t>1969</w:t>
      </w:r>
      <w:r w:rsidRPr="00C97542">
        <w:rPr>
          <w:rFonts w:ascii="Times New Roman" w:hAnsi="Times New Roman"/>
        </w:rPr>
        <w:tab/>
        <w:t>Prehistoric developments in southwestern Arkansas. The Arkansas Archeologist 10:4-14.</w:t>
      </w:r>
    </w:p>
    <w:p w14:paraId="448C89EC"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Human Security Center</w:t>
      </w:r>
    </w:p>
    <w:p w14:paraId="5E93FC46"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2005</w:t>
      </w:r>
      <w:r w:rsidRPr="00C97542">
        <w:rPr>
          <w:rFonts w:ascii="Times New Roman" w:hAnsi="Times New Roman"/>
        </w:rPr>
        <w:tab/>
        <w:t>Human Security Report. The University of British Columbia.</w:t>
      </w:r>
    </w:p>
    <w:p w14:paraId="6E41E597"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Irvine, Marilee</w:t>
      </w:r>
    </w:p>
    <w:p w14:paraId="7111BBB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1980</w:t>
      </w:r>
      <w:r w:rsidRPr="00C97542">
        <w:rPr>
          <w:rFonts w:ascii="Times New Roman" w:hAnsi="Times New Roman"/>
        </w:rPr>
        <w:tab/>
        <w:t>Ceramic Analysis from the Williams I Site, 34Lf-24, Leflore County.  Unpublished M.A. thesis, Oklahoma, Anthropology, The University of Oklahoma.</w:t>
      </w:r>
    </w:p>
    <w:p w14:paraId="505BC1BC" w14:textId="77777777" w:rsidR="00EC6051" w:rsidRPr="00C97542" w:rsidRDefault="00EC6051" w:rsidP="00EC6051">
      <w:pPr>
        <w:spacing w:line="240" w:lineRule="auto"/>
        <w:rPr>
          <w:rFonts w:ascii="Times New Roman" w:hAnsi="Times New Roman"/>
        </w:rPr>
      </w:pPr>
      <w:r w:rsidRPr="00C97542">
        <w:rPr>
          <w:rFonts w:ascii="Times New Roman" w:hAnsi="Times New Roman"/>
        </w:rPr>
        <w:t>Jacobs, Keith P.</w:t>
      </w:r>
    </w:p>
    <w:p w14:paraId="6B242A2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Disabling the Dead: Human Trophy Taking in the Prehistoric Southeast. In The Taking and Displaying of Human Body Parts as Trophies by Amerindians. R.J. Chacon and D.H. Dye, eds. Pp. 299-338</w:t>
      </w:r>
      <w:r>
        <w:rPr>
          <w:rFonts w:ascii="Times New Roman" w:hAnsi="Times New Roman"/>
        </w:rPr>
        <w:t>.  NewYork</w:t>
      </w:r>
      <w:r w:rsidRPr="00C97542">
        <w:rPr>
          <w:rFonts w:ascii="Times New Roman" w:hAnsi="Times New Roman"/>
        </w:rPr>
        <w:t>: Springer.</w:t>
      </w:r>
    </w:p>
    <w:p w14:paraId="6572FB3A" w14:textId="77777777" w:rsidR="00EC6051" w:rsidRPr="00C97542" w:rsidRDefault="00EC6051" w:rsidP="00EC6051">
      <w:pPr>
        <w:spacing w:line="240" w:lineRule="auto"/>
        <w:rPr>
          <w:rFonts w:ascii="Times New Roman" w:hAnsi="Times New Roman"/>
        </w:rPr>
      </w:pPr>
      <w:r w:rsidRPr="00C97542">
        <w:rPr>
          <w:rFonts w:ascii="Times New Roman" w:hAnsi="Times New Roman"/>
        </w:rPr>
        <w:t>Johnson, Kenneth S.</w:t>
      </w:r>
    </w:p>
    <w:p w14:paraId="071CDC1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1998</w:t>
      </w:r>
      <w:r w:rsidRPr="00C97542">
        <w:rPr>
          <w:rFonts w:ascii="Times New Roman" w:hAnsi="Times New Roman"/>
        </w:rPr>
        <w:tab/>
        <w:t>Mountains, Streams, and Lakes of Oklahoma. Norman, Oklahoma: Oklahoma Geological Survey, Information Series #1.</w:t>
      </w:r>
    </w:p>
    <w:p w14:paraId="7933B657" w14:textId="77777777" w:rsidR="00EC6051" w:rsidRPr="00C97542" w:rsidRDefault="00EC6051" w:rsidP="00EC6051">
      <w:pPr>
        <w:spacing w:line="240" w:lineRule="auto"/>
        <w:rPr>
          <w:rFonts w:ascii="Times New Roman" w:hAnsi="Times New Roman"/>
        </w:rPr>
      </w:pPr>
      <w:r w:rsidRPr="00C97542">
        <w:rPr>
          <w:rFonts w:ascii="Times New Roman" w:hAnsi="Times New Roman"/>
        </w:rPr>
        <w:t>Judd, Margaret A.</w:t>
      </w:r>
    </w:p>
    <w:p w14:paraId="4FE727F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2004</w:t>
      </w:r>
      <w:r w:rsidRPr="00C97542">
        <w:rPr>
          <w:rFonts w:ascii="Times New Roman" w:hAnsi="Times New Roman"/>
        </w:rPr>
        <w:tab/>
        <w:t>Trauma in the City of Kerma: Ancient versus Modern Injury Patterns. International Journal of Osteoarchaeology 14:34-51.</w:t>
      </w:r>
    </w:p>
    <w:p w14:paraId="71F4C1AF" w14:textId="77777777" w:rsidR="00EC6051" w:rsidRPr="00C97542" w:rsidRDefault="00EC6051" w:rsidP="00EC6051">
      <w:pPr>
        <w:spacing w:line="240" w:lineRule="auto"/>
        <w:rPr>
          <w:rFonts w:ascii="Times New Roman" w:hAnsi="Times New Roman"/>
        </w:rPr>
      </w:pPr>
      <w:r w:rsidRPr="00C97542">
        <w:rPr>
          <w:rFonts w:ascii="Times New Roman" w:hAnsi="Times New Roman"/>
        </w:rPr>
        <w:t>Judd, Margaret A.</w:t>
      </w:r>
    </w:p>
    <w:p w14:paraId="55B7550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The Parry Problem. Journal of Archaeological Science 35:1658-1666.</w:t>
      </w:r>
    </w:p>
    <w:p w14:paraId="6F833242" w14:textId="77777777" w:rsidR="006F2234" w:rsidRDefault="006F2234" w:rsidP="00EC6051">
      <w:pPr>
        <w:spacing w:line="240" w:lineRule="auto"/>
        <w:rPr>
          <w:rFonts w:ascii="Times New Roman" w:hAnsi="Times New Roman"/>
        </w:rPr>
      </w:pPr>
    </w:p>
    <w:p w14:paraId="172C02B8" w14:textId="77777777" w:rsidR="006F2234" w:rsidRDefault="006F2234" w:rsidP="00EC6051">
      <w:pPr>
        <w:spacing w:line="240" w:lineRule="auto"/>
        <w:rPr>
          <w:rFonts w:ascii="Times New Roman" w:hAnsi="Times New Roman"/>
        </w:rPr>
      </w:pPr>
    </w:p>
    <w:p w14:paraId="7546C4F0" w14:textId="77777777" w:rsidR="00EC6051" w:rsidRPr="00667592" w:rsidRDefault="00EC6051" w:rsidP="00EC6051">
      <w:pPr>
        <w:spacing w:line="240" w:lineRule="auto"/>
        <w:rPr>
          <w:rFonts w:ascii="Times New Roman" w:hAnsi="Times New Roman"/>
        </w:rPr>
      </w:pPr>
      <w:r>
        <w:rPr>
          <w:rFonts w:ascii="Times New Roman" w:hAnsi="Times New Roman"/>
        </w:rPr>
        <w:t xml:space="preserve">Jurmain, Robert, </w:t>
      </w:r>
      <w:r w:rsidRPr="009D5302">
        <w:rPr>
          <w:rFonts w:ascii="Times New Roman" w:hAnsi="Times New Roman"/>
        </w:rPr>
        <w:t>Eric J. Bartelink</w:t>
      </w:r>
      <w:r>
        <w:rPr>
          <w:rFonts w:ascii="Times New Roman" w:hAnsi="Times New Roman"/>
        </w:rPr>
        <w:t xml:space="preserve">, </w:t>
      </w:r>
      <w:r w:rsidRPr="009D5302">
        <w:rPr>
          <w:rFonts w:ascii="Times New Roman" w:hAnsi="Times New Roman"/>
        </w:rPr>
        <w:t>Alan Leventhal</w:t>
      </w:r>
      <w:r>
        <w:rPr>
          <w:rFonts w:ascii="Times New Roman" w:hAnsi="Times New Roman"/>
        </w:rPr>
        <w:t xml:space="preserve">, </w:t>
      </w:r>
      <w:r w:rsidRPr="009D5302">
        <w:rPr>
          <w:rFonts w:ascii="Times New Roman" w:hAnsi="Times New Roman"/>
        </w:rPr>
        <w:t>Viviana Bellifemine</w:t>
      </w:r>
      <w:r>
        <w:rPr>
          <w:rFonts w:ascii="Times New Roman" w:hAnsi="Times New Roman"/>
        </w:rPr>
        <w:t xml:space="preserve">, </w:t>
      </w:r>
      <w:r w:rsidRPr="009D5302">
        <w:rPr>
          <w:rFonts w:ascii="Times New Roman" w:hAnsi="Times New Roman"/>
        </w:rPr>
        <w:t>Irina Nechayev</w:t>
      </w:r>
      <w:r>
        <w:rPr>
          <w:rFonts w:ascii="Times New Roman" w:hAnsi="Times New Roman"/>
        </w:rPr>
        <w:t xml:space="preserve">, </w:t>
      </w:r>
      <w:r w:rsidRPr="009D5302">
        <w:rPr>
          <w:rFonts w:ascii="Times New Roman" w:hAnsi="Times New Roman"/>
        </w:rPr>
        <w:t>Melynda Atwood</w:t>
      </w:r>
      <w:r>
        <w:rPr>
          <w:rFonts w:ascii="Times New Roman" w:hAnsi="Times New Roman"/>
        </w:rPr>
        <w:t xml:space="preserve">, and </w:t>
      </w:r>
      <w:r w:rsidRPr="009D5302">
        <w:rPr>
          <w:rFonts w:ascii="Times New Roman" w:hAnsi="Times New Roman"/>
        </w:rPr>
        <w:t>Diane DiGiuseppe</w:t>
      </w:r>
    </w:p>
    <w:p w14:paraId="36FE16A3" w14:textId="77777777" w:rsidR="00EC6051" w:rsidRDefault="00EC6051" w:rsidP="00EC6051">
      <w:pPr>
        <w:spacing w:line="240" w:lineRule="auto"/>
        <w:ind w:left="1440" w:hanging="720"/>
        <w:rPr>
          <w:rFonts w:ascii="Times New Roman" w:hAnsi="Times New Roman"/>
        </w:rPr>
      </w:pPr>
      <w:r w:rsidRPr="00667592">
        <w:rPr>
          <w:rFonts w:ascii="Times New Roman" w:hAnsi="Times New Roman"/>
        </w:rPr>
        <w:t>2009</w:t>
      </w:r>
      <w:r w:rsidRPr="00667592">
        <w:rPr>
          <w:rFonts w:ascii="Times New Roman" w:hAnsi="Times New Roman"/>
        </w:rPr>
        <w:tab/>
        <w:t>Paleoepidemiological Patterns of Interpersonal Aggression in a Prehistoric Central California Population From CA-ALA-329. American Journal of Physical Anthropology 139:462-473.</w:t>
      </w:r>
    </w:p>
    <w:p w14:paraId="4CB730F9" w14:textId="77777777" w:rsidR="00EC6051" w:rsidRPr="00C97542" w:rsidRDefault="00EC6051" w:rsidP="00EC6051">
      <w:pPr>
        <w:spacing w:line="240" w:lineRule="auto"/>
        <w:rPr>
          <w:rFonts w:ascii="Times New Roman" w:hAnsi="Times New Roman"/>
        </w:rPr>
      </w:pPr>
      <w:r w:rsidRPr="00C97542">
        <w:rPr>
          <w:rFonts w:ascii="Times New Roman" w:hAnsi="Times New Roman"/>
        </w:rPr>
        <w:t>Keeley, Lawrence H.</w:t>
      </w:r>
    </w:p>
    <w:p w14:paraId="2ADE9E6B" w14:textId="77777777" w:rsidR="00EC6051" w:rsidRDefault="00EC6051" w:rsidP="00EC6051">
      <w:pPr>
        <w:spacing w:line="240" w:lineRule="auto"/>
        <w:ind w:left="1440" w:hanging="720"/>
        <w:rPr>
          <w:rFonts w:ascii="Times New Roman" w:hAnsi="Times New Roman"/>
        </w:rPr>
      </w:pPr>
      <w:r w:rsidRPr="00C97542">
        <w:rPr>
          <w:rFonts w:ascii="Times New Roman" w:hAnsi="Times New Roman"/>
        </w:rPr>
        <w:t>1996</w:t>
      </w:r>
      <w:r w:rsidRPr="00C97542">
        <w:rPr>
          <w:rFonts w:ascii="Times New Roman" w:hAnsi="Times New Roman"/>
        </w:rPr>
        <w:tab/>
        <w:t>War Before Civilization: The Myth of the Peaceful Savage. New York: Oxford University Press.</w:t>
      </w:r>
    </w:p>
    <w:p w14:paraId="3970402B"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Kent, S.</w:t>
      </w:r>
    </w:p>
    <w:p w14:paraId="225A8E8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1986</w:t>
      </w:r>
      <w:r w:rsidRPr="00C97542">
        <w:rPr>
          <w:rFonts w:ascii="Times New Roman" w:hAnsi="Times New Roman"/>
        </w:rPr>
        <w:tab/>
        <w:t>The influence of sedentism and aggregation on portotic hyperostosis and anemia: a case study. Man 21:605-636.</w:t>
      </w:r>
    </w:p>
    <w:p w14:paraId="071ADA3E" w14:textId="77777777" w:rsidR="00EC6051" w:rsidRPr="00C97542" w:rsidRDefault="00EC6051" w:rsidP="00EC6051">
      <w:pPr>
        <w:spacing w:line="240" w:lineRule="auto"/>
        <w:rPr>
          <w:rFonts w:ascii="Times New Roman" w:hAnsi="Times New Roman"/>
        </w:rPr>
      </w:pPr>
      <w:r w:rsidRPr="00C97542">
        <w:rPr>
          <w:rFonts w:ascii="Times New Roman" w:hAnsi="Times New Roman"/>
        </w:rPr>
        <w:t>Keys, Ancel, Josef Brozek, Austin Henschel, Olaf Mickelsen, and Henry Longstreet Taylor</w:t>
      </w:r>
    </w:p>
    <w:p w14:paraId="2C33200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1951</w:t>
      </w:r>
      <w:r w:rsidRPr="00C97542">
        <w:rPr>
          <w:rFonts w:ascii="Times New Roman" w:hAnsi="Times New Roman"/>
        </w:rPr>
        <w:tab/>
        <w:t>The Biology of Human Starvation, Volume 1 and 2: University of Minnesota Press.</w:t>
      </w:r>
    </w:p>
    <w:p w14:paraId="4060FD38"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Kierszenbaum, Abraham L., and Laura L. Tres</w:t>
      </w:r>
    </w:p>
    <w:p w14:paraId="63DF2229"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2012</w:t>
      </w:r>
      <w:r w:rsidRPr="00C97542">
        <w:rPr>
          <w:rFonts w:ascii="Times New Roman" w:hAnsi="Times New Roman"/>
        </w:rPr>
        <w:tab/>
        <w:t>Histology and Cell Biology. Amsterdam: Elsevier.</w:t>
      </w:r>
    </w:p>
    <w:p w14:paraId="022E706A" w14:textId="77777777" w:rsidR="00EC6051" w:rsidRPr="00C97542" w:rsidRDefault="00EC6051" w:rsidP="00EC6051">
      <w:pPr>
        <w:spacing w:line="240" w:lineRule="auto"/>
        <w:rPr>
          <w:rFonts w:ascii="Times New Roman" w:hAnsi="Times New Roman"/>
        </w:rPr>
      </w:pPr>
      <w:r w:rsidRPr="00C97542">
        <w:rPr>
          <w:rFonts w:ascii="Times New Roman" w:hAnsi="Times New Roman"/>
        </w:rPr>
        <w:t>Kimmerle, Erin H., and Jose Pablo Baraybar, eds.</w:t>
      </w:r>
    </w:p>
    <w:p w14:paraId="4A9B4D1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Skeletal Trauma: Identification of Injuries Resulting from Human Rights Abuse and Armed Conflict</w:t>
      </w:r>
      <w:r>
        <w:rPr>
          <w:rFonts w:ascii="Times New Roman" w:hAnsi="Times New Roman"/>
        </w:rPr>
        <w:t>. Boca Raton, FL</w:t>
      </w:r>
      <w:r w:rsidRPr="00C97542">
        <w:rPr>
          <w:rFonts w:ascii="Times New Roman" w:hAnsi="Times New Roman"/>
        </w:rPr>
        <w:t>: CRC Press.</w:t>
      </w:r>
    </w:p>
    <w:p w14:paraId="42E9B9EF"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Komar, Debra</w:t>
      </w:r>
    </w:p>
    <w:p w14:paraId="1B8EEE5A" w14:textId="77777777" w:rsidR="00EC6051" w:rsidRPr="00C97542" w:rsidRDefault="00EC6051" w:rsidP="00EC6051">
      <w:pPr>
        <w:widowControl w:val="0"/>
        <w:autoSpaceDE w:val="0"/>
        <w:autoSpaceDN w:val="0"/>
        <w:adjustRightInd w:val="0"/>
        <w:spacing w:line="240" w:lineRule="auto"/>
        <w:ind w:left="1440" w:hanging="720"/>
        <w:outlineLvl w:val="0"/>
        <w:rPr>
          <w:rFonts w:ascii="Times New Roman" w:hAnsi="Times New Roman"/>
        </w:rPr>
      </w:pPr>
      <w:r w:rsidRPr="00C97542">
        <w:rPr>
          <w:rFonts w:ascii="Times New Roman" w:hAnsi="Times New Roman"/>
        </w:rPr>
        <w:t>2008</w:t>
      </w:r>
      <w:r w:rsidRPr="00C97542">
        <w:rPr>
          <w:rFonts w:ascii="Times New Roman" w:hAnsi="Times New Roman"/>
        </w:rPr>
        <w:tab/>
        <w:t>Patterns of Mortuary Practice Associated with Genocide: Implications for Archaeological Research. Current Anthropology 49(1):123-133.</w:t>
      </w:r>
    </w:p>
    <w:p w14:paraId="555AB515"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Krieger, A.D.</w:t>
      </w:r>
    </w:p>
    <w:p w14:paraId="13E1BDEC" w14:textId="77777777" w:rsidR="00EC6051" w:rsidRPr="00C97542" w:rsidRDefault="00EC6051" w:rsidP="00EC6051">
      <w:pPr>
        <w:widowControl w:val="0"/>
        <w:autoSpaceDE w:val="0"/>
        <w:autoSpaceDN w:val="0"/>
        <w:adjustRightInd w:val="0"/>
        <w:spacing w:line="240" w:lineRule="auto"/>
        <w:ind w:left="1440" w:hanging="720"/>
        <w:outlineLvl w:val="0"/>
        <w:rPr>
          <w:rFonts w:ascii="Times New Roman" w:hAnsi="Times New Roman"/>
        </w:rPr>
      </w:pPr>
      <w:r w:rsidRPr="00C97542">
        <w:rPr>
          <w:rFonts w:ascii="Times New Roman" w:hAnsi="Times New Roman"/>
        </w:rPr>
        <w:t>1946</w:t>
      </w:r>
      <w:r w:rsidRPr="00C97542">
        <w:rPr>
          <w:rFonts w:ascii="Times New Roman" w:hAnsi="Times New Roman"/>
        </w:rPr>
        <w:tab/>
        <w:t>The First Symposium on the Caddoan Archaeological Area. American Antiquity 13:198-207.</w:t>
      </w:r>
    </w:p>
    <w:p w14:paraId="563FD1A9"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Kumar, Vinay, Neslon Fausto, and Jon C. Aster</w:t>
      </w:r>
    </w:p>
    <w:p w14:paraId="695B32CF" w14:textId="77777777" w:rsidR="00EC6051" w:rsidRPr="00C97542" w:rsidRDefault="00EC6051" w:rsidP="00EC6051">
      <w:pPr>
        <w:widowControl w:val="0"/>
        <w:autoSpaceDE w:val="0"/>
        <w:autoSpaceDN w:val="0"/>
        <w:adjustRightInd w:val="0"/>
        <w:spacing w:line="240" w:lineRule="auto"/>
        <w:ind w:left="1440" w:hanging="720"/>
        <w:outlineLvl w:val="0"/>
        <w:rPr>
          <w:rFonts w:ascii="Times New Roman" w:hAnsi="Times New Roman"/>
        </w:rPr>
      </w:pPr>
      <w:r w:rsidRPr="00C97542">
        <w:rPr>
          <w:rFonts w:ascii="Times New Roman" w:hAnsi="Times New Roman"/>
        </w:rPr>
        <w:t>2010</w:t>
      </w:r>
      <w:r w:rsidRPr="00C97542">
        <w:rPr>
          <w:rFonts w:ascii="Times New Roman" w:hAnsi="Times New Roman"/>
        </w:rPr>
        <w:tab/>
        <w:t>Robbins and Cotran Pathological Basis of Disease. Amsterdam: Elsevier.</w:t>
      </w:r>
    </w:p>
    <w:p w14:paraId="6AB9170C" w14:textId="77777777" w:rsidR="00EC6051" w:rsidRPr="00C97542" w:rsidRDefault="00EC6051" w:rsidP="00EC6051">
      <w:pPr>
        <w:widowControl w:val="0"/>
        <w:autoSpaceDE w:val="0"/>
        <w:autoSpaceDN w:val="0"/>
        <w:adjustRightInd w:val="0"/>
        <w:spacing w:line="240" w:lineRule="auto"/>
        <w:outlineLvl w:val="0"/>
        <w:rPr>
          <w:rFonts w:ascii="Times New Roman" w:hAnsi="Times New Roman"/>
        </w:rPr>
      </w:pPr>
      <w:r w:rsidRPr="00C97542">
        <w:rPr>
          <w:rFonts w:ascii="Times New Roman" w:hAnsi="Times New Roman"/>
        </w:rPr>
        <w:t>Lallo, John, Jerome Carl Rose, and George J. Armelagos</w:t>
      </w:r>
    </w:p>
    <w:p w14:paraId="59B61E1F"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1980</w:t>
      </w:r>
      <w:r w:rsidRPr="00C97542">
        <w:rPr>
          <w:rFonts w:ascii="Times New Roman" w:hAnsi="Times New Roman"/>
        </w:rPr>
        <w:tab/>
        <w:t xml:space="preserve">An Ecological Interpretation of Variation in Mortality Within Three Prehistoric American Indian Populations From Dickson Mounds. </w:t>
      </w:r>
      <w:r w:rsidRPr="00C97542">
        <w:rPr>
          <w:rFonts w:ascii="Times New Roman" w:hAnsi="Times New Roman"/>
          <w:i/>
          <w:iCs/>
        </w:rPr>
        <w:t>In</w:t>
      </w:r>
      <w:r w:rsidRPr="00C97542">
        <w:rPr>
          <w:rFonts w:ascii="Times New Roman" w:hAnsi="Times New Roman"/>
        </w:rPr>
        <w:t xml:space="preserve"> Early Native Americans: Prehistoric Demography, Economy, and Technology. D.L. Browman, ed. Pp. 203-238</w:t>
      </w:r>
      <w:r>
        <w:rPr>
          <w:rFonts w:ascii="Times New Roman" w:hAnsi="Times New Roman"/>
        </w:rPr>
        <w:t>. Berlin</w:t>
      </w:r>
      <w:r w:rsidRPr="00C97542">
        <w:rPr>
          <w:rFonts w:ascii="Times New Roman" w:hAnsi="Times New Roman"/>
        </w:rPr>
        <w:t>: Walter de Gruyter.</w:t>
      </w:r>
    </w:p>
    <w:p w14:paraId="3AAE6148" w14:textId="77777777" w:rsidR="00EC6051" w:rsidRPr="00C97542" w:rsidRDefault="00EC6051" w:rsidP="00EC6051">
      <w:pPr>
        <w:spacing w:line="240" w:lineRule="auto"/>
        <w:rPr>
          <w:rFonts w:ascii="Times New Roman" w:hAnsi="Times New Roman"/>
        </w:rPr>
      </w:pPr>
      <w:r w:rsidRPr="00C97542">
        <w:rPr>
          <w:rFonts w:ascii="Times New Roman" w:hAnsi="Times New Roman"/>
        </w:rPr>
        <w:t>Lambert, Patricia M.</w:t>
      </w:r>
    </w:p>
    <w:p w14:paraId="4ED6CEB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Patterns of Violence in Prehistoric Hunter-gatherer Societies of Coastal Southern California. In Troubled Times: Violence and Warfare in the Past. D.L. Martin and D.W. Frayer, eds. Pp. 77-110</w:t>
      </w:r>
      <w:r>
        <w:rPr>
          <w:rFonts w:ascii="Times New Roman" w:hAnsi="Times New Roman"/>
        </w:rPr>
        <w:t xml:space="preserve">. </w:t>
      </w:r>
      <w:r w:rsidRPr="00F75C9C">
        <w:rPr>
          <w:rFonts w:ascii="Times New Roman" w:hAnsi="Times New Roman"/>
        </w:rPr>
        <w:t>Newark, NJ:</w:t>
      </w:r>
      <w:r w:rsidRPr="00C97542">
        <w:rPr>
          <w:rFonts w:ascii="Times New Roman" w:hAnsi="Times New Roman"/>
        </w:rPr>
        <w:t xml:space="preserve"> Gordon and Breach Publishers.</w:t>
      </w:r>
    </w:p>
    <w:p w14:paraId="21C507D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2000</w:t>
      </w:r>
      <w:r w:rsidRPr="00C97542">
        <w:rPr>
          <w:rFonts w:ascii="Times New Roman" w:hAnsi="Times New Roman"/>
        </w:rPr>
        <w:tab/>
        <w:t>Life on the Periphery: Health in Farming Communities of Interior North Carolina and Virginia. In Bioarchaeological Studies of Life in the Age of Agriculture: A View from the Southeast. P.M. Lambert, ed. Pp. 168-194. Tuscaloosa and London: The University of Alabama Press.</w:t>
      </w:r>
    </w:p>
    <w:p w14:paraId="0197671C" w14:textId="0E710053" w:rsidR="00EC6051" w:rsidRDefault="00EC6051" w:rsidP="006F2234">
      <w:pPr>
        <w:spacing w:line="240" w:lineRule="auto"/>
        <w:ind w:left="1440" w:hanging="720"/>
        <w:rPr>
          <w:rFonts w:ascii="Times New Roman" w:hAnsi="Times New Roman"/>
        </w:rPr>
      </w:pPr>
      <w:r w:rsidRPr="00C97542">
        <w:rPr>
          <w:rFonts w:ascii="Times New Roman" w:hAnsi="Times New Roman"/>
        </w:rPr>
        <w:t>2002</w:t>
      </w:r>
      <w:r w:rsidRPr="00C97542">
        <w:rPr>
          <w:rFonts w:ascii="Times New Roman" w:hAnsi="Times New Roman"/>
        </w:rPr>
        <w:tab/>
        <w:t>The Archaeology of War: A North American Perspective. Journal of Archaeological Research 10(3):207-241.</w:t>
      </w:r>
    </w:p>
    <w:p w14:paraId="285B51D9" w14:textId="77777777" w:rsidR="00EC6051" w:rsidRPr="00C97542" w:rsidRDefault="00EC6051" w:rsidP="00EC6051">
      <w:pPr>
        <w:spacing w:line="240" w:lineRule="auto"/>
        <w:rPr>
          <w:rFonts w:ascii="Times New Roman" w:hAnsi="Times New Roman"/>
        </w:rPr>
      </w:pPr>
      <w:r w:rsidRPr="00C97542">
        <w:rPr>
          <w:rFonts w:ascii="Times New Roman" w:hAnsi="Times New Roman"/>
        </w:rPr>
        <w:t>Lambert, Patricia M., ed.</w:t>
      </w:r>
      <w:r w:rsidRPr="00C97542">
        <w:rPr>
          <w:rFonts w:ascii="Times New Roman" w:hAnsi="Times New Roman"/>
        </w:rPr>
        <w:tab/>
      </w:r>
    </w:p>
    <w:p w14:paraId="525FBFE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2000</w:t>
      </w:r>
      <w:r w:rsidRPr="00C97542">
        <w:rPr>
          <w:rFonts w:ascii="Times New Roman" w:hAnsi="Times New Roman"/>
        </w:rPr>
        <w:tab/>
        <w:t>Bioarchaeological Studies of Life in the Age of Agriculture: A View from the Southeast. Tuscaloosa and London: The University of Alabama Press.</w:t>
      </w:r>
    </w:p>
    <w:p w14:paraId="3E5216F6"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Larson, Clark Spencer, and Leslie E. Sering</w:t>
      </w:r>
    </w:p>
    <w:p w14:paraId="6E47BE4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2000</w:t>
      </w:r>
      <w:r w:rsidRPr="00C97542">
        <w:rPr>
          <w:rFonts w:ascii="Times New Roman" w:hAnsi="Times New Roman"/>
        </w:rPr>
        <w:tab/>
        <w:t>Inferring Iron-Deficiency Anemia from Human Skeletal Remains:  The Case of the Georgia Bight. In Bioarchaeological Studies of Life in the Age of Agriculture: A View from the Southeast. P.M. Lambert, ed. Pp. 116-153. Tuscaloosa and London: The University of Alabama Press.</w:t>
      </w:r>
    </w:p>
    <w:p w14:paraId="515B5447"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Lawler, Andrew</w:t>
      </w:r>
    </w:p>
    <w:p w14:paraId="37BD0155"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2012</w:t>
      </w:r>
      <w:r w:rsidRPr="00C97542">
        <w:rPr>
          <w:rFonts w:ascii="Times New Roman" w:hAnsi="Times New Roman"/>
        </w:rPr>
        <w:tab/>
        <w:t>The Battle Over Violence. Science 336:829-830.</w:t>
      </w:r>
    </w:p>
    <w:p w14:paraId="68E8F60A"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Leader, Pamela Marie</w:t>
      </w:r>
    </w:p>
    <w:p w14:paraId="4C33C78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Chipped Stone Artifacts from the Mackey Site, A Large Black Midden Mou</w:t>
      </w:r>
      <w:r>
        <w:rPr>
          <w:rFonts w:ascii="Times New Roman" w:hAnsi="Times New Roman"/>
        </w:rPr>
        <w:t>nd in the Fourche Maline Valley, unpublished M.A. thesis,</w:t>
      </w:r>
      <w:r w:rsidRPr="00C97542">
        <w:rPr>
          <w:rFonts w:ascii="Times New Roman" w:hAnsi="Times New Roman"/>
        </w:rPr>
        <w:t xml:space="preserve"> Anthropology, University of Oklahoma.</w:t>
      </w:r>
    </w:p>
    <w:p w14:paraId="797992F3"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Leith, Luther</w:t>
      </w:r>
    </w:p>
    <w:p w14:paraId="4807747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2006</w:t>
      </w:r>
      <w:r w:rsidRPr="00C97542">
        <w:rPr>
          <w:rFonts w:ascii="Times New Roman" w:hAnsi="Times New Roman"/>
        </w:rPr>
        <w:tab/>
        <w:t>The McCutchan-McLaughlin Site:  A stratigraphic study of material culture change and possible adoption of agriculture.  Unpublished M.A. Department of Anthropology, University of Oklahoma.</w:t>
      </w:r>
    </w:p>
    <w:p w14:paraId="610C646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2011</w:t>
      </w:r>
      <w:r w:rsidRPr="00C97542">
        <w:rPr>
          <w:rFonts w:ascii="Times New Roman" w:hAnsi="Times New Roman"/>
        </w:rPr>
        <w:tab/>
        <w:t>A Re-concepualization of the Fourche Maline Culture: The Woodland Period as a transition in Eastern Oklahoma.  Unpublished Ph.D. Department of Anthropology, University of Oklahoma.</w:t>
      </w:r>
    </w:p>
    <w:p w14:paraId="3375B052"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Lesser, Alexander, and Gene Weltfish</w:t>
      </w:r>
    </w:p>
    <w:p w14:paraId="44FA03E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1932</w:t>
      </w:r>
      <w:r w:rsidRPr="00C97542">
        <w:rPr>
          <w:rFonts w:ascii="Times New Roman" w:hAnsi="Times New Roman"/>
        </w:rPr>
        <w:tab/>
        <w:t>Composition of the Caddoan linguistic stock. Washington: Smithsonian Miscellaneous Collection 87.</w:t>
      </w:r>
    </w:p>
    <w:p w14:paraId="46743452"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Lewis, Mary E.</w:t>
      </w:r>
    </w:p>
    <w:p w14:paraId="7307F63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2007</w:t>
      </w:r>
      <w:r w:rsidRPr="00C97542">
        <w:rPr>
          <w:rFonts w:ascii="Times New Roman" w:hAnsi="Times New Roman"/>
        </w:rPr>
        <w:tab/>
        <w:t>The Bioarchaeology of Children: Perspectives from Biological and Forensic Anthropology.  Cambridge: University Press.</w:t>
      </w:r>
    </w:p>
    <w:p w14:paraId="137E9B2B" w14:textId="77777777" w:rsidR="00EC6051" w:rsidRPr="00C97542" w:rsidRDefault="00EC6051" w:rsidP="00EC6051">
      <w:pPr>
        <w:spacing w:line="240" w:lineRule="auto"/>
        <w:rPr>
          <w:rFonts w:ascii="Times New Roman" w:hAnsi="Times New Roman"/>
        </w:rPr>
      </w:pPr>
      <w:r w:rsidRPr="00C97542">
        <w:rPr>
          <w:rFonts w:ascii="Times New Roman" w:hAnsi="Times New Roman"/>
        </w:rPr>
        <w:t>Lovell, Nancy C.</w:t>
      </w:r>
    </w:p>
    <w:p w14:paraId="7B1370CC"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Trauma Analysis in Paleopathology. Yearbook of Physical Anthropology 40:139-170.</w:t>
      </w:r>
    </w:p>
    <w:p w14:paraId="33DB3A7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 xml:space="preserve">Analysis and Interpretation of Skeletal Trauma. </w:t>
      </w:r>
      <w:r w:rsidRPr="00C97542">
        <w:rPr>
          <w:rFonts w:ascii="Times New Roman" w:hAnsi="Times New Roman"/>
          <w:i/>
          <w:iCs/>
        </w:rPr>
        <w:t>In</w:t>
      </w:r>
      <w:r w:rsidRPr="00C97542">
        <w:rPr>
          <w:rFonts w:ascii="Times New Roman" w:hAnsi="Times New Roman"/>
        </w:rPr>
        <w:t xml:space="preserve"> Biological Anthropology of the Human Skeleton, Second Edition. M.A. Katzenberg and S.R. Saunders, eds. Pp. 341-386</w:t>
      </w:r>
      <w:r>
        <w:rPr>
          <w:rFonts w:ascii="Times New Roman" w:hAnsi="Times New Roman"/>
        </w:rPr>
        <w:t>.  Hoboken, NJ</w:t>
      </w:r>
      <w:r w:rsidRPr="00C97542">
        <w:rPr>
          <w:rFonts w:ascii="Times New Roman" w:hAnsi="Times New Roman"/>
        </w:rPr>
        <w:t>: John Wiley and Sons, Inc.</w:t>
      </w:r>
    </w:p>
    <w:p w14:paraId="7C5DF676" w14:textId="77777777" w:rsidR="00EC6051" w:rsidRPr="00C97542" w:rsidRDefault="00EC6051" w:rsidP="00EC6051">
      <w:pPr>
        <w:spacing w:line="240" w:lineRule="auto"/>
        <w:rPr>
          <w:rFonts w:ascii="Times New Roman" w:hAnsi="Times New Roman"/>
        </w:rPr>
      </w:pPr>
      <w:r w:rsidRPr="00C97542">
        <w:rPr>
          <w:rFonts w:ascii="Times New Roman" w:hAnsi="Times New Roman"/>
        </w:rPr>
        <w:t>Martin, Debra L.</w:t>
      </w:r>
    </w:p>
    <w:p w14:paraId="3BC4FEE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Violence Against Women in the La Plata River Valley (A.D. 1000-1300). In Troubled Times: Violence and Warfare in the Past. D.L. Martin and D.W. Frayer, eds. Pp. 45-76</w:t>
      </w:r>
      <w:r>
        <w:rPr>
          <w:rFonts w:ascii="Times New Roman" w:hAnsi="Times New Roman"/>
        </w:rPr>
        <w:t>.  Newark, NJ</w:t>
      </w:r>
      <w:r w:rsidRPr="00C97542">
        <w:rPr>
          <w:rFonts w:ascii="Times New Roman" w:hAnsi="Times New Roman"/>
        </w:rPr>
        <w:t>: Gordon and Breach Publishers.</w:t>
      </w:r>
    </w:p>
    <w:p w14:paraId="0F73F5CE" w14:textId="77777777" w:rsidR="00EC6051" w:rsidRPr="00C97542" w:rsidRDefault="00EC6051" w:rsidP="00EC6051">
      <w:pPr>
        <w:spacing w:line="240" w:lineRule="auto"/>
        <w:rPr>
          <w:rFonts w:ascii="Times New Roman" w:hAnsi="Times New Roman"/>
        </w:rPr>
      </w:pPr>
      <w:r w:rsidRPr="00C97542">
        <w:rPr>
          <w:rFonts w:ascii="Times New Roman" w:hAnsi="Times New Roman"/>
        </w:rPr>
        <w:t>Martin, Debra L., and David W. Frayer, eds.</w:t>
      </w:r>
    </w:p>
    <w:p w14:paraId="6EA9AC6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Troubled Times: Violence and Warfare in the Past</w:t>
      </w:r>
      <w:r>
        <w:rPr>
          <w:rFonts w:ascii="Times New Roman" w:hAnsi="Times New Roman"/>
        </w:rPr>
        <w:t>. Newark, NJ</w:t>
      </w:r>
      <w:r w:rsidRPr="00C97542">
        <w:rPr>
          <w:rFonts w:ascii="Times New Roman" w:hAnsi="Times New Roman"/>
        </w:rPr>
        <w:t>: Gordon and Breach Publishers.</w:t>
      </w:r>
    </w:p>
    <w:p w14:paraId="7E482A68" w14:textId="77777777" w:rsidR="00EC6051" w:rsidRDefault="00EC6051" w:rsidP="00EC6051">
      <w:pPr>
        <w:spacing w:line="240" w:lineRule="auto"/>
        <w:outlineLvl w:val="0"/>
        <w:rPr>
          <w:rFonts w:ascii="Times New Roman" w:hAnsi="Times New Roman"/>
        </w:rPr>
      </w:pPr>
    </w:p>
    <w:p w14:paraId="318FD822"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Martinent, O., J. Cordey, Y. Harder, A. Maier, M. Buhler, and G.E. Barraud</w:t>
      </w:r>
    </w:p>
    <w:p w14:paraId="7663700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2002</w:t>
      </w:r>
      <w:r w:rsidRPr="00C97542">
        <w:rPr>
          <w:rFonts w:ascii="Times New Roman" w:hAnsi="Times New Roman"/>
        </w:rPr>
        <w:tab/>
        <w:t>The epidemiology of fractures of the distal femur. Injury 31:S-C62-63.</w:t>
      </w:r>
    </w:p>
    <w:p w14:paraId="5FCDE162"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McKern, Will Carleton</w:t>
      </w:r>
    </w:p>
    <w:p w14:paraId="784C5DD1"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1939</w:t>
      </w:r>
      <w:r w:rsidRPr="00C97542">
        <w:rPr>
          <w:rFonts w:ascii="Times New Roman" w:hAnsi="Times New Roman"/>
        </w:rPr>
        <w:tab/>
        <w:t>The Midwestern Taxonomic Method as an aid to archaeological culture. American Antiquity 4(4):301-313.</w:t>
      </w:r>
    </w:p>
    <w:p w14:paraId="24B80660"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McWilliams, Dick</w:t>
      </w:r>
    </w:p>
    <w:p w14:paraId="42D956A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1970</w:t>
      </w:r>
      <w:r w:rsidRPr="00C97542">
        <w:rPr>
          <w:rFonts w:ascii="Times New Roman" w:hAnsi="Times New Roman"/>
        </w:rPr>
        <w:tab/>
        <w:t>Two Fourche Maline Focus Archaic Sites in Eastern Oklahoma. Bulletin of the Oklahoma Anthropological Society XIX:101-136.</w:t>
      </w:r>
    </w:p>
    <w:p w14:paraId="26DD62D0" w14:textId="77777777" w:rsidR="00EC6051" w:rsidRPr="00C97542" w:rsidRDefault="00EC6051" w:rsidP="00EC6051">
      <w:pPr>
        <w:spacing w:line="240" w:lineRule="auto"/>
        <w:rPr>
          <w:rFonts w:ascii="Times New Roman" w:hAnsi="Times New Roman"/>
        </w:rPr>
      </w:pPr>
      <w:r w:rsidRPr="00C97542">
        <w:rPr>
          <w:rFonts w:ascii="Times New Roman" w:hAnsi="Times New Roman"/>
        </w:rPr>
        <w:t>Mensforth, Robert P.</w:t>
      </w:r>
    </w:p>
    <w:p w14:paraId="162496D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2001</w:t>
      </w:r>
      <w:r w:rsidRPr="00C97542">
        <w:rPr>
          <w:rFonts w:ascii="Times New Roman" w:hAnsi="Times New Roman"/>
        </w:rPr>
        <w:tab/>
        <w:t>Warfare and trophy taking in the Archaic period. In Archaic transitions in Ohio and Kentucky prehistory. O.H. Prufer, S.E. Peddle, and R.S. Meindl, eds. Pp. 110-138. Kent: Kent State University Press.</w:t>
      </w:r>
    </w:p>
    <w:p w14:paraId="14BC52D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Human Trophy Taking in Eastern North America During the Archaic Period: The Relationship to Warfare and Social Complexity. In The Taking and Displaying of Human Body Parts as Trophies by Amerindians. R.J. Chacon and D.H. Dye, eds. Pp. 222-277</w:t>
      </w:r>
      <w:r>
        <w:rPr>
          <w:rFonts w:ascii="Times New Roman" w:hAnsi="Times New Roman"/>
        </w:rPr>
        <w:t>. New York</w:t>
      </w:r>
      <w:r w:rsidRPr="00C97542">
        <w:rPr>
          <w:rFonts w:ascii="Times New Roman" w:hAnsi="Times New Roman"/>
        </w:rPr>
        <w:t>: Springer.</w:t>
      </w:r>
    </w:p>
    <w:p w14:paraId="17C29836" w14:textId="77777777" w:rsidR="00EC6051" w:rsidRPr="00C97542" w:rsidRDefault="00EC6051" w:rsidP="00EC6051">
      <w:pPr>
        <w:spacing w:line="240" w:lineRule="auto"/>
        <w:rPr>
          <w:rFonts w:ascii="Times New Roman" w:hAnsi="Times New Roman"/>
        </w:rPr>
      </w:pPr>
      <w:r w:rsidRPr="00C97542">
        <w:rPr>
          <w:rFonts w:ascii="Times New Roman" w:hAnsi="Times New Roman"/>
        </w:rPr>
        <w:t>Milner, George R.</w:t>
      </w:r>
    </w:p>
    <w:p w14:paraId="1F56198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1999</w:t>
      </w:r>
      <w:r w:rsidRPr="00C97542">
        <w:rPr>
          <w:rFonts w:ascii="Times New Roman" w:hAnsi="Times New Roman"/>
        </w:rPr>
        <w:tab/>
        <w:t>Warfare in Prehistoric and Early Historic North America. Journal of Archaeological Research 7(2):105-151.</w:t>
      </w:r>
    </w:p>
    <w:p w14:paraId="451CFAB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2005</w:t>
      </w:r>
      <w:r w:rsidRPr="00C97542">
        <w:rPr>
          <w:rFonts w:ascii="Times New Roman" w:hAnsi="Times New Roman"/>
        </w:rPr>
        <w:tab/>
        <w:t>Nineteenth Century Arrow Wounds and Perceptions of Prehistoric Warfare. American Antiquity 70(1):144-156.</w:t>
      </w:r>
    </w:p>
    <w:p w14:paraId="03CB6008"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Milner, George R., Eve Anderson, and Virginia G. Smith</w:t>
      </w:r>
    </w:p>
    <w:p w14:paraId="2C2FB7B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1991</w:t>
      </w:r>
      <w:r w:rsidRPr="00C97542">
        <w:rPr>
          <w:rFonts w:ascii="Times New Roman" w:hAnsi="Times New Roman"/>
        </w:rPr>
        <w:tab/>
        <w:t>Warfare in Late Prehistoric West-Central Illinois. American Antiquity 56(4):581-603.</w:t>
      </w:r>
    </w:p>
    <w:p w14:paraId="3DA7089F"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Milner, George R., and Virginia G. Smith</w:t>
      </w:r>
    </w:p>
    <w:p w14:paraId="4C029740"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1989</w:t>
      </w:r>
      <w:r w:rsidRPr="00C97542">
        <w:rPr>
          <w:rFonts w:ascii="Times New Roman" w:hAnsi="Times New Roman"/>
        </w:rPr>
        <w:tab/>
        <w:t>Carnivore alteration of human bone from a late prehistoric site in Illinois. American Journal of Physical Anthropology 79(1):43-9.</w:t>
      </w:r>
    </w:p>
    <w:p w14:paraId="1A7143C6"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Mourey, Alain</w:t>
      </w:r>
    </w:p>
    <w:p w14:paraId="0641CE6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1991</w:t>
      </w:r>
      <w:r w:rsidRPr="00C97542">
        <w:rPr>
          <w:rFonts w:ascii="Times New Roman" w:hAnsi="Times New Roman"/>
        </w:rPr>
        <w:tab/>
        <w:t xml:space="preserve">Famine and War. International Review of the Red Cross.  </w:t>
      </w:r>
      <w:hyperlink r:id="rId39" w:history="1">
        <w:r w:rsidRPr="00C97542">
          <w:rPr>
            <w:rStyle w:val="Hyperlink"/>
            <w:rFonts w:ascii="Times New Roman" w:hAnsi="Times New Roman"/>
          </w:rPr>
          <w:t>http://www.icrc.org/eng/resources/documents/misc/57jmbj.htm</w:t>
        </w:r>
      </w:hyperlink>
      <w:r w:rsidRPr="00C97542">
        <w:rPr>
          <w:rFonts w:ascii="Times New Roman" w:hAnsi="Times New Roman"/>
        </w:rPr>
        <w:t>, accessed February 14, 2014.</w:t>
      </w:r>
    </w:p>
    <w:p w14:paraId="25975C12" w14:textId="77777777" w:rsidR="00EC6051" w:rsidRPr="00C97542" w:rsidRDefault="00EC6051" w:rsidP="00EC6051">
      <w:pPr>
        <w:spacing w:line="240" w:lineRule="auto"/>
        <w:rPr>
          <w:rFonts w:ascii="Times New Roman" w:hAnsi="Times New Roman"/>
        </w:rPr>
      </w:pPr>
      <w:r w:rsidRPr="00C97542">
        <w:rPr>
          <w:rFonts w:ascii="Times New Roman" w:hAnsi="Times New Roman"/>
        </w:rPr>
        <w:t>Newkumet, Phil J.</w:t>
      </w:r>
    </w:p>
    <w:p w14:paraId="3AB3E98B"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1940a</w:t>
      </w:r>
      <w:r w:rsidRPr="00C97542">
        <w:rPr>
          <w:rFonts w:ascii="Times New Roman" w:hAnsi="Times New Roman"/>
        </w:rPr>
        <w:tab/>
        <w:t>Field Notebook, Works Project Administration. Norman: On file at</w:t>
      </w:r>
      <w:r w:rsidRPr="00C97542">
        <w:rPr>
          <w:rFonts w:ascii="Times New Roman" w:hAnsi="Times New Roman"/>
        </w:rPr>
        <w:tab/>
      </w:r>
      <w:r w:rsidRPr="00C97542">
        <w:rPr>
          <w:rFonts w:ascii="Times New Roman" w:hAnsi="Times New Roman"/>
        </w:rPr>
        <w:tab/>
      </w:r>
      <w:r w:rsidRPr="00C97542">
        <w:rPr>
          <w:rFonts w:ascii="Times New Roman" w:hAnsi="Times New Roman"/>
        </w:rPr>
        <w:tab/>
        <w:t>the Sam Noble Museum of Natural History, University of Oklahoma.</w:t>
      </w:r>
    </w:p>
    <w:p w14:paraId="23134C8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1940b</w:t>
      </w:r>
      <w:r w:rsidRPr="00C97542">
        <w:rPr>
          <w:rFonts w:ascii="Times New Roman" w:hAnsi="Times New Roman"/>
        </w:rPr>
        <w:tab/>
        <w:t>Preliminary Report of Excavations of the Williams Mound, LeFlore County, Oklahoma. The Oklahoma Prehistorian 3(2):2-6.</w:t>
      </w:r>
    </w:p>
    <w:p w14:paraId="366B47AF"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1940c</w:t>
      </w:r>
      <w:r w:rsidRPr="00C97542">
        <w:rPr>
          <w:rFonts w:ascii="Times New Roman" w:hAnsi="Times New Roman"/>
        </w:rPr>
        <w:tab/>
        <w:t>Excavation of "Black Mound" Reveals Ornate Hair Pins. The Oklahoma Prehistorian 3(2):7-9.</w:t>
      </w:r>
    </w:p>
    <w:p w14:paraId="4CA9D55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1941a</w:t>
      </w:r>
      <w:r w:rsidRPr="00C97542">
        <w:rPr>
          <w:rFonts w:ascii="Times New Roman" w:hAnsi="Times New Roman"/>
        </w:rPr>
        <w:tab/>
        <w:t>Quarterly Report - LeFlore County Unit, March 1941. In LeFlore County Archaeological Project: Manuscript on file, Western History Collection, University of Oklahoma, Norman Oklahoma.</w:t>
      </w:r>
    </w:p>
    <w:p w14:paraId="2A6A89D4"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1941b</w:t>
      </w:r>
      <w:r w:rsidRPr="00C97542">
        <w:rPr>
          <w:rFonts w:ascii="Times New Roman" w:hAnsi="Times New Roman"/>
        </w:rPr>
        <w:tab/>
        <w:t>Quarterly Report - LeFlore County Unit, September 1941. In LeFlore County Archaeological Project: Manuscript on file, Western History Collection, University of Oklahoma, Norman Oklahoma.</w:t>
      </w:r>
    </w:p>
    <w:p w14:paraId="54366354"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Nielson, Axel E., and William H. Walker</w:t>
      </w:r>
    </w:p>
    <w:p w14:paraId="458D7B2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2009</w:t>
      </w:r>
      <w:r w:rsidRPr="00C97542">
        <w:rPr>
          <w:rFonts w:ascii="Times New Roman" w:hAnsi="Times New Roman"/>
        </w:rPr>
        <w:tab/>
        <w:t>Introduction: The Archaeology of War in Practice. In Warfare in Cultural Context: Practice, Agency, and the Archaeology of Violence. A.E. Nielson and W.H. Walker, eds. Pp. 1-6. Tucson: The University of Arizona Press.</w:t>
      </w:r>
    </w:p>
    <w:p w14:paraId="5FB9BD96" w14:textId="77777777" w:rsidR="00EC6051" w:rsidRPr="00C97542" w:rsidRDefault="00EC6051" w:rsidP="00EC6051">
      <w:pPr>
        <w:spacing w:line="240" w:lineRule="auto"/>
        <w:rPr>
          <w:rFonts w:ascii="Times New Roman" w:hAnsi="Times New Roman"/>
        </w:rPr>
      </w:pPr>
      <w:r w:rsidRPr="00C97542">
        <w:rPr>
          <w:rFonts w:ascii="Times New Roman" w:hAnsi="Times New Roman"/>
        </w:rPr>
        <w:t>Orr, Kenneth G.</w:t>
      </w:r>
    </w:p>
    <w:p w14:paraId="73AB157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1946</w:t>
      </w:r>
      <w:r w:rsidRPr="00C97542">
        <w:rPr>
          <w:rFonts w:ascii="Times New Roman" w:hAnsi="Times New Roman"/>
        </w:rPr>
        <w:tab/>
        <w:t>The Archaeological Situation at Spiro, Oklahoma: A Preliminary Report. American Antiquity 11:228-256.</w:t>
      </w:r>
    </w:p>
    <w:p w14:paraId="05630DE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1952</w:t>
      </w:r>
      <w:r w:rsidRPr="00C97542">
        <w:rPr>
          <w:rFonts w:ascii="Times New Roman" w:hAnsi="Times New Roman"/>
        </w:rPr>
        <w:tab/>
        <w:t>Survey of Caddoan Area Archaeology. In Archeology of the Eastern United States. J.B. Griffin, ed. Pp. 239-259. Chicago: University of Chicago Press.</w:t>
      </w:r>
    </w:p>
    <w:p w14:paraId="44196668" w14:textId="77777777" w:rsidR="00EC6051" w:rsidRPr="00C97542" w:rsidRDefault="00EC6051" w:rsidP="00EC6051">
      <w:pPr>
        <w:spacing w:line="240" w:lineRule="auto"/>
        <w:rPr>
          <w:rFonts w:ascii="Times New Roman" w:hAnsi="Times New Roman"/>
        </w:rPr>
      </w:pPr>
      <w:r w:rsidRPr="00C97542">
        <w:rPr>
          <w:rFonts w:ascii="Times New Roman" w:hAnsi="Times New Roman"/>
        </w:rPr>
        <w:t>Ortner, Donald J.</w:t>
      </w:r>
    </w:p>
    <w:p w14:paraId="1D7A778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2003</w:t>
      </w:r>
      <w:r w:rsidRPr="00C97542">
        <w:rPr>
          <w:rFonts w:ascii="Times New Roman" w:hAnsi="Times New Roman"/>
        </w:rPr>
        <w:tab/>
        <w:t>Identification of Pathological Conditions in Human Skeletal Materia</w:t>
      </w:r>
      <w:r>
        <w:rPr>
          <w:rFonts w:ascii="Times New Roman" w:hAnsi="Times New Roman"/>
        </w:rPr>
        <w:t>l. New York</w:t>
      </w:r>
      <w:r w:rsidRPr="00C97542">
        <w:rPr>
          <w:rFonts w:ascii="Times New Roman" w:hAnsi="Times New Roman"/>
        </w:rPr>
        <w:t>: Academic Press.</w:t>
      </w:r>
    </w:p>
    <w:p w14:paraId="7E4938E8" w14:textId="77777777" w:rsidR="00EC6051" w:rsidRPr="00C97542"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outlineLvl w:val="0"/>
        <w:rPr>
          <w:rFonts w:ascii="Times New Roman" w:hAnsi="Times New Roman"/>
        </w:rPr>
      </w:pPr>
      <w:r w:rsidRPr="00C97542">
        <w:rPr>
          <w:rFonts w:ascii="Times New Roman" w:hAnsi="Times New Roman"/>
        </w:rPr>
        <w:t>Ortner, Donald J., and Whitney Butler, Jessica Cafarella, and Lauren Milligan</w:t>
      </w:r>
    </w:p>
    <w:p w14:paraId="5A19109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2001</w:t>
      </w:r>
      <w:r w:rsidRPr="00C97542">
        <w:rPr>
          <w:rFonts w:ascii="Times New Roman" w:hAnsi="Times New Roman"/>
        </w:rPr>
        <w:tab/>
        <w:t>Evidence of Probable Scurvy in Subadults from Archeological Sites in North America. American Journal of Physical Anthropology 113:343-351.</w:t>
      </w:r>
    </w:p>
    <w:p w14:paraId="0E9D8749"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Ortner, Donald J., and Marcy Frances Ericksen</w:t>
      </w:r>
    </w:p>
    <w:p w14:paraId="4C5BB19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Bone Changes in the Human Skull Probably Resulting from Scurvy in Childhood. International Journal of Osteoarchaeology 7:212-220.</w:t>
      </w:r>
    </w:p>
    <w:p w14:paraId="74B9D9C7"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Ortner, Donald J., and Simon Mays</w:t>
      </w:r>
    </w:p>
    <w:p w14:paraId="18E4B044"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1998</w:t>
      </w:r>
      <w:r w:rsidRPr="00C97542">
        <w:rPr>
          <w:rFonts w:ascii="Times New Roman" w:hAnsi="Times New Roman"/>
        </w:rPr>
        <w:tab/>
        <w:t>Dry-bone Manifestations of Rickets in Infancy and Early Childhood. International Journal of Osteoarchaeology 8:45-55.</w:t>
      </w:r>
    </w:p>
    <w:p w14:paraId="184AD5AE" w14:textId="77777777" w:rsidR="00EC6051" w:rsidRPr="00C97542" w:rsidRDefault="00EC6051" w:rsidP="00EC6051">
      <w:pPr>
        <w:spacing w:line="240" w:lineRule="auto"/>
        <w:rPr>
          <w:rFonts w:ascii="Times New Roman" w:hAnsi="Times New Roman"/>
        </w:rPr>
      </w:pPr>
      <w:r w:rsidRPr="00C97542">
        <w:rPr>
          <w:rFonts w:ascii="Times New Roman" w:hAnsi="Times New Roman"/>
        </w:rPr>
        <w:t>Otterbein, Keith F.</w:t>
      </w:r>
    </w:p>
    <w:p w14:paraId="09F437C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2004</w:t>
      </w:r>
      <w:r w:rsidRPr="00C97542">
        <w:rPr>
          <w:rFonts w:ascii="Times New Roman" w:hAnsi="Times New Roman"/>
        </w:rPr>
        <w:tab/>
        <w:t>How War Began. College Station: Texas A&amp;M University Anthropology Series.</w:t>
      </w:r>
    </w:p>
    <w:p w14:paraId="790D60CD" w14:textId="77777777" w:rsidR="00EC6051" w:rsidRPr="00C97542"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olor w:val="000000"/>
        </w:rPr>
      </w:pPr>
      <w:r w:rsidRPr="00C97542">
        <w:rPr>
          <w:rFonts w:ascii="Times New Roman" w:hAnsi="Times New Roman"/>
          <w:color w:val="000000"/>
        </w:rPr>
        <w:t>Ouachita Mountains Ecoregional Assessment Team</w:t>
      </w:r>
    </w:p>
    <w:p w14:paraId="1147948F" w14:textId="77777777" w:rsidR="00EC6051" w:rsidRPr="00C97542"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rPr>
      </w:pPr>
      <w:r w:rsidRPr="00C97542">
        <w:rPr>
          <w:rFonts w:ascii="Times New Roman" w:hAnsi="Times New Roman"/>
          <w:color w:val="000000"/>
        </w:rPr>
        <w:tab/>
        <w:t xml:space="preserve">  2003    </w:t>
      </w:r>
      <w:r w:rsidRPr="00C97542">
        <w:rPr>
          <w:rFonts w:ascii="Times New Roman" w:hAnsi="Times New Roman"/>
          <w:iCs/>
          <w:color w:val="000000"/>
        </w:rPr>
        <w:t>Ouachita Mountains Ecoregional Assessment</w:t>
      </w:r>
      <w:r w:rsidRPr="00C97542">
        <w:rPr>
          <w:rFonts w:ascii="Times New Roman" w:hAnsi="Times New Roman"/>
          <w:color w:val="000000"/>
        </w:rPr>
        <w:t>. Nature Conservancy.</w:t>
      </w:r>
    </w:p>
    <w:p w14:paraId="021ADDA3" w14:textId="77777777" w:rsidR="00EC6051" w:rsidRPr="00C97542"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rPr>
      </w:pPr>
      <w:r w:rsidRPr="00C97542">
        <w:rPr>
          <w:rFonts w:ascii="Times New Roman" w:hAnsi="Times New Roman"/>
        </w:rPr>
        <w:t>Owsley, Douglas W., Karin S. Bruwelheide, Laurie E. Burgess, and William T. Billeck</w:t>
      </w:r>
    </w:p>
    <w:p w14:paraId="5BB565B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Human Finger and Hand Bone Necklaces from the Plains and Great Basin. In The Taking and Displaying of Human Body Parts as Trophies by Amerindians. R.J. Chacon and D.H. Dye, eds. Pp. 124-166</w:t>
      </w:r>
      <w:r>
        <w:rPr>
          <w:rFonts w:ascii="Times New Roman" w:hAnsi="Times New Roman"/>
        </w:rPr>
        <w:t>. New York</w:t>
      </w:r>
      <w:r w:rsidRPr="00C97542">
        <w:rPr>
          <w:rFonts w:ascii="Times New Roman" w:hAnsi="Times New Roman"/>
        </w:rPr>
        <w:t>: Springer.</w:t>
      </w:r>
    </w:p>
    <w:p w14:paraId="590C23D4"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Pangan, A. L., and D. Robinson</w:t>
      </w:r>
    </w:p>
    <w:p w14:paraId="41C760A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2004</w:t>
      </w:r>
      <w:r w:rsidRPr="00C97542">
        <w:rPr>
          <w:rFonts w:ascii="Times New Roman" w:hAnsi="Times New Roman"/>
        </w:rPr>
        <w:tab/>
        <w:t>Hemoarthrosis as initial presentation of scurvy. The Journal of Rheumatology 28(8):1923-1925.</w:t>
      </w:r>
    </w:p>
    <w:p w14:paraId="18D3719C" w14:textId="77777777" w:rsidR="00EC6051" w:rsidRPr="00C97542" w:rsidRDefault="00EC6051" w:rsidP="00EC6051">
      <w:pPr>
        <w:spacing w:line="240" w:lineRule="auto"/>
        <w:rPr>
          <w:rFonts w:ascii="Times New Roman" w:hAnsi="Times New Roman"/>
        </w:rPr>
      </w:pPr>
      <w:r w:rsidRPr="00C97542">
        <w:rPr>
          <w:rFonts w:ascii="Times New Roman" w:hAnsi="Times New Roman"/>
        </w:rPr>
        <w:t>Pauketat, Timothy R.</w:t>
      </w:r>
    </w:p>
    <w:p w14:paraId="02BA351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2009</w:t>
      </w:r>
      <w:r w:rsidRPr="00C97542">
        <w:rPr>
          <w:rFonts w:ascii="Times New Roman" w:hAnsi="Times New Roman"/>
        </w:rPr>
        <w:tab/>
        <w:t>Wars, Rumors of Wars, and the Production of Violence. In Warfare in Cultural Context: Practice, Agency, and the Archaeology of Violence. A.E. Nielson and W.H. Walker, eds. Pp. 244-261. Tucson: The University of Arizona Press.</w:t>
      </w:r>
    </w:p>
    <w:p w14:paraId="3C931E14" w14:textId="77777777" w:rsidR="00EC6051" w:rsidRDefault="00EC6051" w:rsidP="00EC6051">
      <w:pPr>
        <w:spacing w:line="240" w:lineRule="auto"/>
        <w:rPr>
          <w:rFonts w:ascii="Times New Roman" w:hAnsi="Times New Roman"/>
        </w:rPr>
      </w:pPr>
      <w:r w:rsidRPr="00667592">
        <w:rPr>
          <w:rFonts w:ascii="Times New Roman" w:hAnsi="Times New Roman"/>
        </w:rPr>
        <w:t>Perttula, Timothy K.</w:t>
      </w:r>
    </w:p>
    <w:p w14:paraId="72F5A8A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2112</w:t>
      </w:r>
      <w:r w:rsidRPr="00C97542">
        <w:rPr>
          <w:rFonts w:ascii="Times New Roman" w:hAnsi="Times New Roman"/>
        </w:rPr>
        <w:tab/>
        <w:t>The Archaeology of the Caddo in Southwest Arkansas, Northwest Louisiana, Eastern Oklahoma, and East Texas:  An Introduction to the Volume. In The Archaeology of the Caddo. T.K. Perttula and C.P. Walker, eds. Pp. 1-25. Lincoln and London The University of Nebraska Press.</w:t>
      </w:r>
    </w:p>
    <w:p w14:paraId="5552FE48" w14:textId="77777777" w:rsidR="00EC6051" w:rsidRPr="00C97542" w:rsidRDefault="00EC6051" w:rsidP="00EC6051">
      <w:pPr>
        <w:spacing w:line="240" w:lineRule="auto"/>
        <w:rPr>
          <w:rFonts w:ascii="Times New Roman" w:hAnsi="Times New Roman"/>
        </w:rPr>
      </w:pPr>
      <w:r w:rsidRPr="00C97542">
        <w:rPr>
          <w:rFonts w:ascii="Times New Roman" w:hAnsi="Times New Roman"/>
        </w:rPr>
        <w:t>Perttula, Timothy K., and Chester P. Walker, eds.</w:t>
      </w:r>
    </w:p>
    <w:p w14:paraId="6BF1E93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2112</w:t>
      </w:r>
      <w:r w:rsidRPr="00C97542">
        <w:rPr>
          <w:rFonts w:ascii="Times New Roman" w:hAnsi="Times New Roman"/>
        </w:rPr>
        <w:tab/>
        <w:t>The Archaeology of the Caddo. Lincoln and London The University of Nebraska Press.</w:t>
      </w:r>
    </w:p>
    <w:p w14:paraId="3A8DEE9A"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Pimentel, Laura</w:t>
      </w:r>
    </w:p>
    <w:p w14:paraId="7207662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2003</w:t>
      </w:r>
      <w:r w:rsidRPr="00C97542">
        <w:rPr>
          <w:rFonts w:ascii="Times New Roman" w:hAnsi="Times New Roman"/>
        </w:rPr>
        <w:tab/>
        <w:t>Scurvy: historical review and current diagnostic approach. The American Journal of Emergency Medicine 21(4):328-332.</w:t>
      </w:r>
    </w:p>
    <w:p w14:paraId="20E7E38E"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Powell, Mary Lucas</w:t>
      </w:r>
    </w:p>
    <w:p w14:paraId="7B118757"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1988</w:t>
      </w:r>
      <w:r w:rsidRPr="00C97542">
        <w:rPr>
          <w:rFonts w:ascii="Times New Roman" w:hAnsi="Times New Roman"/>
        </w:rPr>
        <w:tab/>
        <w:t>Status and Health in Prehistory: A Case Study of the Moundville Chiefdom. Washington and London: Smithsonian Press.</w:t>
      </w:r>
    </w:p>
    <w:p w14:paraId="6A81FCC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2000</w:t>
      </w:r>
      <w:r w:rsidRPr="00C97542">
        <w:rPr>
          <w:rFonts w:ascii="Times New Roman" w:hAnsi="Times New Roman"/>
        </w:rPr>
        <w:tab/>
        <w:t>Ancient Diseases, Modern Perspectives: Treponematosis and Tuberculosis in the Age of Agriculture. In Bioarchaeological Studies of Life in the Age of Agriculture: A View from the Southeast. P.M. Lambert, ed. Pp. 280. Tuscaloosa and London: The University of Alabama Press.</w:t>
      </w:r>
    </w:p>
    <w:p w14:paraId="17CA648A"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Powell, Mary Lucas, and J. Daniel Rogers</w:t>
      </w:r>
    </w:p>
    <w:p w14:paraId="4A7FAF3D" w14:textId="77777777" w:rsidR="00EC6051" w:rsidRDefault="00EC6051" w:rsidP="00EC6051">
      <w:pPr>
        <w:widowControl w:val="0"/>
        <w:autoSpaceDE w:val="0"/>
        <w:autoSpaceDN w:val="0"/>
        <w:adjustRightInd w:val="0"/>
        <w:spacing w:line="240" w:lineRule="auto"/>
        <w:ind w:left="1440" w:hanging="720"/>
        <w:outlineLvl w:val="0"/>
        <w:rPr>
          <w:rFonts w:ascii="Times New Roman" w:hAnsi="Times New Roman"/>
        </w:rPr>
      </w:pPr>
      <w:r w:rsidRPr="002A2427">
        <w:rPr>
          <w:rFonts w:ascii="Times New Roman" w:hAnsi="Times New Roman"/>
        </w:rPr>
        <w:t>1980</w:t>
      </w:r>
      <w:r w:rsidRPr="002A2427">
        <w:rPr>
          <w:rFonts w:ascii="Times New Roman" w:hAnsi="Times New Roman"/>
        </w:rPr>
        <w:tab/>
        <w:t xml:space="preserve">The Bioarchaeology of the McCutchan-McLaughlin Site (34Lt-11): Biophysical and Mortuary Variability in Eastern Oklahoma. Volume 5. Norman, Oklahoma: Oklahoma Archeological Survey. </w:t>
      </w:r>
    </w:p>
    <w:p w14:paraId="1F729E57" w14:textId="77777777" w:rsidR="00EC6051" w:rsidRPr="00C97542" w:rsidRDefault="00EC6051" w:rsidP="00EC6051">
      <w:pPr>
        <w:widowControl w:val="0"/>
        <w:autoSpaceDE w:val="0"/>
        <w:autoSpaceDN w:val="0"/>
        <w:adjustRightInd w:val="0"/>
        <w:spacing w:line="240" w:lineRule="auto"/>
        <w:outlineLvl w:val="0"/>
        <w:rPr>
          <w:rFonts w:ascii="Times New Roman" w:hAnsi="Times New Roman"/>
        </w:rPr>
      </w:pPr>
      <w:r w:rsidRPr="00C97542">
        <w:rPr>
          <w:rFonts w:ascii="Times New Roman" w:hAnsi="Times New Roman"/>
        </w:rPr>
        <w:t>Prewitt, Terry</w:t>
      </w:r>
    </w:p>
    <w:p w14:paraId="0B3127A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1974</w:t>
      </w:r>
      <w:r w:rsidRPr="00C97542">
        <w:rPr>
          <w:rFonts w:ascii="Times New Roman" w:hAnsi="Times New Roman"/>
        </w:rPr>
        <w:tab/>
        <w:t>Regional Interaction Networks and the Caddoan Area. Norman: University of Oklahoma Press.</w:t>
      </w:r>
    </w:p>
    <w:p w14:paraId="77CB0669"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Proctor, Charles</w:t>
      </w:r>
    </w:p>
    <w:p w14:paraId="42C1D4B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1957</w:t>
      </w:r>
      <w:r w:rsidRPr="00C97542">
        <w:rPr>
          <w:rFonts w:ascii="Times New Roman" w:hAnsi="Times New Roman"/>
        </w:rPr>
        <w:tab/>
        <w:t>The Sam Site, Lf-28, of LeFlore County, Oklahoma. Bulletin of the Oklahoma Anthropological Society 5:45-92.</w:t>
      </w:r>
    </w:p>
    <w:p w14:paraId="21096F88"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Regnier, Amanda</w:t>
      </w:r>
    </w:p>
    <w:p w14:paraId="02087719"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2014</w:t>
      </w:r>
      <w:r w:rsidRPr="00C97542">
        <w:rPr>
          <w:rFonts w:ascii="Times New Roman" w:hAnsi="Times New Roman"/>
        </w:rPr>
        <w:tab/>
        <w:t xml:space="preserve">The Relationship between Becoming Caddo and Becoming Mississippian in Southeast Oklahoma. </w:t>
      </w:r>
      <w:r w:rsidRPr="00C97542">
        <w:rPr>
          <w:rFonts w:ascii="Times New Roman" w:hAnsi="Times New Roman"/>
          <w:i/>
          <w:iCs/>
        </w:rPr>
        <w:t>In</w:t>
      </w:r>
      <w:r w:rsidRPr="00C97542">
        <w:rPr>
          <w:rFonts w:ascii="Times New Roman" w:hAnsi="Times New Roman"/>
        </w:rPr>
        <w:t xml:space="preserve"> Mississippian Beginnings. G. Wilson, ed. Gainesville</w:t>
      </w:r>
      <w:r>
        <w:rPr>
          <w:rFonts w:ascii="Times New Roman" w:hAnsi="Times New Roman"/>
        </w:rPr>
        <w:t>:</w:t>
      </w:r>
      <w:r w:rsidRPr="00C97542">
        <w:rPr>
          <w:rFonts w:ascii="Times New Roman" w:hAnsi="Times New Roman"/>
        </w:rPr>
        <w:t xml:space="preserve"> University of Florida Press.</w:t>
      </w:r>
    </w:p>
    <w:p w14:paraId="19CDA086"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Roberts, Charlotte, and Keith Manchester</w:t>
      </w:r>
    </w:p>
    <w:p w14:paraId="0093EF21"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2005</w:t>
      </w:r>
      <w:r w:rsidRPr="00C97542">
        <w:rPr>
          <w:rFonts w:ascii="Times New Roman" w:hAnsi="Times New Roman"/>
        </w:rPr>
        <w:tab/>
        <w:t>The Archaeology of Disease</w:t>
      </w:r>
      <w:r>
        <w:rPr>
          <w:rFonts w:ascii="Times New Roman" w:hAnsi="Times New Roman"/>
        </w:rPr>
        <w:t>.  Stroud, UK</w:t>
      </w:r>
      <w:r w:rsidRPr="00C97542">
        <w:rPr>
          <w:rFonts w:ascii="Times New Roman" w:hAnsi="Times New Roman"/>
        </w:rPr>
        <w:t>: Sutton Publishing.</w:t>
      </w:r>
    </w:p>
    <w:p w14:paraId="4649832E"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Rogers, John Daniel</w:t>
      </w:r>
    </w:p>
    <w:p w14:paraId="0D3A4C6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1978</w:t>
      </w:r>
      <w:r w:rsidRPr="00C97542">
        <w:rPr>
          <w:rFonts w:ascii="Times New Roman" w:hAnsi="Times New Roman"/>
        </w:rPr>
        <w:tab/>
        <w:t>Federally sponsored Archaeological Work in Oklahoma before WWII: Unpublished manuscript, University of Oklahoma, Norman Oklahoma.</w:t>
      </w:r>
    </w:p>
    <w:p w14:paraId="10922F24"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1982</w:t>
      </w:r>
      <w:r w:rsidRPr="00C97542">
        <w:rPr>
          <w:rFonts w:ascii="Times New Roman" w:hAnsi="Times New Roman"/>
        </w:rPr>
        <w:tab/>
        <w:t>Social Ranking and Change in the Harlan and Spiro Phases of Eastern Oklahoma,</w:t>
      </w:r>
      <w:r>
        <w:rPr>
          <w:rFonts w:ascii="Times New Roman" w:hAnsi="Times New Roman"/>
        </w:rPr>
        <w:t xml:space="preserve"> unpublished M.A. thesis,</w:t>
      </w:r>
      <w:r w:rsidRPr="00C97542">
        <w:rPr>
          <w:rFonts w:ascii="Times New Roman" w:hAnsi="Times New Roman"/>
        </w:rPr>
        <w:t xml:space="preserve"> Anthropology, University of Oklahoma.</w:t>
      </w:r>
    </w:p>
    <w:p w14:paraId="20261B77" w14:textId="77777777" w:rsidR="006F2234" w:rsidRDefault="006F2234" w:rsidP="00EC6051">
      <w:pPr>
        <w:spacing w:line="240" w:lineRule="auto"/>
        <w:ind w:left="1440" w:hanging="720"/>
        <w:rPr>
          <w:rFonts w:ascii="Times New Roman" w:hAnsi="Times New Roman"/>
        </w:rPr>
      </w:pPr>
    </w:p>
    <w:p w14:paraId="70F85741" w14:textId="77777777" w:rsidR="006F2234" w:rsidRDefault="006F2234" w:rsidP="00EC6051">
      <w:pPr>
        <w:spacing w:line="240" w:lineRule="auto"/>
        <w:ind w:left="1440" w:hanging="720"/>
        <w:rPr>
          <w:rFonts w:ascii="Times New Roman" w:hAnsi="Times New Roman"/>
        </w:rPr>
      </w:pPr>
    </w:p>
    <w:p w14:paraId="5327272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1991a</w:t>
      </w:r>
      <w:r w:rsidRPr="00C97542">
        <w:rPr>
          <w:rFonts w:ascii="Times New Roman" w:hAnsi="Times New Roman"/>
        </w:rPr>
        <w:tab/>
        <w:t>Patterns of Change on the Western Margin of the Southeast, A.D. 600-900. In Stability, Transformation, and Variation: The Late Woodland Southeast. M.S. Nassaney and C.R. Cobb, eds. Pp. 221-248. Plenum, New York.</w:t>
      </w:r>
    </w:p>
    <w:p w14:paraId="20151FE4"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1991b</w:t>
      </w:r>
      <w:r w:rsidRPr="00C97542">
        <w:rPr>
          <w:rFonts w:ascii="Times New Roman" w:hAnsi="Times New Roman"/>
        </w:rPr>
        <w:tab/>
        <w:t>A Perspective on Arkansas Basin and Ozark Highland Prehistory. Caddoan Archeology 1(1):9-20.</w:t>
      </w:r>
    </w:p>
    <w:p w14:paraId="65752DD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2011</w:t>
      </w:r>
      <w:r w:rsidRPr="00C97542">
        <w:rPr>
          <w:rFonts w:ascii="Times New Roman" w:hAnsi="Times New Roman"/>
        </w:rPr>
        <w:tab/>
        <w:t>2011 Stable Isotope Analysis and Diet in Eastern Oklahoma. Southeastern Archaeology 30:96</w:t>
      </w:r>
      <w:r>
        <w:rPr>
          <w:rFonts w:ascii="Times New Roman" w:hAnsi="Times New Roman"/>
        </w:rPr>
        <w:t>-107</w:t>
      </w:r>
      <w:r w:rsidRPr="00C97542">
        <w:rPr>
          <w:rFonts w:ascii="Times New Roman" w:hAnsi="Times New Roman"/>
        </w:rPr>
        <w:t>.</w:t>
      </w:r>
    </w:p>
    <w:p w14:paraId="5B6B8969"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Rohrbaugh, Charles L.</w:t>
      </w:r>
    </w:p>
    <w:p w14:paraId="47835CD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 xml:space="preserve">Arkansas Valley Caddoan: Fort Coffee and Neosho Foci. </w:t>
      </w:r>
      <w:r w:rsidRPr="00C97542">
        <w:rPr>
          <w:rFonts w:ascii="Times New Roman" w:hAnsi="Times New Roman"/>
          <w:i/>
          <w:iCs/>
        </w:rPr>
        <w:t>In</w:t>
      </w:r>
      <w:r w:rsidRPr="00C97542">
        <w:rPr>
          <w:rFonts w:ascii="Times New Roman" w:hAnsi="Times New Roman"/>
        </w:rPr>
        <w:t xml:space="preserve"> Prehistory of Oklahoma. R.E. Bell, ed. Pp. 265-285. New York: Academic Press.</w:t>
      </w:r>
    </w:p>
    <w:p w14:paraId="158E23FD" w14:textId="77777777" w:rsidR="00EC6051" w:rsidRPr="00C97542"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outlineLvl w:val="0"/>
        <w:rPr>
          <w:rFonts w:ascii="Times New Roman" w:hAnsi="Times New Roman"/>
        </w:rPr>
      </w:pPr>
      <w:r w:rsidRPr="00C97542">
        <w:rPr>
          <w:rFonts w:ascii="Times New Roman" w:hAnsi="Times New Roman"/>
        </w:rPr>
        <w:t>Rose, Jerome C., Barbara A. Burnett, Mark W. Blaeuer, and Michael S. Nassaney</w:t>
      </w:r>
    </w:p>
    <w:p w14:paraId="0907600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Paleopathology and Origins of Maize Agriculture in the Lower Mississippi Valley and Caddoan Culture Areas. In Paleopathology at the Origins of Agriculture. M.N. Cohen and G.J. Armelagos, eds. Pp. 393-424</w:t>
      </w:r>
      <w:r>
        <w:rPr>
          <w:rFonts w:ascii="Times New Roman" w:hAnsi="Times New Roman"/>
        </w:rPr>
        <w:t>.  New York</w:t>
      </w:r>
      <w:r w:rsidRPr="00C97542">
        <w:rPr>
          <w:rFonts w:ascii="Times New Roman" w:hAnsi="Times New Roman"/>
        </w:rPr>
        <w:t>: Academic Press Inc.</w:t>
      </w:r>
    </w:p>
    <w:p w14:paraId="7AFAB797"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Rose, Jerome C., Barbara A Burnett, and James P Hartcourt</w:t>
      </w:r>
    </w:p>
    <w:p w14:paraId="7F6202A7"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1999</w:t>
      </w:r>
      <w:r w:rsidRPr="00C97542">
        <w:rPr>
          <w:rFonts w:ascii="Times New Roman" w:hAnsi="Times New Roman"/>
        </w:rPr>
        <w:tab/>
        <w:t>Ouachita Mountains, Arkansas River Valley, and Ozark Mountains. In Bioarchaeology of the South Central United States. J.C. Rose, ed. Pp. 1-34: Arkansas Archeological Survey Research Series No. 55.</w:t>
      </w:r>
    </w:p>
    <w:p w14:paraId="6E0CC8F6"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Rose, Jerome C., Murray K. Marks, and Earl Riddick</w:t>
      </w:r>
    </w:p>
    <w:p w14:paraId="7B866EC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1983</w:t>
      </w:r>
      <w:r w:rsidRPr="00C97542">
        <w:rPr>
          <w:rFonts w:ascii="Times New Roman" w:hAnsi="Times New Roman"/>
        </w:rPr>
        <w:tab/>
        <w:t>Bioarchaeology of the Bug Hill Site. In Bug Hill: Excavation of a Multicomponent Midden Mound in the Jackforth Valley, Southeast Oklahoma. J. Altschul, ed: New World Research, Pollock Louisiana.  US Army Corps Engineers, Tulsa.</w:t>
      </w:r>
    </w:p>
    <w:p w14:paraId="6F552B19" w14:textId="77777777" w:rsidR="00EC6051" w:rsidRPr="00C97542" w:rsidRDefault="00EC6051" w:rsidP="00EC6051">
      <w:pPr>
        <w:spacing w:line="240" w:lineRule="auto"/>
        <w:rPr>
          <w:rFonts w:ascii="Times New Roman" w:hAnsi="Times New Roman"/>
        </w:rPr>
      </w:pPr>
      <w:r w:rsidRPr="00C97542">
        <w:rPr>
          <w:rFonts w:ascii="Times New Roman" w:hAnsi="Times New Roman"/>
        </w:rPr>
        <w:t>Rowe, Simone B.</w:t>
      </w:r>
    </w:p>
    <w:p w14:paraId="316357B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2009</w:t>
      </w:r>
      <w:r w:rsidRPr="00C97542">
        <w:rPr>
          <w:rFonts w:ascii="Times New Roman" w:hAnsi="Times New Roman"/>
        </w:rPr>
        <w:tab/>
        <w:t>Preliminary Bioarchaeology of a Fourche Maline Site: Akers 34Lf32.  Unpublished M.A.</w:t>
      </w:r>
      <w:r>
        <w:rPr>
          <w:rFonts w:ascii="Times New Roman" w:hAnsi="Times New Roman"/>
        </w:rPr>
        <w:t xml:space="preserve"> thesis</w:t>
      </w:r>
      <w:r w:rsidRPr="00C97542">
        <w:rPr>
          <w:rFonts w:ascii="Times New Roman" w:hAnsi="Times New Roman"/>
        </w:rPr>
        <w:t xml:space="preserve"> Department of Anthropology, University of Oklahoma.</w:t>
      </w:r>
    </w:p>
    <w:p w14:paraId="4B27F3A6"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Sabo, George, and Ann M. Early</w:t>
      </w:r>
    </w:p>
    <w:p w14:paraId="56BAF2A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1990</w:t>
      </w:r>
      <w:r w:rsidRPr="00C97542">
        <w:rPr>
          <w:rFonts w:ascii="Times New Roman" w:hAnsi="Times New Roman"/>
        </w:rPr>
        <w:tab/>
        <w:t xml:space="preserve">Introduction. </w:t>
      </w:r>
      <w:r w:rsidRPr="00C97542">
        <w:rPr>
          <w:rFonts w:ascii="Times New Roman" w:hAnsi="Times New Roman"/>
          <w:i/>
          <w:iCs/>
        </w:rPr>
        <w:t>In</w:t>
      </w:r>
      <w:r w:rsidRPr="00C97542">
        <w:rPr>
          <w:rFonts w:ascii="Times New Roman" w:hAnsi="Times New Roman"/>
        </w:rPr>
        <w:t xml:space="preserve"> Human Adaptation in the Ozark and Ouachita Mountains. G.S. III, A.M. Early, and J.C. Rose, eds. Pp. 1-2. Fayetteville: Arkansas Archeological Survey Research Series No. 31.</w:t>
      </w:r>
    </w:p>
    <w:p w14:paraId="5CFCF312" w14:textId="77777777" w:rsidR="00EC6051" w:rsidRPr="00C97542" w:rsidRDefault="00EC6051" w:rsidP="00EC6051">
      <w:pPr>
        <w:spacing w:line="240" w:lineRule="auto"/>
        <w:rPr>
          <w:rFonts w:ascii="Times New Roman" w:hAnsi="Times New Roman"/>
        </w:rPr>
      </w:pPr>
      <w:r w:rsidRPr="00C97542">
        <w:rPr>
          <w:rFonts w:ascii="Times New Roman" w:hAnsi="Times New Roman"/>
        </w:rPr>
        <w:t>Schambach, Frank F.</w:t>
      </w:r>
    </w:p>
    <w:p w14:paraId="6F05EF06"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1982</w:t>
      </w:r>
      <w:r w:rsidRPr="00C97542">
        <w:rPr>
          <w:rFonts w:ascii="Times New Roman" w:hAnsi="Times New Roman"/>
        </w:rPr>
        <w:tab/>
        <w:t xml:space="preserve">An Outline of Fourche Maline Culture in Southwest Arkansas. </w:t>
      </w:r>
      <w:r w:rsidRPr="00C97542">
        <w:rPr>
          <w:rFonts w:ascii="Times New Roman" w:hAnsi="Times New Roman"/>
          <w:i/>
          <w:iCs/>
        </w:rPr>
        <w:t>In</w:t>
      </w:r>
      <w:r w:rsidRPr="00C97542">
        <w:rPr>
          <w:rFonts w:ascii="Times New Roman" w:hAnsi="Times New Roman"/>
        </w:rPr>
        <w:t xml:space="preserve"> Arkansas Archeology in Review. N.L. Trubowitz and M.D. Jeter, eds. Pp. 187-230. Fayetteville: Arkansas Archeological Survey Research Series 15.</w:t>
      </w:r>
    </w:p>
    <w:p w14:paraId="51AFB230"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1990</w:t>
      </w:r>
      <w:r w:rsidRPr="00C97542">
        <w:rPr>
          <w:rFonts w:ascii="Times New Roman" w:hAnsi="Times New Roman"/>
        </w:rPr>
        <w:tab/>
        <w:t>The "Northern Caddoan Area" is Not Caddoan. Caddoan Archeology 1(4):2-6.</w:t>
      </w:r>
    </w:p>
    <w:p w14:paraId="5C53C2C3"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1993</w:t>
      </w:r>
      <w:r w:rsidRPr="00C97542">
        <w:rPr>
          <w:rFonts w:ascii="Times New Roman" w:hAnsi="Times New Roman"/>
        </w:rPr>
        <w:tab/>
        <w:t xml:space="preserve">Some New Interpretations of Spiroan Culture History. </w:t>
      </w:r>
      <w:r w:rsidRPr="00C97542">
        <w:rPr>
          <w:rFonts w:ascii="Times New Roman" w:hAnsi="Times New Roman"/>
          <w:i/>
          <w:iCs/>
        </w:rPr>
        <w:t>In</w:t>
      </w:r>
      <w:r w:rsidRPr="00C97542">
        <w:rPr>
          <w:rFonts w:ascii="Times New Roman" w:hAnsi="Times New Roman"/>
        </w:rPr>
        <w:t xml:space="preserve"> Archaeology of Eastern North America: Papers in Honor of Stephen Williams. J.B. Stoltmann, ed. Pp. 187-230. Jackson: Archaeological Report No. 25, Mississippi Department of Archives and History.</w:t>
      </w:r>
    </w:p>
    <w:p w14:paraId="14639F3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1998</w:t>
      </w:r>
      <w:r w:rsidRPr="00C97542">
        <w:rPr>
          <w:rFonts w:ascii="Times New Roman" w:hAnsi="Times New Roman"/>
        </w:rPr>
        <w:tab/>
        <w:t>Pre-Caddoan Cultures in the Trans-Mississippi South: A Beginning Sequence: Arkansas Archeological Survey Research Series 53.</w:t>
      </w:r>
    </w:p>
    <w:p w14:paraId="4CDEC0F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2000</w:t>
      </w:r>
      <w:r w:rsidRPr="00C97542">
        <w:rPr>
          <w:rFonts w:ascii="Times New Roman" w:hAnsi="Times New Roman"/>
        </w:rPr>
        <w:tab/>
        <w:t>Spiroan Traders, the Sanders Site, and the Plains Interaction Sphere:  A Reply to Bruseth, Wilson, and Perttula. Plains Anthropologist 45(171):7-33.</w:t>
      </w:r>
    </w:p>
    <w:p w14:paraId="189CA27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2002</w:t>
      </w:r>
      <w:r w:rsidRPr="00C97542">
        <w:rPr>
          <w:rFonts w:ascii="Times New Roman" w:hAnsi="Times New Roman"/>
        </w:rPr>
        <w:tab/>
        <w:t>Fourche Maline:  A Woodland Period Culture of the Trans-Mississippi South. In The Woodland Southeast. R.C.M. Jr. and D.G. Anderson, eds. Pp. 90-112. Tuscaloosa &amp; London: University of Alabama Press.</w:t>
      </w:r>
    </w:p>
    <w:p w14:paraId="4C124D15" w14:textId="77777777" w:rsidR="00EC6051" w:rsidRPr="00C97542"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rPr>
      </w:pPr>
      <w:r w:rsidRPr="00C97542">
        <w:rPr>
          <w:rFonts w:ascii="Times New Roman" w:hAnsi="Times New Roman"/>
        </w:rPr>
        <w:t>Schambach, Frank, Melissa Zabecki, Jerome C. Rose, D. Glen Akridge, and John Samuelsen</w:t>
      </w:r>
    </w:p>
    <w:p w14:paraId="7523F6E4" w14:textId="77777777" w:rsidR="00EC6051" w:rsidRPr="00DD187D" w:rsidRDefault="00EC6051" w:rsidP="00EC6051">
      <w:pPr>
        <w:widowControl w:val="0"/>
        <w:autoSpaceDE w:val="0"/>
        <w:autoSpaceDN w:val="0"/>
        <w:adjustRightInd w:val="0"/>
        <w:spacing w:line="240" w:lineRule="auto"/>
        <w:ind w:left="720" w:hanging="720"/>
        <w:rPr>
          <w:rFonts w:ascii="Times New Roman" w:hAnsi="Times New Roman"/>
        </w:rPr>
      </w:pPr>
      <w:r w:rsidRPr="00DD187D">
        <w:rPr>
          <w:rFonts w:ascii="Times New Roman" w:hAnsi="Times New Roman"/>
        </w:rPr>
        <w:t>2011</w:t>
      </w:r>
      <w:r w:rsidRPr="00DD187D">
        <w:rPr>
          <w:rFonts w:ascii="Times New Roman" w:hAnsi="Times New Roman"/>
        </w:rPr>
        <w:tab/>
        <w:t>Determining the Cultural Affiliation of Detached Crania and Mandibles at the Crenshaw Site, Miller County, Arkansas. Fayett</w:t>
      </w:r>
      <w:r>
        <w:rPr>
          <w:rFonts w:ascii="Times New Roman" w:hAnsi="Times New Roman"/>
        </w:rPr>
        <w:t>e</w:t>
      </w:r>
      <w:r w:rsidRPr="00DD187D">
        <w:rPr>
          <w:rFonts w:ascii="Times New Roman" w:hAnsi="Times New Roman"/>
        </w:rPr>
        <w:t>ville: Arkansas Archeological Survey.</w:t>
      </w:r>
    </w:p>
    <w:p w14:paraId="7FC387FA" w14:textId="77777777" w:rsidR="00EC6051" w:rsidRPr="00C97542" w:rsidRDefault="00EC6051" w:rsidP="00EC6051">
      <w:pPr>
        <w:spacing w:line="240" w:lineRule="auto"/>
        <w:rPr>
          <w:rFonts w:ascii="Times New Roman" w:hAnsi="Times New Roman"/>
        </w:rPr>
      </w:pPr>
      <w:r w:rsidRPr="00C97542">
        <w:rPr>
          <w:rFonts w:ascii="Times New Roman" w:hAnsi="Times New Roman"/>
        </w:rPr>
        <w:t>Scrimshaw, Nevin S.</w:t>
      </w:r>
    </w:p>
    <w:p w14:paraId="0B448B78"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1987</w:t>
      </w:r>
      <w:r w:rsidRPr="00C97542">
        <w:rPr>
          <w:rFonts w:ascii="Times New Roman" w:hAnsi="Times New Roman"/>
        </w:rPr>
        <w:tab/>
        <w:t>The Phenomenon of Famine. Annual Review of Nutrition 7:1-21.</w:t>
      </w:r>
    </w:p>
    <w:p w14:paraId="5FA721A1" w14:textId="77777777" w:rsidR="00EC6051" w:rsidRPr="00C97542" w:rsidRDefault="00EC6051" w:rsidP="00EC6051">
      <w:pPr>
        <w:spacing w:line="240" w:lineRule="auto"/>
        <w:rPr>
          <w:rFonts w:ascii="Times New Roman" w:hAnsi="Times New Roman"/>
        </w:rPr>
      </w:pPr>
      <w:r w:rsidRPr="00C97542">
        <w:rPr>
          <w:rFonts w:ascii="Times New Roman" w:hAnsi="Times New Roman"/>
        </w:rPr>
        <w:t>Sharrock, F.W.</w:t>
      </w:r>
    </w:p>
    <w:p w14:paraId="29C20FA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1960</w:t>
      </w:r>
      <w:r w:rsidRPr="00C97542">
        <w:rPr>
          <w:rFonts w:ascii="Times New Roman" w:hAnsi="Times New Roman"/>
        </w:rPr>
        <w:tab/>
        <w:t>The Wann Site, Lf-27, of the Fourche Maline Focus. Bulletin of the Oklahoma Anthropological Society 8:17-47.</w:t>
      </w:r>
    </w:p>
    <w:p w14:paraId="14E05929" w14:textId="77777777" w:rsidR="00EC6051" w:rsidRPr="00C97542" w:rsidRDefault="00EC6051" w:rsidP="00EC6051">
      <w:pPr>
        <w:spacing w:line="240" w:lineRule="auto"/>
        <w:rPr>
          <w:rFonts w:ascii="Times New Roman" w:hAnsi="Times New Roman"/>
        </w:rPr>
      </w:pPr>
      <w:r w:rsidRPr="00C97542">
        <w:rPr>
          <w:rFonts w:ascii="Times New Roman" w:hAnsi="Times New Roman"/>
        </w:rPr>
        <w:t>Stallings, Nancy A.</w:t>
      </w:r>
    </w:p>
    <w:p w14:paraId="7DC9304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Trophy Taking in the Central and Lower Mississippi Valley. In The Taking and Displaying of Human Body Parts as Trophies by Amerindians. R.J. Chacon and D.H. Dye, eds. Pp. 339-372</w:t>
      </w:r>
      <w:r>
        <w:rPr>
          <w:rFonts w:ascii="Times New Roman" w:hAnsi="Times New Roman"/>
        </w:rPr>
        <w:t>. New York</w:t>
      </w:r>
      <w:r w:rsidRPr="00C97542">
        <w:rPr>
          <w:rFonts w:ascii="Times New Roman" w:hAnsi="Times New Roman"/>
        </w:rPr>
        <w:t>: Springer.</w:t>
      </w:r>
    </w:p>
    <w:p w14:paraId="2A4E8224"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Steadman, Dawnie Wolfe</w:t>
      </w:r>
    </w:p>
    <w:p w14:paraId="20E37147"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2008</w:t>
      </w:r>
      <w:r w:rsidRPr="00C97542">
        <w:rPr>
          <w:rFonts w:ascii="Times New Roman" w:hAnsi="Times New Roman"/>
        </w:rPr>
        <w:tab/>
        <w:t>Warfare Related Trauma at Orendorf, A Middle Mississippian Site in West-Central Illinois. American Journal of Physical Anthropology 136:51-64.</w:t>
      </w:r>
    </w:p>
    <w:p w14:paraId="507D6E3C" w14:textId="77777777" w:rsidR="00EC6051" w:rsidRPr="00C97542" w:rsidRDefault="00EC6051" w:rsidP="00EC6051">
      <w:pPr>
        <w:spacing w:line="240" w:lineRule="auto"/>
        <w:rPr>
          <w:rFonts w:ascii="Times New Roman" w:hAnsi="Times New Roman"/>
        </w:rPr>
      </w:pPr>
      <w:r w:rsidRPr="00C97542">
        <w:rPr>
          <w:rFonts w:ascii="Times New Roman" w:hAnsi="Times New Roman"/>
        </w:rPr>
        <w:t>Steckel, Richard H., and Jerome C. Rose, eds.</w:t>
      </w:r>
    </w:p>
    <w:p w14:paraId="76FACB8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2002</w:t>
      </w:r>
      <w:r w:rsidRPr="00C97542">
        <w:rPr>
          <w:rFonts w:ascii="Times New Roman" w:hAnsi="Times New Roman"/>
        </w:rPr>
        <w:tab/>
        <w:t>The Backbone of History:  Health and Nutrition in the Western Hemisphere: Cambridge University Press.</w:t>
      </w:r>
    </w:p>
    <w:p w14:paraId="0E5F3B83"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Steckel, Richard H., and Jerome C. Rose</w:t>
      </w:r>
    </w:p>
    <w:p w14:paraId="767AC41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2002</w:t>
      </w:r>
      <w:r w:rsidRPr="00C97542">
        <w:rPr>
          <w:rFonts w:ascii="Times New Roman" w:hAnsi="Times New Roman"/>
        </w:rPr>
        <w:tab/>
        <w:t>Patterns of Health in the Western Hemisphere. In The Backbone of History: Health and Nutrition in the Western Hemisphere. R.H. Steckel and J.C. Rose, eds. Pp. 563-582</w:t>
      </w:r>
      <w:r>
        <w:rPr>
          <w:rFonts w:ascii="Times New Roman" w:hAnsi="Times New Roman"/>
        </w:rPr>
        <w:t>. Cambridge</w:t>
      </w:r>
      <w:r w:rsidRPr="00C97542">
        <w:rPr>
          <w:rFonts w:ascii="Times New Roman" w:hAnsi="Times New Roman"/>
        </w:rPr>
        <w:t>: Cambridge University Press.</w:t>
      </w:r>
    </w:p>
    <w:p w14:paraId="5EC091D9"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Steckel, Richard H., Paul W. Sciulli, and Jerome C. Rose</w:t>
      </w:r>
    </w:p>
    <w:p w14:paraId="1CA80B60"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2002</w:t>
      </w:r>
      <w:r w:rsidRPr="00C97542">
        <w:rPr>
          <w:rFonts w:ascii="Times New Roman" w:hAnsi="Times New Roman"/>
        </w:rPr>
        <w:tab/>
        <w:t>A Health Index from Skeletal Remains. In The Backbone of History: Health and Nutrition in the Western Hemisphere. R.H. Steckel and J.C. Rose, eds</w:t>
      </w:r>
      <w:r>
        <w:rPr>
          <w:rFonts w:ascii="Times New Roman" w:hAnsi="Times New Roman"/>
        </w:rPr>
        <w:t>. Cambridge</w:t>
      </w:r>
      <w:r w:rsidRPr="00C97542">
        <w:rPr>
          <w:rFonts w:ascii="Times New Roman" w:hAnsi="Times New Roman"/>
        </w:rPr>
        <w:t>: Cambridge University Press.</w:t>
      </w:r>
    </w:p>
    <w:p w14:paraId="75C917AC"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Steele, D. Gentry, and Claud A. Bramblett</w:t>
      </w:r>
    </w:p>
    <w:p w14:paraId="3E9E0B5C"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1988</w:t>
      </w:r>
      <w:r w:rsidRPr="00C97542">
        <w:rPr>
          <w:rFonts w:ascii="Times New Roman" w:hAnsi="Times New Roman"/>
        </w:rPr>
        <w:tab/>
        <w:t>The Anatomy and Biology of the Human Skeleton. College Station: Texas A&amp;M University Press.</w:t>
      </w:r>
    </w:p>
    <w:p w14:paraId="50269539"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Steila, Donald, and Thomas E. Pond</w:t>
      </w:r>
    </w:p>
    <w:p w14:paraId="73378C83"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1989</w:t>
      </w:r>
      <w:r w:rsidRPr="00C97542">
        <w:rPr>
          <w:rFonts w:ascii="Times New Roman" w:hAnsi="Times New Roman"/>
        </w:rPr>
        <w:tab/>
        <w:t>Geography of Soils: Formation, Distribution, and Management</w:t>
      </w:r>
      <w:r>
        <w:rPr>
          <w:rFonts w:ascii="Times New Roman" w:hAnsi="Times New Roman"/>
        </w:rPr>
        <w:t>.  New York</w:t>
      </w:r>
      <w:r w:rsidRPr="00C97542">
        <w:rPr>
          <w:rFonts w:ascii="Times New Roman" w:hAnsi="Times New Roman"/>
        </w:rPr>
        <w:t>: Row</w:t>
      </w:r>
      <w:r>
        <w:rPr>
          <w:rFonts w:ascii="Times New Roman" w:hAnsi="Times New Roman"/>
        </w:rPr>
        <w:t>m</w:t>
      </w:r>
      <w:r w:rsidRPr="00C97542">
        <w:rPr>
          <w:rFonts w:ascii="Times New Roman" w:hAnsi="Times New Roman"/>
        </w:rPr>
        <w:t>an and Litchfield.</w:t>
      </w:r>
    </w:p>
    <w:p w14:paraId="35167181"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Stroud, Hubert B., and Gerald T. Hanson</w:t>
      </w:r>
    </w:p>
    <w:p w14:paraId="390D3BB4"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1981</w:t>
      </w:r>
      <w:r w:rsidRPr="00C97542">
        <w:rPr>
          <w:rFonts w:ascii="Times New Roman" w:hAnsi="Times New Roman"/>
        </w:rPr>
        <w:tab/>
        <w:t xml:space="preserve"> Arkansas Geography: Physical landscape and the historical cultural setting. </w:t>
      </w:r>
      <w:r>
        <w:rPr>
          <w:rFonts w:ascii="Times New Roman" w:hAnsi="Times New Roman"/>
        </w:rPr>
        <w:t>Torrance, CA</w:t>
      </w:r>
      <w:r w:rsidRPr="00C97542">
        <w:rPr>
          <w:rFonts w:ascii="Times New Roman" w:hAnsi="Times New Roman"/>
        </w:rPr>
        <w:t>: Rose Publishing Company.</w:t>
      </w:r>
    </w:p>
    <w:p w14:paraId="4BB83A10"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Stuart-Macadam, Patricia</w:t>
      </w:r>
    </w:p>
    <w:p w14:paraId="7598513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1992</w:t>
      </w:r>
      <w:r w:rsidRPr="00C97542">
        <w:rPr>
          <w:rFonts w:ascii="Times New Roman" w:hAnsi="Times New Roman"/>
        </w:rPr>
        <w:tab/>
        <w:t>Anemia in Past Human Populations. In Diet, Demography, and Disease: Changing Perspectives on Anemia. P. Stuart-Macadam and S. Kent, eds. Pp. 151-172. New York: Aldine De Gruyter.</w:t>
      </w:r>
    </w:p>
    <w:p w14:paraId="6F70061D"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Stuart-Macadam, Patricia, and Susan Kent, eds.</w:t>
      </w:r>
    </w:p>
    <w:p w14:paraId="37A778A7" w14:textId="061C8344"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1992</w:t>
      </w:r>
      <w:r w:rsidRPr="00C97542">
        <w:rPr>
          <w:rFonts w:ascii="Times New Roman" w:hAnsi="Times New Roman"/>
        </w:rPr>
        <w:tab/>
        <w:t>Diet, Demography, and Disease: Changing Perspecti</w:t>
      </w:r>
      <w:r w:rsidR="006D565A">
        <w:rPr>
          <w:rFonts w:ascii="Times New Roman" w:hAnsi="Times New Roman"/>
        </w:rPr>
        <w:t>v</w:t>
      </w:r>
      <w:r w:rsidRPr="00C97542">
        <w:rPr>
          <w:rFonts w:ascii="Times New Roman" w:hAnsi="Times New Roman"/>
        </w:rPr>
        <w:t>es on Anemia. New York: Aldine De Gruyter.</w:t>
      </w:r>
    </w:p>
    <w:p w14:paraId="2ECC6AB9"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Suhm, Dee Ann, and Alex D. Krieger</w:t>
      </w:r>
    </w:p>
    <w:p w14:paraId="7326FCB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1954</w:t>
      </w:r>
      <w:r w:rsidRPr="00C97542">
        <w:rPr>
          <w:rFonts w:ascii="Times New Roman" w:hAnsi="Times New Roman"/>
        </w:rPr>
        <w:tab/>
        <w:t>An Introductory Handbook of Texas Archeology. Bulletin of the Texas Archeological and Paleontological Society 25.</w:t>
      </w:r>
    </w:p>
    <w:p w14:paraId="39B90910" w14:textId="77777777" w:rsidR="00EC6051" w:rsidRPr="00C97542" w:rsidRDefault="00EC6051" w:rsidP="00EC6051">
      <w:pPr>
        <w:spacing w:line="240" w:lineRule="auto"/>
        <w:rPr>
          <w:rFonts w:ascii="Times New Roman" w:hAnsi="Times New Roman"/>
        </w:rPr>
      </w:pPr>
      <w:r w:rsidRPr="00C97542">
        <w:rPr>
          <w:rFonts w:ascii="Times New Roman" w:hAnsi="Times New Roman"/>
        </w:rPr>
        <w:t>Swanton, John R.</w:t>
      </w:r>
    </w:p>
    <w:p w14:paraId="0A9D80E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1932</w:t>
      </w:r>
      <w:r w:rsidRPr="00C97542">
        <w:rPr>
          <w:rFonts w:ascii="Times New Roman" w:hAnsi="Times New Roman"/>
        </w:rPr>
        <w:tab/>
        <w:t xml:space="preserve">Archaeological cultural areas. </w:t>
      </w:r>
      <w:r w:rsidRPr="00C97542">
        <w:rPr>
          <w:rFonts w:ascii="Times New Roman" w:hAnsi="Times New Roman"/>
          <w:i/>
          <w:iCs/>
        </w:rPr>
        <w:t>In</w:t>
      </w:r>
      <w:r w:rsidRPr="00C97542">
        <w:rPr>
          <w:rFonts w:ascii="Times New Roman" w:hAnsi="Times New Roman"/>
        </w:rPr>
        <w:t xml:space="preserve"> National Research Council Conference on Southern Prehistory. Birmingham, Alabama.</w:t>
      </w:r>
    </w:p>
    <w:p w14:paraId="576712CE"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1942</w:t>
      </w:r>
      <w:r w:rsidRPr="00C97542">
        <w:rPr>
          <w:rFonts w:ascii="Times New Roman" w:hAnsi="Times New Roman"/>
        </w:rPr>
        <w:tab/>
        <w:t>Source Material on the History and Ethnology of the Caddo Indians Smithsonian Institution, Bureau of American Ethnology, Bulletin 132.</w:t>
      </w:r>
    </w:p>
    <w:p w14:paraId="28495077" w14:textId="77777777" w:rsidR="00EC6051" w:rsidRPr="00C97542" w:rsidRDefault="00EC6051" w:rsidP="00EC6051">
      <w:pPr>
        <w:spacing w:line="240" w:lineRule="auto"/>
        <w:rPr>
          <w:rFonts w:ascii="Times New Roman" w:hAnsi="Times New Roman"/>
        </w:rPr>
      </w:pPr>
      <w:r w:rsidRPr="00C97542">
        <w:rPr>
          <w:rFonts w:ascii="Times New Roman" w:hAnsi="Times New Roman"/>
        </w:rPr>
        <w:t>Taylor, Allan R.</w:t>
      </w:r>
    </w:p>
    <w:p w14:paraId="1FA0A0B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1963</w:t>
      </w:r>
      <w:r w:rsidRPr="00C97542">
        <w:rPr>
          <w:rFonts w:ascii="Times New Roman" w:hAnsi="Times New Roman"/>
        </w:rPr>
        <w:tab/>
        <w:t>The Classification of the Caddoan Languages. Proceedings of the American Philosophical Society 107(1):51-59.</w:t>
      </w:r>
    </w:p>
    <w:p w14:paraId="7042BB96" w14:textId="77777777" w:rsidR="00EC6051" w:rsidRPr="00C97542" w:rsidRDefault="00EC6051" w:rsidP="00EC6051">
      <w:pPr>
        <w:spacing w:line="240" w:lineRule="auto"/>
        <w:rPr>
          <w:rFonts w:ascii="Times New Roman" w:hAnsi="Times New Roman"/>
        </w:rPr>
      </w:pPr>
      <w:r w:rsidRPr="00C97542">
        <w:rPr>
          <w:rFonts w:ascii="Times New Roman" w:hAnsi="Times New Roman"/>
        </w:rPr>
        <w:t>Thornbury, William D.</w:t>
      </w:r>
    </w:p>
    <w:p w14:paraId="4B23564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1965</w:t>
      </w:r>
      <w:r w:rsidRPr="00C97542">
        <w:rPr>
          <w:rFonts w:ascii="Times New Roman" w:hAnsi="Times New Roman"/>
        </w:rPr>
        <w:tab/>
        <w:t>Regional Geomorphology of the United States</w:t>
      </w:r>
      <w:r>
        <w:rPr>
          <w:rFonts w:ascii="Times New Roman" w:hAnsi="Times New Roman"/>
        </w:rPr>
        <w:t>. Hoboken, NJ</w:t>
      </w:r>
      <w:r w:rsidRPr="00C97542">
        <w:rPr>
          <w:rFonts w:ascii="Times New Roman" w:hAnsi="Times New Roman"/>
        </w:rPr>
        <w:t>: John Wiley and Sons, Inc.</w:t>
      </w:r>
    </w:p>
    <w:p w14:paraId="25B224D5"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Trinkhaus, Erik</w:t>
      </w:r>
    </w:p>
    <w:p w14:paraId="3E3BD1F3"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2012</w:t>
      </w:r>
      <w:r w:rsidRPr="00C97542">
        <w:rPr>
          <w:rFonts w:ascii="Times New Roman" w:hAnsi="Times New Roman"/>
        </w:rPr>
        <w:tab/>
        <w:t>Neandertals, early modern humans, and rodeo riders. Journal of Archaeological Science 39(12):6691-3693.</w:t>
      </w:r>
    </w:p>
    <w:p w14:paraId="17F23790"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Vehik, Rain</w:t>
      </w:r>
    </w:p>
    <w:p w14:paraId="424A5273"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1982</w:t>
      </w:r>
      <w:r w:rsidRPr="00C97542">
        <w:rPr>
          <w:rFonts w:ascii="Times New Roman" w:hAnsi="Times New Roman"/>
        </w:rPr>
        <w:tab/>
        <w:t>The Archaeology of the Bug Hill Site (34Pu-116): Pushmataha County, Oklahoma. Norman: Archaeological Research and Management Center, Research Series No. 7, University of Oklahoma.</w:t>
      </w:r>
    </w:p>
    <w:p w14:paraId="3849D607"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1989</w:t>
      </w:r>
      <w:r w:rsidRPr="00C97542">
        <w:rPr>
          <w:rFonts w:ascii="Times New Roman" w:hAnsi="Times New Roman"/>
        </w:rPr>
        <w:tab/>
        <w:t>Shell-Tempered Jar from the Copeland Site (34LF20). Oklahoma Anthropological Society Newsletter 37(2):5-6.</w:t>
      </w:r>
    </w:p>
    <w:p w14:paraId="03A492A1"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Wadsworth, G. R.</w:t>
      </w:r>
    </w:p>
    <w:p w14:paraId="5B99D3EC"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1992</w:t>
      </w:r>
      <w:r w:rsidRPr="00C97542">
        <w:rPr>
          <w:rFonts w:ascii="Times New Roman" w:hAnsi="Times New Roman"/>
        </w:rPr>
        <w:tab/>
        <w:t xml:space="preserve">Physiological, Pathological, and Dietary Influences on the Hemoglobin Level. </w:t>
      </w:r>
      <w:r w:rsidRPr="00C97542">
        <w:rPr>
          <w:rFonts w:ascii="Times New Roman" w:hAnsi="Times New Roman"/>
          <w:i/>
          <w:iCs/>
        </w:rPr>
        <w:t>In</w:t>
      </w:r>
      <w:r w:rsidRPr="00C97542">
        <w:rPr>
          <w:rFonts w:ascii="Times New Roman" w:hAnsi="Times New Roman"/>
        </w:rPr>
        <w:t xml:space="preserve"> Diet, Demography, and Disease: Changing Perspectives on Anemia. P. Stuart-Macadam and S. Kent, eds. Pp. 64-104. New York: Aldine De Gruyter.</w:t>
      </w:r>
    </w:p>
    <w:p w14:paraId="3763EFBC" w14:textId="77777777" w:rsidR="00EC6051" w:rsidRPr="00C97542" w:rsidRDefault="00EC6051" w:rsidP="00EC6051">
      <w:pPr>
        <w:spacing w:line="240" w:lineRule="auto"/>
        <w:rPr>
          <w:rFonts w:ascii="Times New Roman" w:hAnsi="Times New Roman"/>
        </w:rPr>
      </w:pPr>
      <w:r w:rsidRPr="00C97542">
        <w:rPr>
          <w:rFonts w:ascii="Times New Roman" w:hAnsi="Times New Roman"/>
        </w:rPr>
        <w:t>Walker, Phillip L.</w:t>
      </w:r>
    </w:p>
    <w:p w14:paraId="0FF0C17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1983</w:t>
      </w:r>
      <w:r w:rsidRPr="00C97542">
        <w:rPr>
          <w:rFonts w:ascii="Times New Roman" w:hAnsi="Times New Roman"/>
        </w:rPr>
        <w:tab/>
        <w:t>Is the battered child syndrome a modern phenomenon? Proceedings of the Tenth European Meeting of the Paleopathology Association.</w:t>
      </w:r>
    </w:p>
    <w:p w14:paraId="223A8E4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1989</w:t>
      </w:r>
      <w:r w:rsidRPr="00C97542">
        <w:rPr>
          <w:rFonts w:ascii="Times New Roman" w:hAnsi="Times New Roman"/>
        </w:rPr>
        <w:tab/>
        <w:t>Cranial Injuries as Evidence of Violence in Prehistoric Southern California. American Journal of Physical Anthropology 80(3):313-323.</w:t>
      </w:r>
    </w:p>
    <w:p w14:paraId="3B702AE8"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Wife Beating, Boxing, and Broken Noses: Skeletal Evidence for Cultural Patterning of Violence. In Troubled Times: Violence and Warfare in the Past. D.L. Martin and D.W. Frayer, eds. Pp. 77-110</w:t>
      </w:r>
      <w:r>
        <w:rPr>
          <w:rFonts w:ascii="Times New Roman" w:hAnsi="Times New Roman"/>
        </w:rPr>
        <w:t>. Newark, NJ</w:t>
      </w:r>
      <w:r w:rsidRPr="00C97542">
        <w:rPr>
          <w:rFonts w:ascii="Times New Roman" w:hAnsi="Times New Roman"/>
        </w:rPr>
        <w:t>: Gordon and Breach Publishers.</w:t>
      </w:r>
    </w:p>
    <w:p w14:paraId="592AD135"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2001</w:t>
      </w:r>
      <w:r w:rsidRPr="00C97542">
        <w:rPr>
          <w:rFonts w:ascii="Times New Roman" w:hAnsi="Times New Roman"/>
        </w:rPr>
        <w:tab/>
        <w:t>A Bioarchaeological Perspective on the History of Violence. Annual Review of Anthropology 30:573-596.</w:t>
      </w:r>
    </w:p>
    <w:p w14:paraId="5AA8D0AB" w14:textId="77777777" w:rsidR="00EC6051" w:rsidRPr="00C97542"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rPr>
      </w:pPr>
      <w:r w:rsidRPr="00C97542">
        <w:rPr>
          <w:rFonts w:ascii="Times New Roman" w:hAnsi="Times New Roman"/>
        </w:rPr>
        <w:t>Walker, Phillip L., Rhonda R. Bathurst, Rebecca Richman, Thor Gjerdrum, and Valerie A. Andrushko</w:t>
      </w:r>
    </w:p>
    <w:p w14:paraId="195A17F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2009</w:t>
      </w:r>
      <w:r w:rsidRPr="00C97542">
        <w:rPr>
          <w:rFonts w:ascii="Times New Roman" w:hAnsi="Times New Roman"/>
        </w:rPr>
        <w:tab/>
        <w:t>The Causes of Porotic Hyperostosis and Cribra Orbitalia: A Reappraisal of the Iron-Deficiency-Anemia Hypothesis. American Journal of Physical Anthropology 139:109-125.</w:t>
      </w:r>
    </w:p>
    <w:p w14:paraId="30567BDB" w14:textId="77777777" w:rsidR="00EC6051" w:rsidRPr="00981CD4" w:rsidRDefault="00EC6051" w:rsidP="00EC6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rPr>
      </w:pPr>
      <w:r w:rsidRPr="00981CD4">
        <w:rPr>
          <w:rFonts w:ascii="Times New Roman" w:hAnsi="Times New Roman"/>
        </w:rPr>
        <w:t>Webb, Clarence H., Jesse David Jennings, Raymond H. Thompson, and William Duncan Strong.</w:t>
      </w:r>
    </w:p>
    <w:p w14:paraId="00DA5695" w14:textId="77777777" w:rsidR="00EC6051" w:rsidRDefault="00EC6051" w:rsidP="00EC6051">
      <w:pPr>
        <w:spacing w:line="240" w:lineRule="auto"/>
        <w:ind w:left="1440" w:hanging="720"/>
        <w:outlineLvl w:val="0"/>
        <w:rPr>
          <w:rFonts w:ascii="Times New Roman" w:hAnsi="Times New Roman"/>
        </w:rPr>
      </w:pPr>
      <w:r w:rsidRPr="00981CD4">
        <w:rPr>
          <w:rFonts w:ascii="Times New Roman" w:hAnsi="Times New Roman"/>
        </w:rPr>
        <w:t>1958</w:t>
      </w:r>
      <w:r w:rsidRPr="00981CD4">
        <w:rPr>
          <w:rFonts w:ascii="Times New Roman" w:hAnsi="Times New Roman"/>
        </w:rPr>
        <w:tab/>
        <w:t>The Belcher Mound</w:t>
      </w:r>
      <w:r w:rsidRPr="00E140CA">
        <w:rPr>
          <w:rFonts w:ascii="Times New Roman" w:hAnsi="Times New Roman"/>
        </w:rPr>
        <w:t xml:space="preserve">: A Stratified Caddoan Site in Caddo Parish, Louisiana. Volume 27: Society for American Archaeology. </w:t>
      </w:r>
    </w:p>
    <w:p w14:paraId="53383352" w14:textId="77777777" w:rsidR="00EC6051" w:rsidRPr="00E140CA" w:rsidRDefault="00EC6051" w:rsidP="00EC6051">
      <w:pPr>
        <w:spacing w:line="240" w:lineRule="auto"/>
        <w:outlineLvl w:val="0"/>
        <w:rPr>
          <w:rFonts w:ascii="Times New Roman" w:hAnsi="Times New Roman"/>
        </w:rPr>
      </w:pPr>
      <w:r w:rsidRPr="00E140CA">
        <w:rPr>
          <w:rFonts w:ascii="Times New Roman" w:hAnsi="Times New Roman"/>
        </w:rPr>
        <w:t>Webb, Clarence H., and R. R. McKinney</w:t>
      </w:r>
    </w:p>
    <w:p w14:paraId="2E15BC8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1975</w:t>
      </w:r>
      <w:r w:rsidRPr="00C97542">
        <w:rPr>
          <w:rFonts w:ascii="Times New Roman" w:hAnsi="Times New Roman"/>
        </w:rPr>
        <w:tab/>
        <w:t>Mounds Plantation (16CD12), Caddo Parish, Louisiana. Louisiana Archaeology 2:39-127.</w:t>
      </w:r>
    </w:p>
    <w:p w14:paraId="12EEC0B8"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Weinberg, Eugene D.</w:t>
      </w:r>
    </w:p>
    <w:p w14:paraId="6C640A5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1992</w:t>
      </w:r>
      <w:r w:rsidRPr="00C97542">
        <w:rPr>
          <w:rFonts w:ascii="Times New Roman" w:hAnsi="Times New Roman"/>
        </w:rPr>
        <w:tab/>
        <w:t xml:space="preserve">Iron Withholding in Prevention of Disease. </w:t>
      </w:r>
      <w:r w:rsidRPr="00C97542">
        <w:rPr>
          <w:rFonts w:ascii="Times New Roman" w:hAnsi="Times New Roman"/>
          <w:i/>
          <w:iCs/>
        </w:rPr>
        <w:t>In</w:t>
      </w:r>
      <w:r w:rsidRPr="00C97542">
        <w:rPr>
          <w:rFonts w:ascii="Times New Roman" w:hAnsi="Times New Roman"/>
        </w:rPr>
        <w:t xml:space="preserve"> Diet, Demography, and Disease: Changing Perspectives on Anemia. P. Stuart-Macadam and S. Kent, eds. Pp. 105-150. New York: Aldine De Gruyter.</w:t>
      </w:r>
    </w:p>
    <w:p w14:paraId="54EE827A" w14:textId="77777777" w:rsidR="00EC6051" w:rsidRPr="00C97542" w:rsidRDefault="00EC6051" w:rsidP="00EC6051">
      <w:pPr>
        <w:spacing w:line="240" w:lineRule="auto"/>
        <w:rPr>
          <w:rFonts w:ascii="Times New Roman" w:hAnsi="Times New Roman"/>
        </w:rPr>
      </w:pPr>
      <w:r w:rsidRPr="00C97542">
        <w:rPr>
          <w:rFonts w:ascii="Times New Roman" w:hAnsi="Times New Roman"/>
        </w:rPr>
        <w:t>White, Tim D.</w:t>
      </w:r>
    </w:p>
    <w:p w14:paraId="5D10635A" w14:textId="77777777" w:rsidR="00EC6051" w:rsidRPr="00C97542" w:rsidRDefault="00EC6051" w:rsidP="00EC6051">
      <w:pPr>
        <w:spacing w:line="240" w:lineRule="auto"/>
        <w:rPr>
          <w:rFonts w:ascii="Times New Roman" w:hAnsi="Times New Roman"/>
        </w:rPr>
      </w:pPr>
      <w:r w:rsidRPr="00C97542">
        <w:rPr>
          <w:rFonts w:ascii="Times New Roman" w:hAnsi="Times New Roman"/>
        </w:rPr>
        <w:tab/>
        <w:t>2000</w:t>
      </w:r>
      <w:r w:rsidRPr="00C97542">
        <w:rPr>
          <w:rFonts w:ascii="Times New Roman" w:hAnsi="Times New Roman"/>
        </w:rPr>
        <w:tab/>
        <w:t>Human Osteology.  New York and London: Academic Press.</w:t>
      </w:r>
    </w:p>
    <w:p w14:paraId="58C05626" w14:textId="77777777" w:rsidR="00EC6051" w:rsidRPr="00C97542" w:rsidRDefault="00EC6051" w:rsidP="00EC6051">
      <w:pPr>
        <w:spacing w:line="240" w:lineRule="auto"/>
        <w:outlineLvl w:val="0"/>
        <w:rPr>
          <w:rFonts w:ascii="Times New Roman" w:hAnsi="Times New Roman"/>
        </w:rPr>
      </w:pPr>
      <w:r>
        <w:rPr>
          <w:rFonts w:ascii="Times New Roman" w:hAnsi="Times New Roman"/>
        </w:rPr>
        <w:t>WHO</w:t>
      </w:r>
    </w:p>
    <w:p w14:paraId="65B5E391"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2013</w:t>
      </w:r>
      <w:r w:rsidRPr="00C97542">
        <w:rPr>
          <w:rFonts w:ascii="Times New Roman" w:hAnsi="Times New Roman"/>
        </w:rPr>
        <w:tab/>
        <w:t xml:space="preserve">Violence against women:  Intimate partner and sexual violence against women, Fact sheet N° 239, Vol. 2013.  </w:t>
      </w:r>
      <w:hyperlink r:id="rId40" w:history="1">
        <w:r w:rsidRPr="00C97542">
          <w:rPr>
            <w:rFonts w:ascii="Times New Roman" w:hAnsi="Times New Roman"/>
          </w:rPr>
          <w:t>http://www.who.int/mediacentre/factsheets/fs239/en/</w:t>
        </w:r>
      </w:hyperlink>
      <w:r w:rsidRPr="00C97542">
        <w:rPr>
          <w:rFonts w:ascii="Times New Roman" w:hAnsi="Times New Roman"/>
        </w:rPr>
        <w:t>, accessed March 11, 2014</w:t>
      </w:r>
      <w:r>
        <w:rPr>
          <w:rFonts w:ascii="Times New Roman" w:hAnsi="Times New Roman"/>
        </w:rPr>
        <w:t>, World Health Organization.</w:t>
      </w:r>
    </w:p>
    <w:p w14:paraId="0DE823DF" w14:textId="77777777" w:rsidR="00EC6051" w:rsidRDefault="00EC6051" w:rsidP="00EC6051">
      <w:pPr>
        <w:spacing w:line="240" w:lineRule="auto"/>
        <w:ind w:left="1440" w:hanging="720"/>
        <w:rPr>
          <w:rFonts w:ascii="Times New Roman" w:hAnsi="Times New Roman"/>
        </w:rPr>
      </w:pPr>
      <w:r w:rsidRPr="00C97542">
        <w:rPr>
          <w:rFonts w:ascii="Times New Roman" w:hAnsi="Times New Roman"/>
        </w:rPr>
        <w:t>2014</w:t>
      </w:r>
      <w:r w:rsidRPr="00C97542">
        <w:rPr>
          <w:rFonts w:ascii="Times New Roman" w:hAnsi="Times New Roman"/>
        </w:rPr>
        <w:tab/>
        <w:t xml:space="preserve">Micronutrient deficiencies:  Vitamin A deficiency, Vol. 2014. </w:t>
      </w:r>
      <w:hyperlink r:id="rId41" w:history="1">
        <w:r w:rsidRPr="00C97542">
          <w:rPr>
            <w:rFonts w:ascii="Times New Roman" w:hAnsi="Times New Roman"/>
          </w:rPr>
          <w:t>http://www.who.int/nutrition/topics/vad/en/</w:t>
        </w:r>
      </w:hyperlink>
      <w:r>
        <w:rPr>
          <w:rFonts w:ascii="Times New Roman" w:hAnsi="Times New Roman"/>
        </w:rPr>
        <w:t>, accessed March 11, 2014, World Health Organization.</w:t>
      </w:r>
    </w:p>
    <w:p w14:paraId="1DB4CE99" w14:textId="77777777" w:rsidR="00EC6051" w:rsidRPr="00C97542" w:rsidRDefault="00EC6051" w:rsidP="00EC6051">
      <w:pPr>
        <w:spacing w:line="240" w:lineRule="auto"/>
        <w:rPr>
          <w:rFonts w:ascii="Times New Roman" w:hAnsi="Times New Roman"/>
        </w:rPr>
      </w:pPr>
      <w:r w:rsidRPr="00C97542">
        <w:rPr>
          <w:rFonts w:ascii="Times New Roman" w:hAnsi="Times New Roman"/>
        </w:rPr>
        <w:t>Wilkinson, Richard G.</w:t>
      </w:r>
    </w:p>
    <w:p w14:paraId="3C6679FB"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1997</w:t>
      </w:r>
      <w:r w:rsidRPr="00C97542">
        <w:rPr>
          <w:rFonts w:ascii="Times New Roman" w:hAnsi="Times New Roman"/>
        </w:rPr>
        <w:tab/>
        <w:t>Violence Against Women: Raiding and Abduction in Prehistoric Michigan. In Troubled Times: Violence and Warfare in the Past. D.L. Martin and D.W. Frayer, eds. Pp. 21-44</w:t>
      </w:r>
      <w:r>
        <w:rPr>
          <w:rFonts w:ascii="Times New Roman" w:hAnsi="Times New Roman"/>
        </w:rPr>
        <w:t>. Newark, NJ</w:t>
      </w:r>
      <w:r w:rsidRPr="00C97542">
        <w:rPr>
          <w:rFonts w:ascii="Times New Roman" w:hAnsi="Times New Roman"/>
        </w:rPr>
        <w:t>: Gordon and Breach Publishers.</w:t>
      </w:r>
    </w:p>
    <w:p w14:paraId="42626714" w14:textId="77777777" w:rsidR="00EC6051" w:rsidRPr="00C97542" w:rsidRDefault="00EC6051" w:rsidP="00EC6051">
      <w:pPr>
        <w:widowControl w:val="0"/>
        <w:autoSpaceDE w:val="0"/>
        <w:autoSpaceDN w:val="0"/>
        <w:adjustRightInd w:val="0"/>
        <w:spacing w:line="240" w:lineRule="auto"/>
        <w:rPr>
          <w:rFonts w:ascii="Times New Roman" w:hAnsi="Times New Roman"/>
        </w:rPr>
      </w:pPr>
      <w:r w:rsidRPr="00C97542">
        <w:rPr>
          <w:rFonts w:ascii="Times New Roman" w:hAnsi="Times New Roman"/>
        </w:rPr>
        <w:t>Willey, Gordon R., and Phillip Phillips</w:t>
      </w:r>
    </w:p>
    <w:p w14:paraId="54193C63" w14:textId="77777777" w:rsidR="00EC6051" w:rsidRPr="00C97542" w:rsidRDefault="00EC6051" w:rsidP="00EC6051">
      <w:pPr>
        <w:spacing w:line="240" w:lineRule="auto"/>
        <w:ind w:left="1440" w:hanging="720"/>
        <w:outlineLvl w:val="0"/>
        <w:rPr>
          <w:rFonts w:ascii="Times New Roman" w:hAnsi="Times New Roman"/>
        </w:rPr>
      </w:pPr>
      <w:r w:rsidRPr="00C97542">
        <w:rPr>
          <w:rFonts w:ascii="Times New Roman" w:hAnsi="Times New Roman"/>
        </w:rPr>
        <w:t>1958</w:t>
      </w:r>
      <w:r w:rsidRPr="00C97542">
        <w:rPr>
          <w:rFonts w:ascii="Times New Roman" w:hAnsi="Times New Roman"/>
        </w:rPr>
        <w:tab/>
        <w:t>Method and Theory in American Archaeology. Chicago: University of Chicago Press.</w:t>
      </w:r>
    </w:p>
    <w:p w14:paraId="672E7ECD"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Wilson, Diane</w:t>
      </w:r>
    </w:p>
    <w:p w14:paraId="4DDC88C0" w14:textId="77777777" w:rsidR="00C02453" w:rsidRDefault="00EC6051" w:rsidP="00C02453">
      <w:pPr>
        <w:spacing w:line="240" w:lineRule="auto"/>
        <w:ind w:left="1440" w:hanging="720"/>
        <w:rPr>
          <w:rFonts w:ascii="Times New Roman" w:hAnsi="Times New Roman"/>
        </w:rPr>
      </w:pPr>
      <w:r w:rsidRPr="00C97542">
        <w:rPr>
          <w:rFonts w:ascii="Times New Roman" w:hAnsi="Times New Roman"/>
        </w:rPr>
        <w:t>2112</w:t>
      </w:r>
      <w:r w:rsidRPr="00C97542">
        <w:rPr>
          <w:rFonts w:ascii="Times New Roman" w:hAnsi="Times New Roman"/>
        </w:rPr>
        <w:tab/>
        <w:t>Bioarchaeological Evidence of Subsistence Strategies among the East Texas Caddo. In The Archaeology of the Caddo. T.K. Perttula and C.P. Walker, eds. Pp. 86-116. Lincoln and London The University of Nebraska Press.</w:t>
      </w:r>
    </w:p>
    <w:p w14:paraId="4A6D633E" w14:textId="2077117B" w:rsidR="00EC6051" w:rsidRPr="00C97542" w:rsidRDefault="00EC6051" w:rsidP="00C02453">
      <w:pPr>
        <w:spacing w:line="240" w:lineRule="auto"/>
        <w:ind w:left="1440" w:hanging="720"/>
        <w:rPr>
          <w:rFonts w:ascii="Times New Roman" w:hAnsi="Times New Roman"/>
        </w:rPr>
      </w:pPr>
      <w:r w:rsidRPr="00C97542">
        <w:rPr>
          <w:rFonts w:ascii="Times New Roman" w:hAnsi="Times New Roman"/>
        </w:rPr>
        <w:t>Wood, James W., George R. Milner, Henry C. Harpending, and Kenneth M. Weiss</w:t>
      </w:r>
    </w:p>
    <w:p w14:paraId="4AFBCA82" w14:textId="12E66C76" w:rsidR="00EC6051" w:rsidRDefault="00EC6051" w:rsidP="00C02453">
      <w:pPr>
        <w:spacing w:line="240" w:lineRule="auto"/>
        <w:ind w:left="1440" w:hanging="720"/>
        <w:rPr>
          <w:rFonts w:ascii="Times New Roman" w:hAnsi="Times New Roman"/>
        </w:rPr>
      </w:pPr>
      <w:r w:rsidRPr="00C97542">
        <w:rPr>
          <w:rFonts w:ascii="Times New Roman" w:hAnsi="Times New Roman"/>
        </w:rPr>
        <w:t>1992</w:t>
      </w:r>
      <w:r w:rsidRPr="00C97542">
        <w:rPr>
          <w:rFonts w:ascii="Times New Roman" w:hAnsi="Times New Roman"/>
        </w:rPr>
        <w:tab/>
        <w:t>The Osteological Paradox: Problems of Inferring Prehistoric Health from Skeletal Samples. Current Anthropology 33(4):343-370.</w:t>
      </w:r>
    </w:p>
    <w:p w14:paraId="3894B8DD" w14:textId="77777777" w:rsidR="00EC6051" w:rsidRPr="00C97542" w:rsidRDefault="00EC6051" w:rsidP="00EC6051">
      <w:pPr>
        <w:spacing w:line="240" w:lineRule="auto"/>
        <w:rPr>
          <w:rFonts w:ascii="Times New Roman" w:hAnsi="Times New Roman"/>
        </w:rPr>
      </w:pPr>
      <w:r w:rsidRPr="00C97542">
        <w:rPr>
          <w:rFonts w:ascii="Times New Roman" w:hAnsi="Times New Roman"/>
        </w:rPr>
        <w:t>Wood, W. R.</w:t>
      </w:r>
    </w:p>
    <w:p w14:paraId="3C84D5BF"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1961</w:t>
      </w:r>
      <w:r w:rsidRPr="00C97542">
        <w:rPr>
          <w:rFonts w:ascii="Times New Roman" w:hAnsi="Times New Roman"/>
        </w:rPr>
        <w:tab/>
        <w:t>A Preliminary Report on the 1962 Excavations at the Crenshaw Site, 3MI6.  In Arkansas Archaeology. C.P. McGimsey, ed. Pp. 1-14. Fayetteville: Arkansas Archaeological Survey.</w:t>
      </w:r>
    </w:p>
    <w:p w14:paraId="4F08C399"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Wrangham, Richard, and Dale Peterson</w:t>
      </w:r>
    </w:p>
    <w:p w14:paraId="1E449BCD"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1996</w:t>
      </w:r>
      <w:r w:rsidRPr="00C97542">
        <w:rPr>
          <w:rFonts w:ascii="Times New Roman" w:hAnsi="Times New Roman"/>
        </w:rPr>
        <w:tab/>
        <w:t>Demonic Males:  Apes and the Origins of Human Violence. Boston: Houghton Mifflin.</w:t>
      </w:r>
    </w:p>
    <w:p w14:paraId="4919CB6F" w14:textId="77777777" w:rsidR="00EC6051" w:rsidRPr="00C97542" w:rsidRDefault="00EC6051" w:rsidP="00EC6051">
      <w:pPr>
        <w:spacing w:line="240" w:lineRule="auto"/>
        <w:rPr>
          <w:rFonts w:ascii="Times New Roman" w:hAnsi="Times New Roman"/>
        </w:rPr>
      </w:pPr>
      <w:r w:rsidRPr="00C97542">
        <w:rPr>
          <w:rFonts w:ascii="Times New Roman" w:hAnsi="Times New Roman"/>
        </w:rPr>
        <w:t>Wrangham, Richard W.</w:t>
      </w:r>
    </w:p>
    <w:p w14:paraId="7D9E317E"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1991</w:t>
      </w:r>
      <w:r w:rsidRPr="00C97542">
        <w:rPr>
          <w:rFonts w:ascii="Times New Roman" w:hAnsi="Times New Roman"/>
        </w:rPr>
        <w:tab/>
        <w:t>Evolution of Coalitionary Killing. Yearb</w:t>
      </w:r>
      <w:r>
        <w:rPr>
          <w:rFonts w:ascii="Times New Roman" w:hAnsi="Times New Roman"/>
        </w:rPr>
        <w:t>ook of Physical Anthropology 42:1-30</w:t>
      </w:r>
    </w:p>
    <w:p w14:paraId="38DDBC9D" w14:textId="77777777" w:rsidR="00EC6051" w:rsidRPr="00C97542" w:rsidRDefault="00EC6051" w:rsidP="00EC6051">
      <w:pPr>
        <w:spacing w:line="240" w:lineRule="auto"/>
        <w:rPr>
          <w:rFonts w:ascii="Times New Roman" w:hAnsi="Times New Roman"/>
        </w:rPr>
      </w:pPr>
      <w:r w:rsidRPr="00C97542">
        <w:rPr>
          <w:rFonts w:ascii="Times New Roman" w:hAnsi="Times New Roman"/>
        </w:rPr>
        <w:t>Wyckoff, Don G.</w:t>
      </w:r>
    </w:p>
    <w:p w14:paraId="2D99A708"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1974</w:t>
      </w:r>
      <w:r w:rsidRPr="00C97542">
        <w:rPr>
          <w:rFonts w:ascii="Times New Roman" w:hAnsi="Times New Roman"/>
        </w:rPr>
        <w:tab/>
        <w:t xml:space="preserve">The Caddoan culture area:  an archaeological perspective. </w:t>
      </w:r>
      <w:r w:rsidRPr="00C97542">
        <w:rPr>
          <w:rFonts w:ascii="Times New Roman" w:hAnsi="Times New Roman"/>
          <w:i/>
          <w:iCs/>
        </w:rPr>
        <w:t>In</w:t>
      </w:r>
      <w:r w:rsidRPr="00C97542">
        <w:rPr>
          <w:rFonts w:ascii="Times New Roman" w:hAnsi="Times New Roman"/>
        </w:rPr>
        <w:t xml:space="preserve"> Caddoan Indians. Pp. 25-279. New York: Garland Publishing, Incorporated.</w:t>
      </w:r>
    </w:p>
    <w:p w14:paraId="7AA9A92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1976</w:t>
      </w:r>
      <w:r w:rsidRPr="00C97542">
        <w:rPr>
          <w:rFonts w:ascii="Times New Roman" w:hAnsi="Times New Roman"/>
        </w:rPr>
        <w:tab/>
        <w:t>Archaeological Field Word at the McCutchan-McLaughlin Site, Latimer County, Oklahoma. Oklahoma Anthropological Society Newsletter 24(8):1-8.</w:t>
      </w:r>
    </w:p>
    <w:p w14:paraId="59CA6547"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1980</w:t>
      </w:r>
      <w:r w:rsidRPr="00C97542">
        <w:rPr>
          <w:rFonts w:ascii="Times New Roman" w:hAnsi="Times New Roman"/>
        </w:rPr>
        <w:tab/>
        <w:t>Caddoan Adaptive Strategies in the Arkansas Basin, Eastern Okla</w:t>
      </w:r>
      <w:r>
        <w:rPr>
          <w:rFonts w:ascii="Times New Roman" w:hAnsi="Times New Roman"/>
        </w:rPr>
        <w:t>homa.  Unpublished Ph.D. dissertation,</w:t>
      </w:r>
      <w:r w:rsidRPr="00C97542">
        <w:rPr>
          <w:rFonts w:ascii="Times New Roman" w:hAnsi="Times New Roman"/>
        </w:rPr>
        <w:t xml:space="preserve"> Anthropology, Washington State University.</w:t>
      </w:r>
    </w:p>
    <w:p w14:paraId="449C2C3C"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1981</w:t>
      </w:r>
      <w:r w:rsidRPr="00C97542">
        <w:rPr>
          <w:rFonts w:ascii="Times New Roman" w:hAnsi="Times New Roman"/>
        </w:rPr>
        <w:tab/>
        <w:t>Pollen, Plants and People:  Some Archaeological Perspectives on Eastern Oklahoma Prehistory. In Ferndale Bog and Natural Lake: Five Thousand Years of Environmental Change in Southeastern Oklahoma. Oklahoma Archeological Survey, Studies in Oklahoma’s Past, Number 7</w:t>
      </w:r>
      <w:r>
        <w:rPr>
          <w:rFonts w:ascii="Times New Roman" w:hAnsi="Times New Roman"/>
        </w:rPr>
        <w:t>, Pp</w:t>
      </w:r>
      <w:r w:rsidRPr="00C97542">
        <w:rPr>
          <w:rFonts w:ascii="Times New Roman" w:hAnsi="Times New Roman"/>
        </w:rPr>
        <w:t xml:space="preserve"> 101-107.</w:t>
      </w:r>
    </w:p>
    <w:p w14:paraId="3659D2AA"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1984</w:t>
      </w:r>
      <w:r w:rsidRPr="00C97542">
        <w:rPr>
          <w:rFonts w:ascii="Times New Roman" w:hAnsi="Times New Roman"/>
        </w:rPr>
        <w:tab/>
        <w:t>The Foragers: Eastern Oklahoma. In Prehistory of Oklahoma. R.E. Bell, ed. Pp. 119-160: Academic Press.</w:t>
      </w:r>
    </w:p>
    <w:p w14:paraId="2EF38792"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2005</w:t>
      </w:r>
      <w:r w:rsidRPr="00C97542">
        <w:rPr>
          <w:rFonts w:ascii="Times New Roman" w:hAnsi="Times New Roman"/>
        </w:rPr>
        <w:tab/>
        <w:t>A Site (34PU101) near Holly Creek:  Clues to Early Holocene Occupations in the Ouachita Mountains. Oklahoma Archaeology:  Journal of the Oklahoma Anthropological Society 53(4):29-40.</w:t>
      </w:r>
    </w:p>
    <w:p w14:paraId="4FA4AE46" w14:textId="77777777" w:rsidR="00EC6051" w:rsidRPr="00C97542" w:rsidRDefault="00EC6051" w:rsidP="00EC6051">
      <w:pPr>
        <w:widowControl w:val="0"/>
        <w:autoSpaceDE w:val="0"/>
        <w:autoSpaceDN w:val="0"/>
        <w:adjustRightInd w:val="0"/>
        <w:spacing w:line="240" w:lineRule="auto"/>
        <w:ind w:left="1440" w:hanging="720"/>
        <w:rPr>
          <w:rFonts w:ascii="Times New Roman" w:hAnsi="Times New Roman"/>
        </w:rPr>
      </w:pPr>
      <w:r w:rsidRPr="00C97542">
        <w:rPr>
          <w:rFonts w:ascii="Times New Roman" w:hAnsi="Times New Roman"/>
        </w:rPr>
        <w:t>2010</w:t>
      </w:r>
      <w:r w:rsidRPr="00C97542">
        <w:rPr>
          <w:rFonts w:ascii="Times New Roman" w:hAnsi="Times New Roman"/>
        </w:rPr>
        <w:tab/>
        <w:t>Hunter-Gatherer Chert Use along the Southwest Flank of the Ozarks. The Missouri Archaeologist 71:77-110.</w:t>
      </w:r>
    </w:p>
    <w:p w14:paraId="7BBEA325"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Wyckoff, Don G., and Linda Ragland Fisher</w:t>
      </w:r>
    </w:p>
    <w:p w14:paraId="5B85BBF9"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1985</w:t>
      </w:r>
      <w:r w:rsidRPr="00C97542">
        <w:rPr>
          <w:rFonts w:ascii="Times New Roman" w:hAnsi="Times New Roman"/>
        </w:rPr>
        <w:tab/>
        <w:t>Preliminary Testing and Evaluation of the Grobin Davis Archeological Site, 34Mc-253, McCurtain County, Oklahoma. University of Oklahoma, Norman: Oklahoma Archeological Survey, Archeological Resource Survey Report Number 22.</w:t>
      </w:r>
    </w:p>
    <w:p w14:paraId="34893146" w14:textId="77777777" w:rsidR="00EC6051" w:rsidRPr="00C97542" w:rsidRDefault="00EC6051" w:rsidP="00EC6051">
      <w:pPr>
        <w:spacing w:line="240" w:lineRule="auto"/>
        <w:outlineLvl w:val="0"/>
        <w:rPr>
          <w:rFonts w:ascii="Times New Roman" w:hAnsi="Times New Roman"/>
        </w:rPr>
      </w:pPr>
      <w:r w:rsidRPr="00C97542">
        <w:rPr>
          <w:rFonts w:ascii="Times New Roman" w:hAnsi="Times New Roman"/>
        </w:rPr>
        <w:t>Wyckoff, Don G., and T. Van Woody</w:t>
      </w:r>
    </w:p>
    <w:p w14:paraId="0E3420E6" w14:textId="77777777" w:rsidR="00EC6051" w:rsidRPr="00C97542" w:rsidRDefault="00EC6051" w:rsidP="00EC6051">
      <w:pPr>
        <w:spacing w:line="240" w:lineRule="auto"/>
        <w:ind w:left="1440" w:hanging="720"/>
        <w:rPr>
          <w:rFonts w:ascii="Times New Roman" w:hAnsi="Times New Roman"/>
        </w:rPr>
      </w:pPr>
      <w:r w:rsidRPr="00C97542">
        <w:rPr>
          <w:rFonts w:ascii="Times New Roman" w:hAnsi="Times New Roman"/>
        </w:rPr>
        <w:t>1977</w:t>
      </w:r>
      <w:r w:rsidRPr="00C97542">
        <w:rPr>
          <w:rFonts w:ascii="Times New Roman" w:hAnsi="Times New Roman"/>
        </w:rPr>
        <w:tab/>
        <w:t>1977 Field Work at Lt-11: The OAS Spring Dig and the University Field School. Oklahoma Anthropological Society Newsletter 25(8)</w:t>
      </w:r>
      <w:r>
        <w:rPr>
          <w:rFonts w:ascii="Times New Roman" w:hAnsi="Times New Roman"/>
        </w:rPr>
        <w:t>1-13</w:t>
      </w:r>
      <w:r w:rsidRPr="00C97542">
        <w:rPr>
          <w:rFonts w:ascii="Times New Roman" w:hAnsi="Times New Roman"/>
        </w:rPr>
        <w:t>.</w:t>
      </w:r>
    </w:p>
    <w:p w14:paraId="1018EF3C" w14:textId="77777777" w:rsidR="00D77A89" w:rsidRDefault="00D77A89" w:rsidP="00EC6051">
      <w:pPr>
        <w:pStyle w:val="Heading1"/>
        <w:jc w:val="left"/>
      </w:pPr>
    </w:p>
    <w:sectPr w:rsidR="00D77A89" w:rsidSect="009D69E4">
      <w:pgSz w:w="12240" w:h="15840"/>
      <w:pgMar w:top="1440" w:right="180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F18A45" w14:textId="77777777" w:rsidR="00AA5EEF" w:rsidRDefault="00AA5EEF">
      <w:pPr>
        <w:spacing w:line="240" w:lineRule="auto"/>
      </w:pPr>
      <w:r>
        <w:separator/>
      </w:r>
    </w:p>
  </w:endnote>
  <w:endnote w:type="continuationSeparator" w:id="0">
    <w:p w14:paraId="4CD41EF6" w14:textId="77777777" w:rsidR="00AA5EEF" w:rsidRDefault="00AA5E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D2D7E" w14:textId="77777777" w:rsidR="00AA5EEF" w:rsidRDefault="00AA5EEF" w:rsidP="00F71B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D9D48A" w14:textId="77777777" w:rsidR="00AA5EEF" w:rsidRDefault="00AA5E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7016E" w14:textId="77777777" w:rsidR="00AA5EEF" w:rsidRDefault="00AA5EEF" w:rsidP="00F71B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7315B">
      <w:rPr>
        <w:rStyle w:val="PageNumber"/>
        <w:noProof/>
      </w:rPr>
      <w:t>26</w:t>
    </w:r>
    <w:r>
      <w:rPr>
        <w:rStyle w:val="PageNumber"/>
      </w:rPr>
      <w:fldChar w:fldCharType="end"/>
    </w:r>
  </w:p>
  <w:p w14:paraId="7F9B5331" w14:textId="2CA7757E" w:rsidR="00AA5EEF" w:rsidRDefault="00AA5EEF" w:rsidP="008E2757">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C8D3E" w14:textId="77777777" w:rsidR="00AA5EEF" w:rsidRDefault="00AA5EEF">
      <w:pPr>
        <w:spacing w:line="240" w:lineRule="auto"/>
      </w:pPr>
      <w:r>
        <w:separator/>
      </w:r>
    </w:p>
  </w:footnote>
  <w:footnote w:type="continuationSeparator" w:id="0">
    <w:p w14:paraId="48416D88" w14:textId="77777777" w:rsidR="00AA5EEF" w:rsidRDefault="00AA5EEF">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85776"/>
    <w:multiLevelType w:val="hybridMultilevel"/>
    <w:tmpl w:val="2404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A12C6B"/>
    <w:multiLevelType w:val="hybridMultilevel"/>
    <w:tmpl w:val="88E08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F16471"/>
    <w:multiLevelType w:val="hybridMultilevel"/>
    <w:tmpl w:val="FCA4AF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6510D45"/>
    <w:multiLevelType w:val="hybridMultilevel"/>
    <w:tmpl w:val="9212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FF7889"/>
    <w:multiLevelType w:val="hybridMultilevel"/>
    <w:tmpl w:val="39E6A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
  </w:num>
  <w:num w:numId="5">
    <w:abstractNumId w:val="6"/>
  </w:num>
  <w:num w:numId="6">
    <w:abstractNumId w:val="7"/>
  </w:num>
  <w:num w:numId="7">
    <w:abstractNumId w:val="8"/>
  </w:num>
  <w:num w:numId="8">
    <w:abstractNumId w:val="9"/>
  </w:num>
  <w:num w:numId="9">
    <w:abstractNumId w:val="2"/>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documentProtection w:edit="readOnly" w:enforcement="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94"/>
    <w:rsid w:val="0000405E"/>
    <w:rsid w:val="00010D0A"/>
    <w:rsid w:val="00012779"/>
    <w:rsid w:val="00017AEE"/>
    <w:rsid w:val="000225ED"/>
    <w:rsid w:val="00024522"/>
    <w:rsid w:val="00037041"/>
    <w:rsid w:val="0004347C"/>
    <w:rsid w:val="000438D2"/>
    <w:rsid w:val="0004468C"/>
    <w:rsid w:val="000546FB"/>
    <w:rsid w:val="00073BC0"/>
    <w:rsid w:val="000755B3"/>
    <w:rsid w:val="00084A43"/>
    <w:rsid w:val="00084D1B"/>
    <w:rsid w:val="00094BDC"/>
    <w:rsid w:val="00095AF2"/>
    <w:rsid w:val="00096D5A"/>
    <w:rsid w:val="000B0025"/>
    <w:rsid w:val="000B0E53"/>
    <w:rsid w:val="000B5121"/>
    <w:rsid w:val="000B664C"/>
    <w:rsid w:val="000C6F1F"/>
    <w:rsid w:val="000D58B0"/>
    <w:rsid w:val="000E2A75"/>
    <w:rsid w:val="001024BC"/>
    <w:rsid w:val="00103FB1"/>
    <w:rsid w:val="00116298"/>
    <w:rsid w:val="0011790C"/>
    <w:rsid w:val="00133F61"/>
    <w:rsid w:val="001357D7"/>
    <w:rsid w:val="00143B6C"/>
    <w:rsid w:val="00154C53"/>
    <w:rsid w:val="00167749"/>
    <w:rsid w:val="00174A5F"/>
    <w:rsid w:val="001769EC"/>
    <w:rsid w:val="0018201F"/>
    <w:rsid w:val="0018759D"/>
    <w:rsid w:val="00190B27"/>
    <w:rsid w:val="001B3FB9"/>
    <w:rsid w:val="001B540D"/>
    <w:rsid w:val="001B546D"/>
    <w:rsid w:val="001C0A71"/>
    <w:rsid w:val="001C5F2B"/>
    <w:rsid w:val="001D079E"/>
    <w:rsid w:val="001E3ACB"/>
    <w:rsid w:val="001E523F"/>
    <w:rsid w:val="001E6BA7"/>
    <w:rsid w:val="001F751B"/>
    <w:rsid w:val="0020189B"/>
    <w:rsid w:val="00204943"/>
    <w:rsid w:val="00206881"/>
    <w:rsid w:val="002170F7"/>
    <w:rsid w:val="002230EE"/>
    <w:rsid w:val="00233C05"/>
    <w:rsid w:val="00245648"/>
    <w:rsid w:val="0025402F"/>
    <w:rsid w:val="00262974"/>
    <w:rsid w:val="00280CE9"/>
    <w:rsid w:val="002812F3"/>
    <w:rsid w:val="002828A5"/>
    <w:rsid w:val="00287639"/>
    <w:rsid w:val="002908DC"/>
    <w:rsid w:val="0029584C"/>
    <w:rsid w:val="002A25B8"/>
    <w:rsid w:val="002A2E7D"/>
    <w:rsid w:val="002C0C4D"/>
    <w:rsid w:val="002C36F1"/>
    <w:rsid w:val="002C5D64"/>
    <w:rsid w:val="002C6917"/>
    <w:rsid w:val="002C6E7C"/>
    <w:rsid w:val="002D11F8"/>
    <w:rsid w:val="002D4160"/>
    <w:rsid w:val="002D56DE"/>
    <w:rsid w:val="002E24D1"/>
    <w:rsid w:val="00303BA8"/>
    <w:rsid w:val="003177B5"/>
    <w:rsid w:val="00321005"/>
    <w:rsid w:val="00321BDA"/>
    <w:rsid w:val="00335B61"/>
    <w:rsid w:val="003439AF"/>
    <w:rsid w:val="0034498B"/>
    <w:rsid w:val="00346CAC"/>
    <w:rsid w:val="00347EA2"/>
    <w:rsid w:val="003601AD"/>
    <w:rsid w:val="003652DB"/>
    <w:rsid w:val="00365DF6"/>
    <w:rsid w:val="00372B11"/>
    <w:rsid w:val="003878FC"/>
    <w:rsid w:val="00394ACC"/>
    <w:rsid w:val="00396EB3"/>
    <w:rsid w:val="003A08AA"/>
    <w:rsid w:val="003A3097"/>
    <w:rsid w:val="003B0AA2"/>
    <w:rsid w:val="003B3B02"/>
    <w:rsid w:val="003B533C"/>
    <w:rsid w:val="003B63DD"/>
    <w:rsid w:val="003C4037"/>
    <w:rsid w:val="003E0CBE"/>
    <w:rsid w:val="003E7BA5"/>
    <w:rsid w:val="00401236"/>
    <w:rsid w:val="00401BCB"/>
    <w:rsid w:val="00410DA8"/>
    <w:rsid w:val="0041526E"/>
    <w:rsid w:val="00416FBB"/>
    <w:rsid w:val="004205BD"/>
    <w:rsid w:val="004272A3"/>
    <w:rsid w:val="00437819"/>
    <w:rsid w:val="004459A3"/>
    <w:rsid w:val="00466817"/>
    <w:rsid w:val="00477410"/>
    <w:rsid w:val="0047773F"/>
    <w:rsid w:val="004779B9"/>
    <w:rsid w:val="00480438"/>
    <w:rsid w:val="00482C71"/>
    <w:rsid w:val="00485FE6"/>
    <w:rsid w:val="00486C20"/>
    <w:rsid w:val="00490A2C"/>
    <w:rsid w:val="004A7E79"/>
    <w:rsid w:val="004B2577"/>
    <w:rsid w:val="004D5735"/>
    <w:rsid w:val="004F1D19"/>
    <w:rsid w:val="004F27F9"/>
    <w:rsid w:val="004F5BE6"/>
    <w:rsid w:val="00503EEF"/>
    <w:rsid w:val="005058CB"/>
    <w:rsid w:val="00506510"/>
    <w:rsid w:val="00507D20"/>
    <w:rsid w:val="00513A58"/>
    <w:rsid w:val="005152C5"/>
    <w:rsid w:val="005173C6"/>
    <w:rsid w:val="00522065"/>
    <w:rsid w:val="00522952"/>
    <w:rsid w:val="0053194E"/>
    <w:rsid w:val="00532F17"/>
    <w:rsid w:val="005352A0"/>
    <w:rsid w:val="00537E81"/>
    <w:rsid w:val="00540D09"/>
    <w:rsid w:val="00547133"/>
    <w:rsid w:val="005516C2"/>
    <w:rsid w:val="005544F1"/>
    <w:rsid w:val="00557987"/>
    <w:rsid w:val="00560CF1"/>
    <w:rsid w:val="005701AD"/>
    <w:rsid w:val="00592F57"/>
    <w:rsid w:val="00594F9A"/>
    <w:rsid w:val="005A6677"/>
    <w:rsid w:val="005B0205"/>
    <w:rsid w:val="005B246D"/>
    <w:rsid w:val="005B3620"/>
    <w:rsid w:val="005B5C71"/>
    <w:rsid w:val="005D12DC"/>
    <w:rsid w:val="005D223F"/>
    <w:rsid w:val="005D333F"/>
    <w:rsid w:val="005D5DD4"/>
    <w:rsid w:val="005D776A"/>
    <w:rsid w:val="005E0652"/>
    <w:rsid w:val="005F5DBF"/>
    <w:rsid w:val="006062CB"/>
    <w:rsid w:val="00636B1F"/>
    <w:rsid w:val="00650FF0"/>
    <w:rsid w:val="0065583A"/>
    <w:rsid w:val="00673A8D"/>
    <w:rsid w:val="00686C29"/>
    <w:rsid w:val="0069422A"/>
    <w:rsid w:val="006A4C10"/>
    <w:rsid w:val="006A7070"/>
    <w:rsid w:val="006C07A6"/>
    <w:rsid w:val="006D13E1"/>
    <w:rsid w:val="006D565A"/>
    <w:rsid w:val="006E6C4E"/>
    <w:rsid w:val="006E79D2"/>
    <w:rsid w:val="006F2234"/>
    <w:rsid w:val="00714829"/>
    <w:rsid w:val="0072200A"/>
    <w:rsid w:val="007245E0"/>
    <w:rsid w:val="007248E0"/>
    <w:rsid w:val="00726EE9"/>
    <w:rsid w:val="00735AF8"/>
    <w:rsid w:val="00741266"/>
    <w:rsid w:val="00741B70"/>
    <w:rsid w:val="00762A50"/>
    <w:rsid w:val="00763A10"/>
    <w:rsid w:val="00772DB8"/>
    <w:rsid w:val="00787D31"/>
    <w:rsid w:val="007A1E12"/>
    <w:rsid w:val="007A3B37"/>
    <w:rsid w:val="007A3EF8"/>
    <w:rsid w:val="007A756C"/>
    <w:rsid w:val="007B0E9E"/>
    <w:rsid w:val="007C4DCC"/>
    <w:rsid w:val="007D047E"/>
    <w:rsid w:val="007E3F79"/>
    <w:rsid w:val="007E707C"/>
    <w:rsid w:val="007F20EF"/>
    <w:rsid w:val="007F5807"/>
    <w:rsid w:val="007F6BCD"/>
    <w:rsid w:val="00800F6E"/>
    <w:rsid w:val="00801B9B"/>
    <w:rsid w:val="008020D1"/>
    <w:rsid w:val="008178CF"/>
    <w:rsid w:val="008234F4"/>
    <w:rsid w:val="00833BB1"/>
    <w:rsid w:val="00835408"/>
    <w:rsid w:val="008355C4"/>
    <w:rsid w:val="0084747F"/>
    <w:rsid w:val="0085750D"/>
    <w:rsid w:val="00857A74"/>
    <w:rsid w:val="00860F22"/>
    <w:rsid w:val="00874944"/>
    <w:rsid w:val="00875ECA"/>
    <w:rsid w:val="00875F21"/>
    <w:rsid w:val="008815B4"/>
    <w:rsid w:val="0088391F"/>
    <w:rsid w:val="00891719"/>
    <w:rsid w:val="00894BCE"/>
    <w:rsid w:val="008962BD"/>
    <w:rsid w:val="00896C43"/>
    <w:rsid w:val="008A03CC"/>
    <w:rsid w:val="008A23FA"/>
    <w:rsid w:val="008A36F9"/>
    <w:rsid w:val="008A575A"/>
    <w:rsid w:val="008C719B"/>
    <w:rsid w:val="008D4072"/>
    <w:rsid w:val="008D43E9"/>
    <w:rsid w:val="008D44E5"/>
    <w:rsid w:val="008D68FB"/>
    <w:rsid w:val="008E2757"/>
    <w:rsid w:val="00901F01"/>
    <w:rsid w:val="00901F6D"/>
    <w:rsid w:val="00917266"/>
    <w:rsid w:val="00920A42"/>
    <w:rsid w:val="00933C62"/>
    <w:rsid w:val="00940779"/>
    <w:rsid w:val="00942288"/>
    <w:rsid w:val="00951363"/>
    <w:rsid w:val="00952643"/>
    <w:rsid w:val="00961845"/>
    <w:rsid w:val="00970058"/>
    <w:rsid w:val="00971105"/>
    <w:rsid w:val="009720C7"/>
    <w:rsid w:val="00984DAB"/>
    <w:rsid w:val="009917CD"/>
    <w:rsid w:val="00996D23"/>
    <w:rsid w:val="0099705D"/>
    <w:rsid w:val="009A10BF"/>
    <w:rsid w:val="009B2CF2"/>
    <w:rsid w:val="009C3DA2"/>
    <w:rsid w:val="009C5432"/>
    <w:rsid w:val="009D4FDA"/>
    <w:rsid w:val="009D54B8"/>
    <w:rsid w:val="009D578C"/>
    <w:rsid w:val="009D69E4"/>
    <w:rsid w:val="009E4564"/>
    <w:rsid w:val="009E4CEF"/>
    <w:rsid w:val="009E6800"/>
    <w:rsid w:val="009F7B5D"/>
    <w:rsid w:val="00A04328"/>
    <w:rsid w:val="00A05A58"/>
    <w:rsid w:val="00A100FD"/>
    <w:rsid w:val="00A27DB4"/>
    <w:rsid w:val="00A51171"/>
    <w:rsid w:val="00A513FD"/>
    <w:rsid w:val="00A51CBC"/>
    <w:rsid w:val="00A54A6A"/>
    <w:rsid w:val="00A60980"/>
    <w:rsid w:val="00A74617"/>
    <w:rsid w:val="00A80E89"/>
    <w:rsid w:val="00AA30E3"/>
    <w:rsid w:val="00AA41BC"/>
    <w:rsid w:val="00AA55ED"/>
    <w:rsid w:val="00AA5653"/>
    <w:rsid w:val="00AA5EEF"/>
    <w:rsid w:val="00AB702D"/>
    <w:rsid w:val="00AD0E57"/>
    <w:rsid w:val="00AE531B"/>
    <w:rsid w:val="00AE6769"/>
    <w:rsid w:val="00AE7EAC"/>
    <w:rsid w:val="00AF7F81"/>
    <w:rsid w:val="00B00378"/>
    <w:rsid w:val="00B0652E"/>
    <w:rsid w:val="00B14848"/>
    <w:rsid w:val="00B159DA"/>
    <w:rsid w:val="00B27F1C"/>
    <w:rsid w:val="00B37494"/>
    <w:rsid w:val="00B50EC8"/>
    <w:rsid w:val="00B64B88"/>
    <w:rsid w:val="00B66485"/>
    <w:rsid w:val="00B73146"/>
    <w:rsid w:val="00B86843"/>
    <w:rsid w:val="00B87AB2"/>
    <w:rsid w:val="00B91DF1"/>
    <w:rsid w:val="00B920F1"/>
    <w:rsid w:val="00BA0157"/>
    <w:rsid w:val="00BA132F"/>
    <w:rsid w:val="00BA1E13"/>
    <w:rsid w:val="00BB32C8"/>
    <w:rsid w:val="00BB5114"/>
    <w:rsid w:val="00BC58F6"/>
    <w:rsid w:val="00BD11AD"/>
    <w:rsid w:val="00BD730C"/>
    <w:rsid w:val="00BE01F4"/>
    <w:rsid w:val="00BE3533"/>
    <w:rsid w:val="00BE3B40"/>
    <w:rsid w:val="00BE523C"/>
    <w:rsid w:val="00BF0494"/>
    <w:rsid w:val="00BF12AA"/>
    <w:rsid w:val="00BF793A"/>
    <w:rsid w:val="00C02453"/>
    <w:rsid w:val="00C150E0"/>
    <w:rsid w:val="00C2170A"/>
    <w:rsid w:val="00C37B04"/>
    <w:rsid w:val="00C70574"/>
    <w:rsid w:val="00C7315B"/>
    <w:rsid w:val="00C736F8"/>
    <w:rsid w:val="00C910A1"/>
    <w:rsid w:val="00C94640"/>
    <w:rsid w:val="00C96BD5"/>
    <w:rsid w:val="00CA60C0"/>
    <w:rsid w:val="00CA7170"/>
    <w:rsid w:val="00CB4ED0"/>
    <w:rsid w:val="00CB6A56"/>
    <w:rsid w:val="00CC5A8B"/>
    <w:rsid w:val="00CC6DA0"/>
    <w:rsid w:val="00CF609A"/>
    <w:rsid w:val="00D02A1B"/>
    <w:rsid w:val="00D1586E"/>
    <w:rsid w:val="00D275E3"/>
    <w:rsid w:val="00D441FD"/>
    <w:rsid w:val="00D46B58"/>
    <w:rsid w:val="00D5057D"/>
    <w:rsid w:val="00D50623"/>
    <w:rsid w:val="00D656D7"/>
    <w:rsid w:val="00D70C0E"/>
    <w:rsid w:val="00D77A89"/>
    <w:rsid w:val="00D90ED1"/>
    <w:rsid w:val="00D92FF7"/>
    <w:rsid w:val="00D94E08"/>
    <w:rsid w:val="00DA5B2F"/>
    <w:rsid w:val="00DA6874"/>
    <w:rsid w:val="00DB48A8"/>
    <w:rsid w:val="00DB5395"/>
    <w:rsid w:val="00DB54D2"/>
    <w:rsid w:val="00DD6A37"/>
    <w:rsid w:val="00DE7154"/>
    <w:rsid w:val="00DE7702"/>
    <w:rsid w:val="00DF4B73"/>
    <w:rsid w:val="00E03A0A"/>
    <w:rsid w:val="00E04659"/>
    <w:rsid w:val="00E14A27"/>
    <w:rsid w:val="00E24D56"/>
    <w:rsid w:val="00E4229F"/>
    <w:rsid w:val="00E518AA"/>
    <w:rsid w:val="00E57BF0"/>
    <w:rsid w:val="00E64A42"/>
    <w:rsid w:val="00E72003"/>
    <w:rsid w:val="00E7222D"/>
    <w:rsid w:val="00E72CB7"/>
    <w:rsid w:val="00E73C97"/>
    <w:rsid w:val="00E74070"/>
    <w:rsid w:val="00E74AFF"/>
    <w:rsid w:val="00E755D1"/>
    <w:rsid w:val="00E91440"/>
    <w:rsid w:val="00EA16F4"/>
    <w:rsid w:val="00EA448D"/>
    <w:rsid w:val="00EA7016"/>
    <w:rsid w:val="00EC6051"/>
    <w:rsid w:val="00ED41B6"/>
    <w:rsid w:val="00EE390B"/>
    <w:rsid w:val="00EF71B8"/>
    <w:rsid w:val="00F10AA1"/>
    <w:rsid w:val="00F158ED"/>
    <w:rsid w:val="00F250C5"/>
    <w:rsid w:val="00F42FC8"/>
    <w:rsid w:val="00F60505"/>
    <w:rsid w:val="00F67A32"/>
    <w:rsid w:val="00F67EBA"/>
    <w:rsid w:val="00F71B44"/>
    <w:rsid w:val="00F80848"/>
    <w:rsid w:val="00F90F92"/>
    <w:rsid w:val="00F955AE"/>
    <w:rsid w:val="00FA09E7"/>
    <w:rsid w:val="00FA3982"/>
    <w:rsid w:val="00FA652B"/>
    <w:rsid w:val="00FB1FC3"/>
    <w:rsid w:val="00FB4F47"/>
    <w:rsid w:val="00FB6D8F"/>
    <w:rsid w:val="00FC00C1"/>
    <w:rsid w:val="00FC3C35"/>
    <w:rsid w:val="00FC754F"/>
    <w:rsid w:val="00FC7766"/>
    <w:rsid w:val="00FD1CCE"/>
    <w:rsid w:val="00FD2304"/>
    <w:rsid w:val="00FD7718"/>
    <w:rsid w:val="00FD773E"/>
    <w:rsid w:val="00FF4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180C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494"/>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FA652B"/>
    <w:pPr>
      <w:spacing w:line="480" w:lineRule="auto"/>
      <w:jc w:val="center"/>
      <w:outlineLvl w:val="0"/>
    </w:pPr>
    <w:rPr>
      <w:rFonts w:asciiTheme="majorHAnsi" w:eastAsia="Times New Roman" w:hAnsiTheme="majorHAnsi" w:cs="Times New Roman"/>
      <w:b/>
      <w:bCs/>
      <w:sz w:val="28"/>
      <w:szCs w:val="32"/>
      <w:lang w:bidi="en-US"/>
    </w:rPr>
  </w:style>
  <w:style w:type="paragraph" w:styleId="Heading2">
    <w:name w:val="heading 2"/>
    <w:next w:val="Normal"/>
    <w:link w:val="Heading2Char"/>
    <w:autoRedefine/>
    <w:uiPriority w:val="9"/>
    <w:unhideWhenUsed/>
    <w:qFormat/>
    <w:rsid w:val="00CB4ED0"/>
    <w:pPr>
      <w:keepNext/>
      <w:spacing w:line="480" w:lineRule="auto"/>
      <w:jc w:val="center"/>
      <w:outlineLvl w:val="1"/>
    </w:pPr>
    <w:rPr>
      <w:rFonts w:asciiTheme="majorHAnsi" w:eastAsia="Times New Roman" w:hAnsiTheme="majorHAnsi" w:cs="Times New Roman"/>
      <w:b/>
      <w:bCs/>
      <w:iCs/>
      <w:szCs w:val="28"/>
      <w:lang w:bidi="en-US"/>
    </w:rPr>
  </w:style>
  <w:style w:type="paragraph" w:styleId="Heading3">
    <w:name w:val="heading 3"/>
    <w:basedOn w:val="Normal"/>
    <w:next w:val="Normal"/>
    <w:link w:val="Heading3Char"/>
    <w:autoRedefine/>
    <w:uiPriority w:val="9"/>
    <w:unhideWhenUsed/>
    <w:qFormat/>
    <w:rsid w:val="009C5432"/>
    <w:pPr>
      <w:keepNext/>
      <w:spacing w:before="240" w:after="60"/>
      <w:outlineLvl w:val="2"/>
    </w:pPr>
    <w:rPr>
      <w:rFonts w:asciiTheme="majorHAnsi" w:eastAsiaTheme="majorEastAsia" w:hAnsiTheme="majorHAnsi" w:cstheme="majorBidi"/>
      <w:b/>
      <w:bCs/>
      <w:i/>
      <w:sz w:val="22"/>
      <w:szCs w:val="26"/>
    </w:rPr>
  </w:style>
  <w:style w:type="paragraph" w:styleId="Heading4">
    <w:name w:val="heading 4"/>
    <w:basedOn w:val="Normal"/>
    <w:next w:val="Normal"/>
    <w:link w:val="Heading4Char"/>
    <w:autoRedefine/>
    <w:uiPriority w:val="9"/>
    <w:unhideWhenUsed/>
    <w:qFormat/>
    <w:rsid w:val="007F6BCD"/>
    <w:pPr>
      <w:keepNext/>
      <w:spacing w:before="240" w:after="60"/>
      <w:outlineLvl w:val="3"/>
    </w:pPr>
    <w:rPr>
      <w:rFonts w:asciiTheme="majorHAnsi" w:hAnsiTheme="majorHAnsi"/>
      <w:bCs/>
      <w:sz w:val="22"/>
      <w:szCs w:val="28"/>
      <w:u w:val="single"/>
    </w:rPr>
  </w:style>
  <w:style w:type="paragraph" w:styleId="Heading5">
    <w:name w:val="heading 5"/>
    <w:basedOn w:val="Normal"/>
    <w:next w:val="Normal"/>
    <w:link w:val="Heading5Char"/>
    <w:uiPriority w:val="9"/>
    <w:unhideWhenUsed/>
    <w:qFormat/>
    <w:rsid w:val="00BF049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F049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F0494"/>
    <w:pPr>
      <w:spacing w:before="240" w:after="60"/>
      <w:outlineLvl w:val="6"/>
    </w:pPr>
  </w:style>
  <w:style w:type="paragraph" w:styleId="Heading8">
    <w:name w:val="heading 8"/>
    <w:basedOn w:val="Normal"/>
    <w:next w:val="Normal"/>
    <w:link w:val="Heading8Char"/>
    <w:uiPriority w:val="9"/>
    <w:semiHidden/>
    <w:unhideWhenUsed/>
    <w:qFormat/>
    <w:rsid w:val="00BF0494"/>
    <w:pPr>
      <w:spacing w:before="240" w:after="60"/>
      <w:outlineLvl w:val="7"/>
    </w:pPr>
    <w:rPr>
      <w:i/>
      <w:iCs/>
    </w:rPr>
  </w:style>
  <w:style w:type="paragraph" w:styleId="Heading9">
    <w:name w:val="heading 9"/>
    <w:basedOn w:val="Normal"/>
    <w:next w:val="Normal"/>
    <w:link w:val="Heading9Char"/>
    <w:uiPriority w:val="9"/>
    <w:semiHidden/>
    <w:unhideWhenUsed/>
    <w:qFormat/>
    <w:rsid w:val="00BF0494"/>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5432"/>
    <w:rPr>
      <w:rFonts w:asciiTheme="majorHAnsi" w:eastAsiaTheme="majorEastAsia" w:hAnsiTheme="majorHAnsi" w:cstheme="majorBidi"/>
      <w:b/>
      <w:bCs/>
      <w:i/>
      <w:sz w:val="22"/>
      <w:szCs w:val="26"/>
      <w:lang w:bidi="en-US"/>
    </w:rPr>
  </w:style>
  <w:style w:type="paragraph" w:styleId="NoSpacing">
    <w:name w:val="No Spacing"/>
    <w:basedOn w:val="Normal"/>
    <w:link w:val="NoSpacingChar"/>
    <w:uiPriority w:val="1"/>
    <w:qFormat/>
    <w:rsid w:val="00BF0494"/>
    <w:pPr>
      <w:spacing w:line="240" w:lineRule="auto"/>
    </w:pPr>
    <w:rPr>
      <w:szCs w:val="32"/>
    </w:rPr>
  </w:style>
  <w:style w:type="character" w:customStyle="1" w:styleId="NoSpacingChar">
    <w:name w:val="No Spacing Char"/>
    <w:basedOn w:val="DefaultParagraphFont"/>
    <w:link w:val="NoSpacing"/>
    <w:uiPriority w:val="1"/>
    <w:rsid w:val="00BF0494"/>
    <w:rPr>
      <w:rFonts w:eastAsia="Times New Roman" w:cs="Times New Roman"/>
      <w:szCs w:val="32"/>
      <w:lang w:bidi="en-US"/>
    </w:rPr>
  </w:style>
  <w:style w:type="paragraph" w:styleId="BalloonText">
    <w:name w:val="Balloon Text"/>
    <w:basedOn w:val="Normal"/>
    <w:link w:val="BalloonTextChar"/>
    <w:uiPriority w:val="99"/>
    <w:semiHidden/>
    <w:unhideWhenUsed/>
    <w:rsid w:val="00BF049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0494"/>
    <w:rPr>
      <w:rFonts w:ascii="Lucida Grande" w:eastAsia="Times New Roman" w:hAnsi="Lucida Grande" w:cs="Lucida Grande"/>
      <w:sz w:val="18"/>
      <w:szCs w:val="18"/>
      <w:lang w:bidi="en-US"/>
    </w:rPr>
  </w:style>
  <w:style w:type="character" w:customStyle="1" w:styleId="Heading1Char">
    <w:name w:val="Heading 1 Char"/>
    <w:basedOn w:val="DefaultParagraphFont"/>
    <w:link w:val="Heading1"/>
    <w:uiPriority w:val="9"/>
    <w:rsid w:val="00FA652B"/>
    <w:rPr>
      <w:rFonts w:asciiTheme="majorHAnsi" w:eastAsia="Times New Roman" w:hAnsiTheme="majorHAnsi" w:cs="Times New Roman"/>
      <w:b/>
      <w:bCs/>
      <w:sz w:val="28"/>
      <w:szCs w:val="32"/>
      <w:lang w:bidi="en-US"/>
    </w:rPr>
  </w:style>
  <w:style w:type="character" w:customStyle="1" w:styleId="Heading2Char">
    <w:name w:val="Heading 2 Char"/>
    <w:basedOn w:val="DefaultParagraphFont"/>
    <w:link w:val="Heading2"/>
    <w:uiPriority w:val="9"/>
    <w:rsid w:val="00CB4ED0"/>
    <w:rPr>
      <w:rFonts w:asciiTheme="majorHAnsi" w:eastAsia="Times New Roman" w:hAnsiTheme="majorHAnsi" w:cs="Times New Roman"/>
      <w:b/>
      <w:bCs/>
      <w:iCs/>
      <w:szCs w:val="28"/>
      <w:lang w:bidi="en-US"/>
    </w:rPr>
  </w:style>
  <w:style w:type="character" w:customStyle="1" w:styleId="Heading4Char">
    <w:name w:val="Heading 4 Char"/>
    <w:basedOn w:val="DefaultParagraphFont"/>
    <w:link w:val="Heading4"/>
    <w:uiPriority w:val="9"/>
    <w:rsid w:val="007F6BCD"/>
    <w:rPr>
      <w:rFonts w:asciiTheme="majorHAnsi" w:eastAsia="Times New Roman" w:hAnsiTheme="majorHAnsi" w:cs="Times New Roman"/>
      <w:bCs/>
      <w:sz w:val="22"/>
      <w:szCs w:val="28"/>
      <w:u w:val="single"/>
      <w:lang w:bidi="en-US"/>
    </w:rPr>
  </w:style>
  <w:style w:type="character" w:customStyle="1" w:styleId="Heading5Char">
    <w:name w:val="Heading 5 Char"/>
    <w:basedOn w:val="DefaultParagraphFont"/>
    <w:link w:val="Heading5"/>
    <w:uiPriority w:val="9"/>
    <w:rsid w:val="00BF0494"/>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BF0494"/>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BF0494"/>
    <w:rPr>
      <w:rFonts w:eastAsia="Times New Roman" w:cs="Times New Roman"/>
      <w:lang w:bidi="en-US"/>
    </w:rPr>
  </w:style>
  <w:style w:type="character" w:customStyle="1" w:styleId="Heading8Char">
    <w:name w:val="Heading 8 Char"/>
    <w:basedOn w:val="DefaultParagraphFont"/>
    <w:link w:val="Heading8"/>
    <w:uiPriority w:val="9"/>
    <w:semiHidden/>
    <w:rsid w:val="00BF0494"/>
    <w:rPr>
      <w:rFonts w:eastAsia="Times New Roman" w:cs="Times New Roman"/>
      <w:i/>
      <w:iCs/>
      <w:lang w:bidi="en-US"/>
    </w:rPr>
  </w:style>
  <w:style w:type="character" w:customStyle="1" w:styleId="Heading9Char">
    <w:name w:val="Heading 9 Char"/>
    <w:basedOn w:val="DefaultParagraphFont"/>
    <w:link w:val="Heading9"/>
    <w:uiPriority w:val="9"/>
    <w:semiHidden/>
    <w:rsid w:val="00BF0494"/>
    <w:rPr>
      <w:rFonts w:ascii="Times New Roman" w:eastAsia="Times New Roman" w:hAnsi="Times New Roman" w:cs="Times New Roman"/>
      <w:sz w:val="22"/>
      <w:szCs w:val="22"/>
      <w:lang w:bidi="en-US"/>
    </w:rPr>
  </w:style>
  <w:style w:type="paragraph" w:styleId="Caption">
    <w:name w:val="caption"/>
    <w:basedOn w:val="Normal"/>
    <w:next w:val="Normal"/>
    <w:autoRedefine/>
    <w:uiPriority w:val="35"/>
    <w:unhideWhenUsed/>
    <w:qFormat/>
    <w:rsid w:val="00133F61"/>
    <w:pPr>
      <w:spacing w:line="240" w:lineRule="auto"/>
      <w:jc w:val="center"/>
    </w:pPr>
    <w:rPr>
      <w:rFonts w:ascii="Times New Roman" w:hAnsi="Times New Roman"/>
      <w:b/>
      <w:bCs/>
      <w:sz w:val="22"/>
      <w:szCs w:val="18"/>
    </w:rPr>
  </w:style>
  <w:style w:type="paragraph" w:styleId="Title">
    <w:name w:val="Title"/>
    <w:basedOn w:val="Heading1"/>
    <w:next w:val="Normal"/>
    <w:link w:val="TitleChar"/>
    <w:autoRedefine/>
    <w:uiPriority w:val="10"/>
    <w:qFormat/>
    <w:rsid w:val="00BF0494"/>
    <w:pPr>
      <w:keepNext/>
    </w:pPr>
    <w:rPr>
      <w:bCs w:val="0"/>
    </w:rPr>
  </w:style>
  <w:style w:type="character" w:customStyle="1" w:styleId="TitleChar">
    <w:name w:val="Title Char"/>
    <w:basedOn w:val="DefaultParagraphFont"/>
    <w:link w:val="Title"/>
    <w:uiPriority w:val="10"/>
    <w:rsid w:val="00BF0494"/>
    <w:rPr>
      <w:rFonts w:asciiTheme="majorHAnsi" w:eastAsia="Times New Roman" w:hAnsiTheme="majorHAnsi" w:cs="Times New Roman"/>
      <w:b/>
      <w:sz w:val="28"/>
      <w:szCs w:val="32"/>
      <w:lang w:bidi="en-US"/>
    </w:rPr>
  </w:style>
  <w:style w:type="paragraph" w:styleId="Subtitle">
    <w:name w:val="Subtitle"/>
    <w:basedOn w:val="Normal"/>
    <w:next w:val="Normal"/>
    <w:link w:val="SubtitleChar"/>
    <w:uiPriority w:val="11"/>
    <w:unhideWhenUsed/>
    <w:qFormat/>
    <w:rsid w:val="00BF0494"/>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BF0494"/>
    <w:rPr>
      <w:rFonts w:ascii="Times New Roman" w:eastAsia="Times New Roman" w:hAnsi="Times New Roman" w:cs="Times New Roman"/>
      <w:lang w:bidi="en-US"/>
    </w:rPr>
  </w:style>
  <w:style w:type="character" w:styleId="Strong">
    <w:name w:val="Strong"/>
    <w:basedOn w:val="DefaultParagraphFont"/>
    <w:uiPriority w:val="22"/>
    <w:unhideWhenUsed/>
    <w:qFormat/>
    <w:rsid w:val="00BF0494"/>
    <w:rPr>
      <w:b/>
      <w:bCs/>
    </w:rPr>
  </w:style>
  <w:style w:type="character" w:styleId="Emphasis">
    <w:name w:val="Emphasis"/>
    <w:basedOn w:val="DefaultParagraphFont"/>
    <w:uiPriority w:val="20"/>
    <w:unhideWhenUsed/>
    <w:qFormat/>
    <w:rsid w:val="00BF0494"/>
    <w:rPr>
      <w:rFonts w:ascii="Times New Roman" w:hAnsi="Times New Roman"/>
      <w:b/>
      <w:i/>
      <w:iCs/>
    </w:rPr>
  </w:style>
  <w:style w:type="paragraph" w:styleId="TableofFigures">
    <w:name w:val="table of figures"/>
    <w:basedOn w:val="Normal"/>
    <w:next w:val="Normal"/>
    <w:uiPriority w:val="99"/>
    <w:unhideWhenUsed/>
    <w:rsid w:val="00BF0494"/>
  </w:style>
  <w:style w:type="paragraph" w:styleId="Quote">
    <w:name w:val="Quote"/>
    <w:basedOn w:val="Normal"/>
    <w:next w:val="Normal"/>
    <w:link w:val="QuoteChar"/>
    <w:uiPriority w:val="29"/>
    <w:unhideWhenUsed/>
    <w:qFormat/>
    <w:rsid w:val="00BF0494"/>
    <w:rPr>
      <w:i/>
    </w:rPr>
  </w:style>
  <w:style w:type="character" w:customStyle="1" w:styleId="QuoteChar">
    <w:name w:val="Quote Char"/>
    <w:basedOn w:val="DefaultParagraphFont"/>
    <w:link w:val="Quote"/>
    <w:uiPriority w:val="29"/>
    <w:rsid w:val="00BF0494"/>
    <w:rPr>
      <w:rFonts w:eastAsia="Times New Roman" w:cs="Times New Roman"/>
      <w:i/>
      <w:lang w:bidi="en-US"/>
    </w:rPr>
  </w:style>
  <w:style w:type="paragraph" w:styleId="IntenseQuote">
    <w:name w:val="Intense Quote"/>
    <w:basedOn w:val="Normal"/>
    <w:next w:val="Normal"/>
    <w:link w:val="IntenseQuoteChar"/>
    <w:uiPriority w:val="30"/>
    <w:unhideWhenUsed/>
    <w:qFormat/>
    <w:rsid w:val="00BF0494"/>
    <w:pPr>
      <w:ind w:left="720" w:right="720"/>
    </w:pPr>
    <w:rPr>
      <w:b/>
      <w:i/>
      <w:szCs w:val="22"/>
    </w:rPr>
  </w:style>
  <w:style w:type="character" w:customStyle="1" w:styleId="IntenseQuoteChar">
    <w:name w:val="Intense Quote Char"/>
    <w:basedOn w:val="DefaultParagraphFont"/>
    <w:link w:val="IntenseQuote"/>
    <w:uiPriority w:val="30"/>
    <w:rsid w:val="00BF0494"/>
    <w:rPr>
      <w:rFonts w:eastAsia="Times New Roman" w:cs="Times New Roman"/>
      <w:b/>
      <w:i/>
      <w:szCs w:val="22"/>
      <w:lang w:bidi="en-US"/>
    </w:rPr>
  </w:style>
  <w:style w:type="character" w:styleId="SubtleEmphasis">
    <w:name w:val="Subtle Emphasis"/>
    <w:uiPriority w:val="19"/>
    <w:unhideWhenUsed/>
    <w:qFormat/>
    <w:rsid w:val="00BF0494"/>
    <w:rPr>
      <w:i/>
      <w:color w:val="5A5A5A"/>
    </w:rPr>
  </w:style>
  <w:style w:type="character" w:styleId="IntenseEmphasis">
    <w:name w:val="Intense Emphasis"/>
    <w:basedOn w:val="DefaultParagraphFont"/>
    <w:uiPriority w:val="21"/>
    <w:unhideWhenUsed/>
    <w:qFormat/>
    <w:rsid w:val="00BF0494"/>
    <w:rPr>
      <w:b/>
      <w:i/>
      <w:sz w:val="24"/>
      <w:szCs w:val="24"/>
      <w:u w:val="single"/>
    </w:rPr>
  </w:style>
  <w:style w:type="character" w:styleId="SubtleReference">
    <w:name w:val="Subtle Reference"/>
    <w:basedOn w:val="DefaultParagraphFont"/>
    <w:uiPriority w:val="31"/>
    <w:unhideWhenUsed/>
    <w:qFormat/>
    <w:rsid w:val="00BF0494"/>
    <w:rPr>
      <w:sz w:val="24"/>
      <w:szCs w:val="24"/>
      <w:u w:val="single"/>
    </w:rPr>
  </w:style>
  <w:style w:type="character" w:styleId="IntenseReference">
    <w:name w:val="Intense Reference"/>
    <w:basedOn w:val="DefaultParagraphFont"/>
    <w:uiPriority w:val="32"/>
    <w:unhideWhenUsed/>
    <w:qFormat/>
    <w:rsid w:val="00BF0494"/>
    <w:rPr>
      <w:b/>
      <w:sz w:val="24"/>
      <w:u w:val="single"/>
    </w:rPr>
  </w:style>
  <w:style w:type="character" w:styleId="BookTitle">
    <w:name w:val="Book Title"/>
    <w:basedOn w:val="DefaultParagraphFont"/>
    <w:uiPriority w:val="33"/>
    <w:unhideWhenUsed/>
    <w:qFormat/>
    <w:rsid w:val="00BF0494"/>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BF0494"/>
    <w:pPr>
      <w:outlineLvl w:val="9"/>
    </w:pPr>
  </w:style>
  <w:style w:type="paragraph" w:styleId="Header">
    <w:name w:val="header"/>
    <w:basedOn w:val="Normal"/>
    <w:link w:val="HeaderChar"/>
    <w:uiPriority w:val="99"/>
    <w:unhideWhenUsed/>
    <w:rsid w:val="00BF0494"/>
    <w:pPr>
      <w:tabs>
        <w:tab w:val="center" w:pos="4680"/>
        <w:tab w:val="right" w:pos="9360"/>
      </w:tabs>
    </w:pPr>
  </w:style>
  <w:style w:type="character" w:customStyle="1" w:styleId="HeaderChar">
    <w:name w:val="Header Char"/>
    <w:basedOn w:val="DefaultParagraphFont"/>
    <w:link w:val="Header"/>
    <w:uiPriority w:val="99"/>
    <w:rsid w:val="00BF0494"/>
    <w:rPr>
      <w:rFonts w:eastAsia="Times New Roman" w:cs="Times New Roman"/>
      <w:lang w:bidi="en-US"/>
    </w:rPr>
  </w:style>
  <w:style w:type="paragraph" w:styleId="Footer">
    <w:name w:val="footer"/>
    <w:basedOn w:val="Normal"/>
    <w:link w:val="FooterChar"/>
    <w:uiPriority w:val="99"/>
    <w:unhideWhenUsed/>
    <w:rsid w:val="00BF0494"/>
    <w:pPr>
      <w:tabs>
        <w:tab w:val="center" w:pos="4680"/>
        <w:tab w:val="right" w:pos="9360"/>
      </w:tabs>
    </w:pPr>
  </w:style>
  <w:style w:type="character" w:customStyle="1" w:styleId="FooterChar">
    <w:name w:val="Footer Char"/>
    <w:basedOn w:val="DefaultParagraphFont"/>
    <w:link w:val="Footer"/>
    <w:uiPriority w:val="99"/>
    <w:rsid w:val="00BF0494"/>
    <w:rPr>
      <w:rFonts w:eastAsia="Times New Roman" w:cs="Times New Roman"/>
      <w:lang w:bidi="en-US"/>
    </w:rPr>
  </w:style>
  <w:style w:type="character" w:styleId="Hyperlink">
    <w:name w:val="Hyperlink"/>
    <w:basedOn w:val="DefaultParagraphFont"/>
    <w:uiPriority w:val="99"/>
    <w:unhideWhenUsed/>
    <w:rsid w:val="00BF0494"/>
    <w:rPr>
      <w:color w:val="0000FF"/>
      <w:u w:val="single"/>
    </w:rPr>
  </w:style>
  <w:style w:type="paragraph" w:styleId="TOC1">
    <w:name w:val="toc 1"/>
    <w:basedOn w:val="Normal"/>
    <w:next w:val="Normal"/>
    <w:autoRedefine/>
    <w:uiPriority w:val="39"/>
    <w:unhideWhenUsed/>
    <w:rsid w:val="001B540D"/>
    <w:pPr>
      <w:spacing w:before="120"/>
    </w:pPr>
    <w:rPr>
      <w:b/>
    </w:rPr>
  </w:style>
  <w:style w:type="paragraph" w:styleId="TOC2">
    <w:name w:val="toc 2"/>
    <w:basedOn w:val="Normal"/>
    <w:next w:val="Normal"/>
    <w:autoRedefine/>
    <w:uiPriority w:val="39"/>
    <w:unhideWhenUsed/>
    <w:rsid w:val="00BF0494"/>
    <w:pPr>
      <w:ind w:left="240"/>
    </w:pPr>
    <w:rPr>
      <w:b/>
      <w:sz w:val="22"/>
      <w:szCs w:val="22"/>
    </w:rPr>
  </w:style>
  <w:style w:type="table" w:styleId="TableGrid">
    <w:name w:val="Table Grid"/>
    <w:basedOn w:val="TableNormal"/>
    <w:uiPriority w:val="59"/>
    <w:rsid w:val="00BF049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BF0494"/>
    <w:pPr>
      <w:ind w:left="480"/>
    </w:pPr>
    <w:rPr>
      <w:sz w:val="22"/>
      <w:szCs w:val="22"/>
    </w:rPr>
  </w:style>
  <w:style w:type="paragraph" w:customStyle="1" w:styleId="BlockQuotation">
    <w:name w:val="Block Quotation"/>
    <w:next w:val="Normal"/>
    <w:link w:val="BlockQuotationChar"/>
    <w:qFormat/>
    <w:rsid w:val="00BF0494"/>
    <w:pPr>
      <w:spacing w:after="240"/>
      <w:ind w:left="720"/>
    </w:pPr>
    <w:rPr>
      <w:rFonts w:eastAsia="Times New Roman" w:cs="Times New Roman"/>
      <w:szCs w:val="32"/>
      <w:lang w:bidi="en-US"/>
    </w:rPr>
  </w:style>
  <w:style w:type="character" w:styleId="PlaceholderText">
    <w:name w:val="Placeholder Text"/>
    <w:basedOn w:val="DefaultParagraphFont"/>
    <w:uiPriority w:val="99"/>
    <w:semiHidden/>
    <w:rsid w:val="00BF0494"/>
    <w:rPr>
      <w:color w:val="808080"/>
    </w:rPr>
  </w:style>
  <w:style w:type="character" w:customStyle="1" w:styleId="BlockQuotationChar">
    <w:name w:val="Block Quotation Char"/>
    <w:basedOn w:val="NoSpacingChar"/>
    <w:link w:val="BlockQuotation"/>
    <w:rsid w:val="00BF0494"/>
    <w:rPr>
      <w:rFonts w:eastAsia="Times New Roman" w:cs="Times New Roman"/>
      <w:szCs w:val="32"/>
      <w:lang w:bidi="en-US"/>
    </w:rPr>
  </w:style>
  <w:style w:type="paragraph" w:styleId="Bibliography">
    <w:name w:val="Bibliography"/>
    <w:basedOn w:val="Normal"/>
    <w:next w:val="Normal"/>
    <w:uiPriority w:val="37"/>
    <w:rsid w:val="00BF0494"/>
  </w:style>
  <w:style w:type="paragraph" w:customStyle="1" w:styleId="Chapter">
    <w:name w:val="Chapter"/>
    <w:next w:val="Normal"/>
    <w:autoRedefine/>
    <w:qFormat/>
    <w:rsid w:val="00BF0494"/>
    <w:pPr>
      <w:keepNext/>
      <w:pBdr>
        <w:bottom w:val="single" w:sz="4" w:space="1" w:color="auto"/>
      </w:pBdr>
      <w:spacing w:after="240"/>
    </w:pPr>
    <w:rPr>
      <w:rFonts w:asciiTheme="majorHAnsi" w:eastAsia="Times New Roman" w:hAnsiTheme="majorHAnsi" w:cs="Times New Roman"/>
      <w:b/>
      <w:bCs/>
      <w:sz w:val="28"/>
      <w:szCs w:val="32"/>
      <w:lang w:bidi="en-US"/>
    </w:rPr>
  </w:style>
  <w:style w:type="paragraph" w:styleId="ListParagraph">
    <w:name w:val="List Paragraph"/>
    <w:basedOn w:val="Normal"/>
    <w:uiPriority w:val="34"/>
    <w:unhideWhenUsed/>
    <w:qFormat/>
    <w:rsid w:val="00BF0494"/>
    <w:pPr>
      <w:ind w:left="720"/>
      <w:contextualSpacing/>
    </w:pPr>
  </w:style>
  <w:style w:type="paragraph" w:styleId="DocumentMap">
    <w:name w:val="Document Map"/>
    <w:basedOn w:val="Normal"/>
    <w:link w:val="DocumentMapChar"/>
    <w:uiPriority w:val="99"/>
    <w:semiHidden/>
    <w:unhideWhenUsed/>
    <w:rsid w:val="00BF0494"/>
    <w:pPr>
      <w:spacing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BF0494"/>
    <w:rPr>
      <w:rFonts w:ascii="Lucida Grande" w:eastAsia="Times New Roman" w:hAnsi="Lucida Grande" w:cs="Times New Roman"/>
      <w:lang w:bidi="en-US"/>
    </w:rPr>
  </w:style>
  <w:style w:type="paragraph" w:styleId="BodyTextIndent">
    <w:name w:val="Body Text Indent"/>
    <w:basedOn w:val="Normal"/>
    <w:link w:val="BodyTextIndentChar"/>
    <w:rsid w:val="00BF0494"/>
    <w:pPr>
      <w:ind w:firstLine="720"/>
    </w:pPr>
    <w:rPr>
      <w:rFonts w:ascii="Times New Roman" w:hAnsi="Times New Roman"/>
      <w:szCs w:val="20"/>
      <w:lang w:bidi="ar-SA"/>
    </w:rPr>
  </w:style>
  <w:style w:type="character" w:customStyle="1" w:styleId="BodyTextIndentChar">
    <w:name w:val="Body Text Indent Char"/>
    <w:basedOn w:val="DefaultParagraphFont"/>
    <w:link w:val="BodyTextIndent"/>
    <w:rsid w:val="00BF0494"/>
    <w:rPr>
      <w:rFonts w:ascii="Times New Roman" w:eastAsia="Times New Roman" w:hAnsi="Times New Roman" w:cs="Times New Roman"/>
      <w:szCs w:val="20"/>
    </w:rPr>
  </w:style>
  <w:style w:type="paragraph" w:customStyle="1" w:styleId="h">
    <w:name w:val="h"/>
    <w:basedOn w:val="Normal"/>
    <w:rsid w:val="00BF0494"/>
    <w:pPr>
      <w:spacing w:line="240" w:lineRule="auto"/>
      <w:jc w:val="center"/>
      <w:outlineLvl w:val="0"/>
    </w:pPr>
    <w:rPr>
      <w:rFonts w:asciiTheme="majorHAnsi" w:eastAsiaTheme="minorEastAsia" w:hAnsiTheme="majorHAnsi" w:cstheme="minorBidi"/>
      <w:b/>
      <w:sz w:val="28"/>
      <w:szCs w:val="28"/>
      <w:lang w:bidi="ar-SA"/>
    </w:rPr>
  </w:style>
  <w:style w:type="character" w:styleId="PageNumber">
    <w:name w:val="page number"/>
    <w:basedOn w:val="DefaultParagraphFont"/>
    <w:uiPriority w:val="99"/>
    <w:semiHidden/>
    <w:unhideWhenUsed/>
    <w:rsid w:val="00BF0494"/>
  </w:style>
  <w:style w:type="paragraph" w:customStyle="1" w:styleId="n">
    <w:name w:val="n"/>
    <w:basedOn w:val="Normal"/>
    <w:rsid w:val="00BF0494"/>
    <w:pPr>
      <w:spacing w:line="240" w:lineRule="auto"/>
      <w:jc w:val="center"/>
      <w:outlineLvl w:val="0"/>
    </w:pPr>
    <w:rPr>
      <w:rFonts w:ascii="Times New Roman" w:hAnsi="Times New Roman"/>
      <w:lang w:bidi="ar-SA"/>
    </w:rPr>
  </w:style>
  <w:style w:type="paragraph" w:customStyle="1" w:styleId="f">
    <w:name w:val="f"/>
    <w:basedOn w:val="Caption"/>
    <w:rsid w:val="00BF0494"/>
  </w:style>
  <w:style w:type="paragraph" w:customStyle="1" w:styleId="FigureTable">
    <w:name w:val="Figure/Table"/>
    <w:basedOn w:val="Normal"/>
    <w:rsid w:val="001C0A71"/>
    <w:pPr>
      <w:spacing w:line="240" w:lineRule="auto"/>
      <w:ind w:firstLine="720"/>
      <w:jc w:val="center"/>
    </w:pPr>
    <w:rPr>
      <w:rFonts w:ascii="Arial" w:hAnsi="Arial"/>
      <w:sz w:val="22"/>
      <w:szCs w:val="20"/>
      <w:lang w:bidi="ar-SA"/>
    </w:rPr>
  </w:style>
  <w:style w:type="paragraph" w:customStyle="1" w:styleId="b">
    <w:name w:val="b"/>
    <w:basedOn w:val="Normal"/>
    <w:rsid w:val="002A25B8"/>
    <w:pPr>
      <w:spacing w:line="240" w:lineRule="auto"/>
      <w:ind w:left="1440" w:hanging="720"/>
    </w:pPr>
    <w:rPr>
      <w:rFonts w:ascii="Times New Roman" w:eastAsiaTheme="minorEastAsia" w:hAnsi="Times New Roman"/>
      <w:lang w:bidi="ar-SA"/>
    </w:rPr>
  </w:style>
  <w:style w:type="paragraph" w:styleId="TOC4">
    <w:name w:val="toc 4"/>
    <w:basedOn w:val="Normal"/>
    <w:next w:val="Normal"/>
    <w:autoRedefine/>
    <w:uiPriority w:val="39"/>
    <w:semiHidden/>
    <w:unhideWhenUsed/>
    <w:rsid w:val="00592F57"/>
    <w:pPr>
      <w:ind w:left="720"/>
    </w:pPr>
    <w:rPr>
      <w:sz w:val="20"/>
      <w:szCs w:val="20"/>
    </w:rPr>
  </w:style>
  <w:style w:type="paragraph" w:styleId="TOC5">
    <w:name w:val="toc 5"/>
    <w:basedOn w:val="Normal"/>
    <w:next w:val="Normal"/>
    <w:autoRedefine/>
    <w:uiPriority w:val="39"/>
    <w:semiHidden/>
    <w:unhideWhenUsed/>
    <w:rsid w:val="00592F57"/>
    <w:pPr>
      <w:ind w:left="960"/>
    </w:pPr>
    <w:rPr>
      <w:sz w:val="20"/>
      <w:szCs w:val="20"/>
    </w:rPr>
  </w:style>
  <w:style w:type="paragraph" w:styleId="TOC6">
    <w:name w:val="toc 6"/>
    <w:basedOn w:val="Normal"/>
    <w:next w:val="Normal"/>
    <w:autoRedefine/>
    <w:uiPriority w:val="39"/>
    <w:semiHidden/>
    <w:unhideWhenUsed/>
    <w:rsid w:val="00592F57"/>
    <w:pPr>
      <w:ind w:left="1200"/>
    </w:pPr>
    <w:rPr>
      <w:sz w:val="20"/>
      <w:szCs w:val="20"/>
    </w:rPr>
  </w:style>
  <w:style w:type="paragraph" w:styleId="TOC7">
    <w:name w:val="toc 7"/>
    <w:basedOn w:val="Normal"/>
    <w:next w:val="Normal"/>
    <w:autoRedefine/>
    <w:uiPriority w:val="39"/>
    <w:semiHidden/>
    <w:unhideWhenUsed/>
    <w:rsid w:val="00592F57"/>
    <w:pPr>
      <w:ind w:left="1440"/>
    </w:pPr>
    <w:rPr>
      <w:sz w:val="20"/>
      <w:szCs w:val="20"/>
    </w:rPr>
  </w:style>
  <w:style w:type="paragraph" w:styleId="TOC8">
    <w:name w:val="toc 8"/>
    <w:basedOn w:val="Normal"/>
    <w:next w:val="Normal"/>
    <w:autoRedefine/>
    <w:uiPriority w:val="39"/>
    <w:semiHidden/>
    <w:unhideWhenUsed/>
    <w:rsid w:val="00592F57"/>
    <w:pPr>
      <w:ind w:left="1680"/>
    </w:pPr>
    <w:rPr>
      <w:sz w:val="20"/>
      <w:szCs w:val="20"/>
    </w:rPr>
  </w:style>
  <w:style w:type="paragraph" w:styleId="TOC9">
    <w:name w:val="toc 9"/>
    <w:basedOn w:val="Normal"/>
    <w:next w:val="Normal"/>
    <w:autoRedefine/>
    <w:uiPriority w:val="39"/>
    <w:semiHidden/>
    <w:unhideWhenUsed/>
    <w:rsid w:val="00592F57"/>
    <w:pPr>
      <w:ind w:left="1920"/>
    </w:pPr>
    <w:rPr>
      <w:sz w:val="20"/>
      <w:szCs w:val="20"/>
    </w:rPr>
  </w:style>
  <w:style w:type="paragraph" w:styleId="Revision">
    <w:name w:val="Revision"/>
    <w:hidden/>
    <w:uiPriority w:val="99"/>
    <w:semiHidden/>
    <w:rsid w:val="00B14848"/>
    <w:rPr>
      <w:rFonts w:eastAsia="Times New Roman" w:cs="Times New Roman"/>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494"/>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FA652B"/>
    <w:pPr>
      <w:spacing w:line="480" w:lineRule="auto"/>
      <w:jc w:val="center"/>
      <w:outlineLvl w:val="0"/>
    </w:pPr>
    <w:rPr>
      <w:rFonts w:asciiTheme="majorHAnsi" w:eastAsia="Times New Roman" w:hAnsiTheme="majorHAnsi" w:cs="Times New Roman"/>
      <w:b/>
      <w:bCs/>
      <w:sz w:val="28"/>
      <w:szCs w:val="32"/>
      <w:lang w:bidi="en-US"/>
    </w:rPr>
  </w:style>
  <w:style w:type="paragraph" w:styleId="Heading2">
    <w:name w:val="heading 2"/>
    <w:next w:val="Normal"/>
    <w:link w:val="Heading2Char"/>
    <w:autoRedefine/>
    <w:uiPriority w:val="9"/>
    <w:unhideWhenUsed/>
    <w:qFormat/>
    <w:rsid w:val="00CB4ED0"/>
    <w:pPr>
      <w:keepNext/>
      <w:spacing w:line="480" w:lineRule="auto"/>
      <w:jc w:val="center"/>
      <w:outlineLvl w:val="1"/>
    </w:pPr>
    <w:rPr>
      <w:rFonts w:asciiTheme="majorHAnsi" w:eastAsia="Times New Roman" w:hAnsiTheme="majorHAnsi" w:cs="Times New Roman"/>
      <w:b/>
      <w:bCs/>
      <w:iCs/>
      <w:szCs w:val="28"/>
      <w:lang w:bidi="en-US"/>
    </w:rPr>
  </w:style>
  <w:style w:type="paragraph" w:styleId="Heading3">
    <w:name w:val="heading 3"/>
    <w:basedOn w:val="Normal"/>
    <w:next w:val="Normal"/>
    <w:link w:val="Heading3Char"/>
    <w:autoRedefine/>
    <w:uiPriority w:val="9"/>
    <w:unhideWhenUsed/>
    <w:qFormat/>
    <w:rsid w:val="009C5432"/>
    <w:pPr>
      <w:keepNext/>
      <w:spacing w:before="240" w:after="60"/>
      <w:outlineLvl w:val="2"/>
    </w:pPr>
    <w:rPr>
      <w:rFonts w:asciiTheme="majorHAnsi" w:eastAsiaTheme="majorEastAsia" w:hAnsiTheme="majorHAnsi" w:cstheme="majorBidi"/>
      <w:b/>
      <w:bCs/>
      <w:i/>
      <w:sz w:val="22"/>
      <w:szCs w:val="26"/>
    </w:rPr>
  </w:style>
  <w:style w:type="paragraph" w:styleId="Heading4">
    <w:name w:val="heading 4"/>
    <w:basedOn w:val="Normal"/>
    <w:next w:val="Normal"/>
    <w:link w:val="Heading4Char"/>
    <w:autoRedefine/>
    <w:uiPriority w:val="9"/>
    <w:unhideWhenUsed/>
    <w:qFormat/>
    <w:rsid w:val="007F6BCD"/>
    <w:pPr>
      <w:keepNext/>
      <w:spacing w:before="240" w:after="60"/>
      <w:outlineLvl w:val="3"/>
    </w:pPr>
    <w:rPr>
      <w:rFonts w:asciiTheme="majorHAnsi" w:hAnsiTheme="majorHAnsi"/>
      <w:bCs/>
      <w:sz w:val="22"/>
      <w:szCs w:val="28"/>
      <w:u w:val="single"/>
    </w:rPr>
  </w:style>
  <w:style w:type="paragraph" w:styleId="Heading5">
    <w:name w:val="heading 5"/>
    <w:basedOn w:val="Normal"/>
    <w:next w:val="Normal"/>
    <w:link w:val="Heading5Char"/>
    <w:uiPriority w:val="9"/>
    <w:unhideWhenUsed/>
    <w:qFormat/>
    <w:rsid w:val="00BF049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F049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F0494"/>
    <w:pPr>
      <w:spacing w:before="240" w:after="60"/>
      <w:outlineLvl w:val="6"/>
    </w:pPr>
  </w:style>
  <w:style w:type="paragraph" w:styleId="Heading8">
    <w:name w:val="heading 8"/>
    <w:basedOn w:val="Normal"/>
    <w:next w:val="Normal"/>
    <w:link w:val="Heading8Char"/>
    <w:uiPriority w:val="9"/>
    <w:semiHidden/>
    <w:unhideWhenUsed/>
    <w:qFormat/>
    <w:rsid w:val="00BF0494"/>
    <w:pPr>
      <w:spacing w:before="240" w:after="60"/>
      <w:outlineLvl w:val="7"/>
    </w:pPr>
    <w:rPr>
      <w:i/>
      <w:iCs/>
    </w:rPr>
  </w:style>
  <w:style w:type="paragraph" w:styleId="Heading9">
    <w:name w:val="heading 9"/>
    <w:basedOn w:val="Normal"/>
    <w:next w:val="Normal"/>
    <w:link w:val="Heading9Char"/>
    <w:uiPriority w:val="9"/>
    <w:semiHidden/>
    <w:unhideWhenUsed/>
    <w:qFormat/>
    <w:rsid w:val="00BF0494"/>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5432"/>
    <w:rPr>
      <w:rFonts w:asciiTheme="majorHAnsi" w:eastAsiaTheme="majorEastAsia" w:hAnsiTheme="majorHAnsi" w:cstheme="majorBidi"/>
      <w:b/>
      <w:bCs/>
      <w:i/>
      <w:sz w:val="22"/>
      <w:szCs w:val="26"/>
      <w:lang w:bidi="en-US"/>
    </w:rPr>
  </w:style>
  <w:style w:type="paragraph" w:styleId="NoSpacing">
    <w:name w:val="No Spacing"/>
    <w:basedOn w:val="Normal"/>
    <w:link w:val="NoSpacingChar"/>
    <w:uiPriority w:val="1"/>
    <w:qFormat/>
    <w:rsid w:val="00BF0494"/>
    <w:pPr>
      <w:spacing w:line="240" w:lineRule="auto"/>
    </w:pPr>
    <w:rPr>
      <w:szCs w:val="32"/>
    </w:rPr>
  </w:style>
  <w:style w:type="character" w:customStyle="1" w:styleId="NoSpacingChar">
    <w:name w:val="No Spacing Char"/>
    <w:basedOn w:val="DefaultParagraphFont"/>
    <w:link w:val="NoSpacing"/>
    <w:uiPriority w:val="1"/>
    <w:rsid w:val="00BF0494"/>
    <w:rPr>
      <w:rFonts w:eastAsia="Times New Roman" w:cs="Times New Roman"/>
      <w:szCs w:val="32"/>
      <w:lang w:bidi="en-US"/>
    </w:rPr>
  </w:style>
  <w:style w:type="paragraph" w:styleId="BalloonText">
    <w:name w:val="Balloon Text"/>
    <w:basedOn w:val="Normal"/>
    <w:link w:val="BalloonTextChar"/>
    <w:uiPriority w:val="99"/>
    <w:semiHidden/>
    <w:unhideWhenUsed/>
    <w:rsid w:val="00BF049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0494"/>
    <w:rPr>
      <w:rFonts w:ascii="Lucida Grande" w:eastAsia="Times New Roman" w:hAnsi="Lucida Grande" w:cs="Lucida Grande"/>
      <w:sz w:val="18"/>
      <w:szCs w:val="18"/>
      <w:lang w:bidi="en-US"/>
    </w:rPr>
  </w:style>
  <w:style w:type="character" w:customStyle="1" w:styleId="Heading1Char">
    <w:name w:val="Heading 1 Char"/>
    <w:basedOn w:val="DefaultParagraphFont"/>
    <w:link w:val="Heading1"/>
    <w:uiPriority w:val="9"/>
    <w:rsid w:val="00FA652B"/>
    <w:rPr>
      <w:rFonts w:asciiTheme="majorHAnsi" w:eastAsia="Times New Roman" w:hAnsiTheme="majorHAnsi" w:cs="Times New Roman"/>
      <w:b/>
      <w:bCs/>
      <w:sz w:val="28"/>
      <w:szCs w:val="32"/>
      <w:lang w:bidi="en-US"/>
    </w:rPr>
  </w:style>
  <w:style w:type="character" w:customStyle="1" w:styleId="Heading2Char">
    <w:name w:val="Heading 2 Char"/>
    <w:basedOn w:val="DefaultParagraphFont"/>
    <w:link w:val="Heading2"/>
    <w:uiPriority w:val="9"/>
    <w:rsid w:val="00CB4ED0"/>
    <w:rPr>
      <w:rFonts w:asciiTheme="majorHAnsi" w:eastAsia="Times New Roman" w:hAnsiTheme="majorHAnsi" w:cs="Times New Roman"/>
      <w:b/>
      <w:bCs/>
      <w:iCs/>
      <w:szCs w:val="28"/>
      <w:lang w:bidi="en-US"/>
    </w:rPr>
  </w:style>
  <w:style w:type="character" w:customStyle="1" w:styleId="Heading4Char">
    <w:name w:val="Heading 4 Char"/>
    <w:basedOn w:val="DefaultParagraphFont"/>
    <w:link w:val="Heading4"/>
    <w:uiPriority w:val="9"/>
    <w:rsid w:val="007F6BCD"/>
    <w:rPr>
      <w:rFonts w:asciiTheme="majorHAnsi" w:eastAsia="Times New Roman" w:hAnsiTheme="majorHAnsi" w:cs="Times New Roman"/>
      <w:bCs/>
      <w:sz w:val="22"/>
      <w:szCs w:val="28"/>
      <w:u w:val="single"/>
      <w:lang w:bidi="en-US"/>
    </w:rPr>
  </w:style>
  <w:style w:type="character" w:customStyle="1" w:styleId="Heading5Char">
    <w:name w:val="Heading 5 Char"/>
    <w:basedOn w:val="DefaultParagraphFont"/>
    <w:link w:val="Heading5"/>
    <w:uiPriority w:val="9"/>
    <w:rsid w:val="00BF0494"/>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BF0494"/>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BF0494"/>
    <w:rPr>
      <w:rFonts w:eastAsia="Times New Roman" w:cs="Times New Roman"/>
      <w:lang w:bidi="en-US"/>
    </w:rPr>
  </w:style>
  <w:style w:type="character" w:customStyle="1" w:styleId="Heading8Char">
    <w:name w:val="Heading 8 Char"/>
    <w:basedOn w:val="DefaultParagraphFont"/>
    <w:link w:val="Heading8"/>
    <w:uiPriority w:val="9"/>
    <w:semiHidden/>
    <w:rsid w:val="00BF0494"/>
    <w:rPr>
      <w:rFonts w:eastAsia="Times New Roman" w:cs="Times New Roman"/>
      <w:i/>
      <w:iCs/>
      <w:lang w:bidi="en-US"/>
    </w:rPr>
  </w:style>
  <w:style w:type="character" w:customStyle="1" w:styleId="Heading9Char">
    <w:name w:val="Heading 9 Char"/>
    <w:basedOn w:val="DefaultParagraphFont"/>
    <w:link w:val="Heading9"/>
    <w:uiPriority w:val="9"/>
    <w:semiHidden/>
    <w:rsid w:val="00BF0494"/>
    <w:rPr>
      <w:rFonts w:ascii="Times New Roman" w:eastAsia="Times New Roman" w:hAnsi="Times New Roman" w:cs="Times New Roman"/>
      <w:sz w:val="22"/>
      <w:szCs w:val="22"/>
      <w:lang w:bidi="en-US"/>
    </w:rPr>
  </w:style>
  <w:style w:type="paragraph" w:styleId="Caption">
    <w:name w:val="caption"/>
    <w:basedOn w:val="Normal"/>
    <w:next w:val="Normal"/>
    <w:autoRedefine/>
    <w:uiPriority w:val="35"/>
    <w:unhideWhenUsed/>
    <w:qFormat/>
    <w:rsid w:val="00133F61"/>
    <w:pPr>
      <w:spacing w:line="240" w:lineRule="auto"/>
      <w:jc w:val="center"/>
    </w:pPr>
    <w:rPr>
      <w:rFonts w:ascii="Times New Roman" w:hAnsi="Times New Roman"/>
      <w:b/>
      <w:bCs/>
      <w:sz w:val="22"/>
      <w:szCs w:val="18"/>
    </w:rPr>
  </w:style>
  <w:style w:type="paragraph" w:styleId="Title">
    <w:name w:val="Title"/>
    <w:basedOn w:val="Heading1"/>
    <w:next w:val="Normal"/>
    <w:link w:val="TitleChar"/>
    <w:autoRedefine/>
    <w:uiPriority w:val="10"/>
    <w:qFormat/>
    <w:rsid w:val="00BF0494"/>
    <w:pPr>
      <w:keepNext/>
    </w:pPr>
    <w:rPr>
      <w:bCs w:val="0"/>
    </w:rPr>
  </w:style>
  <w:style w:type="character" w:customStyle="1" w:styleId="TitleChar">
    <w:name w:val="Title Char"/>
    <w:basedOn w:val="DefaultParagraphFont"/>
    <w:link w:val="Title"/>
    <w:uiPriority w:val="10"/>
    <w:rsid w:val="00BF0494"/>
    <w:rPr>
      <w:rFonts w:asciiTheme="majorHAnsi" w:eastAsia="Times New Roman" w:hAnsiTheme="majorHAnsi" w:cs="Times New Roman"/>
      <w:b/>
      <w:sz w:val="28"/>
      <w:szCs w:val="32"/>
      <w:lang w:bidi="en-US"/>
    </w:rPr>
  </w:style>
  <w:style w:type="paragraph" w:styleId="Subtitle">
    <w:name w:val="Subtitle"/>
    <w:basedOn w:val="Normal"/>
    <w:next w:val="Normal"/>
    <w:link w:val="SubtitleChar"/>
    <w:uiPriority w:val="11"/>
    <w:unhideWhenUsed/>
    <w:qFormat/>
    <w:rsid w:val="00BF0494"/>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BF0494"/>
    <w:rPr>
      <w:rFonts w:ascii="Times New Roman" w:eastAsia="Times New Roman" w:hAnsi="Times New Roman" w:cs="Times New Roman"/>
      <w:lang w:bidi="en-US"/>
    </w:rPr>
  </w:style>
  <w:style w:type="character" w:styleId="Strong">
    <w:name w:val="Strong"/>
    <w:basedOn w:val="DefaultParagraphFont"/>
    <w:uiPriority w:val="22"/>
    <w:unhideWhenUsed/>
    <w:qFormat/>
    <w:rsid w:val="00BF0494"/>
    <w:rPr>
      <w:b/>
      <w:bCs/>
    </w:rPr>
  </w:style>
  <w:style w:type="character" w:styleId="Emphasis">
    <w:name w:val="Emphasis"/>
    <w:basedOn w:val="DefaultParagraphFont"/>
    <w:uiPriority w:val="20"/>
    <w:unhideWhenUsed/>
    <w:qFormat/>
    <w:rsid w:val="00BF0494"/>
    <w:rPr>
      <w:rFonts w:ascii="Times New Roman" w:hAnsi="Times New Roman"/>
      <w:b/>
      <w:i/>
      <w:iCs/>
    </w:rPr>
  </w:style>
  <w:style w:type="paragraph" w:styleId="TableofFigures">
    <w:name w:val="table of figures"/>
    <w:basedOn w:val="Normal"/>
    <w:next w:val="Normal"/>
    <w:uiPriority w:val="99"/>
    <w:unhideWhenUsed/>
    <w:rsid w:val="00BF0494"/>
  </w:style>
  <w:style w:type="paragraph" w:styleId="Quote">
    <w:name w:val="Quote"/>
    <w:basedOn w:val="Normal"/>
    <w:next w:val="Normal"/>
    <w:link w:val="QuoteChar"/>
    <w:uiPriority w:val="29"/>
    <w:unhideWhenUsed/>
    <w:qFormat/>
    <w:rsid w:val="00BF0494"/>
    <w:rPr>
      <w:i/>
    </w:rPr>
  </w:style>
  <w:style w:type="character" w:customStyle="1" w:styleId="QuoteChar">
    <w:name w:val="Quote Char"/>
    <w:basedOn w:val="DefaultParagraphFont"/>
    <w:link w:val="Quote"/>
    <w:uiPriority w:val="29"/>
    <w:rsid w:val="00BF0494"/>
    <w:rPr>
      <w:rFonts w:eastAsia="Times New Roman" w:cs="Times New Roman"/>
      <w:i/>
      <w:lang w:bidi="en-US"/>
    </w:rPr>
  </w:style>
  <w:style w:type="paragraph" w:styleId="IntenseQuote">
    <w:name w:val="Intense Quote"/>
    <w:basedOn w:val="Normal"/>
    <w:next w:val="Normal"/>
    <w:link w:val="IntenseQuoteChar"/>
    <w:uiPriority w:val="30"/>
    <w:unhideWhenUsed/>
    <w:qFormat/>
    <w:rsid w:val="00BF0494"/>
    <w:pPr>
      <w:ind w:left="720" w:right="720"/>
    </w:pPr>
    <w:rPr>
      <w:b/>
      <w:i/>
      <w:szCs w:val="22"/>
    </w:rPr>
  </w:style>
  <w:style w:type="character" w:customStyle="1" w:styleId="IntenseQuoteChar">
    <w:name w:val="Intense Quote Char"/>
    <w:basedOn w:val="DefaultParagraphFont"/>
    <w:link w:val="IntenseQuote"/>
    <w:uiPriority w:val="30"/>
    <w:rsid w:val="00BF0494"/>
    <w:rPr>
      <w:rFonts w:eastAsia="Times New Roman" w:cs="Times New Roman"/>
      <w:b/>
      <w:i/>
      <w:szCs w:val="22"/>
      <w:lang w:bidi="en-US"/>
    </w:rPr>
  </w:style>
  <w:style w:type="character" w:styleId="SubtleEmphasis">
    <w:name w:val="Subtle Emphasis"/>
    <w:uiPriority w:val="19"/>
    <w:unhideWhenUsed/>
    <w:qFormat/>
    <w:rsid w:val="00BF0494"/>
    <w:rPr>
      <w:i/>
      <w:color w:val="5A5A5A"/>
    </w:rPr>
  </w:style>
  <w:style w:type="character" w:styleId="IntenseEmphasis">
    <w:name w:val="Intense Emphasis"/>
    <w:basedOn w:val="DefaultParagraphFont"/>
    <w:uiPriority w:val="21"/>
    <w:unhideWhenUsed/>
    <w:qFormat/>
    <w:rsid w:val="00BF0494"/>
    <w:rPr>
      <w:b/>
      <w:i/>
      <w:sz w:val="24"/>
      <w:szCs w:val="24"/>
      <w:u w:val="single"/>
    </w:rPr>
  </w:style>
  <w:style w:type="character" w:styleId="SubtleReference">
    <w:name w:val="Subtle Reference"/>
    <w:basedOn w:val="DefaultParagraphFont"/>
    <w:uiPriority w:val="31"/>
    <w:unhideWhenUsed/>
    <w:qFormat/>
    <w:rsid w:val="00BF0494"/>
    <w:rPr>
      <w:sz w:val="24"/>
      <w:szCs w:val="24"/>
      <w:u w:val="single"/>
    </w:rPr>
  </w:style>
  <w:style w:type="character" w:styleId="IntenseReference">
    <w:name w:val="Intense Reference"/>
    <w:basedOn w:val="DefaultParagraphFont"/>
    <w:uiPriority w:val="32"/>
    <w:unhideWhenUsed/>
    <w:qFormat/>
    <w:rsid w:val="00BF0494"/>
    <w:rPr>
      <w:b/>
      <w:sz w:val="24"/>
      <w:u w:val="single"/>
    </w:rPr>
  </w:style>
  <w:style w:type="character" w:styleId="BookTitle">
    <w:name w:val="Book Title"/>
    <w:basedOn w:val="DefaultParagraphFont"/>
    <w:uiPriority w:val="33"/>
    <w:unhideWhenUsed/>
    <w:qFormat/>
    <w:rsid w:val="00BF0494"/>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BF0494"/>
    <w:pPr>
      <w:outlineLvl w:val="9"/>
    </w:pPr>
  </w:style>
  <w:style w:type="paragraph" w:styleId="Header">
    <w:name w:val="header"/>
    <w:basedOn w:val="Normal"/>
    <w:link w:val="HeaderChar"/>
    <w:uiPriority w:val="99"/>
    <w:unhideWhenUsed/>
    <w:rsid w:val="00BF0494"/>
    <w:pPr>
      <w:tabs>
        <w:tab w:val="center" w:pos="4680"/>
        <w:tab w:val="right" w:pos="9360"/>
      </w:tabs>
    </w:pPr>
  </w:style>
  <w:style w:type="character" w:customStyle="1" w:styleId="HeaderChar">
    <w:name w:val="Header Char"/>
    <w:basedOn w:val="DefaultParagraphFont"/>
    <w:link w:val="Header"/>
    <w:uiPriority w:val="99"/>
    <w:rsid w:val="00BF0494"/>
    <w:rPr>
      <w:rFonts w:eastAsia="Times New Roman" w:cs="Times New Roman"/>
      <w:lang w:bidi="en-US"/>
    </w:rPr>
  </w:style>
  <w:style w:type="paragraph" w:styleId="Footer">
    <w:name w:val="footer"/>
    <w:basedOn w:val="Normal"/>
    <w:link w:val="FooterChar"/>
    <w:uiPriority w:val="99"/>
    <w:unhideWhenUsed/>
    <w:rsid w:val="00BF0494"/>
    <w:pPr>
      <w:tabs>
        <w:tab w:val="center" w:pos="4680"/>
        <w:tab w:val="right" w:pos="9360"/>
      </w:tabs>
    </w:pPr>
  </w:style>
  <w:style w:type="character" w:customStyle="1" w:styleId="FooterChar">
    <w:name w:val="Footer Char"/>
    <w:basedOn w:val="DefaultParagraphFont"/>
    <w:link w:val="Footer"/>
    <w:uiPriority w:val="99"/>
    <w:rsid w:val="00BF0494"/>
    <w:rPr>
      <w:rFonts w:eastAsia="Times New Roman" w:cs="Times New Roman"/>
      <w:lang w:bidi="en-US"/>
    </w:rPr>
  </w:style>
  <w:style w:type="character" w:styleId="Hyperlink">
    <w:name w:val="Hyperlink"/>
    <w:basedOn w:val="DefaultParagraphFont"/>
    <w:uiPriority w:val="99"/>
    <w:unhideWhenUsed/>
    <w:rsid w:val="00BF0494"/>
    <w:rPr>
      <w:color w:val="0000FF"/>
      <w:u w:val="single"/>
    </w:rPr>
  </w:style>
  <w:style w:type="paragraph" w:styleId="TOC1">
    <w:name w:val="toc 1"/>
    <w:basedOn w:val="Normal"/>
    <w:next w:val="Normal"/>
    <w:autoRedefine/>
    <w:uiPriority w:val="39"/>
    <w:unhideWhenUsed/>
    <w:rsid w:val="001B540D"/>
    <w:pPr>
      <w:spacing w:before="120"/>
    </w:pPr>
    <w:rPr>
      <w:b/>
    </w:rPr>
  </w:style>
  <w:style w:type="paragraph" w:styleId="TOC2">
    <w:name w:val="toc 2"/>
    <w:basedOn w:val="Normal"/>
    <w:next w:val="Normal"/>
    <w:autoRedefine/>
    <w:uiPriority w:val="39"/>
    <w:unhideWhenUsed/>
    <w:rsid w:val="00BF0494"/>
    <w:pPr>
      <w:ind w:left="240"/>
    </w:pPr>
    <w:rPr>
      <w:b/>
      <w:sz w:val="22"/>
      <w:szCs w:val="22"/>
    </w:rPr>
  </w:style>
  <w:style w:type="table" w:styleId="TableGrid">
    <w:name w:val="Table Grid"/>
    <w:basedOn w:val="TableNormal"/>
    <w:uiPriority w:val="59"/>
    <w:rsid w:val="00BF049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BF0494"/>
    <w:pPr>
      <w:ind w:left="480"/>
    </w:pPr>
    <w:rPr>
      <w:sz w:val="22"/>
      <w:szCs w:val="22"/>
    </w:rPr>
  </w:style>
  <w:style w:type="paragraph" w:customStyle="1" w:styleId="BlockQuotation">
    <w:name w:val="Block Quotation"/>
    <w:next w:val="Normal"/>
    <w:link w:val="BlockQuotationChar"/>
    <w:qFormat/>
    <w:rsid w:val="00BF0494"/>
    <w:pPr>
      <w:spacing w:after="240"/>
      <w:ind w:left="720"/>
    </w:pPr>
    <w:rPr>
      <w:rFonts w:eastAsia="Times New Roman" w:cs="Times New Roman"/>
      <w:szCs w:val="32"/>
      <w:lang w:bidi="en-US"/>
    </w:rPr>
  </w:style>
  <w:style w:type="character" w:styleId="PlaceholderText">
    <w:name w:val="Placeholder Text"/>
    <w:basedOn w:val="DefaultParagraphFont"/>
    <w:uiPriority w:val="99"/>
    <w:semiHidden/>
    <w:rsid w:val="00BF0494"/>
    <w:rPr>
      <w:color w:val="808080"/>
    </w:rPr>
  </w:style>
  <w:style w:type="character" w:customStyle="1" w:styleId="BlockQuotationChar">
    <w:name w:val="Block Quotation Char"/>
    <w:basedOn w:val="NoSpacingChar"/>
    <w:link w:val="BlockQuotation"/>
    <w:rsid w:val="00BF0494"/>
    <w:rPr>
      <w:rFonts w:eastAsia="Times New Roman" w:cs="Times New Roman"/>
      <w:szCs w:val="32"/>
      <w:lang w:bidi="en-US"/>
    </w:rPr>
  </w:style>
  <w:style w:type="paragraph" w:styleId="Bibliography">
    <w:name w:val="Bibliography"/>
    <w:basedOn w:val="Normal"/>
    <w:next w:val="Normal"/>
    <w:uiPriority w:val="37"/>
    <w:rsid w:val="00BF0494"/>
  </w:style>
  <w:style w:type="paragraph" w:customStyle="1" w:styleId="Chapter">
    <w:name w:val="Chapter"/>
    <w:next w:val="Normal"/>
    <w:autoRedefine/>
    <w:qFormat/>
    <w:rsid w:val="00BF0494"/>
    <w:pPr>
      <w:keepNext/>
      <w:pBdr>
        <w:bottom w:val="single" w:sz="4" w:space="1" w:color="auto"/>
      </w:pBdr>
      <w:spacing w:after="240"/>
    </w:pPr>
    <w:rPr>
      <w:rFonts w:asciiTheme="majorHAnsi" w:eastAsia="Times New Roman" w:hAnsiTheme="majorHAnsi" w:cs="Times New Roman"/>
      <w:b/>
      <w:bCs/>
      <w:sz w:val="28"/>
      <w:szCs w:val="32"/>
      <w:lang w:bidi="en-US"/>
    </w:rPr>
  </w:style>
  <w:style w:type="paragraph" w:styleId="ListParagraph">
    <w:name w:val="List Paragraph"/>
    <w:basedOn w:val="Normal"/>
    <w:uiPriority w:val="34"/>
    <w:unhideWhenUsed/>
    <w:qFormat/>
    <w:rsid w:val="00BF0494"/>
    <w:pPr>
      <w:ind w:left="720"/>
      <w:contextualSpacing/>
    </w:pPr>
  </w:style>
  <w:style w:type="paragraph" w:styleId="DocumentMap">
    <w:name w:val="Document Map"/>
    <w:basedOn w:val="Normal"/>
    <w:link w:val="DocumentMapChar"/>
    <w:uiPriority w:val="99"/>
    <w:semiHidden/>
    <w:unhideWhenUsed/>
    <w:rsid w:val="00BF0494"/>
    <w:pPr>
      <w:spacing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BF0494"/>
    <w:rPr>
      <w:rFonts w:ascii="Lucida Grande" w:eastAsia="Times New Roman" w:hAnsi="Lucida Grande" w:cs="Times New Roman"/>
      <w:lang w:bidi="en-US"/>
    </w:rPr>
  </w:style>
  <w:style w:type="paragraph" w:styleId="BodyTextIndent">
    <w:name w:val="Body Text Indent"/>
    <w:basedOn w:val="Normal"/>
    <w:link w:val="BodyTextIndentChar"/>
    <w:rsid w:val="00BF0494"/>
    <w:pPr>
      <w:ind w:firstLine="720"/>
    </w:pPr>
    <w:rPr>
      <w:rFonts w:ascii="Times New Roman" w:hAnsi="Times New Roman"/>
      <w:szCs w:val="20"/>
      <w:lang w:bidi="ar-SA"/>
    </w:rPr>
  </w:style>
  <w:style w:type="character" w:customStyle="1" w:styleId="BodyTextIndentChar">
    <w:name w:val="Body Text Indent Char"/>
    <w:basedOn w:val="DefaultParagraphFont"/>
    <w:link w:val="BodyTextIndent"/>
    <w:rsid w:val="00BF0494"/>
    <w:rPr>
      <w:rFonts w:ascii="Times New Roman" w:eastAsia="Times New Roman" w:hAnsi="Times New Roman" w:cs="Times New Roman"/>
      <w:szCs w:val="20"/>
    </w:rPr>
  </w:style>
  <w:style w:type="paragraph" w:customStyle="1" w:styleId="h">
    <w:name w:val="h"/>
    <w:basedOn w:val="Normal"/>
    <w:rsid w:val="00BF0494"/>
    <w:pPr>
      <w:spacing w:line="240" w:lineRule="auto"/>
      <w:jc w:val="center"/>
      <w:outlineLvl w:val="0"/>
    </w:pPr>
    <w:rPr>
      <w:rFonts w:asciiTheme="majorHAnsi" w:eastAsiaTheme="minorEastAsia" w:hAnsiTheme="majorHAnsi" w:cstheme="minorBidi"/>
      <w:b/>
      <w:sz w:val="28"/>
      <w:szCs w:val="28"/>
      <w:lang w:bidi="ar-SA"/>
    </w:rPr>
  </w:style>
  <w:style w:type="character" w:styleId="PageNumber">
    <w:name w:val="page number"/>
    <w:basedOn w:val="DefaultParagraphFont"/>
    <w:uiPriority w:val="99"/>
    <w:semiHidden/>
    <w:unhideWhenUsed/>
    <w:rsid w:val="00BF0494"/>
  </w:style>
  <w:style w:type="paragraph" w:customStyle="1" w:styleId="n">
    <w:name w:val="n"/>
    <w:basedOn w:val="Normal"/>
    <w:rsid w:val="00BF0494"/>
    <w:pPr>
      <w:spacing w:line="240" w:lineRule="auto"/>
      <w:jc w:val="center"/>
      <w:outlineLvl w:val="0"/>
    </w:pPr>
    <w:rPr>
      <w:rFonts w:ascii="Times New Roman" w:hAnsi="Times New Roman"/>
      <w:lang w:bidi="ar-SA"/>
    </w:rPr>
  </w:style>
  <w:style w:type="paragraph" w:customStyle="1" w:styleId="f">
    <w:name w:val="f"/>
    <w:basedOn w:val="Caption"/>
    <w:rsid w:val="00BF0494"/>
  </w:style>
  <w:style w:type="paragraph" w:customStyle="1" w:styleId="FigureTable">
    <w:name w:val="Figure/Table"/>
    <w:basedOn w:val="Normal"/>
    <w:rsid w:val="001C0A71"/>
    <w:pPr>
      <w:spacing w:line="240" w:lineRule="auto"/>
      <w:ind w:firstLine="720"/>
      <w:jc w:val="center"/>
    </w:pPr>
    <w:rPr>
      <w:rFonts w:ascii="Arial" w:hAnsi="Arial"/>
      <w:sz w:val="22"/>
      <w:szCs w:val="20"/>
      <w:lang w:bidi="ar-SA"/>
    </w:rPr>
  </w:style>
  <w:style w:type="paragraph" w:customStyle="1" w:styleId="b">
    <w:name w:val="b"/>
    <w:basedOn w:val="Normal"/>
    <w:rsid w:val="002A25B8"/>
    <w:pPr>
      <w:spacing w:line="240" w:lineRule="auto"/>
      <w:ind w:left="1440" w:hanging="720"/>
    </w:pPr>
    <w:rPr>
      <w:rFonts w:ascii="Times New Roman" w:eastAsiaTheme="minorEastAsia" w:hAnsi="Times New Roman"/>
      <w:lang w:bidi="ar-SA"/>
    </w:rPr>
  </w:style>
  <w:style w:type="paragraph" w:styleId="TOC4">
    <w:name w:val="toc 4"/>
    <w:basedOn w:val="Normal"/>
    <w:next w:val="Normal"/>
    <w:autoRedefine/>
    <w:uiPriority w:val="39"/>
    <w:semiHidden/>
    <w:unhideWhenUsed/>
    <w:rsid w:val="00592F57"/>
    <w:pPr>
      <w:ind w:left="720"/>
    </w:pPr>
    <w:rPr>
      <w:sz w:val="20"/>
      <w:szCs w:val="20"/>
    </w:rPr>
  </w:style>
  <w:style w:type="paragraph" w:styleId="TOC5">
    <w:name w:val="toc 5"/>
    <w:basedOn w:val="Normal"/>
    <w:next w:val="Normal"/>
    <w:autoRedefine/>
    <w:uiPriority w:val="39"/>
    <w:semiHidden/>
    <w:unhideWhenUsed/>
    <w:rsid w:val="00592F57"/>
    <w:pPr>
      <w:ind w:left="960"/>
    </w:pPr>
    <w:rPr>
      <w:sz w:val="20"/>
      <w:szCs w:val="20"/>
    </w:rPr>
  </w:style>
  <w:style w:type="paragraph" w:styleId="TOC6">
    <w:name w:val="toc 6"/>
    <w:basedOn w:val="Normal"/>
    <w:next w:val="Normal"/>
    <w:autoRedefine/>
    <w:uiPriority w:val="39"/>
    <w:semiHidden/>
    <w:unhideWhenUsed/>
    <w:rsid w:val="00592F57"/>
    <w:pPr>
      <w:ind w:left="1200"/>
    </w:pPr>
    <w:rPr>
      <w:sz w:val="20"/>
      <w:szCs w:val="20"/>
    </w:rPr>
  </w:style>
  <w:style w:type="paragraph" w:styleId="TOC7">
    <w:name w:val="toc 7"/>
    <w:basedOn w:val="Normal"/>
    <w:next w:val="Normal"/>
    <w:autoRedefine/>
    <w:uiPriority w:val="39"/>
    <w:semiHidden/>
    <w:unhideWhenUsed/>
    <w:rsid w:val="00592F57"/>
    <w:pPr>
      <w:ind w:left="1440"/>
    </w:pPr>
    <w:rPr>
      <w:sz w:val="20"/>
      <w:szCs w:val="20"/>
    </w:rPr>
  </w:style>
  <w:style w:type="paragraph" w:styleId="TOC8">
    <w:name w:val="toc 8"/>
    <w:basedOn w:val="Normal"/>
    <w:next w:val="Normal"/>
    <w:autoRedefine/>
    <w:uiPriority w:val="39"/>
    <w:semiHidden/>
    <w:unhideWhenUsed/>
    <w:rsid w:val="00592F57"/>
    <w:pPr>
      <w:ind w:left="1680"/>
    </w:pPr>
    <w:rPr>
      <w:sz w:val="20"/>
      <w:szCs w:val="20"/>
    </w:rPr>
  </w:style>
  <w:style w:type="paragraph" w:styleId="TOC9">
    <w:name w:val="toc 9"/>
    <w:basedOn w:val="Normal"/>
    <w:next w:val="Normal"/>
    <w:autoRedefine/>
    <w:uiPriority w:val="39"/>
    <w:semiHidden/>
    <w:unhideWhenUsed/>
    <w:rsid w:val="00592F57"/>
    <w:pPr>
      <w:ind w:left="1920"/>
    </w:pPr>
    <w:rPr>
      <w:sz w:val="20"/>
      <w:szCs w:val="20"/>
    </w:rPr>
  </w:style>
  <w:style w:type="paragraph" w:styleId="Revision">
    <w:name w:val="Revision"/>
    <w:hidden/>
    <w:uiPriority w:val="99"/>
    <w:semiHidden/>
    <w:rsid w:val="00B14848"/>
    <w:rPr>
      <w:rFonts w:eastAsia="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tiff"/><Relationship Id="rId25" Type="http://schemas.openxmlformats.org/officeDocument/2006/relationships/image" Target="media/image15.jp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JP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g"/><Relationship Id="rId31" Type="http://schemas.openxmlformats.org/officeDocument/2006/relationships/image" Target="media/image21.jpeg"/><Relationship Id="rId32" Type="http://schemas.openxmlformats.org/officeDocument/2006/relationships/image" Target="media/image22.jpeg"/><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jpeg"/><Relationship Id="rId34" Type="http://schemas.openxmlformats.org/officeDocument/2006/relationships/image" Target="media/image24.jpeg"/><Relationship Id="rId35" Type="http://schemas.openxmlformats.org/officeDocument/2006/relationships/image" Target="media/image25.png"/><Relationship Id="rId36" Type="http://schemas.openxmlformats.org/officeDocument/2006/relationships/image" Target="media/image26.tiff"/><Relationship Id="rId10" Type="http://schemas.openxmlformats.org/officeDocument/2006/relationships/footer" Target="footer2.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tiff"/><Relationship Id="rId14" Type="http://schemas.openxmlformats.org/officeDocument/2006/relationships/image" Target="media/image4.tiff"/><Relationship Id="rId15" Type="http://schemas.openxmlformats.org/officeDocument/2006/relationships/image" Target="media/image5.jpeg"/><Relationship Id="rId16" Type="http://schemas.openxmlformats.org/officeDocument/2006/relationships/image" Target="media/image6.jpg"/><Relationship Id="rId17" Type="http://schemas.openxmlformats.org/officeDocument/2006/relationships/image" Target="media/image7.tiff"/><Relationship Id="rId18" Type="http://schemas.openxmlformats.org/officeDocument/2006/relationships/image" Target="media/image8.png"/><Relationship Id="rId19" Type="http://schemas.openxmlformats.org/officeDocument/2006/relationships/image" Target="media/image9.jp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hyperlink" Target="http://www.icrc.org/eng/resources/documents/misc/57jmbj.htm" TargetMode="External"/><Relationship Id="rId40" Type="http://schemas.openxmlformats.org/officeDocument/2006/relationships/hyperlink" Target="http://www.who.int/mediacentre/factsheets/fs239/en/" TargetMode="External"/><Relationship Id="rId41" Type="http://schemas.openxmlformats.org/officeDocument/2006/relationships/hyperlink" Target="http://www.who.int/nutrition/topics/vad/en/" TargetMode="External"/><Relationship Id="rId42" Type="http://schemas.openxmlformats.org/officeDocument/2006/relationships/fontTable" Target="fontTable.xml"/><Relationship Id="rId43" Type="http://schemas.openxmlformats.org/officeDocument/2006/relationships/glossaryDocument" Target="glossary/document.xml"/><Relationship Id="rId4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D54F130A28C9943B96848EFB8B59478"/>
        <w:category>
          <w:name w:val="General"/>
          <w:gallery w:val="placeholder"/>
        </w:category>
        <w:types>
          <w:type w:val="bbPlcHdr"/>
        </w:types>
        <w:behaviors>
          <w:behavior w:val="content"/>
        </w:behaviors>
        <w:guid w:val="{3D6DE361-6121-F148-A032-D68C517B58A8}"/>
      </w:docPartPr>
      <w:docPartBody>
        <w:p w:rsidR="00E23988" w:rsidRDefault="00E23988" w:rsidP="00E23988">
          <w:pPr>
            <w:pStyle w:val="BD54F130A28C9943B96848EFB8B59478"/>
          </w:pPr>
          <w:r w:rsidRPr="001F1C68">
            <w:rPr>
              <w:rStyle w:val="PlaceholderText"/>
            </w:rPr>
            <w:t>Click here to enter text.</w:t>
          </w:r>
        </w:p>
      </w:docPartBody>
    </w:docPart>
    <w:docPart>
      <w:docPartPr>
        <w:name w:val="EDF362D030A9FA4D8E42A853638897DF"/>
        <w:category>
          <w:name w:val="General"/>
          <w:gallery w:val="placeholder"/>
        </w:category>
        <w:types>
          <w:type w:val="bbPlcHdr"/>
        </w:types>
        <w:behaviors>
          <w:behavior w:val="content"/>
        </w:behaviors>
        <w:guid w:val="{5307F76F-B8AD-124C-95A2-FFEC3F0C79FF}"/>
      </w:docPartPr>
      <w:docPartBody>
        <w:p w:rsidR="00E23988" w:rsidRDefault="00E23988" w:rsidP="00E23988">
          <w:pPr>
            <w:pStyle w:val="EDF362D030A9FA4D8E42A853638897DF"/>
          </w:pPr>
          <w:r w:rsidRPr="00BB1A19">
            <w:rPr>
              <w:rStyle w:val="PlaceholderText"/>
            </w:rPr>
            <w:t>Click here to enter text.</w:t>
          </w:r>
        </w:p>
      </w:docPartBody>
    </w:docPart>
    <w:docPart>
      <w:docPartPr>
        <w:name w:val="13AD4E6345296E46AE49A26053B740BF"/>
        <w:category>
          <w:name w:val="General"/>
          <w:gallery w:val="placeholder"/>
        </w:category>
        <w:types>
          <w:type w:val="bbPlcHdr"/>
        </w:types>
        <w:behaviors>
          <w:behavior w:val="content"/>
        </w:behaviors>
        <w:guid w:val="{5593A810-C3A8-8148-818F-9B59E51C63EA}"/>
      </w:docPartPr>
      <w:docPartBody>
        <w:p w:rsidR="00E23988" w:rsidRDefault="00E23988" w:rsidP="00E23988">
          <w:pPr>
            <w:pStyle w:val="13AD4E6345296E46AE49A26053B740BF"/>
          </w:pPr>
          <w:r w:rsidRPr="001F1C68">
            <w:rPr>
              <w:rStyle w:val="PlaceholderText"/>
            </w:rPr>
            <w:t>Click here to enter text.</w:t>
          </w:r>
        </w:p>
      </w:docPartBody>
    </w:docPart>
    <w:docPart>
      <w:docPartPr>
        <w:name w:val="FB41D91FDF33124591E67F35F2733E93"/>
        <w:category>
          <w:name w:val="General"/>
          <w:gallery w:val="placeholder"/>
        </w:category>
        <w:types>
          <w:type w:val="bbPlcHdr"/>
        </w:types>
        <w:behaviors>
          <w:behavior w:val="content"/>
        </w:behaviors>
        <w:guid w:val="{7DEA8721-E90D-C546-BABF-2F93F1DDFB25}"/>
      </w:docPartPr>
      <w:docPartBody>
        <w:p w:rsidR="00E23988" w:rsidRDefault="00E23988" w:rsidP="00E23988">
          <w:pPr>
            <w:pStyle w:val="FB41D91FDF33124591E67F35F2733E93"/>
          </w:pPr>
          <w:r w:rsidRPr="001F1C68">
            <w:rPr>
              <w:rStyle w:val="PlaceholderText"/>
            </w:rPr>
            <w:t>Click here to enter text.</w:t>
          </w:r>
        </w:p>
      </w:docPartBody>
    </w:docPart>
    <w:docPart>
      <w:docPartPr>
        <w:name w:val="B52EF50C6319E641A9C24BAF0605C24A"/>
        <w:category>
          <w:name w:val="General"/>
          <w:gallery w:val="placeholder"/>
        </w:category>
        <w:types>
          <w:type w:val="bbPlcHdr"/>
        </w:types>
        <w:behaviors>
          <w:behavior w:val="content"/>
        </w:behaviors>
        <w:guid w:val="{4D5EBD04-80B4-0145-A39D-D3BA8D12F6B2}"/>
      </w:docPartPr>
      <w:docPartBody>
        <w:p w:rsidR="00E23988" w:rsidRDefault="00E23988" w:rsidP="00E23988">
          <w:pPr>
            <w:pStyle w:val="B52EF50C6319E641A9C24BAF0605C24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988"/>
    <w:rsid w:val="00001C5D"/>
    <w:rsid w:val="0003243C"/>
    <w:rsid w:val="00051D88"/>
    <w:rsid w:val="00057CD1"/>
    <w:rsid w:val="000A078C"/>
    <w:rsid w:val="000E0995"/>
    <w:rsid w:val="001063F6"/>
    <w:rsid w:val="001D5A35"/>
    <w:rsid w:val="001F3EB6"/>
    <w:rsid w:val="001F5868"/>
    <w:rsid w:val="00207FBA"/>
    <w:rsid w:val="0032060C"/>
    <w:rsid w:val="003F09A3"/>
    <w:rsid w:val="00662710"/>
    <w:rsid w:val="006E3946"/>
    <w:rsid w:val="0093153E"/>
    <w:rsid w:val="00991105"/>
    <w:rsid w:val="00991F3A"/>
    <w:rsid w:val="00DD0760"/>
    <w:rsid w:val="00DE224E"/>
    <w:rsid w:val="00E23988"/>
    <w:rsid w:val="00EC0F05"/>
    <w:rsid w:val="00F20B12"/>
    <w:rsid w:val="00F461A5"/>
    <w:rsid w:val="00F90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3988"/>
    <w:rPr>
      <w:color w:val="808080"/>
    </w:rPr>
  </w:style>
  <w:style w:type="paragraph" w:customStyle="1" w:styleId="BD54F130A28C9943B96848EFB8B59478">
    <w:name w:val="BD54F130A28C9943B96848EFB8B59478"/>
    <w:rsid w:val="00E23988"/>
  </w:style>
  <w:style w:type="paragraph" w:customStyle="1" w:styleId="EDF362D030A9FA4D8E42A853638897DF">
    <w:name w:val="EDF362D030A9FA4D8E42A853638897DF"/>
    <w:rsid w:val="00E23988"/>
  </w:style>
  <w:style w:type="paragraph" w:customStyle="1" w:styleId="13AD4E6345296E46AE49A26053B740BF">
    <w:name w:val="13AD4E6345296E46AE49A26053B740BF"/>
    <w:rsid w:val="00E23988"/>
  </w:style>
  <w:style w:type="paragraph" w:customStyle="1" w:styleId="FB41D91FDF33124591E67F35F2733E93">
    <w:name w:val="FB41D91FDF33124591E67F35F2733E93"/>
    <w:rsid w:val="00E23988"/>
  </w:style>
  <w:style w:type="paragraph" w:customStyle="1" w:styleId="381A7A3A94BFD64CAB96A8EE097036EF">
    <w:name w:val="381A7A3A94BFD64CAB96A8EE097036EF"/>
    <w:rsid w:val="00E23988"/>
  </w:style>
  <w:style w:type="paragraph" w:customStyle="1" w:styleId="91BE17D554D1AF4C9782F67E5234D8FB">
    <w:name w:val="91BE17D554D1AF4C9782F67E5234D8FB"/>
    <w:rsid w:val="00E23988"/>
  </w:style>
  <w:style w:type="paragraph" w:customStyle="1" w:styleId="BE4AE82E26E87A42A886A91985C202C5">
    <w:name w:val="BE4AE82E26E87A42A886A91985C202C5"/>
    <w:rsid w:val="00E23988"/>
  </w:style>
  <w:style w:type="paragraph" w:customStyle="1" w:styleId="46D11F1DED5FAE41B7683E6097045B3A">
    <w:name w:val="46D11F1DED5FAE41B7683E6097045B3A"/>
    <w:rsid w:val="00E23988"/>
  </w:style>
  <w:style w:type="paragraph" w:customStyle="1" w:styleId="52180CDDE697C44EBCBEC8BA0A77E03E">
    <w:name w:val="52180CDDE697C44EBCBEC8BA0A77E03E"/>
    <w:rsid w:val="00E23988"/>
  </w:style>
  <w:style w:type="paragraph" w:customStyle="1" w:styleId="2486730F3EDAF140AE4C2CC7D4B79ACE">
    <w:name w:val="2486730F3EDAF140AE4C2CC7D4B79ACE"/>
    <w:rsid w:val="00E23988"/>
  </w:style>
  <w:style w:type="paragraph" w:customStyle="1" w:styleId="B52EF50C6319E641A9C24BAF0605C24A">
    <w:name w:val="B52EF50C6319E641A9C24BAF0605C24A"/>
    <w:rsid w:val="00E2398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3988"/>
    <w:rPr>
      <w:color w:val="808080"/>
    </w:rPr>
  </w:style>
  <w:style w:type="paragraph" w:customStyle="1" w:styleId="BD54F130A28C9943B96848EFB8B59478">
    <w:name w:val="BD54F130A28C9943B96848EFB8B59478"/>
    <w:rsid w:val="00E23988"/>
  </w:style>
  <w:style w:type="paragraph" w:customStyle="1" w:styleId="EDF362D030A9FA4D8E42A853638897DF">
    <w:name w:val="EDF362D030A9FA4D8E42A853638897DF"/>
    <w:rsid w:val="00E23988"/>
  </w:style>
  <w:style w:type="paragraph" w:customStyle="1" w:styleId="13AD4E6345296E46AE49A26053B740BF">
    <w:name w:val="13AD4E6345296E46AE49A26053B740BF"/>
    <w:rsid w:val="00E23988"/>
  </w:style>
  <w:style w:type="paragraph" w:customStyle="1" w:styleId="FB41D91FDF33124591E67F35F2733E93">
    <w:name w:val="FB41D91FDF33124591E67F35F2733E93"/>
    <w:rsid w:val="00E23988"/>
  </w:style>
  <w:style w:type="paragraph" w:customStyle="1" w:styleId="381A7A3A94BFD64CAB96A8EE097036EF">
    <w:name w:val="381A7A3A94BFD64CAB96A8EE097036EF"/>
    <w:rsid w:val="00E23988"/>
  </w:style>
  <w:style w:type="paragraph" w:customStyle="1" w:styleId="91BE17D554D1AF4C9782F67E5234D8FB">
    <w:name w:val="91BE17D554D1AF4C9782F67E5234D8FB"/>
    <w:rsid w:val="00E23988"/>
  </w:style>
  <w:style w:type="paragraph" w:customStyle="1" w:styleId="BE4AE82E26E87A42A886A91985C202C5">
    <w:name w:val="BE4AE82E26E87A42A886A91985C202C5"/>
    <w:rsid w:val="00E23988"/>
  </w:style>
  <w:style w:type="paragraph" w:customStyle="1" w:styleId="46D11F1DED5FAE41B7683E6097045B3A">
    <w:name w:val="46D11F1DED5FAE41B7683E6097045B3A"/>
    <w:rsid w:val="00E23988"/>
  </w:style>
  <w:style w:type="paragraph" w:customStyle="1" w:styleId="52180CDDE697C44EBCBEC8BA0A77E03E">
    <w:name w:val="52180CDDE697C44EBCBEC8BA0A77E03E"/>
    <w:rsid w:val="00E23988"/>
  </w:style>
  <w:style w:type="paragraph" w:customStyle="1" w:styleId="2486730F3EDAF140AE4C2CC7D4B79ACE">
    <w:name w:val="2486730F3EDAF140AE4C2CC7D4B79ACE"/>
    <w:rsid w:val="00E23988"/>
  </w:style>
  <w:style w:type="paragraph" w:customStyle="1" w:styleId="B52EF50C6319E641A9C24BAF0605C24A">
    <w:name w:val="B52EF50C6319E641A9C24BAF0605C24A"/>
    <w:rsid w:val="00E23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AC33-A737-E241-A8CF-57A2EEAD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40</Pages>
  <Words>44356</Words>
  <Characters>238636</Characters>
  <Application>Microsoft Macintosh Word</Application>
  <DocSecurity>8</DocSecurity>
  <Lines>5965</Lines>
  <Paragraphs>2978</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Acknowledgements</vt:lpstr>
      <vt:lpstr>Table of Contents</vt:lpstr>
      <vt:lpstr>List of Tables</vt:lpstr>
      <vt:lpstr/>
      <vt:lpstr/>
      <vt:lpstr>List of Figures</vt:lpstr>
      <vt:lpstr>Abstract</vt:lpstr>
      <vt:lpstr>Chapter 1: A Contested Landscape</vt:lpstr>
      <vt:lpstr>    Oklahoma Archaeology</vt:lpstr>
      <vt:lpstr>    </vt:lpstr>
      <vt:lpstr>    NAGPRA</vt:lpstr>
      <vt:lpstr>    The Current Study</vt:lpstr>
      <vt:lpstr>Chapter 2:  Exploring Conflict and Nutrition in Archaeological Context</vt:lpstr>
      <vt:lpstr>    Conflict in the Archaeological Record</vt:lpstr>
      <vt:lpstr>        Dye – social complexity and conflict</vt:lpstr>
      <vt:lpstr>    Skeletal Trauma</vt:lpstr>
      <vt:lpstr>        Broken and Fractured Bone</vt:lpstr>
      <vt:lpstr>        Embedded Projectile Points and Pincushioning</vt:lpstr>
      <vt:lpstr>        Trophy Taking Behavior</vt:lpstr>
      <vt:lpstr>        Mass or Group Burials</vt:lpstr>
      <vt:lpstr>    Nutritional Status in the Archaeological Record</vt:lpstr>
      <vt:lpstr>        Prehistoric Health and the Advent of Agriculture</vt:lpstr>
      <vt:lpstr>Chapter 3:  The Wister Area and the Fourche Maline Mounds</vt:lpstr>
      <vt:lpstr>    Fourche Maline – History of a Concept</vt:lpstr>
      <vt:lpstr>        1930s and 1940s and the WPA Excavations</vt:lpstr>
      <vt:lpstr>        Culture History</vt:lpstr>
      <vt:lpstr>        Processualism and Ecological Adaptations</vt:lpstr>
      <vt:lpstr>        Beyond Processualism</vt:lpstr>
      <vt:lpstr>    The Study Area</vt:lpstr>
      <vt:lpstr>        Geologic History</vt:lpstr>
      <vt:lpstr>        The Ouachita Ecoregion</vt:lpstr>
    </vt:vector>
  </TitlesOfParts>
  <Company/>
  <LinksUpToDate>false</LinksUpToDate>
  <CharactersWithSpaces>280014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Rowe</dc:creator>
  <cp:keywords/>
  <dc:description/>
  <cp:lastModifiedBy>Simone Rowe</cp:lastModifiedBy>
  <cp:revision>70</cp:revision>
  <cp:lastPrinted>2014-05-05T15:31:00Z</cp:lastPrinted>
  <dcterms:created xsi:type="dcterms:W3CDTF">2014-05-04T14:31:00Z</dcterms:created>
  <dcterms:modified xsi:type="dcterms:W3CDTF">2014-05-09T11:58:00Z</dcterms:modified>
</cp:coreProperties>
</file>